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1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3"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2"/>
          <w:szCs w:val="22"/>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93"/>
              </w:rPr>
              <w:t>Delaware</w:t>
            </w:r>
          </w:p>
        </w:tc>
        <w:tc>
          <w:tcPr>
            <w:tcW w:w="1220" w:type="dxa"/>
            <w:vAlign w:val="bottom"/>
          </w:tcPr>
          <w:p>
            <w:pPr>
              <w:jc w:val="right"/>
              <w:ind w:right="95"/>
              <w:spacing w:after="0"/>
              <w:rPr>
                <w:sz w:val="20"/>
                <w:szCs w:val="20"/>
                <w:color w:val="auto"/>
              </w:rPr>
            </w:pPr>
            <w:r>
              <w:rPr>
                <w:rFonts w:ascii="Arial" w:cs="Arial" w:eastAsia="Arial" w:hAnsi="Arial"/>
                <w:sz w:val="18"/>
                <w:szCs w:val="18"/>
                <w:b w:val="1"/>
                <w:bCs w:val="1"/>
                <w:color w:val="auto"/>
              </w:rPr>
              <w:t>76-0582150</w:t>
            </w:r>
          </w:p>
        </w:tc>
      </w:tr>
      <w:tr>
        <w:trPr>
          <w:trHeight w:val="251"/>
        </w:trPr>
        <w:tc>
          <w:tcPr>
            <w:tcW w:w="6680" w:type="dxa"/>
            <w:vAlign w:val="bottom"/>
          </w:tcPr>
          <w:p>
            <w:pPr>
              <w:jc w:val="center"/>
              <w:ind w:right="3273"/>
              <w:spacing w:after="0"/>
              <w:rPr>
                <w:sz w:val="20"/>
                <w:szCs w:val="20"/>
                <w:color w:val="auto"/>
              </w:rPr>
            </w:pPr>
            <w:r>
              <w:rPr>
                <w:rFonts w:ascii="Arial" w:cs="Arial" w:eastAsia="Arial" w:hAnsi="Arial"/>
                <w:sz w:val="16"/>
                <w:szCs w:val="16"/>
                <w:color w:val="auto"/>
                <w:w w:val="93"/>
              </w:rPr>
              <w:t>(State or other jurisdiction of</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3"/>
              </w:rPr>
              <w:t>incorporation or organization)</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411"/>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20" w:type="dxa"/>
            <w:vAlign w:val="bottom"/>
          </w:tcPr>
          <w:p>
            <w:pPr>
              <w:jc w:val="right"/>
              <w:ind w:right="295"/>
              <w:spacing w:after="0"/>
              <w:rPr>
                <w:sz w:val="20"/>
                <w:szCs w:val="20"/>
                <w:color w:val="auto"/>
              </w:rPr>
            </w:pPr>
            <w:r>
              <w:rPr>
                <w:rFonts w:ascii="Arial" w:cs="Arial" w:eastAsia="Arial" w:hAnsi="Arial"/>
                <w:sz w:val="18"/>
                <w:szCs w:val="18"/>
                <w:b w:val="1"/>
                <w:bCs w:val="1"/>
                <w:color w:val="auto"/>
              </w:rPr>
              <w:t>77002</w:t>
            </w:r>
          </w:p>
        </w:tc>
      </w:tr>
      <w:tr>
        <w:trPr>
          <w:trHeight w:val="251"/>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4"/>
              </w:rPr>
              <w:t>(Address of principal executive offices)</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383"/>
        </w:trPr>
        <w:tc>
          <w:tcPr>
            <w:tcW w:w="6680" w:type="dxa"/>
            <w:vAlign w:val="bottom"/>
          </w:tcPr>
          <w:p>
            <w:pPr>
              <w:jc w:val="right"/>
              <w:ind w:right="1253"/>
              <w:spacing w:after="0"/>
              <w:rPr>
                <w:sz w:val="20"/>
                <w:szCs w:val="20"/>
                <w:color w:val="auto"/>
              </w:rPr>
            </w:pPr>
            <w:r>
              <w:rPr>
                <w:rFonts w:ascii="Arial" w:cs="Arial" w:eastAsia="Arial" w:hAnsi="Arial"/>
                <w:sz w:val="18"/>
                <w:szCs w:val="18"/>
                <w:b w:val="1"/>
                <w:bCs w:val="1"/>
                <w:color w:val="auto"/>
              </w:rPr>
              <w:t>(713) 646-4100</w:t>
            </w:r>
          </w:p>
        </w:tc>
        <w:tc>
          <w:tcPr>
            <w:tcW w:w="1220" w:type="dxa"/>
            <w:vAlign w:val="bottom"/>
          </w:tcPr>
          <w:p>
            <w:pPr>
              <w:spacing w:after="0"/>
              <w:rPr>
                <w:sz w:val="24"/>
                <w:szCs w:val="24"/>
                <w:color w:val="auto"/>
              </w:rPr>
            </w:pPr>
          </w:p>
        </w:tc>
      </w:tr>
      <w:tr>
        <w:trPr>
          <w:trHeight w:val="216"/>
        </w:trPr>
        <w:tc>
          <w:tcPr>
            <w:tcW w:w="6680" w:type="dxa"/>
            <w:vAlign w:val="bottom"/>
          </w:tcPr>
          <w:p>
            <w:pPr>
              <w:ind w:left="2860"/>
              <w:spacing w:after="0"/>
              <w:rPr>
                <w:sz w:val="20"/>
                <w:szCs w:val="20"/>
                <w:color w:val="auto"/>
              </w:rPr>
            </w:pPr>
            <w:r>
              <w:rPr>
                <w:rFonts w:ascii="Arial" w:cs="Arial" w:eastAsia="Arial" w:hAnsi="Arial"/>
                <w:sz w:val="18"/>
                <w:szCs w:val="18"/>
                <w:color w:val="auto"/>
                <w:w w:val="89"/>
              </w:rPr>
              <w:t>(Registrant’s telephone number, including area code)</w:t>
            </w:r>
          </w:p>
        </w:tc>
        <w:tc>
          <w:tcPr>
            <w:tcW w:w="122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left="360" w:right="1880" w:hanging="34"/>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October 31, 2017, there were 725,189,138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8"/>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18"/>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2017 and December 31, 2016</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8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2017 and 2016</w:t>
              </w:r>
            </w:hyperlink>
          </w:p>
        </w:tc>
        <w:tc>
          <w:tcPr>
            <w:tcW w:w="16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500" w:type="dxa"/>
            <w:vAlign w:val="bottom"/>
            <w:tcBorders>
              <w:bottom w:val="single" w:sz="8" w:color="0000EE"/>
            </w:tcBorders>
            <w:gridSpan w:val="3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2017 and 2016</w:t>
              </w:r>
            </w:hyperlink>
          </w:p>
        </w:tc>
        <w:tc>
          <w:tcPr>
            <w:tcW w:w="7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36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nine</w:t>
              </w:r>
            </w:hyperlink>
          </w:p>
        </w:tc>
        <w:tc>
          <w:tcPr>
            <w:tcW w:w="1860" w:type="dxa"/>
            <w:vAlign w:val="bottom"/>
            <w:gridSpan w:val="5"/>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months ended September 30, 2017 and 2016</w:t>
              </w:r>
            </w:hyperlink>
          </w:p>
        </w:tc>
        <w:tc>
          <w:tcPr>
            <w:tcW w:w="6860" w:type="dxa"/>
            <w:vAlign w:val="bottom"/>
            <w:gridSpan w:val="16"/>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792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2017 and 2016</w:t>
              </w:r>
            </w:hyperlink>
          </w:p>
        </w:tc>
        <w:tc>
          <w:tcPr>
            <w:tcW w:w="230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Partners’ Capital: For the nine months ended September 30, 2017 and 2016</w:t>
              </w:r>
            </w:hyperlink>
          </w:p>
        </w:tc>
        <w:tc>
          <w:tcPr>
            <w:tcW w:w="108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92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660" w:type="dxa"/>
            <w:vAlign w:val="bottom"/>
            <w:gridSpan w:val="1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2680" w:type="dxa"/>
            <w:vAlign w:val="bottom"/>
            <w:gridSpan w:val="15"/>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Recent Accounting Pronouncements</w:t>
              </w:r>
            </w:hyperlink>
          </w:p>
        </w:tc>
        <w:tc>
          <w:tcPr>
            <w:tcW w:w="718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9860" w:type="dxa"/>
            <w:vAlign w:val="bottom"/>
            <w:gridSpan w:val="32"/>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Net Income/(Loss) Per Common Unit</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4.</w:t>
              </w:r>
            </w:hyperlink>
          </w:p>
        </w:tc>
        <w:tc>
          <w:tcPr>
            <w:tcW w:w="2680" w:type="dxa"/>
            <w:vAlign w:val="bottom"/>
            <w:gridSpan w:val="15"/>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Accounts Receivable, Net</w:t>
              </w:r>
            </w:hyperlink>
          </w:p>
        </w:tc>
        <w:tc>
          <w:tcPr>
            <w:tcW w:w="718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5.</w:t>
              </w:r>
            </w:hyperlink>
          </w:p>
        </w:tc>
        <w:tc>
          <w:tcPr>
            <w:tcW w:w="4240" w:type="dxa"/>
            <w:vAlign w:val="bottom"/>
            <w:gridSpan w:val="21"/>
          </w:tcPr>
          <w:p>
            <w:pPr>
              <w:ind w:left="20"/>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Inventory, Linefill and Base Gas and Long-term Inventory</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6.</w:t>
              </w:r>
            </w:hyperlink>
          </w:p>
        </w:tc>
        <w:tc>
          <w:tcPr>
            <w:tcW w:w="4240" w:type="dxa"/>
            <w:vAlign w:val="bottom"/>
            <w:gridSpan w:val="21"/>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Acquisitions and Dispositions</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7.</w:t>
              </w:r>
            </w:hyperlink>
          </w:p>
        </w:tc>
        <w:tc>
          <w:tcPr>
            <w:tcW w:w="2180" w:type="dxa"/>
            <w:vAlign w:val="bottom"/>
            <w:gridSpan w:val="11"/>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Goodwill</w:t>
              </w:r>
            </w:hyperlink>
          </w:p>
        </w:tc>
        <w:tc>
          <w:tcPr>
            <w:tcW w:w="7680" w:type="dxa"/>
            <w:vAlign w:val="bottom"/>
            <w:gridSpan w:val="2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9160" w:type="dxa"/>
            <w:vAlign w:val="bottom"/>
            <w:gridSpan w:val="2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9.</w:t>
              </w:r>
            </w:hyperlink>
          </w:p>
        </w:tc>
        <w:tc>
          <w:tcPr>
            <w:tcW w:w="2500" w:type="dxa"/>
            <w:vAlign w:val="bottom"/>
            <w:gridSpan w:val="13"/>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Partners’ Capital and Distributions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19"/>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10. Derivatives and Risk Management Activities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11. Related Party Transactions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12. Commitments and Contingencies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13. Operating Segments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360" w:type="dxa"/>
            <w:vAlign w:val="bottom"/>
            <w:gridSpan w:val="3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8"/>
          </w:tcPr>
          <w:p>
            <w:pPr>
              <w:spacing w:after="0"/>
              <w:rPr>
                <w:rFonts w:ascii="Arial" w:cs="Arial" w:eastAsia="Arial" w:hAnsi="Arial"/>
                <w:sz w:val="18"/>
                <w:szCs w:val="18"/>
                <w:color w:val="0000EE"/>
                <w:w w:val="97"/>
              </w:rPr>
            </w:pPr>
            <w:hyperlink w:anchor="page63">
              <w:r>
                <w:rPr>
                  <w:rFonts w:ascii="Arial" w:cs="Arial" w:eastAsia="Arial" w:hAnsi="Arial"/>
                  <w:sz w:val="18"/>
                  <w:szCs w:val="18"/>
                  <w:color w:val="0000EE"/>
                  <w:w w:val="97"/>
                </w:rPr>
                <w:t>Item 3. QUANTITATIVE AND QUALITATIVE DISCLOSURES ABOUT MARKET RISK</w:t>
              </w:r>
            </w:hyperlink>
          </w:p>
        </w:tc>
        <w:tc>
          <w:tcPr>
            <w:tcW w:w="276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19"/>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Item 4. CONTROLS AND PROCEDURES</w:t>
              </w:r>
            </w:hyperlink>
          </w:p>
        </w:tc>
        <w:tc>
          <w:tcPr>
            <w:tcW w:w="3520" w:type="dxa"/>
            <w:vAlign w:val="bottom"/>
            <w:gridSpan w:val="9"/>
          </w:tcPr>
          <w:p>
            <w:pPr>
              <w:spacing w:after="0"/>
              <w:rPr>
                <w:sz w:val="21"/>
                <w:szCs w:val="21"/>
                <w:color w:val="auto"/>
              </w:rPr>
            </w:pPr>
          </w:p>
        </w:tc>
        <w:tc>
          <w:tcPr>
            <w:tcW w:w="366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520"/>
        </w:trPr>
        <w:tc>
          <w:tcPr>
            <w:tcW w:w="276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3"/>
          </w:tcPr>
          <w:p>
            <w:pPr>
              <w:spacing w:after="0"/>
              <w:rPr>
                <w:sz w:val="24"/>
                <w:szCs w:val="24"/>
                <w:color w:val="auto"/>
              </w:rPr>
            </w:pPr>
          </w:p>
        </w:tc>
        <w:tc>
          <w:tcPr>
            <w:tcW w:w="7180" w:type="dxa"/>
            <w:vAlign w:val="bottom"/>
            <w:gridSpan w:val="17"/>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1. 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1A. RISK FACTORS</w:t>
              </w:r>
            </w:hyperlink>
          </w:p>
        </w:tc>
        <w:tc>
          <w:tcPr>
            <w:tcW w:w="7940" w:type="dxa"/>
            <w:vAlign w:val="bottom"/>
            <w:gridSpan w:val="2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2. 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1"/>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Item 3. DEFAULTS UPON SENIOR SECURITIES</w:t>
              </w:r>
            </w:hyperlink>
          </w:p>
        </w:tc>
        <w:tc>
          <w:tcPr>
            <w:tcW w:w="2880" w:type="dxa"/>
            <w:vAlign w:val="bottom"/>
            <w:gridSpan w:val="6"/>
          </w:tcPr>
          <w:p>
            <w:pPr>
              <w:spacing w:after="0"/>
              <w:rPr>
                <w:sz w:val="21"/>
                <w:szCs w:val="21"/>
                <w:color w:val="auto"/>
              </w:rPr>
            </w:pPr>
          </w:p>
        </w:tc>
        <w:tc>
          <w:tcPr>
            <w:tcW w:w="37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6620" w:type="dxa"/>
            <w:vAlign w:val="bottom"/>
            <w:gridSpan w:val="1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7"/>
          </w:tcPr>
          <w:p>
            <w:pPr>
              <w:spacing w:after="0"/>
              <w:rPr>
                <w:rFonts w:ascii="Arial" w:cs="Arial" w:eastAsia="Arial" w:hAnsi="Arial"/>
                <w:sz w:val="18"/>
                <w:szCs w:val="18"/>
                <w:color w:val="0000EE"/>
                <w:w w:val="94"/>
              </w:rPr>
            </w:pPr>
            <w:hyperlink w:anchor="page66">
              <w:r>
                <w:rPr>
                  <w:rFonts w:ascii="Arial" w:cs="Arial" w:eastAsia="Arial" w:hAnsi="Arial"/>
                  <w:sz w:val="18"/>
                  <w:szCs w:val="18"/>
                  <w:color w:val="0000EE"/>
                  <w:w w:val="94"/>
                </w:rPr>
                <w:t>Item 4. MINE SAFETY DISCLOSURES</w:t>
              </w:r>
            </w:hyperlink>
          </w:p>
        </w:tc>
        <w:tc>
          <w:tcPr>
            <w:tcW w:w="740" w:type="dxa"/>
            <w:vAlign w:val="bottom"/>
            <w:gridSpan w:val="4"/>
          </w:tcPr>
          <w:p>
            <w:pPr>
              <w:spacing w:after="0"/>
              <w:rPr>
                <w:sz w:val="21"/>
                <w:szCs w:val="21"/>
                <w:color w:val="auto"/>
              </w:rPr>
            </w:pPr>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360" w:type="dxa"/>
            <w:vAlign w:val="bottom"/>
            <w:gridSpan w:val="19"/>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920" w:type="dxa"/>
            <w:vAlign w:val="bottom"/>
            <w:gridSpan w:val="2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6. EXHIBITS</w:t>
              </w:r>
            </w:hyperlink>
          </w:p>
        </w:tc>
        <w:tc>
          <w:tcPr>
            <w:tcW w:w="7920" w:type="dxa"/>
            <w:vAlign w:val="bottom"/>
            <w:gridSpan w:val="2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0" w:type="dxa"/>
            <w:vAlign w:val="bottom"/>
            <w:gridSpan w:val="2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9000" w:type="dxa"/>
            <w:vAlign w:val="bottom"/>
            <w:gridSpan w:val="2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0"/>
          </w:tcPr>
          <w:p>
            <w:pPr>
              <w:jc w:val="right"/>
              <w:ind w:right="6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16,866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16,220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14,269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25,483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11,187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PARTNERS’ CAPITAL</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unitholders (68,329,949 and 64,388,853 units outstanding, respectively)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Common unitholders (725,189,138 and 669,194,419 units outstanding, respectively)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 excluding noncontrolling interests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10,223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10,280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25,483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47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476"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5,573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17,749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13,344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14,231</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12,000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5,829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17,726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13,454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777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0"/>
              </w:rPr>
              <w:t>Interest expense (net of capitalized interest of $11, $11, $26 and $37, respectively)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318"/>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income tax benefit/(expense)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318"/>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 PER COMMON UNIT (NOTE 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30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net income/(loss)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311"/>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Diluted net income/(loss)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4"/>
              </w:rPr>
              <w:t>(unaudited)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840" w:type="dxa"/>
            <w:vAlign w:val="bottom"/>
          </w:tcPr>
          <w:p>
            <w:pPr>
              <w:spacing w:after="0"/>
              <w:rPr>
                <w:sz w:val="21"/>
                <w:szCs w:val="21"/>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w w:val="99"/>
              </w:rPr>
              <w:t>145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PAA</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599</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20" w:type="dxa"/>
            <w:vAlign w:val="bottom"/>
          </w:tcPr>
          <w:p>
            <w:pPr>
              <w:spacing w:after="0"/>
              <w:rPr>
                <w:sz w:val="14"/>
                <w:szCs w:val="14"/>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Instruments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Derivative</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Instruments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r>
      <w:tr>
        <w:trPr>
          <w:trHeight w:val="264"/>
        </w:trPr>
        <w:tc>
          <w:tcPr>
            <w:tcW w:w="83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(1,282)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for sales of linefill and base gas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investing activities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(1,963)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64"/>
        </w:trPr>
        <w:tc>
          <w:tcPr>
            <w:tcW w:w="83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repayments under commercial paper program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senior secured hedged inventory facility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senior notes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Series A preferred units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the sale of common units (Note 9)</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from general partner</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common unitholders (Note 9)</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(1,168)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general partner</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64"/>
        </w:trPr>
        <w:tc>
          <w:tcPr>
            <w:tcW w:w="83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8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increase/(decrease) in cash and cash equivalents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3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9"/>
              </w:rPr>
              <w:t>Limited Partners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Capital</w:t>
            </w: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89"/>
              </w:rPr>
              <w:t>Series A</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4"/>
            <w:vMerge w:val="restart"/>
          </w:tcPr>
          <w:p>
            <w:pPr>
              <w:jc w:val="center"/>
              <w:ind w:right="70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Excluding</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left="179"/>
              <w:spacing w:after="0" w:line="149" w:lineRule="exact"/>
              <w:rPr>
                <w:sz w:val="20"/>
                <w:szCs w:val="20"/>
                <w:color w:val="auto"/>
              </w:rPr>
            </w:pPr>
            <w:r>
              <w:rPr>
                <w:rFonts w:ascii="Arial" w:cs="Arial" w:eastAsia="Arial" w:hAnsi="Arial"/>
                <w:sz w:val="14"/>
                <w:szCs w:val="14"/>
                <w:b w:val="1"/>
                <w:bCs w:val="1"/>
                <w:color w:val="auto"/>
                <w:w w:val="93"/>
              </w:rPr>
              <w:t>Preferred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4"/>
                <w:szCs w:val="14"/>
                <w:b w:val="1"/>
                <w:bCs w:val="1"/>
                <w:color w:val="auto"/>
                <w:w w:val="95"/>
              </w:rPr>
              <w:t>Unitholders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w w:val="88"/>
              </w:rPr>
              <w:t>1,508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Sales of common units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Acquisition of interest in Advantage Joint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Venture (Note 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18"/>
                <w:szCs w:val="18"/>
                <w:color w:val="auto"/>
                <w:w w:val="88"/>
              </w:rPr>
              <w:t>1,506</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10,223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10,280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Limited Partners</w:t>
            </w: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Partners’ Capital</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Series A</w:t>
            </w:r>
          </w:p>
        </w:tc>
        <w:tc>
          <w:tcPr>
            <w:tcW w:w="80" w:type="dxa"/>
            <w:vAlign w:val="bottom"/>
          </w:tcPr>
          <w:p>
            <w:pPr>
              <w:spacing w:after="0"/>
              <w:rPr>
                <w:sz w:val="13"/>
                <w:szCs w:val="13"/>
                <w:color w:val="auto"/>
              </w:rPr>
            </w:pPr>
          </w:p>
        </w:tc>
        <w:tc>
          <w:tcPr>
            <w:tcW w:w="112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Excluding</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3"/>
                <w:szCs w:val="13"/>
                <w:color w:val="auto"/>
              </w:rPr>
            </w:pPr>
          </w:p>
        </w:tc>
        <w:tc>
          <w:tcPr>
            <w:tcW w:w="94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Unitholders</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Unitholders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ind w:left="8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7,580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7,881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Sale of Series A preferred units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1,509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1,508</w:t>
            </w:r>
          </w:p>
        </w:tc>
        <w:tc>
          <w:tcPr>
            <w:tcW w:w="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7,240</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9,016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4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7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non-economic general partner interest is held by PAA GP LLC (“PAA GP”), a Delaware limited liability company, whose sole member is Plains AAP, L.P. (“AAP”), a Delaware limited partnership. In addition to its ownership of PAA GP, as of September 30, 2017, AAP also owned an approximate 36% limited partner interest in us represented by approximately 286.8 million of our common units. Plains All American GP LLC (“GP LLC”), a Delaware limited liability company, is AAP’s general partner. Plains GP Holdings, L.P. (“PAGP”) is the sole and managing member of GP LLC, and, at September 30, 2017, owned, directly and indirectly, an approximate 54% limited partner interest in AAP. PAA GP Holdings LLC (“PAGP GP”) is the general partner of PAGP.</w:t>
      </w:r>
    </w:p>
    <w:p>
      <w:pPr>
        <w:spacing w:after="0" w:line="15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(“PMC”).</w:t>
      </w:r>
    </w:p>
    <w:p>
      <w:pPr>
        <w:spacing w:after="0" w:line="16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81" w:lineRule="exact"/>
        <w:rPr>
          <w:sz w:val="20"/>
          <w:szCs w:val="20"/>
          <w:color w:val="auto"/>
        </w:rPr>
      </w:pPr>
    </w:p>
    <w:p>
      <w:pPr>
        <w:jc w:val="both"/>
        <w:ind w:left="660" w:right="2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permanent elimination of our incentive distribution rights (“IDRs”) and the economic rights associated with our 2% general partner interest in exchange for the issuance by us to AAP of 245.5 million PAA common units (including approximately 0.8 million units to be issued in the future) and the assumption by us of all of AAP’s outstanding debt ($642 million);</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PAGP GP assumed oversight responsibility over both us and PAGP;</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 for annual PAGP shareholder meetings beginning in 2018 for the purpose of electing certain directors with expiring terms in 2018, and the participation of our common unitholders and Series A preferred unitholders in such elections through our ownership of newly issued Class C shares in PAGP, which provide us, as the sole holder of such Class C shares, the right to vote in elections of eligible PAGP directors together with the holders of PAGP Class A and Class B shares;</w:t>
      </w:r>
    </w:p>
    <w:p>
      <w:pPr>
        <w:spacing w:after="0" w:line="186"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execution by AAP of a reverse split to adjust the number of AAP Class A units (“AAP units”) such that the number of outstanding AAP units (assuming the conversion of AAP Class B units (the “AAP Management Units”) into AAP units) equaled the number of our common units received by AAP at the closing of the Simplification Transactions. Simultaneously, PAGP executed a reverse split to adjust the number of PAGP Class A and Class B shares outstanding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04" w:lineRule="auto"/>
        <w:rPr>
          <w:sz w:val="20"/>
          <w:szCs w:val="20"/>
          <w:color w:val="auto"/>
        </w:rPr>
      </w:pPr>
      <w:r>
        <w:rPr>
          <w:rFonts w:ascii="Arial" w:cs="Arial" w:eastAsia="Arial" w:hAnsi="Arial"/>
          <w:sz w:val="18"/>
          <w:szCs w:val="18"/>
          <w:color w:val="auto"/>
        </w:rPr>
        <w:t>to equal the number of AAP units it owns following AAP’s reverse unit split. These reverse splits, along with the Omnibus Agreement, resulted in economic alignment between our common unitholders and PAGP’s Class A shareholders, such that the number of outstanding PAGP Class A shares equals the number of AAP units owned by PAGP, which in turn equals the number of our common units held by AAP that are attributable to PAGP’s interest in AAP. The Plains Entities also entered into an Omnibus Agreement, pursuant to which such one-to-one relationship will be maintained subsequent to the closing of the Simplification Transactions; and</w:t>
      </w:r>
    </w:p>
    <w:p>
      <w:pPr>
        <w:spacing w:after="0" w:line="161"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creation of a right for certain holders of the AAP units to cause AAP to redeem such AAP units in exchange for an equal number of our common units held by 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Simplification Transactions were between and among consolidated subsidiaries of PAGP that are considered entities under common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equity transactions did not result in a change in the carrying value of the underlying assets and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DERs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2016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2016 was derived from audited financial</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statements, but does not include all disclosures required by GAAP. The results of operations for the three and nine months ended September 30, 2017 should not be taken as indicative of results to be expected for the entire year.</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Except as discussed below and in our 2016 Annual Report on Form 10-K, there have been no new accounting pronouncements that have become effective or have been issued during the nine months ended September 30, 2017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right="600" w:firstLine="648"/>
        <w:spacing w:after="0" w:line="258"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simplified several aspects of the accounting for share-based payment</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transactions, including the income tax consequences, forfeitures, classification of awards as either equity or liabilities and classification of certain related payments on the statement of cash flows. This guidance was effective for interim and annual periods beginning after December 15, 2016, with early adoption permitted. We adopted the applicable provisions of the ASU on January 1, 2017 and (i) elected to account for forfeitures as they occur, utilizing the modified retrospective approach of adoption, and (ii) will classify cash paid for taxes when directly withholding units from an employee’s award for tax-withholding purposes as a financing activity on our Condensed Consolidated Statement of Cash Flows. Our adoption did not have a material impact on our financial position or results of operations for the periods presented. We reclassified approximately $6 million of cash outflows from operating activities to financing activities for the nine months ended September 30, 2016 related to cash paid for minimum statutory withholding requirements for which we withheld units from employees’ awards.</w:t>
      </w:r>
    </w:p>
    <w:p>
      <w:pPr>
        <w:spacing w:after="0" w:line="19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amendments within this ASU eliminate Step 2 from the goodwill impairment test, which currently requires an entity to determine goodwill impairment by calculating the implied fair value of goodwill by hypothetically assigning the fair value of a reporting unit to all of its assets and liabilities as if that reporting unit had been acquired in a business combination. Under the amended standard, goodwill impairment will instead be measured using Step 1 of the goodwill impairment test with goodwill impairment being equal to the amount by which a reporting unit’s carrying value exceeds its fair value, not to exceed the carrying value of goodwill. This guidance is effective for interim and annual periods beginning after December 15, 2019, with early adoption permitted. We early adopted this ASU in the first quarter of 2017 and applied the amendments therein to our 2017 annual goodwill impairment test.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During the Period</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improves the guidance for determining whether a transaction involves the purchase or disposal of a business or an asset. This guidance is effective for interim and annual periods beginning after December 15, 2017, with early adoption permitted, and prospective application required. We plan to adopt this guidance on January 1, 2018 and will apply the new guidance to applicable transactions occurring after that date.</w:t>
      </w:r>
    </w:p>
    <w:p>
      <w:pPr>
        <w:spacing w:after="0" w:line="17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 xml:space="preserve">Other Income — Gains and Losses from the Derecognition of Nonfinancial Assets (Subtopic 610-20): Clarifying the Scope of Asset Derecognition Guidance and Accounting for Partial Sales of Nonfinancial Assets. </w:t>
      </w:r>
      <w:r>
        <w:rPr>
          <w:rFonts w:ascii="Arial" w:cs="Arial" w:eastAsia="Arial" w:hAnsi="Arial"/>
          <w:sz w:val="16"/>
          <w:szCs w:val="16"/>
          <w:color w:val="auto"/>
        </w:rPr>
        <w:t>The update includes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clarifications: (i) nonfinancial assets within the scope of Subtopic 610-20 may include nonfinancial assets transferred within a legal entity to a counterparty,</w:t>
      </w:r>
    </w:p>
    <w:p>
      <w:pPr>
        <w:ind w:right="60" w:firstLine="8"/>
        <w:spacing w:after="0" w:line="281"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entity should allocate consideration to each distinct asset by applying the guidance in Topic 606 on allocating the transaction price to performance obligations and (iii) requires entities to derecognize a distinct nonfinancial asset or distinct in substance nonfinancial asset in a partial sale transaction when it</w:t>
      </w:r>
    </w:p>
    <w:p>
      <w:pPr>
        <w:spacing w:after="0" w:line="1"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(1) does not have (or ceases to have) a controlling financial interest in the legal entity that holds the asset in accordance with Subtopic 810-10 and (2) transfers control of the asset in accordance with Topic 606. This guidance is effective for interim and annual periods beginning after December 15, 2017, and must be adopted at the same time as Topic 606. We will adopt this guidance on January 1, 2018 and are currently evaluating the impact of the adoption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xml:space="preserve"> to provide guidance about which changes to the terms or conditions of a share-based payment award require an entity to apply modification accounting. Under the new guidance, modification accounting is required only if the fair value (or calculated value or intrinsic value, if such alternative method is used), the vesting conditions, or the classification of the award (equity or liability) changes as a result of the change in terms or conditions. This guidance is effective for interim and annual periods beginning after December 15, 2017, with early adoption permitted, and prospective application required. We expect to adopt this guidance on January 1, 2018, and we do not currently anticipate that our adoption will have a material impact on our financial position, results of operations and cash flows.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to better align an entity’s risk management activities and financial reporting for hedging relationships through changes to both the designation and measurement guidance for qualifying hedging relationships and the presentation of hedge results. Under the new guidance, (i) more financial and nonfinancial hedging strategies will be eligible for hedge accounting, (ii) presentation and disclosure requirements are amended and (iii) companies will change the way they assess effectiveness. This guidance is effective for interim and annual periods beginning after December 15, 2018, with early adoption permitted. We expect to adopt this guidance on January 1, 2019 and are currently evaluating the impact of the adoption on our financial position,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Standards Updates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with the underlying principle that an entity will recognize revenue to reflect amounts expected to be received in exchange for the provision of goods and services to customers upon the transfer of those goods or services. This ASU also requires additional disclosures. This ASU can be adopted either with a full retrospective approach or a modified retrospective approach with a cumulative-effect adjustment as of the date of adoption and is effective for interim and annual periods beginning after December 15, 2017. We implemented a process to evaluate the impact of adopting this ASU on each type of revenue contract entered into with customers and our implementation team is in the process of determining appropriate changes to our business processes, systems and controls to support recognition and disclosure under the new standard. We have not identified any significant revenue recognition timing differences for types of revenue streams assessed to date; however, our evaluation is not complete. In addition, we are assessing the impact of changes to disclosures and expect an increase in disclosures about the nature, amount, timing and uncertainty of revenue and the related cash flows. We will adopt this guidance on January 1, 2018, and currently anticipate that we will apply the modified retrospective approach.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Income/(Loss) Per Common Unit</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calculate basic and diluted net income/(loss) per common unit by dividing net income attributable to PAA (after deducting amounts allocated to the preferred unitholders and participating securities, and for periods prior to the closing of the Simplification Transactions, the 2% general partner’s interest and IDRs) by the basic and diluted weighted-average number of common units outstanding during the period. Participating securities include LTIP awards that have vested DERs, which entitle the grantee to a cash payment equal to the cash distribution paid on our outstanding common units.</w:t>
      </w:r>
    </w:p>
    <w:p>
      <w:pPr>
        <w:spacing w:after="0" w:line="154"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Diluted net income/(loss) per common unit is computed based on the weighted-average number of common units plus the effect of potentially dilutive securities outstanding during the period, which include (i) our Series A preferred units, (ii) our LTIP awards and (iii) common units that are issuable to AAP when certain AAP Management Units become earned. When applying the if-converted method prescribed by FASB guidance, the possible conversion of our Series A preferred units was excluded from the calculation of diluted net income/(loss) per common unit for the three and nine months ended September 30, 2017 and 2016 as the effect was antidilutive. Our LTIP awards that contemplate the issuance of common units and certain AAP Management Units that contemplate the issuance of common units to AAP when such AAP Management Units become earned are considered dilutive unless</w:t>
      </w:r>
    </w:p>
    <w:p>
      <w:pPr>
        <w:spacing w:after="0" w:line="5" w:lineRule="exact"/>
        <w:rPr>
          <w:sz w:val="20"/>
          <w:szCs w:val="20"/>
          <w:color w:val="auto"/>
        </w:rPr>
      </w:pPr>
    </w:p>
    <w:p>
      <w:pPr>
        <w:ind w:firstLine="8"/>
        <w:spacing w:after="0" w:line="269"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they become vested or earned only upon the satisfaction of a performance condition and (ii) that performance condition has yet to be satisfied. LTIP awards that were deemed to be dilutive were reduced by a hypothetical common unit repurchase based on the remaining unamortized fair value, as prescribed by the treasury stock method in guidance issued by the FASB. LTIP awards were excluded from the computation of diluted net loss per common unit for the three months ended September 30, 2017 as the effect was antidilutive. As none of the necessary conditions for the remaining AAP Management Units to become earned had been satisfied by September 30, 2017, no common units issuable to AAP were contemplated in the calculation of diluted net income/(loss) per common unit for any period presented. See Note 16 to our Consolidated Financial Statements included in Part IV of our 2016 Annual Report on Form 10-K for a complete discussion of our LTIP awards including specific discussion regarding 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income/(loss) per common unit (in millions, except per unit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Income/(Loss) per Common Unit</w:t>
            </w: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Distributions to Series A preferred unitholders </w:t>
            </w:r>
            <w:r>
              <w:rPr>
                <w:rFonts w:ascii="Arial" w:cs="Arial" w:eastAsia="Arial" w:hAnsi="Arial"/>
                <w:sz w:val="25"/>
                <w:szCs w:val="25"/>
                <w:color w:val="auto"/>
                <w:vertAlign w:val="superscript"/>
              </w:rPr>
              <w:t>(1)</w:t>
            </w: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606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5"/>
                <w:szCs w:val="25"/>
                <w:color w:val="auto"/>
                <w:vertAlign w:val="superscript"/>
              </w:rPr>
              <w:t>(1)</w:t>
            </w: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06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income/(loss) allocated to common unitholders</w:t>
            </w:r>
          </w:p>
        </w:tc>
        <w:tc>
          <w:tcPr>
            <w:tcW w:w="7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r>
      <w:tr>
        <w:trPr>
          <w:trHeight w:val="284"/>
        </w:trPr>
        <w:tc>
          <w:tcPr>
            <w:tcW w:w="6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399</w:t>
            </w:r>
          </w:p>
        </w:tc>
      </w:tr>
      <w:tr>
        <w:trPr>
          <w:trHeight w:val="27"/>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7"/>
        </w:trPr>
        <w:tc>
          <w:tcPr>
            <w:tcW w:w="6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304"/>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 net income/(loss) per common unit</w:t>
            </w:r>
          </w:p>
        </w:tc>
        <w:tc>
          <w:tcPr>
            <w:tcW w:w="78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(0.01)</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0.40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284"/>
        </w:trPr>
        <w:tc>
          <w:tcPr>
            <w:tcW w:w="6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Diluted Net Income/(Loss) per Common Unit</w:t>
            </w: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PAA</w:t>
            </w: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r>
      <w:tr>
        <w:trPr>
          <w:trHeight w:val="270"/>
        </w:trPr>
        <w:tc>
          <w:tcPr>
            <w:tcW w:w="60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Distributions to Series A preferred unitholders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5"/>
                <w:szCs w:val="25"/>
                <w:color w:val="auto"/>
                <w:vertAlign w:val="superscript"/>
              </w:rPr>
              <w:t>(1)</w:t>
            </w:r>
          </w:p>
        </w:tc>
        <w:tc>
          <w:tcPr>
            <w:tcW w:w="7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70"/>
        </w:trPr>
        <w:tc>
          <w:tcPr>
            <w:tcW w:w="60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5"/>
                <w:szCs w:val="25"/>
                <w:color w:val="auto"/>
                <w:vertAlign w:val="superscript"/>
              </w:rPr>
              <w:t>(1)</w:t>
            </w:r>
          </w:p>
        </w:tc>
        <w:tc>
          <w:tcPr>
            <w:tcW w:w="7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income/(loss) allocated to common unitholders</w:t>
            </w: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LTIP units</w:t>
            </w:r>
          </w:p>
        </w:tc>
        <w:tc>
          <w:tcPr>
            <w:tcW w:w="7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97"/>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7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r>
      <w:tr>
        <w:trPr>
          <w:trHeight w:val="284"/>
        </w:trPr>
        <w:tc>
          <w:tcPr>
            <w:tcW w:w="6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6060" w:type="dxa"/>
            <w:vAlign w:val="bottom"/>
          </w:tcPr>
          <w:p>
            <w:pPr>
              <w:ind w:left="200"/>
              <w:spacing w:after="0"/>
              <w:rPr>
                <w:sz w:val="20"/>
                <w:szCs w:val="20"/>
                <w:color w:val="auto"/>
              </w:rPr>
            </w:pPr>
            <w:r>
              <w:rPr>
                <w:rFonts w:ascii="Arial" w:cs="Arial" w:eastAsia="Arial" w:hAnsi="Arial"/>
                <w:sz w:val="18"/>
                <w:szCs w:val="18"/>
                <w:color w:val="auto"/>
              </w:rPr>
              <w:t>Diluted net income/(loss) per common unit</w:t>
            </w:r>
          </w:p>
        </w:tc>
        <w:tc>
          <w:tcPr>
            <w:tcW w:w="78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(0.01)</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0.40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hanging="652"/>
        <w:spacing w:after="0" w:line="254"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Therefore, beginning with the distribution pertaining to the fourth quarter of 2016, our general partner is no longer entitled to receive distributions or allocations on such interests.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 Net</w:t>
      </w:r>
    </w:p>
    <w:p>
      <w:pPr>
        <w:spacing w:after="0" w:line="22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September 30, 2017 and December 31, 2016, we had received $120 million and $89 million, respectively, of advance cash payments from third parties to mitigate credit risk. We also received $60 million and $66 million as of September 30, 2017 and December 31, 2016,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net-cash settled arrangements.</w:t>
      </w:r>
    </w:p>
    <w:p>
      <w:pPr>
        <w:spacing w:after="0" w:line="17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2017 and December 31, 2016, substantially all of our trade accounts receivable (net of allowance for doubtful accounts) were less than 30 days past their scheduled invoice date. Our allowance for doubtful accounts receivable totaled $3 million at both September 30, 2017 and December 31, 2016. Although we consider our allowance for doubtful accounts receivable to be adequate, actual amounts could vary significantly from estimated amounts.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10,632</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45.15</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14,540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12,477</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28.83</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1,800</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47.78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2,120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23.11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$35 million during the nine months ended September 30, 2017 primarily related to the writedown of our crude oil inventory due to a decline in prices. Substantially all of this inventory valuation adjustment was offset by the recognition of gains on derivative instruments being utilized to hedge future sales of our crude oil inventory. Such gains were recorded to “Supply and Logistics segment revenues” in our accompanying Condensed Consolidated Statements of Operations. See Note 10 for discussion of our derivative and risk management activities. We recorded an inventory valuation adjustment of $3 million during the nine months ended September 30,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 Crude Connector Acquisition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February 14, 2017, we acquired all of the issued and outstanding membership interests in Alpha Holding Company, LLC for cash consideration of approximately $1.217 billion, subject to working capital and other adjustments (the “ACC Acquisition”).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 See Note 9 for additional information.</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the “Alpha Crude Connector” (the “ACC System”) located in the Northern Delaware Basin in Southeastern New Mexico and West Texas. The ACC System comprises approximately 515 miles of gathering and transmission lines and five market interconnects, including to our Basin Pipeline at Wink. We intend to make additional interconnects to our existing Northern Delaware Basin systems as well as additional enhancements intended to increase the ACC System capacity to approximately 350,000 barrels per day, depending on the level of volume at each delivery point. The ACC System is supported by acreage dedications covering approximately 315,000 gross acres, including a significant acreage dedication from one of the largest producers in the region. The ACC System complements our other Permian Basin assets and enhances the services available to the producers in the Northern Delaware Basin.</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determination of the acquisition-date fair value of the assets acquired and liabilities assumed is preliminary. We expect to finalize our fair value determination in 2017. The following table reflects the preliminary fair value determination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auto"/>
            </w:tcBorders>
            <w:vMerge w:val="continue"/>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360" w:type="dxa"/>
            <w:vAlign w:val="bottom"/>
            <w:tcBorders>
              <w:bottom w:val="single" w:sz="8" w:color="CCEEFF"/>
            </w:tcBorders>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360" w:type="dxa"/>
            <w:vAlign w:val="bottom"/>
            <w:gridSpan w:val="3"/>
          </w:tcPr>
          <w:p>
            <w:pPr>
              <w:jc w:val="right"/>
              <w:ind w:right="61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w w:val="96"/>
              </w:rPr>
              <w:t>Other assets and liabilities, net (including $4 million of cash acquired)</w:t>
            </w: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Intangible assets are included in “Other long-term assets, net” on our Condensed Consolidated Balance Sheets. The preliminary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$7 million for the period from February 14, 2017 through September 30, 2017, and the future amortization expense is estimated as follows for the next five years (in millions):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2017</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2018</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2020</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566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17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During the nine months ended September 30, 2017, we incurred approximately $6 million of acquisition-related costs associated with the ACC Acquisition. Such costs are reflected as a component of general and administrative expenses in our Condensed Consolidated Statements of Operations.</w:t>
      </w:r>
    </w:p>
    <w:p>
      <w:pPr>
        <w:spacing w:after="0" w:line="12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Pro forma financial information assuming the ACC Acquisition had occurred as of the beginning of the calendar year prior to the year of acquisition, as well as the revenues and earnings generated during the period since the acquisition date, were not material for disclosure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Acquisition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for a purchase price of $133 million through a newly formed 50/50 joint venture (the “Advantage Joint Venture”). For our 50% share ($66.5 million), we contributed approximately 1.3 million common units with a value of approximately $40 million and approximately $26 million in cash. We account for our interest in the Advantage Joint Venture under the equity method of accounting.</w:t>
      </w:r>
    </w:p>
    <w:p>
      <w:pPr>
        <w:spacing w:after="0" w:line="187"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Advantage owns a 70-mile, 16-inch crude oil pipeline located in the southern Delaware Basin (the “Advantage Pipeline”), which is contractually supported by a third-party acreage dedication and a volume commitment from our wholly-owned marketing subsidiary. Noble serves as operator of Advantage Pipeline. During the third quarter of 2017, Noble completed construction of a pipeline to deliver crude oil to the Advantage Pipeline from its central gathering facility in the southern Delaware Basin, and we completed construction of a pipeline to connect our Wolfbone Ranch facility to the Advantage Pipeline near Highway 285 in Reeves County, Texas.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Divestitures and Assets Held for Sale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During the nine months ended September 30, 2017, we received proceeds of approximately $407 million from the sale of certain non-core assets, including: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Bluewater natural gas storage facility located in Michigan;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non-core pipeline segments primarily located in the Midwestern United States; and</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40% undivided interest in a segment of our Red River Pipeline extending from Cushing, Oklahoma to the Hewitt Station near Ardmore, Oklahoma (the “Hewitt Segment”) for our net book value. We retained a 60% undivided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440"/>
        <w:spacing w:after="0" w:line="324" w:lineRule="auto"/>
        <w:rPr>
          <w:sz w:val="20"/>
          <w:szCs w:val="20"/>
          <w:color w:val="auto"/>
        </w:rPr>
      </w:pPr>
      <w:r>
        <w:rPr>
          <w:rFonts w:ascii="Arial" w:cs="Arial" w:eastAsia="Arial" w:hAnsi="Arial"/>
          <w:sz w:val="18"/>
          <w:szCs w:val="18"/>
          <w:color w:val="auto"/>
        </w:rPr>
        <w:t>interest in the Hewitt Segment and a 100% interest in the remaining portion of the Red River Pipeline that extends from Ardmore to Longview, Texas.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Bluewater natural gas storage facility was reported in our Facilities segment, and the pipeline segments were reported in our Transportation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21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September 30, 2017, we classified approximately $630 million of assets as held for sale on our Condensed Consolidated Balance Sheet (in “Other current assets”). The assets held for sale are primarily property and equipment, are included in our Facilities and Transportation segments and are related to transactions to sell our interests in:</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non-core pipelines in the Rocky Mountain and Bakken regions, which closed during the fourth quarter of 2017; and</w:t>
      </w:r>
    </w:p>
    <w:p>
      <w:pPr>
        <w:spacing w:after="0" w:line="117" w:lineRule="exact"/>
        <w:rPr>
          <w:rFonts w:ascii="Arial" w:cs="Arial" w:eastAsia="Arial" w:hAnsi="Arial"/>
          <w:sz w:val="18"/>
          <w:szCs w:val="18"/>
          <w:color w:val="auto"/>
        </w:rPr>
      </w:pPr>
    </w:p>
    <w:p>
      <w:pPr>
        <w:ind w:left="660" w:right="20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of our West Coast terminal assets located in California. During the third quarter of 2017, in order to avoid continued uncertainty and costs associated with efforts by the Attorney General for the State of California to block the proposed transaction, our previously disclosed definitive agreement for the potential sale of California terminal assets was jointly terminated by us and the potential third party purchaser. During the fourth quarter of 2017, we entered into definitive agreements to sell these assets to another third-party purchaser.</w:t>
      </w:r>
    </w:p>
    <w:p>
      <w:pPr>
        <w:spacing w:after="0" w:line="17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the aggregate, including non-cash impairment losses recognized upon reclassification to assets held for sale, we recognized net losses related to pending or completed asset sales of approximately $15 million and $15 million for the three and nine months ended September 30, 2017, respectively, which are included in “Depreciation and amortization” on our Condensed Consolidated Statements of Operations. For the three-month period, such amount is comprised of gains of $5 million and losses of $20 million. For the nine-month 2017 period, such amount is comprised of gains of $42 million, primarily related to the sale of the non-core pipeline segments, including the write-off of a portion of the remaining book value, and losses of $57 million.</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fourth quarter of 2017, we and an affiliate of CVR Refining, LP (“CVR Refining”) formed a 50/50 joint venture, Midway Pipeline LLC, which acquired from us the Cushing to Broome crude oil pipeline system. The Cushing to Broome pipeline system connects CVR Refining’s Coffeyville, Kansas refinery to the Cushing, Oklahoma oil hub. We will continue to serve as operator of the pipeline.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6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2,344</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271</w:t>
            </w: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2,598</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380" w:hanging="652"/>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8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completed our goodwill impairment test as of June 30, 2017 using a qualitative assessment. We determined that it was more likely than not that the fair value of each reporting unit was greater than its respective book value; therefore, additional impairment testing was not necessary and goodwill was not considered impaired.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8640" w:type="dxa"/>
        <w:tblCellMar>
          <w:top w:w="0" w:type="dxa"/>
          <w:left w:w="0" w:type="dxa"/>
          <w:bottom w:w="0" w:type="dxa"/>
          <w:right w:w="0" w:type="dxa"/>
        </w:tblCellMar>
      </w:tblPr>
      <w:tr>
        <w:trPr>
          <w:trHeight w:val="161"/>
        </w:trPr>
        <w:tc>
          <w:tcPr>
            <w:tcW w:w="1160" w:type="dxa"/>
            <w:vAlign w:val="bottom"/>
          </w:tcPr>
          <w:p>
            <w:pPr>
              <w:jc w:val="center"/>
              <w:ind w:right="208"/>
              <w:spacing w:after="0"/>
              <w:rPr>
                <w:sz w:val="20"/>
                <w:szCs w:val="20"/>
                <w:color w:val="auto"/>
              </w:rPr>
            </w:pPr>
            <w:r>
              <w:rPr>
                <w:rFonts w:ascii="Arial" w:cs="Arial" w:eastAsia="Arial" w:hAnsi="Arial"/>
                <w:sz w:val="14"/>
                <w:szCs w:val="14"/>
                <w:b w:val="1"/>
                <w:bCs w:val="1"/>
                <w:color w:val="auto"/>
                <w:w w:val="91"/>
              </w:rPr>
              <w:t>September 30,</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86"/>
        </w:trPr>
        <w:tc>
          <w:tcPr>
            <w:tcW w:w="116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Commercial paper notes, bearing a weighted-average interest rate of 2.4% and 1.6%, respectively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6" w:lineRule="exact"/>
        <w:rPr>
          <w:sz w:val="20"/>
          <w:szCs w:val="20"/>
          <w:color w:val="auto"/>
        </w:rPr>
      </w:pPr>
    </w:p>
    <w:p>
      <w:pPr>
        <w:ind w:left="200" w:right="340" w:hanging="161"/>
        <w:spacing w:after="0" w:line="241" w:lineRule="auto"/>
        <w:rPr>
          <w:sz w:val="20"/>
          <w:szCs w:val="20"/>
          <w:color w:val="auto"/>
        </w:rPr>
      </w:pPr>
      <w:r>
        <w:rPr>
          <w:rFonts w:ascii="Arial" w:cs="Arial" w:eastAsia="Arial" w:hAnsi="Arial"/>
          <w:sz w:val="18"/>
          <w:szCs w:val="18"/>
          <w:color w:val="auto"/>
        </w:rPr>
        <w:t xml:space="preserve">Senior secured hedged inventory facility, bearing a weighted-average interest rate of 2.3% and 1.8%, respectively </w:t>
      </w:r>
      <w:r>
        <w:rPr>
          <w:rFonts w:ascii="Arial" w:cs="Arial" w:eastAsia="Arial" w:hAnsi="Arial"/>
          <w:sz w:val="25"/>
          <w:szCs w:val="25"/>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6.13% senior notes due January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Senior notes, net of unamortized discounts and debt issuance costs of $69 and $76, respectively </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Commercial paper notes, bearing a weighted-average interest rate of 2.4% and 1.6%, respectively </w:t>
      </w:r>
      <w:r>
        <w:rPr>
          <w:rFonts w:ascii="Arial" w:cs="Arial" w:eastAsia="Arial" w:hAnsi="Arial"/>
          <w:sz w:val="22"/>
          <w:szCs w:val="22"/>
          <w:color w:val="auto"/>
          <w:vertAlign w:val="superscript"/>
        </w:rPr>
        <w:t>(3)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tabs>
          <w:tab w:leader="none" w:pos="1180" w:val="left"/>
          <w:tab w:leader="none" w:pos="1600" w:val="left"/>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w:t>
        <w:tab/>
        <w:t>$</w:t>
      </w:r>
      <w:r>
        <w:rPr>
          <w:sz w:val="20"/>
          <w:szCs w:val="20"/>
          <w:color w:val="auto"/>
        </w:rPr>
        <w:tab/>
      </w:r>
      <w:r>
        <w:rPr>
          <w:rFonts w:ascii="Arial" w:cs="Arial" w:eastAsia="Arial" w:hAnsi="Arial"/>
          <w:sz w:val="16"/>
          <w:szCs w:val="16"/>
          <w:color w:val="auto"/>
        </w:rPr>
        <w:t>563</w:t>
      </w:r>
    </w:p>
    <w:p>
      <w:pPr>
        <w:spacing w:after="0" w:line="279"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753</w:t>
      </w:r>
      <w:r>
        <w:rPr>
          <w:sz w:val="20"/>
          <w:szCs w:val="20"/>
          <w:color w:val="auto"/>
        </w:rPr>
        <w:tab/>
      </w:r>
      <w:r>
        <w:rPr>
          <w:rFonts w:ascii="Arial" w:cs="Arial" w:eastAsia="Arial" w:hAnsi="Arial"/>
          <w:sz w:val="18"/>
          <w:szCs w:val="18"/>
          <w:color w:val="auto"/>
        </w:rPr>
        <w:t>750</w:t>
      </w:r>
    </w:p>
    <w:p>
      <w:pPr>
        <w:spacing w:after="0" w:line="333" w:lineRule="exact"/>
        <w:rPr>
          <w:sz w:val="20"/>
          <w:szCs w:val="20"/>
          <w:color w:val="auto"/>
        </w:rPr>
      </w:pPr>
    </w:p>
    <w:p>
      <w:pPr>
        <w:jc w:val="both"/>
        <w:ind w:left="1200"/>
        <w:spacing w:after="0"/>
        <w:tabs>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400</w:t>
      </w:r>
    </w:p>
    <w:p>
      <w:pPr>
        <w:spacing w:after="0" w:line="63" w:lineRule="exact"/>
        <w:rPr>
          <w:sz w:val="20"/>
          <w:szCs w:val="20"/>
          <w:color w:val="auto"/>
        </w:rPr>
      </w:pPr>
    </w:p>
    <w:p>
      <w:pPr>
        <w:jc w:val="both"/>
        <w:ind w:left="1200"/>
        <w:spacing w:after="0"/>
        <w:tabs>
          <w:tab w:leader="none" w:pos="28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2</w:t>
      </w:r>
    </w:p>
    <w:p>
      <w:pPr>
        <w:spacing w:after="0" w:line="77" w:lineRule="exact"/>
        <w:rPr>
          <w:sz w:val="20"/>
          <w:szCs w:val="20"/>
          <w:color w:val="auto"/>
        </w:rPr>
      </w:pPr>
    </w:p>
    <w:p>
      <w:pPr>
        <w:jc w:val="both"/>
        <w:ind w:left="1100"/>
        <w:spacing w:after="0"/>
        <w:tabs>
          <w:tab w:leader="none" w:pos="2520" w:val="left"/>
        </w:tabs>
        <w:rPr>
          <w:sz w:val="20"/>
          <w:szCs w:val="20"/>
          <w:color w:val="auto"/>
        </w:rPr>
      </w:pPr>
      <w:r>
        <w:rPr>
          <w:rFonts w:ascii="Arial" w:cs="Arial" w:eastAsia="Arial" w:hAnsi="Arial"/>
          <w:sz w:val="18"/>
          <w:szCs w:val="18"/>
          <w:color w:val="auto"/>
        </w:rPr>
        <w:t>918</w:t>
      </w:r>
      <w:r>
        <w:rPr>
          <w:sz w:val="20"/>
          <w:szCs w:val="20"/>
          <w:color w:val="auto"/>
        </w:rPr>
        <w:tab/>
      </w:r>
      <w:r>
        <w:rPr>
          <w:rFonts w:ascii="Arial" w:cs="Arial" w:eastAsia="Arial" w:hAnsi="Arial"/>
          <w:sz w:val="18"/>
          <w:szCs w:val="18"/>
          <w:color w:val="auto"/>
        </w:rPr>
        <w:t>1,715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60"/>
        <w:spacing w:after="0"/>
        <w:tabs>
          <w:tab w:leader="none" w:pos="2520" w:val="left"/>
        </w:tabs>
        <w:rPr>
          <w:sz w:val="20"/>
          <w:szCs w:val="20"/>
          <w:color w:val="auto"/>
        </w:rPr>
      </w:pPr>
      <w:r>
        <w:rPr>
          <w:rFonts w:ascii="Arial" w:cs="Arial" w:eastAsia="Arial" w:hAnsi="Arial"/>
          <w:sz w:val="18"/>
          <w:szCs w:val="18"/>
          <w:color w:val="auto"/>
        </w:rPr>
        <w:t>9,881</w:t>
      </w:r>
      <w:r>
        <w:rPr>
          <w:sz w:val="20"/>
          <w:szCs w:val="20"/>
          <w:color w:val="auto"/>
        </w:rPr>
        <w:tab/>
      </w:r>
      <w:r>
        <w:rPr>
          <w:rFonts w:ascii="Arial" w:cs="Arial" w:eastAsia="Arial" w:hAnsi="Arial"/>
          <w:sz w:val="18"/>
          <w:szCs w:val="18"/>
          <w:color w:val="auto"/>
        </w:rPr>
        <w:t>9,874</w:t>
      </w:r>
    </w:p>
    <w:p>
      <w:pPr>
        <w:spacing w:after="0" w:line="63"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8"/>
          <w:szCs w:val="18"/>
          <w:color w:val="auto"/>
        </w:rPr>
        <w:t>247</w:t>
      </w:r>
    </w:p>
    <w:p>
      <w:pPr>
        <w:spacing w:after="0" w:line="63" w:lineRule="exact"/>
        <w:rPr>
          <w:sz w:val="20"/>
          <w:szCs w:val="20"/>
          <w:color w:val="auto"/>
        </w:rPr>
      </w:pPr>
    </w:p>
    <w:p>
      <w:pPr>
        <w:jc w:val="both"/>
        <w:ind w:left="1280"/>
        <w:spacing w:after="0"/>
        <w:tabs>
          <w:tab w:leader="none" w:pos="2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3</w:t>
      </w:r>
    </w:p>
    <w:p>
      <w:pPr>
        <w:spacing w:after="0" w:line="77" w:lineRule="exact"/>
        <w:rPr>
          <w:sz w:val="20"/>
          <w:szCs w:val="20"/>
          <w:color w:val="auto"/>
        </w:rPr>
      </w:pPr>
    </w:p>
    <w:p>
      <w:pPr>
        <w:jc w:val="both"/>
        <w:ind w:left="880"/>
        <w:spacing w:after="0"/>
        <w:tabs>
          <w:tab w:leader="none" w:pos="2440" w:val="left"/>
        </w:tabs>
        <w:rPr>
          <w:sz w:val="20"/>
          <w:szCs w:val="20"/>
          <w:color w:val="auto"/>
        </w:rPr>
      </w:pPr>
      <w:r>
        <w:rPr>
          <w:rFonts w:ascii="Arial" w:cs="Arial" w:eastAsia="Arial" w:hAnsi="Arial"/>
          <w:sz w:val="18"/>
          <w:szCs w:val="18"/>
          <w:color w:val="auto"/>
        </w:rPr>
        <w:t>10,489</w:t>
      </w:r>
      <w:r>
        <w:rPr>
          <w:sz w:val="20"/>
          <w:szCs w:val="20"/>
          <w:color w:val="auto"/>
        </w:rPr>
        <w:tab/>
      </w:r>
      <w:r>
        <w:rPr>
          <w:rFonts w:ascii="Arial" w:cs="Arial" w:eastAsia="Arial" w:hAnsi="Arial"/>
          <w:sz w:val="18"/>
          <w:szCs w:val="18"/>
          <w:color w:val="auto"/>
        </w:rPr>
        <w:t>10,124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spacing w:after="0"/>
        <w:tabs>
          <w:tab w:leader="none" w:pos="860" w:val="left"/>
          <w:tab w:leader="none" w:pos="160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11,407</w:t>
        <w:tab/>
        <w:t>$</w:t>
      </w:r>
      <w:r>
        <w:rPr>
          <w:sz w:val="20"/>
          <w:szCs w:val="20"/>
          <w:color w:val="auto"/>
        </w:rPr>
        <w:tab/>
      </w:r>
      <w:r>
        <w:rPr>
          <w:rFonts w:ascii="Arial" w:cs="Arial" w:eastAsia="Arial" w:hAnsi="Arial"/>
          <w:sz w:val="16"/>
          <w:szCs w:val="16"/>
          <w:color w:val="auto"/>
        </w:rPr>
        <w:t>11,839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p>
      <w:pPr>
        <w:spacing w:after="0" w:line="107" w:lineRule="exact"/>
        <w:rPr>
          <w:sz w:val="20"/>
          <w:szCs w:val="20"/>
          <w:color w:val="auto"/>
        </w:rPr>
      </w:pPr>
    </w:p>
    <w:p>
      <w:pPr>
        <w:ind w:left="660" w:right="160" w:hanging="652"/>
        <w:spacing w:after="0" w:line="22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We classified these commercial paper notes and credit facility borrowings as short-term as of September 30, 2017 and December 31, 2016,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360" w:hanging="652"/>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As of September 30, 2017 and December 31, 2016, balance includes borrowings of $194 million and $410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160" w:hanging="652"/>
        <w:spacing w:after="0" w:line="22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As of September 30, 2017, we have classified our $600 million, 6.50% senior notes due May 2018 as long-term and as of both September 30, 2017 and December 31, 2016, we have classified a portion of our commercial paper notes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hanging="652"/>
        <w:spacing w:after="0" w:line="254"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Our fixed-rate senior notes (including current maturities) had a face value of approximately $9.9 billion and $10.3 billion as of September 30, 2017 and December 31, 2016, respectively. We estimated the aggregate fair value of these notes as of September 30, 2017 and December 31, 2016 to be approximately $10.0 billion and $10.4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August 2017, we extended the maturity dates of our senior unsecured revolving credit facility, senior secured hedged inventory facility and senior unsecured 364-day revolving credit facility to August 2022, August 2020 and August 2018, respectively, for each extending lender. Additionally, a provision was added to the 364-day revolving credit facility agreement whereby we may elect to have the entire principal balance of any loans outstanding on the maturity date of the 364-day revolving credit facility converted into a non-revolving term loan with a maturity date of August 2019.</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nine months ended September 30, 2017 and 2016 were approximately $52.6 billion and $41.4 billion, respectively. Total repayments under our credit facilities and commercial paper program were approximately $52.7 billion and $41.6 billion for the nine months ended September 30, 2017 and 2016,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and construction activities. At September 30, 2017 and December 31, 2016, we had outstanding letters of credit of $95 million and $73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$400 million, 6.13% senior notes were repaid in January 2017. We utilized cash on hand and available capacity under our commercial paper program and credit facilities to repay these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Series A preferred units and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1033"/>
              <w:spacing w:after="0"/>
              <w:rPr>
                <w:sz w:val="20"/>
                <w:szCs w:val="20"/>
                <w:color w:val="auto"/>
              </w:rPr>
            </w:pPr>
            <w:r>
              <w:rPr>
                <w:rFonts w:ascii="Arial" w:cs="Arial" w:eastAsia="Arial" w:hAnsi="Arial"/>
                <w:sz w:val="14"/>
                <w:szCs w:val="14"/>
                <w:b w:val="1"/>
                <w:bCs w:val="1"/>
                <w:color w:val="auto"/>
              </w:rPr>
              <w:t>Limited Partners</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Preferred Units</w:t>
            </w:r>
          </w:p>
        </w:tc>
        <w:tc>
          <w:tcPr>
            <w:tcW w:w="1580" w:type="dxa"/>
            <w:vAlign w:val="bottom"/>
          </w:tcPr>
          <w:p>
            <w:pPr>
              <w:jc w:val="right"/>
              <w:ind w:right="233"/>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63"/>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6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64,388,853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669,194,419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Issuances of Series A preferred units in connection with in-kind distributions</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3,941,096</w:t>
            </w:r>
          </w:p>
        </w:tc>
        <w:tc>
          <w:tcPr>
            <w:tcW w:w="120" w:type="dxa"/>
            <w:vAlign w:val="bottom"/>
          </w:tcPr>
          <w:p>
            <w:pPr>
              <w:spacing w:after="0"/>
              <w:rPr>
                <w:sz w:val="20"/>
                <w:szCs w:val="20"/>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54,119,893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w w:val="96"/>
              </w:rPr>
              <w:t>Issuance of common units in connection with acquisition of interest in Advantage Joint Venture (Note 6)</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1,252,269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Issuances of common units under LTIP</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622,557</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at September 30, 2017</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68,329,949</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725,189,138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8120" w:type="dxa"/>
            <w:vAlign w:val="bottom"/>
          </w:tcPr>
          <w:p>
            <w:pPr>
              <w:spacing w:after="0"/>
              <w:rPr>
                <w:sz w:val="24"/>
                <w:szCs w:val="24"/>
                <w:color w:val="auto"/>
              </w:rPr>
            </w:pPr>
          </w:p>
        </w:tc>
        <w:tc>
          <w:tcPr>
            <w:tcW w:w="3300" w:type="dxa"/>
            <w:vAlign w:val="bottom"/>
            <w:tcBorders>
              <w:bottom w:val="single" w:sz="8" w:color="auto"/>
            </w:tcBorders>
            <w:gridSpan w:val="3"/>
          </w:tcPr>
          <w:p>
            <w:pPr>
              <w:jc w:val="right"/>
              <w:ind w:right="1033"/>
              <w:spacing w:after="0"/>
              <w:rPr>
                <w:sz w:val="20"/>
                <w:szCs w:val="20"/>
                <w:color w:val="auto"/>
              </w:rPr>
            </w:pPr>
            <w:r>
              <w:rPr>
                <w:rFonts w:ascii="Arial" w:cs="Arial" w:eastAsia="Arial" w:hAnsi="Arial"/>
                <w:sz w:val="14"/>
                <w:szCs w:val="14"/>
                <w:b w:val="1"/>
                <w:bCs w:val="1"/>
                <w:color w:val="auto"/>
              </w:rPr>
              <w:t>Limited Partners</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Preferred Units</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6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397,727,624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Sale of Series A preferred units</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61,030,127</w:t>
            </w:r>
          </w:p>
        </w:tc>
        <w:tc>
          <w:tcPr>
            <w:tcW w:w="120" w:type="dxa"/>
            <w:vAlign w:val="bottom"/>
          </w:tcPr>
          <w:p>
            <w:pPr>
              <w:spacing w:after="0"/>
              <w:rPr>
                <w:sz w:val="20"/>
                <w:szCs w:val="20"/>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Series A preferred units in connection with in-kind distribution</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2,096,204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Sales of common units</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9,922,733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units under LTIP</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457,289</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at September 30, 2016</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63,126,331</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408,107,646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18</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1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Units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our sales of common units during the nine months ended September 30, 2017, all of which occurred in the first four months of the year (net proceeds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2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Common Units Issued</w:t>
            </w:r>
          </w:p>
        </w:tc>
        <w:tc>
          <w:tcPr>
            <w:tcW w:w="5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8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2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4,033,567</w:t>
            </w:r>
          </w:p>
        </w:tc>
        <w:tc>
          <w:tcPr>
            <w:tcW w:w="118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0"/>
        </w:trPr>
        <w:tc>
          <w:tcPr>
            <w:tcW w:w="3820" w:type="dxa"/>
            <w:vAlign w:val="bottom"/>
            <w:tcBorders>
              <w:bottom w:val="single" w:sz="8" w:color="CCEEFF"/>
            </w:tcBorders>
            <w:gridSpan w:val="2"/>
            <w:vMerge w:val="continue"/>
            <w:shd w:val="clear" w:color="auto" w:fill="CCEEFF"/>
          </w:tcPr>
          <w:p>
            <w:pPr>
              <w:spacing w:after="0"/>
              <w:rPr>
                <w:sz w:val="9"/>
                <w:szCs w:val="9"/>
                <w:color w:val="auto"/>
              </w:rPr>
            </w:pPr>
          </w:p>
        </w:tc>
        <w:tc>
          <w:tcPr>
            <w:tcW w:w="3260" w:type="dxa"/>
            <w:vAlign w:val="bottom"/>
            <w:tcBorders>
              <w:bottom w:val="single" w:sz="8" w:color="CCEEFF"/>
            </w:tcBorders>
            <w:vMerge w:val="continue"/>
            <w:shd w:val="clear" w:color="auto" w:fill="CCEEFF"/>
          </w:tcPr>
          <w:p>
            <w:pPr>
              <w:spacing w:after="0"/>
              <w:rPr>
                <w:sz w:val="9"/>
                <w:szCs w:val="9"/>
                <w:color w:val="auto"/>
              </w:rPr>
            </w:pPr>
          </w:p>
        </w:tc>
        <w:tc>
          <w:tcPr>
            <w:tcW w:w="1180" w:type="dxa"/>
            <w:vAlign w:val="bottom"/>
            <w:tcBorders>
              <w:bottom w:val="single" w:sz="8" w:color="CCEEFF"/>
            </w:tcBorders>
            <w:gridSpan w:val="2"/>
            <w:vMerge w:val="continue"/>
            <w:shd w:val="clear" w:color="auto" w:fill="CCEEFF"/>
          </w:tcPr>
          <w:p>
            <w:pPr>
              <w:spacing w:after="0"/>
              <w:rPr>
                <w:sz w:val="9"/>
                <w:szCs w:val="9"/>
                <w:color w:val="auto"/>
              </w:rPr>
            </w:pPr>
          </w:p>
        </w:tc>
        <w:tc>
          <w:tcPr>
            <w:tcW w:w="2620" w:type="dxa"/>
            <w:vAlign w:val="bottom"/>
            <w:tcBorders>
              <w:bottom w:val="single" w:sz="8" w:color="CCEEFF"/>
            </w:tcBorders>
            <w:vMerge w:val="continue"/>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Omnibus Agreement </w:t>
            </w:r>
            <w:r>
              <w:rPr>
                <w:rFonts w:ascii="Arial" w:cs="Arial" w:eastAsia="Arial" w:hAnsi="Arial"/>
                <w:sz w:val="25"/>
                <w:szCs w:val="25"/>
                <w:color w:val="auto"/>
                <w:vertAlign w:val="superscript"/>
              </w:rPr>
              <w:t>(3)</w:t>
            </w:r>
          </w:p>
        </w:tc>
        <w:tc>
          <w:tcPr>
            <w:tcW w:w="3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50,086,326</w:t>
            </w:r>
          </w:p>
        </w:tc>
        <w:tc>
          <w:tcPr>
            <w:tcW w:w="540" w:type="dxa"/>
            <w:vAlign w:val="bottom"/>
            <w:tcBorders>
              <w:bottom w:val="single" w:sz="8" w:color="CCEEFF"/>
            </w:tcBorders>
          </w:tcPr>
          <w:p>
            <w:pPr>
              <w:jc w:val="right"/>
              <w:ind w:right="102"/>
              <w:spacing w:after="0"/>
              <w:rPr>
                <w:sz w:val="20"/>
                <w:szCs w:val="20"/>
                <w:color w:val="auto"/>
              </w:rPr>
            </w:pPr>
            <w:r>
              <w:rPr>
                <w:rFonts w:ascii="Arial" w:cs="Arial" w:eastAsia="Arial" w:hAnsi="Arial"/>
                <w:sz w:val="11"/>
                <w:szCs w:val="11"/>
                <w:color w:val="auto"/>
              </w:rPr>
              <w:t>(4)</w:t>
            </w:r>
          </w:p>
        </w:tc>
        <w:tc>
          <w:tcPr>
            <w:tcW w:w="6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1,535</w:t>
            </w:r>
          </w:p>
        </w:tc>
        <w:tc>
          <w:tcPr>
            <w:tcW w:w="5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54,119,893</w:t>
            </w:r>
          </w:p>
        </w:tc>
        <w:tc>
          <w:tcPr>
            <w:tcW w:w="11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2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1,664</w:t>
            </w: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80" w:hanging="652"/>
        <w:spacing w:after="0" w:line="214"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units issuances under our Continuous Offering Program. We paid $1 million of such commissions during the nine months ended September 30, 2017.</w:t>
      </w:r>
    </w:p>
    <w:p>
      <w:pPr>
        <w:spacing w:after="0" w:line="94" w:lineRule="exact"/>
        <w:rPr>
          <w:rFonts w:ascii="Arial" w:cs="Arial" w:eastAsia="Arial" w:hAnsi="Arial"/>
          <w:sz w:val="25"/>
          <w:szCs w:val="25"/>
          <w:color w:val="auto"/>
          <w:vertAlign w:val="superscript"/>
        </w:rPr>
      </w:pPr>
    </w:p>
    <w:p>
      <w:pPr>
        <w:ind w:left="660" w:right="60" w:hanging="652"/>
        <w:spacing w:after="0" w:line="250" w:lineRule="auto"/>
        <w:tabs>
          <w:tab w:leader="none" w:pos="66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by the Plains Entities in connection with the Simplification Transactions,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w:t>
      </w:r>
    </w:p>
    <w:p>
      <w:pPr>
        <w:spacing w:after="0" w:line="86" w:lineRule="exact"/>
        <w:rPr>
          <w:rFonts w:ascii="Arial" w:cs="Arial" w:eastAsia="Arial" w:hAnsi="Arial"/>
          <w:sz w:val="24"/>
          <w:szCs w:val="24"/>
          <w:color w:val="auto"/>
          <w:vertAlign w:val="superscript"/>
        </w:rPr>
      </w:pPr>
    </w:p>
    <w:p>
      <w:pPr>
        <w:ind w:left="660" w:right="380" w:hanging="652"/>
        <w:spacing w:after="0" w:line="252" w:lineRule="auto"/>
        <w:tabs>
          <w:tab w:leader="none" w:pos="66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Common Unit Distributions</w:t>
      </w:r>
      <w:r>
        <w:rPr>
          <w:rFonts w:ascii="Arial" w:cs="Arial" w:eastAsia="Arial" w:hAnsi="Arial"/>
          <w:sz w:val="17"/>
          <w:szCs w:val="17"/>
          <w:color w:val="auto"/>
        </w:rPr>
        <w:t>. During the third quarter of 2017, we engaged in discussions with the PAGP GP Board regarding a reassessment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to distributions, with a focus on resetting our common unit distribution to a level supported by the distributable cash flow from our fee-based Transportation and Facilities segments. On August 25, 2017, we announced our intention to reset our annualized distribution to $1.20 per common unit, beginning with the third-quarter distribution payable November 14, 2017. On October 10, 2017, the PAGP GP Board declared a distribution of $1.20 (annualized) per common unit payable on November 14, 2017 to common unitholders of record as of October 31, 2017.</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details the distributions paid in cash during or pertaining to the first nine months of 2017 (in millions, except per unit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2017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August 14, 2017</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2017</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2017</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134</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October 31, 2017 for the period July 1, 2017 through September 30, 2017.</w:t>
      </w:r>
    </w:p>
    <w:p>
      <w:pPr>
        <w:spacing w:after="0" w:line="20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Series A Preferred Unit Distributions</w:t>
      </w:r>
      <w:r>
        <w:rPr>
          <w:rFonts w:ascii="Arial" w:cs="Arial" w:eastAsia="Arial" w:hAnsi="Arial"/>
          <w:sz w:val="17"/>
          <w:szCs w:val="17"/>
          <w:color w:val="auto"/>
        </w:rPr>
        <w:t>. With respect to any quarter ending on or prior to December 31, 2017 (the “Initial Distribution Period”), we</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pay distributions on the Series A preferred units in additional preferred units, in cash or a combination of both. With respect to any quarter ending after the Initial Distribution Period, we must pay distributions on the Series A preferred units in cash. On February 14, 2017, we issued 1,287,773 Series A preferred units in lieu of a cash distribution of $34 million on our Series A preferred units outstanding as of the record date for such distribution. On May 15, 2017, we issued 1,313,527 Series A preferred units in lieu of a cash distribution of $34 million on our Series A preferred units outstanding as of the record date for such distribution. On August 14, 2017, we issued 1,339,796 Series A preferred units in lieu of a cash distribution of $35 million on our Series A preferred units outstanding as of the record date for such distribution.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November 14, 2017, we will issue 1,366,593 Series A preferred units in lieu of a cash distribution of $36 million on our Series A preferred units outstanding as of October 31, 2017, the record date for such distribution. Since the November 14, 2017 Series A preferred unit distribution was declared as payment-in-kind, this distribution payable was accrued to partners’ capital as of September 30, 2017 and thus had no net impact on the Series A preferred unitholders’ capital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B Preferred Units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October 10, 2017, we issued 800,000 Series B Fixed-to-Floating Rate Cumulative Redeemable Perpetual Preferred Units representing limited partner interests in us (the “Series B preferred units”) at a price to the public of $1,000 per unit. We used the net proceeds of $788 million, after deducting the underwriters’ discounts and offering expenses, from the issuance of the Series B preferred units to repay amounts outstanding under our credit facilities and commercial paper program and for general partnership purposes.</w:t>
      </w:r>
    </w:p>
    <w:p>
      <w:pPr>
        <w:spacing w:after="0" w:line="18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on par with our outstanding Series A preferred units.</w:t>
      </w:r>
    </w:p>
    <w:p>
      <w:pPr>
        <w:spacing w:after="0" w:line="18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 We will pay a pro-rated initial distribution on the Series B preferred units on November 15, 2017 to holders of record at the close of business on November 1, 2017 in an amount equal to approximately $5.9549 per unit (a total distribution of approximately $5 million).</w:t>
      </w:r>
    </w:p>
    <w:p>
      <w:pPr>
        <w:spacing w:after="0" w:line="195"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2017, net derivative positions related to these activities included:</w:t>
      </w:r>
    </w:p>
    <w:p>
      <w:pPr>
        <w:spacing w:after="0" w:line="147" w:lineRule="exact"/>
        <w:rPr>
          <w:sz w:val="20"/>
          <w:szCs w:val="20"/>
          <w:color w:val="auto"/>
        </w:rPr>
      </w:pPr>
    </w:p>
    <w:p>
      <w:pPr>
        <w:ind w:left="980" w:right="26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long position of 6.9 million barrels associated with our crude oil purchases, which was unwound ratably during October 2017 to match monthly average pricing.</w:t>
      </w:r>
    </w:p>
    <w:p>
      <w:pPr>
        <w:spacing w:after="0" w:line="116"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short time spread position of 3.5 million barrels, which hedges a portion of our anticipated crude oil lease gathering purchases through December 2018.</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crude oil grade basis position of 25.2 million barrels through December 2019.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net short position of 14.4 million barrels through December 2020 related to anticipated net sales of our crude oil and NGL inventory.</w:t>
      </w:r>
    </w:p>
    <w:p>
      <w:pPr>
        <w:spacing w:after="0" w:line="23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September 30, 2017, our PLA hedges included a long call option position of 1.0 million barrels through December 2019.</w:t>
      </w:r>
    </w:p>
    <w:p>
      <w:pPr>
        <w:spacing w:after="0" w:line="18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2017, we had a long natural gas position of 63.9 Bcf which hedges our natural gas processing and operational needs through December 2020. We also had a short propane position of 10.0 million barrels through December 2018, a short butane position of 3.0 million barrels through December 2018 and a short WTI position of 1.0 million barrels through December 2018. In addition, we had a long power position of 0.4 million megawatt hours, which hedges a portion of our power supply requirements at our Canadian natural gas processing and fractionation plants through December 2019.</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risk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derivatives as of September 30, 2017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16 forward starting swaps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forwards and options.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September 30, 2017,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2017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$1.24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$1.00 - $1.22</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$1.26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$1.25</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At September 30, 2017 and December 31, 2016, the fair value of this embedded derivative was a liability of approximately $33 million and $32 million, respectively. We recognized a gain of approximately $2 million during the three months ended September 30, 2017 and a net gain of less than $1 million during the nine months ended September 30, 2017. We recognized gains of approximately $17 million and $42 million during the three and nine months ended September 30, 2016. See Note 11 to our Consolidated Financial Statements included in Part IV of our 2016 Annual Report on Form 10-K for additional information regarding the Preferred Distribution Rate Reset 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2017</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2016</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20" w:type="dxa"/>
            <w:vAlign w:val="bottom"/>
          </w:tcPr>
          <w:p>
            <w:pPr>
              <w:spacing w:after="0"/>
              <w:rPr>
                <w:sz w:val="12"/>
                <w:szCs w:val="12"/>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40" w:type="dxa"/>
            <w:vAlign w:val="bottom"/>
          </w:tcPr>
          <w:p>
            <w:pPr>
              <w:spacing w:after="0"/>
              <w:rPr>
                <w:sz w:val="12"/>
                <w:szCs w:val="12"/>
                <w:color w:val="auto"/>
              </w:rPr>
            </w:pPr>
          </w:p>
        </w:tc>
        <w:tc>
          <w:tcPr>
            <w:tcW w:w="6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2017</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2016</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20" w:type="dxa"/>
            <w:vAlign w:val="bottom"/>
          </w:tcPr>
          <w:p>
            <w:pPr>
              <w:spacing w:after="0"/>
              <w:rPr>
                <w:sz w:val="12"/>
                <w:szCs w:val="12"/>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0" w:hanging="652"/>
        <w:spacing w:after="0" w:line="232"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During the three and nine months ended September 30, 2017, we reclassified losses of approximately $8 million and $10 million to Interest expense, net, respectively, due to anticipated hedged transactions being probable of not occurring. During the nine months ended September 30, 2016 we reclassified losses of approximately $2 million and $2 million to Supply and Logistics segment revenues and Interest expense, net, respectively, due to anticipated hedged transactions being probable of not occurring.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96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vMerge w:val="restart"/>
          </w:tcPr>
          <w:p>
            <w:pPr>
              <w:ind w:left="21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4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7"/>
        </w:trPr>
        <w:tc>
          <w:tcPr>
            <w:tcW w:w="3660" w:type="dxa"/>
            <w:vAlign w:val="bottom"/>
          </w:tcPr>
          <w:p>
            <w:pPr>
              <w:ind w:left="20"/>
              <w:spacing w:after="0"/>
              <w:rPr>
                <w:sz w:val="20"/>
                <w:szCs w:val="20"/>
                <w:color w:val="auto"/>
              </w:rPr>
            </w:pPr>
            <w:r>
              <w:rPr>
                <w:rFonts w:ascii="Arial" w:cs="Arial" w:eastAsia="Arial" w:hAnsi="Arial"/>
                <w:sz w:val="18"/>
                <w:szCs w:val="18"/>
                <w:color w:val="auto"/>
              </w:rPr>
              <w:t>Variation margin posted</w:t>
            </w: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broker receivable</w:t>
            </w:r>
          </w:p>
        </w:tc>
        <w:tc>
          <w:tcPr>
            <w:tcW w:w="4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1"/>
              </w:rPr>
              <w:t>September 30, 2017</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2016</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of September 30, 2017, there was a net loss of $224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September 30, 2017, we expect to reclassify a net loss of $8 million to earnings in the next twelve months. The remaining deferred loss of $216 million is expected to be reclassified to earnings through 2049. A portion of these amounts is based on market prices as of September 30, 2017;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2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4"/>
              </w:rPr>
              <w:t>Nine Months Ended</w:t>
            </w:r>
          </w:p>
        </w:tc>
        <w:tc>
          <w:tcPr>
            <w:tcW w:w="460" w:type="dxa"/>
            <w:vAlign w:val="bottom"/>
          </w:tcPr>
          <w:p>
            <w:pPr>
              <w:spacing w:after="0"/>
              <w:rPr>
                <w:sz w:val="14"/>
                <w:szCs w:val="14"/>
                <w:color w:val="auto"/>
              </w:rPr>
            </w:pP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w:t>
            </w: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594"/>
        <w:spacing w:after="0" w:line="264" w:lineRule="auto"/>
        <w:rPr>
          <w:sz w:val="20"/>
          <w:szCs w:val="20"/>
          <w:color w:val="auto"/>
        </w:rPr>
      </w:pPr>
      <w:r>
        <w:rPr>
          <w:rFonts w:ascii="Arial" w:cs="Arial" w:eastAsia="Arial" w:hAnsi="Arial"/>
          <w:sz w:val="18"/>
          <w:szCs w:val="18"/>
          <w:color w:val="auto"/>
        </w:rPr>
        <w:t>At September 30, 2017 and December 31, 2016,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September 30, 2017</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2016</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our partnership agreement which is classified as an embedded derivative.</w:t>
      </w:r>
    </w:p>
    <w:p>
      <w:pPr>
        <w:spacing w:after="0" w:line="170" w:lineRule="exact"/>
        <w:rPr>
          <w:sz w:val="20"/>
          <w:szCs w:val="20"/>
          <w:color w:val="auto"/>
        </w:rPr>
      </w:pPr>
    </w:p>
    <w:p>
      <w:pPr>
        <w:ind w:left="660" w:right="300"/>
        <w:spacing w:after="0" w:line="259" w:lineRule="auto"/>
        <w:rPr>
          <w:sz w:val="20"/>
          <w:szCs w:val="20"/>
          <w:color w:val="auto"/>
        </w:rPr>
      </w:pPr>
      <w:r>
        <w:rPr>
          <w:rFonts w:ascii="Arial" w:cs="Arial" w:eastAsia="Arial" w:hAnsi="Arial"/>
          <w:sz w:val="18"/>
          <w:szCs w:val="18"/>
          <w:color w:val="auto"/>
        </w:rPr>
        <w:t>The fair value of our Level 3 physical commodity contracts is based on a valuation model utilizing timing estimates, which involve management judgment. Significant changes in timing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87"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gains/(losses) included in earnings relating to Level 3</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675"/>
        </w:trPr>
        <w:tc>
          <w:tcPr>
            <w:tcW w:w="554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2016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Omnibus Agreement entered into by the Plains Entities in connection with the Simplification Transactions, we issued approximately 1.8 million units to AAP in connection with PAGP’s issuance of Class A shares under its Continuous Offering Program and 48.3 million units to AAP in connection with PAGP’s March 2017 underwritten offering. See Note 9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360" w:firstLine="648"/>
        <w:spacing w:after="0" w:line="276" w:lineRule="auto"/>
        <w:rPr>
          <w:sz w:val="20"/>
          <w:szCs w:val="20"/>
          <w:color w:val="auto"/>
        </w:rPr>
      </w:pPr>
      <w:r>
        <w:rPr>
          <w:rFonts w:ascii="Arial" w:cs="Arial" w:eastAsia="Arial" w:hAnsi="Arial"/>
          <w:sz w:val="17"/>
          <w:szCs w:val="17"/>
          <w:color w:val="auto"/>
        </w:rPr>
        <w:t>As of September 30, 2017, Oxy had a representative on the board of directors of PAGP GP and owned approximately 10% of the limited partner interests in AAP. During the three and nine months ended September 30, 2017 and 2016,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424</w:t>
            </w:r>
          </w:p>
        </w:tc>
      </w:tr>
      <w:tr>
        <w:trPr>
          <w:trHeight w:val="297"/>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60" w:hanging="652"/>
        <w:spacing w:after="0" w:line="21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At September 30, 2017, our estimated undiscounted reserve for environmental liabilities (including liabilities related to the Line 901 incident, as discussed further below) totaled $134 million, of which $47 million was classified as short-term and $87 million was classified as long-term. At December 31, 2016, our estimated undiscounted reserve for environmental liabilities (including liabilities related to the Line 901 incident) totaled $147 million, of which $61 million was classified as short-term and $86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2017, we had recorded receivables totaling $47 million for amounts probable of recovery under insurance and from third parties under indemnification agreements, of which $26 million was reflected in “Trade accounts receivable and other receivables, net” and $21 million was reflected in “Other long-term assets, net” on our Condensed Consolidated Balance Sheet. At December 31, 2016, we had recorded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$56 million of such receivables, of which $39 million was reflected in “Trade accounts receivable and other receivables, net” and $17 million was reflected in “Other long-term assets, net” on our Condensed Consolidated Balance Sheet.</w:t>
      </w:r>
    </w:p>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200"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By letter dated September 21, 2017, PHMSA issued a Final Order in this matter withdrawing one alleged violation and affirming a second. With regard to the second violation, PHMSA further determined that compliance had been achieved and included no compliance terms related to it in the Final Order. We therefore consider this matter closed.</w:t>
      </w:r>
    </w:p>
    <w:p>
      <w:pPr>
        <w:spacing w:after="0" w:line="19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36 of which were misdemeanor charges relating to wildlife allegedly taken as a result of the accidental release. The remaining 10 counts relate to the release of crude oil or reporting of the release. PAA believes that the criminal charges (including the three felony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charges) are unwarranted and that neither PAA nor any of its employees engaged in any criminal behavior at any time in connection with this accident. PAA intends to continue to vigorously defend itself against the charges. On July 28, 2016, at an arraignment hearing held in California Superior Court in Santa Barbara County, PAA pled not guilty to all counts.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commercial fishermen who landed fish in certain specified fishing blocks in the waters adjacent to Santa Barbara County or from persons or businesses who resold commercial seafood landed in such areas, certain owners of oceanfront and/or beachfront property on the Pacific Coast of California, and other classes of individuals and businesses that were allegedly impacted by the release. To date, only the commercial fisherman and seafood reseller class has been certified by the court.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denied the allegations in, and moved to dismiss these lawsuits. On March 29, 2017, the Court ruled in our favor dismissing all claims against all defendants. Plaintiffs have refiled their complaint and we are opposing their claims.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8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four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The other remaining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in the two remaining lawsuits claim that the Partnership suffered unspecified damages as a result of the actions of the various defendants and seek to hold the defendants liable for such damages, in addition to other remedies. The defendants deny the allegations in these lawsuits and have responded accordingly. Consistent with and subject to the terms of our governing organizational documents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to the extent applicable, insurance policies), we are indemnifying and funding the defense costs of our officers and directors in connection with these lawsuits.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Taking the foregoing into account, as of September 30, 2017, we estimate that the aggregate total costs we have incurred or will incur with respect to the Line 901 incident will be approximately $300 million, which estimate includes actual and projected emergency response and clean-up costs, natural resource damage assessments and certain third party claims settlements, as well as estimates for fines, penalties and certain legal fees. We accrued such estimate of aggregate total costs to “Field operating costs” primarily during 2015.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3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September 30, 2017, we had a remaining undiscounted gross liability of $64 million related to this event, of which approximately $36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2017, we had collected, subject to customary reservations, $166 million out of the approximate $205 million of release costs that we believe are probable of recovery from insurance carriers, net of deductibles. Therefore, as of September 30, 2017, we have recognized a receivable of approximately $39 million for the portion of the release costs that we believe is probable of recovery from insurance, net of deductibles and amounts already collected. Of this amount, approximately $18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CODM (our Chief Executive Officer) evaluates segment performance based on measures including segment adjusted EBITDA (as defined below) and maintenance capital investment.</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Segment adjusted EBITDA excludes depreciation and amortization. Maintenance capital consists of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5,573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2016</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4,876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17,749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18,618</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17,757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19,890</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13,344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13,353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73"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to our Consolidated Financial Statements included in Part IV of our 2016 Annual Report on Form 10-K for a discussion of our related accounting policy. We have included an estimate of the revenues from these inventory exchanges in our Transportation segment revenue presented above and adjusted those revenues out such that Total revenue from External customers reconciles to our Condensed Consolidated Statements of Operations. This presentation is consistent with the information provided to our CODM.</w:t>
      </w:r>
    </w:p>
    <w:p>
      <w:pPr>
        <w:spacing w:after="0" w:line="70" w:lineRule="exact"/>
        <w:rPr>
          <w:rFonts w:ascii="Arial" w:cs="Arial" w:eastAsia="Arial" w:hAnsi="Arial"/>
          <w:sz w:val="22"/>
          <w:szCs w:val="22"/>
          <w:color w:val="auto"/>
          <w:vertAlign w:val="superscript"/>
        </w:rPr>
      </w:pPr>
    </w:p>
    <w:p>
      <w:pPr>
        <w:ind w:left="660" w:right="120" w:hanging="652"/>
        <w:spacing w:after="0" w:line="226"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8"/>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Gains/(losses) from derivative activities net of inventory valuation adjustments</w:t>
            </w:r>
          </w:p>
        </w:tc>
        <w:tc>
          <w:tcPr>
            <w:tcW w:w="80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5"/>
              </w:rPr>
              <w:t>(216)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63"/>
        </w:trPr>
        <w:tc>
          <w:tcPr>
            <w:tcW w:w="6060" w:type="dxa"/>
            <w:vAlign w:val="bottom"/>
          </w:tcPr>
          <w:p>
            <w:pPr>
              <w:ind w:left="36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8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(134)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Income/(loss) before tax</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benefit/(expense)</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or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right="60" w:hanging="652"/>
        <w:spacing w:after="0" w:line="253" w:lineRule="auto"/>
        <w:tabs>
          <w:tab w:leader="none" w:pos="66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20"/>
        <w:spacing w:after="0" w:line="349" w:lineRule="auto"/>
        <w:rPr>
          <w:sz w:val="20"/>
          <w:szCs w:val="20"/>
          <w:color w:val="auto"/>
        </w:rPr>
      </w:pPr>
      <w:r>
        <w:rPr>
          <w:rFonts w:ascii="Arial" w:cs="Arial" w:eastAsia="Arial" w:hAnsi="Arial"/>
          <w:sz w:val="16"/>
          <w:szCs w:val="16"/>
          <w:color w:val="auto"/>
        </w:rPr>
        <w:t>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ind w:left="660" w:hanging="652"/>
        <w:spacing w:after="0" w:line="214"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145"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hanging="652"/>
        <w:spacing w:after="0" w:line="232"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for additional discussion. An adjustment for these non-recurring expenses is included in the calculation of segment adjusted EBITDA for the three and nine months ended September 30, 2017 as our CODM does not view such expenses as integral to understanding our core segment operating performance. Acquisition-related expenses for the 2016 period were not significant to segment adjusted EBITDA.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2016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During the first nine months of 2017, we recognized net income attributable to PAA of $665 million as compared to net income attributable to PAA of $599 million recognized during the first nine months of 2016. Our financial results for the comparative periods were impacted by:</w:t>
      </w:r>
    </w:p>
    <w:p>
      <w:pPr>
        <w:spacing w:after="0" w:line="147" w:lineRule="exact"/>
        <w:rPr>
          <w:sz w:val="20"/>
          <w:szCs w:val="20"/>
          <w:color w:val="auto"/>
        </w:rPr>
      </w:pPr>
    </w:p>
    <w:p>
      <w:pPr>
        <w:ind w:left="1300" w:hanging="320"/>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favorable impact of contributions from our recently completed acquisitions and capital expansion projects and gains on certain derivative instruments, partially offset by less favorable crude oil and NGL market conditions and margin compression caused by continued intense competition;</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w:t>
      </w:r>
    </w:p>
    <w:p>
      <w:pPr>
        <w:spacing w:after="0" w:line="225" w:lineRule="exact"/>
        <w:rPr>
          <w:rFonts w:ascii="Arial" w:cs="Arial" w:eastAsia="Arial" w:hAnsi="Arial"/>
          <w:sz w:val="18"/>
          <w:szCs w:val="18"/>
          <w:color w:val="auto"/>
        </w:rPr>
      </w:pPr>
    </w:p>
    <w:p>
      <w:pPr>
        <w:ind w:left="1300" w:right="20" w:hanging="320"/>
        <w:spacing w:after="0" w:line="286"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Higher depreciation and amortization expense largely driven by (i) recently acquired assets, (ii) the completion of various capital expansion projects and (iii) net losses from non-core assets sales and joint venture formations recognized in the 2017 period, compared to net gains from such activities in 2016, all partially offset by impairment losses recognized during the 2016 period; and</w:t>
      </w:r>
    </w:p>
    <w:p>
      <w:pPr>
        <w:spacing w:after="0" w:line="165" w:lineRule="exact"/>
        <w:rPr>
          <w:rFonts w:ascii="Arial" w:cs="Arial" w:eastAsia="Arial" w:hAnsi="Arial"/>
          <w:sz w:val="17"/>
          <w:szCs w:val="17"/>
          <w:color w:val="auto"/>
        </w:rPr>
      </w:pPr>
    </w:p>
    <w:p>
      <w:pPr>
        <w:ind w:left="1300" w:right="8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mark-to-market of our Preferred Distribution Rate Reset Option, resulting in a smaller gain in the current period compared to the prior period.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See further discussion of our segment operating results in the “—Results of Operations—Analysis of Operating Segments” and “—Other Income and Expenses” sections below.</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invested $893 million in midstream infrastructure projects during the nine months ended September 30, 2017, and we expect expansion capital for the full year of 2017 to be approximately $1.050 billion. Additionally, in February 2017, we acquired a crude oil gathering system located in the Northern Delaware Basin for approximately $1.217 billion and a marine propane terminal for $41 million. In April 2017, we completed the formation of a 50/50 joint venture, which subsequently acquired a crude oil pipeline located in the Southern Delaware Basin for $133 million. For our 50% share ($66.5 million), we contributed approximately 1.3 million common units and approximately $26 million in cash. To fund such capital activities, we sold approximately 54.1 million common units for net proceeds of approximately $1.7 billion. In addition, we have continued to advance our divestiture program, completing non-core asset sales during the first nine months of 2017 for cash proceeds of approximately $407 million. We also paid approximately $1.168 billion of cash distributions to our common unitholders during the nine months ended September 30, 2017.</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August 25, 2017, we announced that we were implementing an action plan to strengthen our balance sheet and reduce leverage, adopt a distribution approach underpinned by fee-based business activities and position ourself for future distribution growth. The action plan, which was endorsed by the PAGP GP Board, includes our intent to:</w:t>
      </w:r>
    </w:p>
    <w:p>
      <w:pPr>
        <w:spacing w:after="0" w:line="181" w:lineRule="exact"/>
        <w:rPr>
          <w:sz w:val="20"/>
          <w:szCs w:val="20"/>
          <w:color w:val="auto"/>
        </w:rPr>
      </w:pPr>
    </w:p>
    <w:p>
      <w:pPr>
        <w:ind w:left="1300" w:right="120" w:hanging="320"/>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Reset our annualized distribution per common unit to $1.20, starting with the third-quarter distribution payable in November 2017, which would reduce annual distribution outflow by approximately $725 million per year, representing approximately $1.1 billion over 6 quarters;</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 pending and/or in-progress non-core/strategic asset sales totaling approximately $700 million;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Reduce our hedged crude oil and NGL inventory volumes and related debt by approximately $300 million (based on current prices);</w:t>
      </w:r>
    </w:p>
    <w:p>
      <w:pPr>
        <w:spacing w:after="0" w:line="236" w:lineRule="exact"/>
        <w:rPr>
          <w:rFonts w:ascii="Arial" w:cs="Arial" w:eastAsia="Arial" w:hAnsi="Arial"/>
          <w:sz w:val="17"/>
          <w:szCs w:val="17"/>
          <w:color w:val="auto"/>
        </w:rPr>
      </w:pPr>
    </w:p>
    <w:p>
      <w:pPr>
        <w:ind w:left="1300" w:right="6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 our second-half 2017 and full-year 2018 expansion capital program with a combination of non-convertible, perpetual preferred equity and a portion of the non-core asset sales proceeds; and</w:t>
      </w:r>
    </w:p>
    <w:p>
      <w:pPr>
        <w:spacing w:after="0" w:line="170" w:lineRule="exact"/>
        <w:rPr>
          <w:rFonts w:ascii="Arial" w:cs="Arial" w:eastAsia="Arial" w:hAnsi="Arial"/>
          <w:sz w:val="18"/>
          <w:szCs w:val="18"/>
          <w:color w:val="auto"/>
        </w:rPr>
      </w:pPr>
    </w:p>
    <w:p>
      <w:pPr>
        <w:ind w:left="1300" w:right="60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Apply retained cash flows and remaining asset sales proceeds to steadily reduce our total debt as of June 30, 2017 by approximately $1.4 billion through March 31, 2019.</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There can be no assurance that we will achieve these objectives, or that they will be achieved within our desired time frame or in the desired amounts. Achievement of these objectives is subject to risks and uncertainties, many of which are outside of our control. Please see “Risk Factors—Risks Related to Our Business” discussed in Item 1A of our 2016 Annual Report on Form 10-K.</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Over the last several months, we have taken a number of steps toward the achievement of our objective to strengthen our balance sheet and reduce leverage, including:</w:t>
      </w:r>
    </w:p>
    <w:p>
      <w:pPr>
        <w:spacing w:after="0" w:line="170"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Resetting our annualized distribution per common unit to $1.20 for the third-quarter distribution payable in November 2017;</w:t>
      </w:r>
    </w:p>
    <w:p>
      <w:pPr>
        <w:spacing w:after="0" w:line="225" w:lineRule="exact"/>
        <w:rPr>
          <w:rFonts w:ascii="Arial" w:cs="Arial" w:eastAsia="Arial" w:hAnsi="Arial"/>
          <w:sz w:val="18"/>
          <w:szCs w:val="18"/>
          <w:color w:val="auto"/>
        </w:rPr>
      </w:pPr>
    </w:p>
    <w:p>
      <w:pPr>
        <w:ind w:left="1300" w:right="80" w:hanging="320"/>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hedged inventory related borrowings at the end of the third quarter by approximately $200 million (as compared to the end of the second quarter), with the expectation to reduce these borrowings by an additional $100 million or more over the next quarter or two, assuming current commodity prices;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Completing the issuance of 800,000 Series B preferred units for net proceeds of $788 million; and</w:t>
      </w:r>
    </w:p>
    <w:p>
      <w:pPr>
        <w:spacing w:after="0" w:line="225" w:lineRule="exact"/>
        <w:rPr>
          <w:rFonts w:ascii="Arial" w:cs="Arial" w:eastAsia="Arial" w:hAnsi="Arial"/>
          <w:sz w:val="18"/>
          <w:szCs w:val="18"/>
          <w:color w:val="auto"/>
        </w:rPr>
      </w:pPr>
    </w:p>
    <w:p>
      <w:pPr>
        <w:ind w:left="1300" w:right="260" w:hanging="320"/>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Completing sales of assets or joint venture formations for aggregate proceeds of approximately $385 million, and entering into definitive agreements for additional asset sales, which are expected to close by the end of 2017 or early 2018 and substantially complete our $700 million targeted program.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75"/>
        <w:spacing w:after="0" w:line="259" w:lineRule="auto"/>
        <w:rPr>
          <w:sz w:val="20"/>
          <w:szCs w:val="20"/>
          <w:color w:val="auto"/>
        </w:rPr>
      </w:pPr>
      <w:r>
        <w:rPr>
          <w:rFonts w:ascii="Arial" w:cs="Arial" w:eastAsia="Arial" w:hAnsi="Arial"/>
          <w:sz w:val="18"/>
          <w:szCs w:val="18"/>
          <w:i w:val="1"/>
          <w:iCs w:val="1"/>
          <w:color w:val="auto"/>
        </w:rPr>
        <w:t>Other Recent Developments - Assets Placed in Service</w:t>
      </w:r>
      <w:r>
        <w:rPr>
          <w:rFonts w:ascii="Arial" w:cs="Arial" w:eastAsia="Arial" w:hAnsi="Arial"/>
          <w:sz w:val="18"/>
          <w:szCs w:val="18"/>
          <w:color w:val="auto"/>
        </w:rPr>
        <w:t>. Construction on the Diamond Pipeline, in which we own a 50% interest, was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in late October, and will commence linefill operations in early to mid-November 2017. We expect to begin commercial operations in December 2017. We have also completed our new STACK JV pipeline project, in which we own a 50% interest, which will be placed into service in early to mid-November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1,325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(2) (3)</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1,065</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2,412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1,482</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40" w:hanging="652"/>
        <w:spacing w:after="0" w:line="21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nine months of 2017 primarily relates to the ACC Acquisition. See Note 6 to our Condensed Consolidated Financial Statements for further discussion regarding our acquisition activities.</w:t>
      </w:r>
    </w:p>
    <w:p>
      <w:pPr>
        <w:spacing w:after="0" w:line="149"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2017 and the estimated cost for the year ending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94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5"/>
                <w:szCs w:val="25"/>
                <w:color w:val="auto"/>
                <w:vertAlign w:val="superscript"/>
              </w:rPr>
              <w:t>(1)</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Permian Basin Area Systems Projects</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235</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Saskatchewan Facility Projects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r>
      <w:tr>
        <w:trPr>
          <w:trHeight w:val="270"/>
        </w:trPr>
        <w:tc>
          <w:tcPr>
            <w:tcW w:w="94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STACK Projects </w:t>
            </w:r>
            <w:r>
              <w:rPr>
                <w:rFonts w:ascii="Arial" w:cs="Arial" w:eastAsia="Arial" w:hAnsi="Arial"/>
                <w:sz w:val="25"/>
                <w:szCs w:val="25"/>
                <w:color w:val="auto"/>
                <w:vertAlign w:val="superscript"/>
              </w:rPr>
              <w:t>(1)</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Cushing Terminal Expansions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70"/>
        </w:trPr>
        <w:tc>
          <w:tcPr>
            <w:tcW w:w="94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Corpus Christi JV Dock </w:t>
            </w:r>
            <w:r>
              <w:rPr>
                <w:rFonts w:ascii="Arial" w:cs="Arial" w:eastAsia="Arial" w:hAnsi="Arial"/>
                <w:sz w:val="25"/>
                <w:szCs w:val="25"/>
                <w:color w:val="auto"/>
                <w:vertAlign w:val="superscript"/>
              </w:rPr>
              <w:t>(1)</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 James Terminal Projects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305</w:t>
            </w:r>
          </w:p>
        </w:tc>
      </w:tr>
      <w:tr>
        <w:trPr>
          <w:trHeight w:val="27"/>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Projected 2017 Expansion Capital Expenditures</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$1,050</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investment interest.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Transportation segment adjusted EBITDA</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18"/>
                <w:szCs w:val="18"/>
                <w:color w:val="auto"/>
                <w:w w:val="97"/>
              </w:rPr>
              <w:t xml:space="preserve">Facilities segment adjusted EBITDA </w:t>
            </w:r>
            <w:r>
              <w:rPr>
                <w:rFonts w:ascii="Arial" w:cs="Arial" w:eastAsia="Arial" w:hAnsi="Arial"/>
                <w:sz w:val="25"/>
                <w:szCs w:val="25"/>
                <w:color w:val="auto"/>
                <w:w w:val="97"/>
                <w:vertAlign w:val="superscript"/>
              </w:rPr>
              <w:t>(1)</w:t>
            </w:r>
          </w:p>
        </w:tc>
        <w:tc>
          <w:tcPr>
            <w:tcW w:w="20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Supply and Logistics segment adjusted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3"/>
              </w:rPr>
              <w:t>Selected items impacting comparability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 segment adjusted EBITDA</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Basic net income/(loss) per common unit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Diluted net income/(loss) per common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0"/>
              <w:spacing w:after="0"/>
              <w:rPr>
                <w:sz w:val="20"/>
                <w:szCs w:val="20"/>
                <w:color w:val="auto"/>
              </w:rPr>
            </w:pPr>
            <w:r>
              <w:rPr>
                <w:rFonts w:ascii="Arial" w:cs="Arial" w:eastAsia="Arial" w:hAnsi="Arial"/>
                <w:sz w:val="18"/>
                <w:szCs w:val="18"/>
                <w:color w:val="auto"/>
              </w:rPr>
              <w:t>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Basic weighted average common units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w w:val="95"/>
              </w:rPr>
              <w:t>Diluted weighted average common units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180" w:hanging="652"/>
        <w:spacing w:after="0" w:line="229"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unitholders through cash generated by our operations,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100" w:type="dxa"/>
            <w:vAlign w:val="bottom"/>
          </w:tcPr>
          <w:p>
            <w:pPr>
              <w:ind w:left="200"/>
              <w:spacing w:after="0"/>
              <w:rPr>
                <w:sz w:val="20"/>
                <w:szCs w:val="20"/>
                <w:color w:val="auto"/>
              </w:rPr>
            </w:pPr>
            <w:r>
              <w:rPr>
                <w:rFonts w:ascii="Arial" w:cs="Arial" w:eastAsia="Arial" w:hAnsi="Arial"/>
                <w:sz w:val="18"/>
                <w:szCs w:val="18"/>
                <w:color w:val="auto"/>
              </w:rPr>
              <w:t>Income tax expense/(benefit)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1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Comparability - Adjusted 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520"/>
              <w:spacing w:after="0"/>
              <w:rPr>
                <w:sz w:val="20"/>
                <w:szCs w:val="20"/>
                <w:color w:val="auto"/>
              </w:rPr>
            </w:pPr>
            <w:r>
              <w:rPr>
                <w:rFonts w:ascii="Arial" w:cs="Arial" w:eastAsia="Arial" w:hAnsi="Arial"/>
                <w:sz w:val="18"/>
                <w:szCs w:val="18"/>
                <w:color w:val="auto"/>
              </w:rPr>
              <w:t>activities net of inventory</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inventory costing</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w w:val="98"/>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Significant acquisition-related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(8)</w:t>
            </w: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segment adjusted</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tcPr>
          <w:p>
            <w:pPr>
              <w:ind w:left="360"/>
              <w:spacing w:after="0" w:line="270" w:lineRule="exact"/>
              <w:rPr>
                <w:sz w:val="20"/>
                <w:szCs w:val="20"/>
                <w:color w:val="auto"/>
              </w:rPr>
            </w:pPr>
            <w:r>
              <w:rPr>
                <w:rFonts w:ascii="Arial" w:cs="Arial" w:eastAsia="Arial" w:hAnsi="Arial"/>
                <w:sz w:val="18"/>
                <w:szCs w:val="18"/>
                <w:color w:val="auto"/>
                <w:w w:val="97"/>
              </w:rPr>
              <w:t xml:space="preserve">Losses from derivative activities </w:t>
            </w:r>
            <w:r>
              <w:rPr>
                <w:rFonts w:ascii="Arial" w:cs="Arial" w:eastAsia="Arial" w:hAnsi="Arial"/>
                <w:sz w:val="25"/>
                <w:szCs w:val="25"/>
                <w:color w:val="auto"/>
                <w:w w:val="97"/>
                <w:vertAlign w:val="superscript"/>
              </w:rPr>
              <w:t>(2)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Net (gain)/loss on foreign currency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Comparability - Adjusted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0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(9)</w:t>
            </w:r>
          </w:p>
        </w:tc>
        <w:tc>
          <w:tcPr>
            <w:tcW w:w="2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1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(10)</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(11)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100" w:type="dxa"/>
            <w:vAlign w:val="bottom"/>
          </w:tcPr>
          <w:p>
            <w:pPr>
              <w:ind w:left="200"/>
              <w:spacing w:after="0"/>
              <w:rPr>
                <w:sz w:val="20"/>
                <w:szCs w:val="20"/>
                <w:color w:val="auto"/>
              </w:rPr>
            </w:pPr>
            <w:r>
              <w:rPr>
                <w:rFonts w:ascii="Arial" w:cs="Arial" w:eastAsia="Arial" w:hAnsi="Arial"/>
                <w:sz w:val="18"/>
                <w:szCs w:val="18"/>
                <w:color w:val="auto"/>
                <w:w w:val="97"/>
              </w:rPr>
              <w:t>Current income tax benefit/(expense)</w:t>
            </w: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equity earnings in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unconsolidated entities, net of</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distributions </w:t>
            </w:r>
            <w:r>
              <w:rPr>
                <w:rFonts w:ascii="Arial" w:cs="Arial" w:eastAsia="Arial" w:hAnsi="Arial"/>
                <w:sz w:val="25"/>
                <w:szCs w:val="25"/>
                <w:color w:val="auto"/>
                <w:vertAlign w:val="superscript"/>
              </w:rPr>
              <w:t>(12)</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200"/>
              <w:spacing w:after="0"/>
              <w:rPr>
                <w:sz w:val="20"/>
                <w:szCs w:val="20"/>
                <w:color w:val="auto"/>
              </w:rPr>
            </w:pPr>
            <w:r>
              <w:rPr>
                <w:rFonts w:ascii="Arial" w:cs="Arial" w:eastAsia="Arial" w:hAnsi="Arial"/>
                <w:sz w:val="18"/>
                <w:szCs w:val="18"/>
                <w:color w:val="auto"/>
                <w:w w:val="93"/>
              </w:rPr>
              <w:t>Distributions to noncontrolling interests</w:t>
            </w:r>
          </w:p>
        </w:tc>
        <w:tc>
          <w:tcPr>
            <w:tcW w:w="220" w:type="dxa"/>
            <w:vAlign w:val="bottom"/>
          </w:tcPr>
          <w:p>
            <w:pPr>
              <w:spacing w:after="0"/>
              <w:rPr>
                <w:sz w:val="19"/>
                <w:szCs w:val="19"/>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163"/>
        </w:trPr>
        <w:tc>
          <w:tcPr>
            <w:tcW w:w="3100" w:type="dxa"/>
            <w:vAlign w:val="bottom"/>
          </w:tcPr>
          <w:p>
            <w:pPr>
              <w:ind w:left="360"/>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(14)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Distributions paid </w:t>
            </w:r>
            <w:r>
              <w:rPr>
                <w:rFonts w:ascii="Arial" w:cs="Arial" w:eastAsia="Arial" w:hAnsi="Arial"/>
                <w:sz w:val="25"/>
                <w:szCs w:val="25"/>
                <w:color w:val="auto"/>
                <w:vertAlign w:val="superscript"/>
              </w:rPr>
              <w:t>(13)</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5"/>
                <w:szCs w:val="25"/>
                <w:color w:val="auto"/>
                <w:vertAlign w:val="superscript"/>
              </w:rPr>
              <w:t>(15)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60" w:hanging="652"/>
        <w:spacing w:after="0" w:line="211"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w:t>
      </w:r>
    </w:p>
    <w:p>
      <w:pPr>
        <w:sectPr>
          <w:pgSz w:w="11900" w:h="16838" w:orient="portrait"/>
          <w:cols w:equalWidth="0" w:num="1">
            <w:col w:w="11420"/>
          </w:cols>
          <w:pgMar w:left="240" w:top="125"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60"/>
        <w:spacing w:after="0" w:line="324" w:lineRule="auto"/>
        <w:rPr>
          <w:sz w:val="20"/>
          <w:szCs w:val="20"/>
          <w:color w:val="auto"/>
        </w:rPr>
      </w:pPr>
      <w:r>
        <w:rPr>
          <w:rFonts w:ascii="Arial" w:cs="Arial" w:eastAsia="Arial" w:hAnsi="Arial"/>
          <w:sz w:val="18"/>
          <w:szCs w:val="18"/>
          <w:color w:val="auto"/>
        </w:rPr>
        <w:t>amortization expense and gains or losses on significant asset sales of such unconsolidated entities when reviewing Adjusted EBITDA, similar to our consolidated assets.</w:t>
      </w:r>
    </w:p>
    <w:p>
      <w:pPr>
        <w:spacing w:after="0" w:line="89" w:lineRule="exact"/>
        <w:rPr>
          <w:sz w:val="20"/>
          <w:szCs w:val="20"/>
          <w:color w:val="auto"/>
        </w:rPr>
      </w:pPr>
    </w:p>
    <w:p>
      <w:pPr>
        <w:ind w:left="660" w:right="20" w:hanging="652"/>
        <w:spacing w:after="0" w:line="257"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10 to our Condensed Consolidated Financial Statements for a comprehensive discussion regarding our derivatives and risk management activities and our Preferred Distribution Rate Reset Option.</w:t>
      </w:r>
    </w:p>
    <w:p>
      <w:pPr>
        <w:spacing w:after="0" w:line="82" w:lineRule="exact"/>
        <w:rPr>
          <w:rFonts w:ascii="Arial" w:cs="Arial" w:eastAsia="Arial" w:hAnsi="Arial"/>
          <w:sz w:val="24"/>
          <w:szCs w:val="24"/>
          <w:color w:val="auto"/>
          <w:vertAlign w:val="superscript"/>
        </w:rPr>
      </w:pPr>
    </w:p>
    <w:p>
      <w:pPr>
        <w:ind w:left="660" w:hanging="652"/>
        <w:spacing w:after="0" w:line="273"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2016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right="20" w:hanging="652"/>
        <w:spacing w:after="0" w:line="274"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2016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60" w:hanging="652"/>
        <w:spacing w:after="0" w:line="238"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ind w:left="660" w:right="240" w:hanging="652"/>
        <w:spacing w:after="0" w:line="227"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Includes costs recognized during the period related to the Line 901 incident that occurred in May 2015, net of amounts we believe are probable of recovery from insurance. See Note 12 to our Condensed Consolidated Financial Statements for additional information.</w:t>
      </w:r>
    </w:p>
    <w:p>
      <w:pPr>
        <w:spacing w:after="0" w:line="94" w:lineRule="exact"/>
        <w:rPr>
          <w:rFonts w:ascii="Arial" w:cs="Arial" w:eastAsia="Arial" w:hAnsi="Arial"/>
          <w:sz w:val="24"/>
          <w:szCs w:val="24"/>
          <w:color w:val="auto"/>
          <w:vertAlign w:val="superscript"/>
        </w:rPr>
      </w:pPr>
    </w:p>
    <w:p>
      <w:pPr>
        <w:ind w:left="660" w:right="34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to our Condensed Consolidated Financial Statements for additional information.</w:t>
      </w:r>
    </w:p>
    <w:p>
      <w:pPr>
        <w:spacing w:after="0" w:line="95" w:lineRule="exact"/>
        <w:rPr>
          <w:rFonts w:ascii="Arial" w:cs="Arial" w:eastAsia="Arial" w:hAnsi="Arial"/>
          <w:sz w:val="25"/>
          <w:szCs w:val="25"/>
          <w:color w:val="auto"/>
          <w:vertAlign w:val="superscript"/>
        </w:rPr>
      </w:pPr>
    </w:p>
    <w:p>
      <w:pPr>
        <w:ind w:left="660" w:right="66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Segment adjusted EBITDA is exclusive of such amounts.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8" w:lineRule="exact"/>
        <w:rPr>
          <w:rFonts w:ascii="Arial" w:cs="Arial" w:eastAsia="Arial" w:hAnsi="Arial"/>
          <w:sz w:val="24"/>
          <w:szCs w:val="24"/>
          <w:color w:val="auto"/>
          <w:vertAlign w:val="superscript"/>
        </w:rPr>
      </w:pPr>
    </w:p>
    <w:p>
      <w:pPr>
        <w:ind w:left="660" w:right="100" w:hanging="652"/>
        <w:spacing w:after="0" w:line="214"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94" w:lineRule="exact"/>
        <w:rPr>
          <w:rFonts w:ascii="Arial" w:cs="Arial" w:eastAsia="Arial" w:hAnsi="Arial"/>
          <w:sz w:val="25"/>
          <w:szCs w:val="25"/>
          <w:color w:val="auto"/>
          <w:vertAlign w:val="superscript"/>
        </w:rPr>
      </w:pPr>
    </w:p>
    <w:p>
      <w:pPr>
        <w:ind w:left="660" w:right="400" w:hanging="652"/>
        <w:spacing w:after="0" w:line="21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cash distributions received from such entities.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Includes cash distributions that pertain to the current period’s net income and are paid in the subsequent period.</w:t>
      </w:r>
    </w:p>
    <w:p>
      <w:pPr>
        <w:spacing w:after="0" w:line="98"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Including net costs recognized during the periods related to the Line 901 incident that occurred in May 2015, Implied DCF would have been $880 million for the nine months ended September 30, 2017, respectively. See Note 12 to our Condensed Consolidated Financial Statements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right="100" w:hanging="652"/>
        <w:spacing w:after="0" w:line="227" w:lineRule="auto"/>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Excess DCF is retained to establish reserves for future distributions, capital expenditures and other partnership purposes. DCF shortages are funded from previously established reserves, cash on hand or from borrowings under our credit facilities or commercial paper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 attributable to PAA.</w:t>
      </w:r>
    </w:p>
    <w:p>
      <w:pPr>
        <w:spacing w:after="0" w:line="7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Equity earnings in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32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unconsolidated entities</w:t>
            </w:r>
          </w:p>
        </w:tc>
        <w:tc>
          <w:tcPr>
            <w:tcW w:w="18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Line 901 incident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w w:val="98"/>
              </w:rPr>
              <w:t>Significant acquisition-related expenses</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gridSpan w:val="2"/>
            <w:vMerge w:val="continue"/>
          </w:tcPr>
          <w:p>
            <w:pPr>
              <w:spacing w:after="0"/>
              <w:rPr>
                <w:sz w:val="16"/>
                <w:szCs w:val="16"/>
                <w:color w:val="auto"/>
              </w:rPr>
            </w:pP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(5)</w:t>
            </w:r>
          </w:p>
        </w:tc>
        <w:tc>
          <w:tcPr>
            <w:tcW w:w="1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(6)</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firstLine="693"/>
        <w:spacing w:after="0" w:line="277" w:lineRule="auto"/>
        <w:rPr>
          <w:sz w:val="20"/>
          <w:szCs w:val="20"/>
          <w:color w:val="auto"/>
        </w:rPr>
      </w:pPr>
      <w:r>
        <w:rPr>
          <w:rFonts w:ascii="Arial" w:cs="Arial" w:eastAsia="Arial" w:hAnsi="Arial"/>
          <w:sz w:val="18"/>
          <w:szCs w:val="18"/>
          <w:i w:val="1"/>
          <w:iCs w:val="1"/>
          <w:color w:val="auto"/>
        </w:rPr>
        <w:t xml:space="preserve">Revenues, Equity Earnings in Unconsolidated Entities and Volumes. </w:t>
      </w:r>
      <w:r>
        <w:rPr>
          <w:rFonts w:ascii="Arial" w:cs="Arial" w:eastAsia="Arial" w:hAnsi="Arial"/>
          <w:sz w:val="18"/>
          <w:szCs w:val="18"/>
          <w:color w:val="auto"/>
        </w:rPr>
        <w:t>The following table presents variances in revenues and equity earnings in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entities by region for the comparative periods presented:</w:t>
      </w:r>
    </w:p>
    <w:p>
      <w:pPr>
        <w:spacing w:after="0" w:line="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Favorable/(Unfavorable) Variance</w:t>
            </w:r>
          </w:p>
        </w:tc>
        <w:tc>
          <w:tcPr>
            <w:tcW w:w="220" w:type="dxa"/>
            <w:vAlign w:val="bottom"/>
          </w:tcPr>
          <w:p>
            <w:pPr>
              <w:spacing w:after="0"/>
              <w:rPr>
                <w:sz w:val="14"/>
                <w:szCs w:val="14"/>
                <w:color w:val="auto"/>
              </w:rPr>
            </w:pPr>
          </w:p>
        </w:tc>
        <w:tc>
          <w:tcPr>
            <w:tcW w:w="252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5"/>
              </w:rPr>
              <w:t>Favorable/(Unfavorable) Variance</w:t>
            </w:r>
          </w:p>
        </w:tc>
      </w:t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2"/>
                <w:szCs w:val="12"/>
                <w:color w:val="auto"/>
              </w:rPr>
            </w:pPr>
          </w:p>
        </w:tc>
        <w:tc>
          <w:tcPr>
            <w:tcW w:w="2520" w:type="dxa"/>
            <w:vAlign w:val="bottom"/>
            <w:gridSpan w:val="4"/>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Nine Months Ended September 30,</w:t>
            </w:r>
          </w:p>
        </w:tc>
      </w:tr>
      <w:tr>
        <w:trPr>
          <w:trHeight w:val="192"/>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2"/>
              </w:rPr>
              <w:t>2017-2016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5"/>
              </w:rPr>
              <w:t>2017-2016</w:t>
            </w: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Equity Earnings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Equity Earnings</w:t>
            </w: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and trucking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Permian Basin region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South Texas / Eagle Ford region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Rocky Mountain region</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Gulf Coast region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w w:val="95"/>
              </w:rPr>
              <w:t>Other (including trucking and pipeline loss allowance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00" w:type="dxa"/>
            <w:vAlign w:val="bottom"/>
            <w:gridSpan w:val="2"/>
          </w:tcPr>
          <w:p>
            <w:pPr>
              <w:ind w:left="3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variance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Permian Basin region — The increase in revenues for the comparative 2017 periods presented was largely driven by (i) higher volumes on our Cactus pipeline due to stronger demand in the Corpus Christi market and to third-party terminals, which also favorably impacted volumes on our McCamey pipeline system, (ii) results from the ACC System, which we acquired in February 2017, and (iii) increased production and new lease connections to our gathering systems in the Permian Basin.</w:t>
      </w:r>
    </w:p>
    <w:p>
      <w:pPr>
        <w:spacing w:after="0" w:line="186" w:lineRule="exact"/>
        <w:rPr>
          <w:rFonts w:ascii="Arial" w:cs="Arial" w:eastAsia="Arial" w:hAnsi="Arial"/>
          <w:sz w:val="18"/>
          <w:szCs w:val="18"/>
          <w:color w:val="auto"/>
        </w:rPr>
      </w:pPr>
    </w:p>
    <w:p>
      <w:pPr>
        <w:ind w:left="980" w:right="100"/>
        <w:spacing w:after="0" w:line="277" w:lineRule="auto"/>
        <w:rPr>
          <w:rFonts w:ascii="Arial" w:cs="Arial" w:eastAsia="Arial" w:hAnsi="Arial"/>
          <w:sz w:val="18"/>
          <w:szCs w:val="18"/>
          <w:color w:val="auto"/>
        </w:rPr>
      </w:pPr>
      <w:r>
        <w:rPr>
          <w:rFonts w:ascii="Arial" w:cs="Arial" w:eastAsia="Arial" w:hAnsi="Arial"/>
          <w:sz w:val="18"/>
          <w:szCs w:val="18"/>
          <w:color w:val="auto"/>
        </w:rPr>
        <w:t>Equity earnings increased due to higher earnings from our 50% interest in BridgeTex Pipeline Company, LLC resulting from higher volumes in the 2017 periods.</w:t>
      </w:r>
    </w:p>
    <w:p>
      <w:pPr>
        <w:spacing w:after="0" w:line="170" w:lineRule="exact"/>
        <w:rPr>
          <w:rFonts w:ascii="Arial" w:cs="Arial" w:eastAsia="Arial" w:hAnsi="Arial"/>
          <w:sz w:val="18"/>
          <w:szCs w:val="18"/>
          <w:color w:val="auto"/>
        </w:rPr>
      </w:pPr>
    </w:p>
    <w:p>
      <w:pPr>
        <w:ind w:left="980" w:right="160" w:hanging="324"/>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South Texas / Eagle Ford region — Equity earnings from our 50% interest in Eagle Ford Pipeline LLC increased over the periods presented primarily due to higher volumes from our Cactus pipeline related to stronger demand in the Corpus Christi market and to third-party terminals.</w:t>
      </w:r>
    </w:p>
    <w:p>
      <w:pPr>
        <w:spacing w:after="0" w:line="123" w:lineRule="exact"/>
        <w:rPr>
          <w:rFonts w:ascii="Arial" w:cs="Arial" w:eastAsia="Arial" w:hAnsi="Arial"/>
          <w:sz w:val="16"/>
          <w:szCs w:val="16"/>
          <w:color w:val="auto"/>
        </w:rPr>
      </w:pPr>
    </w:p>
    <w:p>
      <w:pPr>
        <w:ind w:left="980" w:right="400" w:hanging="324"/>
        <w:spacing w:after="0" w:line="30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Rocky Mountain region — The decrease in revenues for the nine-month comparative period was largely driven by (i) lower volumes due to downtime on our Wahsatch pipeline, which we proactively shut down for approximately 30 days during the first quarter of 2017 as a precautionary measure in response to indications of soil movement identified by our monitoring systems, and (ii) the sale of 50% of our investment in Cheyenne Pipeline in June 2016, subsequent to which it was accounted for under the equity method of accounting.</w:t>
      </w:r>
    </w:p>
    <w:p>
      <w:pPr>
        <w:spacing w:after="0" w:line="154" w:lineRule="exact"/>
        <w:rPr>
          <w:rFonts w:ascii="Arial" w:cs="Arial" w:eastAsia="Arial" w:hAnsi="Arial"/>
          <w:sz w:val="16"/>
          <w:szCs w:val="16"/>
          <w:color w:val="auto"/>
        </w:rPr>
      </w:pPr>
    </w:p>
    <w:p>
      <w:pPr>
        <w:ind w:left="980" w:right="220"/>
        <w:spacing w:after="0" w:line="259" w:lineRule="auto"/>
        <w:rPr>
          <w:rFonts w:ascii="Arial" w:cs="Arial" w:eastAsia="Arial" w:hAnsi="Arial"/>
          <w:sz w:val="16"/>
          <w:szCs w:val="16"/>
          <w:color w:val="auto"/>
        </w:rPr>
      </w:pPr>
      <w:r>
        <w:rPr>
          <w:rFonts w:ascii="Arial" w:cs="Arial" w:eastAsia="Arial" w:hAnsi="Arial"/>
          <w:sz w:val="18"/>
          <w:szCs w:val="18"/>
          <w:color w:val="auto"/>
        </w:rPr>
        <w:t>Equity earnings for the nine-month comparative period increased primarily due to contributions from (i) our 40% investment in Saddlehorn Pipeline Company, LLC, which began operations in the third quarter of 2016, and (ii) our 50% investment in Cheyenne Pipeline, as discussed above. Such increases were partially offset by decreased equity earnings from our 35.67% interest in White Cliffs Pipeline LLC due to lower volumes on the joint venture pipeline.</w:t>
      </w:r>
    </w:p>
    <w:p>
      <w:pPr>
        <w:spacing w:after="0" w:line="186" w:lineRule="exact"/>
        <w:rPr>
          <w:rFonts w:ascii="Arial" w:cs="Arial" w:eastAsia="Arial" w:hAnsi="Arial"/>
          <w:sz w:val="16"/>
          <w:szCs w:val="16"/>
          <w:color w:val="auto"/>
        </w:rPr>
      </w:pPr>
    </w:p>
    <w:p>
      <w:pPr>
        <w:jc w:val="both"/>
        <w:ind w:left="980" w:right="12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Gulf Coast region — Revenues and volumes decreased for the comparative three-month period primarily due to lower refinery demand on our Pascagoula pipeline and fewer spot shippers on Capline pipeline for the 2017 period. The nine-month comparative period was further impacted by the sale of certain of our Gulf Coast pipelines in March 2016 and July 2016.</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Adjustments: Deficiencies under minimum volume commitments, net. </w:t>
      </w:r>
      <w:r>
        <w:rPr>
          <w:rFonts w:ascii="Arial" w:cs="Arial" w:eastAsia="Arial" w:hAnsi="Arial"/>
          <w:sz w:val="17"/>
          <w:szCs w:val="17"/>
          <w:color w:val="auto"/>
        </w:rPr>
        <w:t>Many industry infrastructure projects developed and completed over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the 2016 and 2017 periods presented in the table above, we had net collections for deficiencies under minimum volume commitments resulting in deferred revenues and an increase to Segment adjusted EBITDA. However, such net collections in the 2017 periods were partially offset by (i) shippers utilizing credits associated with previous deficiencies or (ii) credits expiring, which resulted in the recognition of previously deferred revenue.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increase in field operating costs (excluding equity-indexed compensation expense)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compared to the nine months ended September 30, 2016 was primarily due to an increase in estimated costs associated with the Line 901 incident (which impact our field operating costs but are excluded from segment adjusted EBITDA and thus are reflected as an “Adjustment” in the table above), an increase in power costs resulting from higher volumes and incremental operating costs from the Alpha Crude Connector acquisition in February 2017, partially offset by cost reduction efforts and decreased costs due to the sale of certain Gulf Coast pipelines as noted above.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The following table presents total equity-indexed compensation expense by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Segment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Supply and Logistics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Across all segments, equity-indexed compensation expense decreased by $4 million and $7 million for the three and nine months ended September 30, 2017, respectively, compared to the same periods in 2016, primarily due to a decrease in unit price for both the three and nine months ended September 30, 2017, compared to an increase in unit price for the same periods in 2016, partially offset by more probable awards outstanding during the three and nine months ended September 30, 2017 compared to the same periods in 2016. See Note 16 to our Consolidated Financial Statements included in Part IV of our 2016 Annual Report on Form 10-K for additional information regarding our equity-indexed compensation plans.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Natural gas related costs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w w:val="99"/>
              </w:rPr>
              <w:t>Equity-indexed compensation expense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w w:val="99"/>
              </w:rPr>
              <w:t>Equity-indexed compensation expense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0"/>
              <w:spacing w:after="0"/>
              <w:rPr>
                <w:sz w:val="20"/>
                <w:szCs w:val="20"/>
                <w:color w:val="auto"/>
              </w:rPr>
            </w:pPr>
            <w:r>
              <w:rPr>
                <w:rFonts w:ascii="Arial" w:cs="Arial" w:eastAsia="Arial" w:hAnsi="Arial"/>
                <w:sz w:val="18"/>
                <w:szCs w:val="18"/>
                <w:color w:val="auto"/>
                <w:w w:val="96"/>
              </w:rPr>
              <w:t>(Gains)/losses from derivative activities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360"/>
              <w:spacing w:after="0"/>
              <w:rPr>
                <w:sz w:val="20"/>
                <w:szCs w:val="20"/>
                <w:color w:val="auto"/>
              </w:rPr>
            </w:pPr>
            <w:r>
              <w:rPr>
                <w:rFonts w:ascii="Arial" w:cs="Arial" w:eastAsia="Arial" w:hAnsi="Arial"/>
                <w:sz w:val="18"/>
                <w:szCs w:val="18"/>
                <w:color w:val="auto"/>
              </w:rPr>
              <w:t>net of inventory valuation</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0"/>
              <w:spacing w:after="0"/>
              <w:rPr>
                <w:sz w:val="20"/>
                <w:szCs w:val="20"/>
                <w:color w:val="auto"/>
              </w:rPr>
            </w:pPr>
            <w:r>
              <w:rPr>
                <w:rFonts w:ascii="Arial" w:cs="Arial" w:eastAsia="Arial" w:hAnsi="Arial"/>
                <w:sz w:val="18"/>
                <w:szCs w:val="18"/>
                <w:color w:val="auto"/>
                <w:w w:val="97"/>
              </w:rPr>
              <w:t>Equity-indexed compensation expense</w:t>
            </w:r>
          </w:p>
        </w:tc>
        <w:tc>
          <w:tcPr>
            <w:tcW w:w="2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51"/>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5"/>
              </w:rPr>
              <w:t>Volumes</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terminalling and storage (average</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monthly capacity in millions of barrels)</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40"/>
              <w:spacing w:after="0"/>
              <w:rPr>
                <w:sz w:val="20"/>
                <w:szCs w:val="20"/>
                <w:color w:val="auto"/>
              </w:rPr>
            </w:pPr>
            <w:r>
              <w:rPr>
                <w:rFonts w:ascii="Arial" w:cs="Arial" w:eastAsia="Arial" w:hAnsi="Arial"/>
                <w:sz w:val="18"/>
                <w:szCs w:val="18"/>
                <w:color w:val="auto"/>
              </w:rPr>
              <w:t>Rail load / unload volumes (average</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volumes in thousands of barrels per</w:t>
            </w:r>
          </w:p>
        </w:tc>
        <w:tc>
          <w:tcPr>
            <w:tcW w:w="200" w:type="dxa"/>
            <w:vAlign w:val="bottom"/>
          </w:tcPr>
          <w:p>
            <w:pPr>
              <w:spacing w:after="0"/>
              <w:rPr>
                <w:sz w:val="18"/>
                <w:szCs w:val="18"/>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day)</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Natural gas storage (average monthly</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working capacity in billions of cubic</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gridSpan w:val="2"/>
            <w:shd w:val="clear" w:color="auto" w:fill="CCEEFF"/>
          </w:tcPr>
          <w:p>
            <w:pPr>
              <w:ind w:left="200"/>
              <w:spacing w:after="0" w:line="244" w:lineRule="exact"/>
              <w:rPr>
                <w:sz w:val="20"/>
                <w:szCs w:val="20"/>
                <w:color w:val="auto"/>
              </w:rPr>
            </w:pPr>
            <w:r>
              <w:rPr>
                <w:rFonts w:ascii="Arial" w:cs="Arial" w:eastAsia="Arial" w:hAnsi="Arial"/>
                <w:sz w:val="18"/>
                <w:szCs w:val="18"/>
                <w:color w:val="auto"/>
              </w:rPr>
              <w:t xml:space="preserve">feet) </w:t>
            </w:r>
            <w:r>
              <w:rPr>
                <w:rFonts w:ascii="Arial" w:cs="Arial" w:eastAsia="Arial" w:hAnsi="Arial"/>
                <w:sz w:val="25"/>
                <w:szCs w:val="25"/>
                <w:color w:val="auto"/>
                <w:vertAlign w:val="superscript"/>
              </w:rPr>
              <w:t>(6)</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40"/>
              <w:spacing w:after="0"/>
              <w:rPr>
                <w:sz w:val="20"/>
                <w:szCs w:val="20"/>
                <w:color w:val="auto"/>
              </w:rPr>
            </w:pPr>
            <w:r>
              <w:rPr>
                <w:rFonts w:ascii="Arial" w:cs="Arial" w:eastAsia="Arial" w:hAnsi="Arial"/>
                <w:sz w:val="18"/>
                <w:szCs w:val="18"/>
                <w:color w:val="auto"/>
              </w:rPr>
              <w:t>NGL fractionation (average volumes in</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thousands of barrels per day)</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Facilities segment total volumes (average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monthly volumes in millions of barrels)</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ectPr>
          <w:pgSz w:w="11900" w:h="16838" w:orient="portrait"/>
          <w:cols w:equalWidth="0" w:num="1">
            <w:col w:w="11420"/>
          </w:cols>
          <w:pgMar w:left="240" w:top="125"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640" w:hanging="652"/>
        <w:spacing w:after="0" w:line="21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(i) the sale of our Bluewater facility in June 2017, (ii) changes in base gas and (iii)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180" w:hanging="652"/>
        <w:spacing w:after="0" w:line="235"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04"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Variances in revenues and average monthly volumes for the comparative periods were driven by:</w:t>
      </w:r>
    </w:p>
    <w:p>
      <w:pPr>
        <w:spacing w:after="0" w:line="225" w:lineRule="exact"/>
        <w:rPr>
          <w:rFonts w:ascii="Arial" w:cs="Arial" w:eastAsia="Arial" w:hAnsi="Arial"/>
          <w:sz w:val="25"/>
          <w:szCs w:val="25"/>
          <w:color w:val="auto"/>
          <w:vertAlign w:val="superscript"/>
        </w:rPr>
      </w:pPr>
    </w:p>
    <w:p>
      <w:pPr>
        <w:ind w:left="660" w:hanging="328"/>
        <w:spacing w:after="0" w:line="279"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NGL Storage, NGL Fractionation and Canadian Natural Gas Processing — Revenues increased by $23 million and $82 million for the three and nine months ended September 30, 2017, respectively, compared to the same periods in 2016 primarily due to contributions from the Western Canada NGL assets we acquired in August 2016 and increased storage capacity at our Fort Saskatchewan facility, as well as higher fees at certain of our NGL storage and fractionation facilities, which were largely incurred in our Supply and Logistics segment results.</w:t>
      </w:r>
    </w:p>
    <w:p>
      <w:pPr>
        <w:spacing w:after="0" w:line="171" w:lineRule="exact"/>
        <w:rPr>
          <w:rFonts w:ascii="Arial" w:cs="Arial" w:eastAsia="Arial" w:hAnsi="Arial"/>
          <w:sz w:val="17"/>
          <w:szCs w:val="17"/>
          <w:color w:val="auto"/>
        </w:rPr>
      </w:pPr>
    </w:p>
    <w:p>
      <w:pPr>
        <w:ind w:left="660" w:right="40" w:hanging="328"/>
        <w:spacing w:after="0" w:line="259"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Rail Terminals — Revenues decreased by $9 million and $25 million for the three and nine months ended September 30, 2017, respectively, compared to the three and nine months ended September 30, 2016 primarily due to lower volumes at our U.S. terminals resulting from less favorable market conditions. The decrease for the nine-month period was partially offset by revenues and volumes from our Fort Saskatchewan rail terminal that came on line in April 2016.</w:t>
      </w:r>
    </w:p>
    <w:p>
      <w:pPr>
        <w:spacing w:after="0" w:line="186" w:lineRule="exact"/>
        <w:rPr>
          <w:rFonts w:ascii="Arial" w:cs="Arial" w:eastAsia="Arial" w:hAnsi="Arial"/>
          <w:sz w:val="18"/>
          <w:szCs w:val="18"/>
          <w:color w:val="auto"/>
        </w:rPr>
      </w:pPr>
    </w:p>
    <w:p>
      <w:pPr>
        <w:ind w:left="660" w:right="20" w:hanging="328"/>
        <w:spacing w:after="0" w:line="255"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Crude Oil Storage — Revenues increased by $1 million for the three months ended September 30, 2017 compared to the three months ended September 30, 2016 and decreased by $3 million for the nine months ended September 30, 2017 compared to the same 2016 period. Both of the 2017 periods were positively impacted by increased revenues from our Cushing terminal due to capacity expansions of approximately 2 million barrels and increased terminal throughput. These positive results were offset (i) for the three-month comparative period, by decreased marine activity and (ii) for the nine-month comparative period, by decreased utilization at certain of our West Coast terminals and the sale of certain of our East Coast terminals in April 2016.</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(excluding equity-indexed compensation expense)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compared to the nine months ended September 30, 2016 was primarily due to reduced rail activity, cost reduction efforts and the sales of our Bluewater natural gas storage facility in June 2017 and certain of our East Coast terminals in April 2016. Such decreases were largely offset by an increase in operating costs associated with the Western Canada NGL assets acquired in August 2016 and increased power costs. The three-month comparative period was also impacted by property tax refunds received during the third quarter of 2016.</w:t>
      </w:r>
    </w:p>
    <w:p>
      <w:pPr>
        <w:spacing w:after="0" w:line="17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increase in maintenance capital for the three and nine months ended September 30, 2017 compared to the same periods in 2016 was primarily due to increased investment in our integrity management program, primarily on assets at our Southern California terminals.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suppliers and natural gas sales attributable to the activities that were previously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w w:val="95"/>
              </w:rPr>
              <w:t>Equity-indexed compensation expense -</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w w:val="95"/>
              </w:rPr>
              <w:t>Equity-indexed compensation expense -</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51"/>
        </w:trPr>
        <w:tc>
          <w:tcPr>
            <w:tcW w:w="3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20" w:type="dxa"/>
            <w:vAlign w:val="bottom"/>
          </w:tcPr>
          <w:p>
            <w:pPr>
              <w:spacing w:after="0"/>
              <w:rPr>
                <w:sz w:val="24"/>
                <w:szCs w:val="2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2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0" w:hanging="652"/>
        <w:spacing w:after="0" w:line="21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5"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2017</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September 30, 2016</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Nine months ended September 30, 2017</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2016</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nine months ended September 30, 2017 compared to the same periods in 2016 primarily due to higher crude oil prices. Additionally, revenues and purchases were impacted by net gains and losses from certain derivative activities during the periods.</w:t>
      </w:r>
    </w:p>
    <w:p>
      <w:pPr>
        <w:spacing w:after="0" w:line="188"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Historically, we expected a base level of earnings from our Supply and Logistics segment from the assets employed by this segment. However, over the last 18 to 24 months, competition has increased significantly and, combined with recent and current market conditions, predicting such base level of earnings has been difficult. Our Supply and Logistics segment earnings may be optimized and enhanced when there is a high level of market volatility, favorable basis differentials and/or a steep contango market structure. During certain transitional periods, such as the current extended period of lower crude oil prices, increased competition, low volatility and tight differentials, our ability to generate earnings in this segment is reduced and our segment earnings can be adversely impacted by activities designed to increase utilization of certain of our pipeline and facilities assets. These factors, in combination with overcapacity of midstream assets in certain regions and increased competition that currently exists in most crude oil producing regions, make predicting and then generating baseline-level performance challenging. Our NGL operations are also impacted by similar competitive pressures. In addition,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Net Revenues and Volumes. </w:t>
      </w:r>
      <w:r>
        <w:rPr>
          <w:rFonts w:ascii="Arial" w:cs="Arial" w:eastAsia="Arial" w:hAnsi="Arial"/>
          <w:sz w:val="18"/>
          <w:szCs w:val="18"/>
          <w:color w:val="auto"/>
        </w:rPr>
        <w:t>Our Supply and Logistics segment revenues, net of purchases and related costs, decreased by $246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compared to the three months ended September 30, 2016 and increased by $28 million for the nine months ended September 30, 2017 compared to the same period in 2016. The nine-month comparative period was impacted by gains from certain derivative activities (as discussed further below) that more than offset lower results from less favorable market conditions. The following summarizes the significant items impacting the comparative periods:</w:t>
      </w:r>
    </w:p>
    <w:p>
      <w:pPr>
        <w:spacing w:after="0" w:line="188" w:lineRule="exact"/>
        <w:rPr>
          <w:sz w:val="20"/>
          <w:szCs w:val="20"/>
          <w:color w:val="auto"/>
        </w:rPr>
      </w:pPr>
    </w:p>
    <w:p>
      <w:pPr>
        <w:ind w:left="980" w:right="60" w:hanging="324"/>
        <w:spacing w:after="0" w:line="279"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Crude Oil Operations — Net revenues from our crude oil supply and logistics activities decreased for the three and nine months ended September 30, 2017 as compared to the same periods in 2016, primarily due to lower unit margins from continued and intensifying competition, largely due to overbuilt infrastructure underwritten with volume commitments, and the effect of such on differentials, which reduced arbitrage opportunities. See the “Outlook” section below for additional discussion of recent market conditions.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60" w:hanging="324"/>
        <w:spacing w:after="0" w:line="31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NGL Operations — Net revenues from our NGL operations increased slightly for the three months ended September 30, 2017 compared to the same period in 2016 due to higher propane sales margins, which are primarily timing-related within the 2017-2018 heating season, partially offset by higher storage and processing fees for the 2017 period, which were largely offset in our Facilities segment results.</w:t>
      </w:r>
    </w:p>
    <w:p>
      <w:pPr>
        <w:spacing w:after="0" w:line="146" w:lineRule="exact"/>
        <w:rPr>
          <w:rFonts w:ascii="Arial" w:cs="Arial" w:eastAsia="Arial" w:hAnsi="Arial"/>
          <w:sz w:val="16"/>
          <w:szCs w:val="16"/>
          <w:color w:val="auto"/>
        </w:rPr>
      </w:pPr>
    </w:p>
    <w:p>
      <w:pPr>
        <w:ind w:left="980" w:right="180"/>
        <w:spacing w:after="0" w:line="257" w:lineRule="auto"/>
        <w:rPr>
          <w:rFonts w:ascii="Arial" w:cs="Arial" w:eastAsia="Arial" w:hAnsi="Arial"/>
          <w:sz w:val="16"/>
          <w:szCs w:val="16"/>
          <w:color w:val="auto"/>
        </w:rPr>
      </w:pPr>
      <w:r>
        <w:rPr>
          <w:rFonts w:ascii="Arial" w:cs="Arial" w:eastAsia="Arial" w:hAnsi="Arial"/>
          <w:sz w:val="18"/>
          <w:szCs w:val="18"/>
          <w:color w:val="auto"/>
        </w:rPr>
        <w:t>Net revenues from our NGL operations decreased for the nine months ended September 30, 2017 as compared to the same period in 2016, largely due to (i) higher supply costs and tighter differentials driven by competition, which more than offset higher sales volume from the Western Canada NGL assets acquired in August 2016, (ii) warmer weather during the 2016-2017 heating season and (iii) higher storage and processing fees for the 2017 period, which were largely offset in our Facilities segment results. These decreases were partially offset by higher propane sales margins in the third quarter of 2017, as discussed above.</w:t>
      </w:r>
    </w:p>
    <w:p>
      <w:pPr>
        <w:spacing w:after="0" w:line="188" w:lineRule="exact"/>
        <w:rPr>
          <w:rFonts w:ascii="Arial" w:cs="Arial" w:eastAsia="Arial" w:hAnsi="Arial"/>
          <w:sz w:val="16"/>
          <w:szCs w:val="16"/>
          <w:color w:val="auto"/>
        </w:rPr>
      </w:pPr>
    </w:p>
    <w:p>
      <w:pPr>
        <w:ind w:left="980" w:right="80" w:hanging="324"/>
        <w:spacing w:after="0" w:line="255"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impact from certain derivative activities on our net 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Exchange Impacts — Our net revenues are impacted by fluctuations in the value of CAD to USD, resulting in foreign exchange gains and 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compared to the three and nine months ended September 30, 2016 was primarily due to lower trucking costs as pipeline expansion projects were placed into service.</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Depreciation and amortization expense increased for the three and nine months ended September 30, 2017 compared to the three and nine months ended September 30, 2016 primarily due to (i) additional depreciation and amortization expense associated with recently acquired assets, (ii) the completion of various capital expansion projects during the comparative periods, (iii) an acceleration of depreciation on certain pipeline and rail assets to reflect a change in their estimated useful lives and (iv) the write-off of approximately $6 million and $13 million of costs during 2017 and 2016, respectively, resulting from the discontinuation of certain capital projects. Depreciation and amortization expense was further impacted by net losses for the three and nine months ended September 30, 2017 of approximately $15 million and $15 million, respectively, and net gains for the three and nine months ended September 30, 2016 of approximately $84 million and $100 million, respectively, associated with sales of non-core assets and joint venture formations during the periods. For the nine-month comparative periods, such increases were partially offset by the impact during the second quarter of 2016 of impairment losses of approximately $80 million associated with certain of our rail and other terminal assets and an $18 million charge related to assets taken out of service.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increase in interest expense for the three and nine months ended September 30, 2017 over the three and nine months ended September 30, 2016 was primarily due to (i) a higher weighted average debt balance during the 2017 periods and (ii) losses of $8 million and $10 million recognized during the three and nine months ended September 30, 2017, respectively, due to anticipated hedged transactions being probable of not occurring. The nine-month comparative period was further impacted by lower capitalized interest in the 2017 period driven by fewer capital projects under construction.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decrease in Other income/(expense), net for the three and nine months ended September 30, 2017 compared to the same periods in 2016 was primarily related to the mark-to-market adjustment of our Preferred Distribution Rate Reset Option, which was a gain of $2 million and a gain of less than $1 million for the three and nine months ended September 30, 2017, respectively, compared to gains of $17 million and $42 million for the three and nine months ended September 30, 2016, respectively. See Note 10 to our Condensed Consolidated Financial Statements for additional information. Excluding such impacts, Other income/(expense), net for the periods presented was primarily comprised of gains or losses from the revaluation of foreign currency transactions and monetary assets and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net income tax benefit for the three months ended September 30, 2017 resulted primarily from derivative mark-to-market losses in our Canadian operations and was a favorable variance from the income tax expense in the comparable 2016 period. Income tax expense increased for the nine months ended September 30, 2017 compared to the nine months ended September 30, 2016 primarily due to higher year-over-year income as impacted by fluctuations in derivative mark-to-market valuations in our Canadian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See “Management’s Discussion and Analysis of Financial Condition and Results of Operations—Market Overview and Outlook” included in Item 7 of our 2016 Annual Report on Form 10-K for a discussion of historical crude oil market conditions and our view on potential drilling and production activity levels. The increase in crude oil prices during the fourth quarter of 2016 and early 2017 led to increased rig activity in areas where we anticipated production levels to increase, most notably the Permian Basin and the STACK resource play in Oklahoma. In the third quarter of 2017, crude oil prices trended in line with the second quarter average.</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Rig activity during the third quarter continued to increase for the Lower 48 onshore producing basins in aggregate, but at a much slower rate than the second quarter. This aggregate increase includes reduced rig activity in certain of the Lower 48 onshore producing basins, which was offset by an 8% increase in rig activity in the Permian Basin by adding approximately 28 rigs over the ensuing three month period. However, we expect a continuation of a time lag between increased drilling activity and increased production as producers shift to multiple well pad operations and delayed scheduling of completion activities. These trends have led to a rising inventory of drilled but uncompleted (“DUC”) wells in the Permian Basin. According to the U.S. Energy Information Administration, in the Permian Basin alone, DUC inventory has increased by nearly 1,200 DUCs since the beginning of 2016, with total current inventory of approximately 2,400 DUCs. Approximately 80% of this increase in DUC inventory accumulated within the first nine months of 2017, during which DUC additions averaged approximately 100 per month. While the timing of DUC completion activity is difficult to forecast, DUC inventory and increases in well productivity could have a positive impact on either the rate of production growth or the ability of producers to maintain production at current levels in the event rig activity slows.</w:t>
      </w:r>
    </w:p>
    <w:p>
      <w:pPr>
        <w:spacing w:after="0" w:line="1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Taking all of these factors into account, we continue to expect production levels to increase in the fourth quarter of this year and during 2018. The increased production levels should continue to increase pipeline utilization in our Transportation segment. Longer term, we believe rising production levels will also provide some potential relief on the margin compression we have been experiencing within our Supply and Logistics segment. However, we can provide no assurance that an improvement in production levels and other market conditions will be achieved or that we will not be negatively impacted by declining crude oil supply, lower commodity prices, reduced producer activity levels, competition for incremental volumes, reduced margins, low levels of volatility, challenging capital markets conditions or other related factors. A low crude oil price environment could have a material adverse impact on drilling and completion activity. Additionally, construction of additional infrastructure by us and our competitors could lead to even greater levels of excess takeaway capacity in certain areas for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near- to medium-term, which could further reduce unit margins in our various segments, and which could be exacerbated by declining levels of crude oil producer activity. Specifically, our Supply and Logistics segment has been most heavily impacted by margin compression driven by factors such as these. Within our Supply and Logistics segment, our crude oil activities were the first to experience significant margin compression, and recently, our NGL activities have become adversely impacted by margin compression as well, substantially driven by increased competition in supply areas and tighter differentials between Canadian and U.S. markets. In addition, in the current environment of increased competition, relatively flat to slightly backwardated futures price curves, narrow grade differentials and low regional basis differentials in many areas, the prospects for capturing arbitrage opportunities of the type and amount that we have historically been able to capture is significantly reduced. The near-term outlook for our Supply and Logistics segment is that such conditions are likely to continue; accordingly, our earnings from our Supply and Logistics segment are difficult to forecast and we can provide no assurance that conditions will improve or that we will be able to achieve our earnings objectives in this segment. Finally, we cannot be certain that our expansion efforts will generate targeted returns or that any recently completed or future acquisition activities will be successful. See “Risk Factors—Risks Related to Our Business” discussed in Item 1A of our 2016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from Line 901 (see Note 12 to our Condensed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$124 million as of September 30, 2017.</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own a 54% undivided joint interest in the Capline Pipeline (“Capline”) system, which originates in St. James, Louisiana and terminates in Patoka, Illinois. We anticipate the construction of new crude oil pipeline infrastructure and the ongoing changing crude oil flows in the United States may result in a decline in volumes on the Capline system in future years to levels that cannot sustain operations. The owners of the Capline system are considering various alternatives for the use of the pipeline system, including an assessment of the commercial potential to reverse the pipeline direction within the next several years. In early October, the operator of Capline announced that the owners of the pipeline system are launching a non-binding open season to gauge shipper interest in a possible reversal of Capline. Developments in the commercial outlook for the Capline system could result in incurring costs associated with retiring certain assets or an impairment of the carrying value of our interest in the Capline system, which was $196 million as of September 30,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non-core asset sales program, as further discussed below in the section entitled “—Acquisitions, Investments, Expansion Capital Expenditures and Divestitures.”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non-core assets. As of September 30, 2017, we had a working capital deficit of $1 million and approximately $2.5 billion of liquidity available to meet our ongoing operating, investing and financing needs, subject to continued covenant compliance, as noted below (in millions):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September 30, 2017</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1,584</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568</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commercial paper program</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2,487</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1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100" w:hanging="652"/>
        <w:spacing w:after="0" w:line="21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Available capacity was reduced by outstanding letters of credit of $95 million, comprised of $16 million under the senior unsecured revolving credit facility and $79 million under the senior secured hedged inventory facility.</w:t>
      </w:r>
    </w:p>
    <w:p>
      <w:pPr>
        <w:spacing w:after="0" w:line="20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and/or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2016 Annual Report on Form 10-K for further discussion regarding such risks that may impact our liquidity and capital resources. Usage of the credit facilities, which provide the backstop for the commercial paper program, is subject to ongoing compliance with covenants. As of September 30, 2017, we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2016 Annual Report on Form 10-K.</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Net cash provided by operating activities for the first nine months of 2017 and 2016 was $1.918 billion and $648 million, respectively, and primarily resulted from earnings from our operations.</w:t>
      </w:r>
    </w:p>
    <w:p>
      <w:pPr>
        <w:spacing w:after="0" w:line="170"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Net cash provided by operating activities for the 2017 period was positively impacted by decreases in (i) the volume of crude oil inventory that we held and (ii) the margin balances required as part of our hedging activities, both of which had been funded by short-term debt. This was consistent with our plan to reduce our hedged inventory volumes, and the cash inflows associated 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nine months ended September 30, 2016, we increased our inventory levels and margin balances required as part of our hedging activities that were funded by short-term debt, resulting in an unfavorable impact on our cash provided by operating activities.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pacing w:after="0" w:line="16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At September 30, 2017 and December 31, 2016, counterparty deficiencies associated with agreements that include minimum volume commitments totaled $58 million and $66 million, respectively, of which $41 million and $54 million, respectively, was recorded as deferred revenue. The remaining balance of $17 million and $12 million at September 30,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and December 31, 2016,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to our operating needs discussed above, we also use cash for our acquisition activities and expansion capital projects. Historically, we have financed these expenditures primarily with cash generated by operating activities and the financing activities discussed in “—Equity and Debt Financing Activities” below. In the near term, we also intend to use proceeds from our asset sales program, as discussed further below. We have made and will continue to make capital expenditures for acquisitions, expansion capital projects and maintenance activities.</w:t>
      </w:r>
    </w:p>
    <w:p>
      <w:pPr>
        <w:spacing w:after="0" w:line="17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i w:val="1"/>
          <w:iCs w:val="1"/>
          <w:color w:val="auto"/>
        </w:rPr>
        <w:t>Acquisitions</w:t>
      </w:r>
      <w:r>
        <w:rPr>
          <w:rFonts w:ascii="Arial" w:cs="Arial" w:eastAsia="Arial" w:hAnsi="Arial"/>
          <w:sz w:val="16"/>
          <w:szCs w:val="16"/>
          <w:color w:val="auto"/>
        </w:rPr>
        <w:t>. During the nine months ended September 30, 2017 and 2016, we paid cash of $1.282 billion (net of cash acquired of $4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$282 million (net of cash acquired of $7 million), respectively, for acquisitions. The acquisitions completed during the nine months ended September 30,</w:t>
      </w:r>
    </w:p>
    <w:p>
      <w:pPr>
        <w:spacing w:after="0" w:line="290" w:lineRule="auto"/>
        <w:rPr>
          <w:sz w:val="20"/>
          <w:szCs w:val="20"/>
          <w:color w:val="auto"/>
        </w:rPr>
      </w:pPr>
      <w:r>
        <w:rPr>
          <w:rFonts w:ascii="Arial" w:cs="Arial" w:eastAsia="Arial" w:hAnsi="Arial"/>
          <w:sz w:val="16"/>
          <w:szCs w:val="16"/>
          <w:color w:val="auto"/>
        </w:rPr>
        <w:t>2017 primarily included the ACC System located in the Northern Delaware Basin in Southeastern New Mexico and West Texas. See Note 6 to our Condensed Consolidated Financial Statements for additional information regarding the ACC Acquisition.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 Additionally, we and an affiliate of Noble Midstream Partners LP completed the acquisition of Advantage Pipeline, L.L.C. for a purchase price of $133 million through a newly formed 50/50 joint venture. For our 50% share ($66.5 million), we contributed approximately 1.3 million common units and approximately $26 million in cash.</w:t>
      </w:r>
    </w:p>
    <w:p>
      <w:pPr>
        <w:spacing w:after="0" w:line="164"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i w:val="1"/>
          <w:iCs w:val="1"/>
          <w:color w:val="auto"/>
        </w:rPr>
        <w:t xml:space="preserve">Capital Projects. </w:t>
      </w:r>
      <w:r>
        <w:rPr>
          <w:rFonts w:ascii="Arial" w:cs="Arial" w:eastAsia="Arial" w:hAnsi="Arial"/>
          <w:sz w:val="16"/>
          <w:szCs w:val="16"/>
          <w:color w:val="auto"/>
        </w:rPr>
        <w:t>We invested approximately $893 million in midstream infrastructure during the nine months ended September 30, 2017, and we</w:t>
      </w:r>
      <w:r>
        <w:rPr>
          <w:rFonts w:ascii="Arial" w:cs="Arial" w:eastAsia="Arial" w:hAnsi="Arial"/>
          <w:sz w:val="16"/>
          <w:szCs w:val="16"/>
          <w:i w:val="1"/>
          <w:iCs w:val="1"/>
          <w:color w:val="auto"/>
        </w:rPr>
        <w:t xml:space="preserve"> </w:t>
      </w:r>
      <w:r>
        <w:rPr>
          <w:rFonts w:ascii="Arial" w:cs="Arial" w:eastAsia="Arial" w:hAnsi="Arial"/>
          <w:sz w:val="16"/>
          <w:szCs w:val="16"/>
          <w:color w:val="auto"/>
        </w:rPr>
        <w:t>expect to invest approximately $1.050 billion during the full year ended December 31, 2017. See “—Acquisitions and Capital Projects” for detail of our projected capital expenditures for the year ending December 31, 2017. Our preliminary forecast for our 2018 expansion capital program is $700 million.</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funded a majority of our 2017 capital program with proceeds from our common unit issuances during the first quarter of 2017, and we expect to fund our remaining 2017 program and our 2018 program with proceeds from our October 2017 Series B preferred unit offering, retained cash flow and the sale of various non-core assets.</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Divestitures</w:t>
      </w:r>
      <w:r>
        <w:rPr>
          <w:rFonts w:ascii="Arial" w:cs="Arial" w:eastAsia="Arial" w:hAnsi="Arial"/>
          <w:sz w:val="17"/>
          <w:szCs w:val="17"/>
          <w:color w:val="auto"/>
        </w:rPr>
        <w:t>. Our divestiture program includes the evaluation of potential sales of non-core assets and/or sales of partial interests in assets to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joint venture partners to optimize our asset portfolio and strengthen our balance sheet and leverage metrics. We received proceeds of $407 million from the sale of non-core assets during the nine months ended September 30, 2017, and during the fourth quarter of 2017, we sold our interests in certain non-core pipelines in the Rocky Mountain, Bakken and Mid-Continent regions for aggregate proceeds of approximately $385 million. See Note 6 to our Condensed Consolidated Financial Statements for additional information regarding these asset sales and divestitures.</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third quarter of 2017, in order to avoid continued uncertainty and costs associated with efforts by the Attorney General for the State of California to block the proposed transaction, our previously disclosed definitive agreement for the potential sale of terminal assets located in Northern California was jointly terminated by us and the potential third party purchaser. During the fourth quarter of 2017, we entered into definitive agreements to sell these assets to another third-party purchaser.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Registration Statements</w:t>
      </w:r>
      <w:r>
        <w:rPr>
          <w:rFonts w:ascii="Arial" w:cs="Arial" w:eastAsia="Arial" w:hAnsi="Arial"/>
          <w:sz w:val="17"/>
          <w:szCs w:val="17"/>
          <w:color w:val="auto"/>
        </w:rPr>
        <w:t>. We periodically access the capital markets for both equity and debt financing. We have filed with the SEC a universal shelf</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that, subject to effectiveness at the time of use, allows us to issue up to an aggregate of $2.0 billion of debt or equity securities (“Traditional Shelf”). Our issuances of equity securities associated with our Continuous Offering Program have been issued pursuant to the Traditional Shelf. At September 30, 2017,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WKSI Shelf during the nine months ended September 30, 2017; however, our October 2017 Series B preferred unit offering was conducted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under our WKSI Shelf. See Note 9 to our Condensed Consolidated Financial Statements for further discussion of our Series B preferred unit offering.</w:t>
      </w:r>
    </w:p>
    <w:p>
      <w:pPr>
        <w:spacing w:after="0" w:line="237" w:lineRule="exact"/>
        <w:rPr>
          <w:sz w:val="20"/>
          <w:szCs w:val="20"/>
          <w:color w:val="auto"/>
        </w:rPr>
      </w:pPr>
    </w:p>
    <w:p>
      <w:pPr>
        <w:ind w:right="60" w:firstLine="675"/>
        <w:spacing w:after="0" w:line="277" w:lineRule="auto"/>
        <w:rPr>
          <w:sz w:val="20"/>
          <w:szCs w:val="20"/>
          <w:color w:val="auto"/>
        </w:rPr>
      </w:pPr>
      <w:r>
        <w:rPr>
          <w:rFonts w:ascii="Arial" w:cs="Arial" w:eastAsia="Arial" w:hAnsi="Arial"/>
          <w:sz w:val="18"/>
          <w:szCs w:val="18"/>
          <w:i w:val="1"/>
          <w:iCs w:val="1"/>
          <w:color w:val="auto"/>
        </w:rPr>
        <w:t xml:space="preserve">Sales of Common Units. </w:t>
      </w:r>
      <w:r>
        <w:rPr>
          <w:rFonts w:ascii="Arial" w:cs="Arial" w:eastAsia="Arial" w:hAnsi="Arial"/>
          <w:sz w:val="18"/>
          <w:szCs w:val="18"/>
          <w:color w:val="auto"/>
        </w:rPr>
        <w:t>The following table summarizes our sales of common units during the nine months ended September 30, 2017,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in the first four months of the year (net proceeds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2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Common Units Issued</w:t>
            </w:r>
          </w:p>
        </w:tc>
        <w:tc>
          <w:tcPr>
            <w:tcW w:w="5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8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2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4,033,567</w:t>
            </w:r>
          </w:p>
        </w:tc>
        <w:tc>
          <w:tcPr>
            <w:tcW w:w="118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0"/>
        </w:trPr>
        <w:tc>
          <w:tcPr>
            <w:tcW w:w="3820" w:type="dxa"/>
            <w:vAlign w:val="bottom"/>
            <w:tcBorders>
              <w:bottom w:val="single" w:sz="8" w:color="CCEEFF"/>
            </w:tcBorders>
            <w:gridSpan w:val="2"/>
            <w:vMerge w:val="continue"/>
            <w:shd w:val="clear" w:color="auto" w:fill="CCEEFF"/>
          </w:tcPr>
          <w:p>
            <w:pPr>
              <w:spacing w:after="0"/>
              <w:rPr>
                <w:sz w:val="9"/>
                <w:szCs w:val="9"/>
                <w:color w:val="auto"/>
              </w:rPr>
            </w:pPr>
          </w:p>
        </w:tc>
        <w:tc>
          <w:tcPr>
            <w:tcW w:w="3260" w:type="dxa"/>
            <w:vAlign w:val="bottom"/>
            <w:tcBorders>
              <w:bottom w:val="single" w:sz="8" w:color="CCEEFF"/>
            </w:tcBorders>
            <w:vMerge w:val="continue"/>
            <w:shd w:val="clear" w:color="auto" w:fill="CCEEFF"/>
          </w:tcPr>
          <w:p>
            <w:pPr>
              <w:spacing w:after="0"/>
              <w:rPr>
                <w:sz w:val="9"/>
                <w:szCs w:val="9"/>
                <w:color w:val="auto"/>
              </w:rPr>
            </w:pPr>
          </w:p>
        </w:tc>
        <w:tc>
          <w:tcPr>
            <w:tcW w:w="1180" w:type="dxa"/>
            <w:vAlign w:val="bottom"/>
            <w:tcBorders>
              <w:bottom w:val="single" w:sz="8" w:color="CCEEFF"/>
            </w:tcBorders>
            <w:gridSpan w:val="2"/>
            <w:vMerge w:val="continue"/>
            <w:shd w:val="clear" w:color="auto" w:fill="CCEEFF"/>
          </w:tcPr>
          <w:p>
            <w:pPr>
              <w:spacing w:after="0"/>
              <w:rPr>
                <w:sz w:val="9"/>
                <w:szCs w:val="9"/>
                <w:color w:val="auto"/>
              </w:rPr>
            </w:pPr>
          </w:p>
        </w:tc>
        <w:tc>
          <w:tcPr>
            <w:tcW w:w="2620" w:type="dxa"/>
            <w:vAlign w:val="bottom"/>
            <w:tcBorders>
              <w:bottom w:val="single" w:sz="8" w:color="CCEEFF"/>
            </w:tcBorders>
            <w:vMerge w:val="continue"/>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Omnibus Agreement </w:t>
            </w:r>
            <w:r>
              <w:rPr>
                <w:rFonts w:ascii="Arial" w:cs="Arial" w:eastAsia="Arial" w:hAnsi="Arial"/>
                <w:sz w:val="25"/>
                <w:szCs w:val="25"/>
                <w:color w:val="auto"/>
                <w:vertAlign w:val="superscript"/>
              </w:rPr>
              <w:t>(3)</w:t>
            </w:r>
          </w:p>
        </w:tc>
        <w:tc>
          <w:tcPr>
            <w:tcW w:w="3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50,086,326</w:t>
            </w:r>
          </w:p>
        </w:tc>
        <w:tc>
          <w:tcPr>
            <w:tcW w:w="540" w:type="dxa"/>
            <w:vAlign w:val="bottom"/>
            <w:tcBorders>
              <w:bottom w:val="single" w:sz="8" w:color="CCEEFF"/>
            </w:tcBorders>
          </w:tcPr>
          <w:p>
            <w:pPr>
              <w:jc w:val="right"/>
              <w:ind w:right="102"/>
              <w:spacing w:after="0"/>
              <w:rPr>
                <w:sz w:val="20"/>
                <w:szCs w:val="20"/>
                <w:color w:val="auto"/>
              </w:rPr>
            </w:pPr>
            <w:r>
              <w:rPr>
                <w:rFonts w:ascii="Arial" w:cs="Arial" w:eastAsia="Arial" w:hAnsi="Arial"/>
                <w:sz w:val="11"/>
                <w:szCs w:val="11"/>
                <w:color w:val="auto"/>
              </w:rPr>
              <w:t>(4)</w:t>
            </w:r>
          </w:p>
        </w:tc>
        <w:tc>
          <w:tcPr>
            <w:tcW w:w="6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1,535</w:t>
            </w:r>
          </w:p>
        </w:tc>
        <w:tc>
          <w:tcPr>
            <w:tcW w:w="5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54,119,893</w:t>
            </w:r>
          </w:p>
        </w:tc>
        <w:tc>
          <w:tcPr>
            <w:tcW w:w="11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2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1,664</w:t>
            </w: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80" w:hanging="652"/>
        <w:spacing w:after="0" w:line="214"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units issuances under our Continuous Offering Program. We paid $1 million of such commissions during the nine months ended September 30, 2017.</w:t>
      </w:r>
    </w:p>
    <w:p>
      <w:pPr>
        <w:spacing w:after="0" w:line="94" w:lineRule="exact"/>
        <w:rPr>
          <w:rFonts w:ascii="Arial" w:cs="Arial" w:eastAsia="Arial" w:hAnsi="Arial"/>
          <w:sz w:val="25"/>
          <w:szCs w:val="25"/>
          <w:color w:val="auto"/>
          <w:vertAlign w:val="superscript"/>
        </w:rPr>
      </w:pPr>
    </w:p>
    <w:p>
      <w:pPr>
        <w:ind w:left="660" w:right="60" w:hanging="652"/>
        <w:spacing w:after="0" w:line="250" w:lineRule="auto"/>
        <w:tabs>
          <w:tab w:leader="none" w:pos="66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by the Plains Entities in connection with the Simplification Transactions,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w:t>
      </w:r>
    </w:p>
    <w:p>
      <w:pPr>
        <w:spacing w:after="0" w:line="86" w:lineRule="exact"/>
        <w:rPr>
          <w:rFonts w:ascii="Arial" w:cs="Arial" w:eastAsia="Arial" w:hAnsi="Arial"/>
          <w:sz w:val="24"/>
          <w:szCs w:val="24"/>
          <w:color w:val="auto"/>
          <w:vertAlign w:val="superscript"/>
        </w:rPr>
      </w:pPr>
    </w:p>
    <w:p>
      <w:pPr>
        <w:ind w:left="660" w:right="380" w:hanging="652"/>
        <w:spacing w:after="0" w:line="252" w:lineRule="auto"/>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w:t>
      </w:r>
    </w:p>
    <w:p>
      <w:pPr>
        <w:spacing w:after="0" w:line="189" w:lineRule="exact"/>
        <w:rPr>
          <w:sz w:val="20"/>
          <w:szCs w:val="20"/>
          <w:color w:val="auto"/>
        </w:rPr>
      </w:pPr>
    </w:p>
    <w:p>
      <w:pPr>
        <w:ind w:right="20" w:firstLine="675"/>
        <w:spacing w:after="0" w:line="302" w:lineRule="auto"/>
        <w:rPr>
          <w:sz w:val="20"/>
          <w:szCs w:val="20"/>
          <w:color w:val="auto"/>
        </w:rPr>
      </w:pPr>
      <w:r>
        <w:rPr>
          <w:rFonts w:ascii="Arial" w:cs="Arial" w:eastAsia="Arial" w:hAnsi="Arial"/>
          <w:sz w:val="16"/>
          <w:szCs w:val="16"/>
          <w:i w:val="1"/>
          <w:iCs w:val="1"/>
          <w:color w:val="auto"/>
        </w:rPr>
        <w:t xml:space="preserve">Issuance of Series B Preferred Units. </w:t>
      </w:r>
      <w:r>
        <w:rPr>
          <w:rFonts w:ascii="Arial" w:cs="Arial" w:eastAsia="Arial" w:hAnsi="Arial"/>
          <w:sz w:val="16"/>
          <w:szCs w:val="16"/>
          <w:color w:val="auto"/>
        </w:rPr>
        <w:t>On October 10, 2017, we issued 800,000 Series B preferred units at a price to the public of $1,000 per unit. We</w:t>
      </w:r>
      <w:r>
        <w:rPr>
          <w:rFonts w:ascii="Arial" w:cs="Arial" w:eastAsia="Arial" w:hAnsi="Arial"/>
          <w:sz w:val="16"/>
          <w:szCs w:val="16"/>
          <w:i w:val="1"/>
          <w:iCs w:val="1"/>
          <w:color w:val="auto"/>
        </w:rPr>
        <w:t xml:space="preserve"> </w:t>
      </w:r>
      <w:r>
        <w:rPr>
          <w:rFonts w:ascii="Arial" w:cs="Arial" w:eastAsia="Arial" w:hAnsi="Arial"/>
          <w:sz w:val="16"/>
          <w:szCs w:val="16"/>
          <w:color w:val="auto"/>
        </w:rPr>
        <w:t>used the net proceeds of $788 million, after deducting the underwriters’ discounts and offering expenses, from the issuance of the Series B preferred units to repay amounts outstanding under our credit facilities and commercial paper program and for general partnership purposes, including expenditures for our capital program. See Note 9 to our Condensed Consolidated Financial Statements for further discussion of our Series B preferred unit offering.</w:t>
      </w:r>
    </w:p>
    <w:p>
      <w:pPr>
        <w:spacing w:after="0" w:line="154" w:lineRule="exact"/>
        <w:rPr>
          <w:sz w:val="20"/>
          <w:szCs w:val="20"/>
          <w:color w:val="auto"/>
        </w:rPr>
      </w:pPr>
    </w:p>
    <w:p>
      <w:pPr>
        <w:ind w:firstLine="675"/>
        <w:spacing w:after="0" w:line="257"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Our credit agreements (which impact our ability to access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As of September 30, 2017, we were in compliance with the covenants contained in our credit agreements and indentures.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nine months ended September 30, 2017, we had net repayments on our credit facilities and commercial paper program of $108 million. The net repayments resulted primarily from cash flow from operating activities and cash received from our equity activities, which offset borrowings during the period related to funding needs for (i) acquisition and capital investments, (ii) repayment of our $400 million, 6.13% senior notes in January 2017 and (iii) other general partnership purposes.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the nine months ended September 30, 2016, we had net repayments under our credit facilities and commercial paper program of $193 million. The net repayments resulted primarily from cash flow from operating activities and cash received from our equity activities, which offset borrowings during the period related to funding needs for (i) inventory purchases and related margin balances required as part of our hedging activities, (ii) capital investments, (iii) repayment of our $175 million senior notes in August 2016 and (iv) other general partnership purposes.</w:t>
      </w:r>
    </w:p>
    <w:p>
      <w:pPr>
        <w:spacing w:after="0" w:line="17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August 2017, we extended the maturity dates of our senior unsecured revolving credit facility, senior secured hedged inventory facility and senior unsecured 364-day revolving credit facility to August 2022, August 2020 and August 2018, respectively, for each extending lender. Additionally, a provision was added to the 364-day revolving credit facility agreement whereby we may elect to have the entire principal balance of any loans outstanding on the maturity date of the 364-day revolving credit facility converted into a non-revolving term loan with a maturity date of August 2019.</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As part of our action plan announced on August 25, 2017, we intend to reduce our total debt to approximately $9.7 billion by March 31, 2019 by utilizing retained cash flows from reduced distributions and proceeds from remaining asset sales. See “—Executive Summary—Overview of Operating Results, Capital Investments and Other Significant Activities” for further discussion. Accordingly, we intend to redeem a total of $950 million of senior notes before year end 2017, which are our two nearest maturities and among the most expensive of our senior note issues and are comprised of (i) our $600 million of 6.50% senior notes maturing in May 2018 and (ii) our $350 million of 8.75% senior notes maturing in May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On November 14, 2017, we will issue 1,366,593 additional Series A preferred units in lieu of</w:t>
      </w:r>
      <w:r>
        <w:rPr>
          <w:rFonts w:ascii="Arial" w:cs="Arial" w:eastAsia="Arial" w:hAnsi="Arial"/>
          <w:sz w:val="18"/>
          <w:szCs w:val="18"/>
          <w:i w:val="1"/>
          <w:iCs w:val="1"/>
          <w:color w:val="auto"/>
        </w:rPr>
        <w:t xml:space="preserve"> </w:t>
      </w:r>
      <w:r>
        <w:rPr>
          <w:rFonts w:ascii="Arial" w:cs="Arial" w:eastAsia="Arial" w:hAnsi="Arial"/>
          <w:sz w:val="18"/>
          <w:szCs w:val="18"/>
          <w:color w:val="auto"/>
        </w:rPr>
        <w:t>paying a cash distribution of $36 million. See Note 9 to our Condensed Consolidated Financial Statements for details of distributions made during or pertaining to the first nine months of 2017.</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Distributions to Series B unitholders. </w:t>
      </w:r>
      <w:r>
        <w:rPr>
          <w:rFonts w:ascii="Arial" w:cs="Arial" w:eastAsia="Arial" w:hAnsi="Arial"/>
          <w:sz w:val="16"/>
          <w:szCs w:val="16"/>
          <w:color w:val="auto"/>
        </w:rPr>
        <w:t>Holders of our Series B preferred units, which were issued on October 10, 2017, are entitled to receive, when,</w:t>
      </w:r>
      <w:r>
        <w:rPr>
          <w:rFonts w:ascii="Arial" w:cs="Arial" w:eastAsia="Arial" w:hAnsi="Arial"/>
          <w:sz w:val="16"/>
          <w:szCs w:val="16"/>
          <w:i w:val="1"/>
          <w:iCs w:val="1"/>
          <w:color w:val="auto"/>
        </w:rPr>
        <w:t xml:space="preserve"> </w:t>
      </w:r>
      <w:r>
        <w:rPr>
          <w:rFonts w:ascii="Arial" w:cs="Arial" w:eastAsia="Arial" w:hAnsi="Arial"/>
          <w:sz w:val="16"/>
          <w:szCs w:val="16"/>
          <w:color w:val="auto"/>
        </w:rPr>
        <w:t>as and if declared by our general partner out of legally available funds for such purpose, cumulative semiannual or quarterly cash distributions, as applicable. We will pay a pro-rated initial distribution on the Series B preferred units on November 15, 2017 to holders of record at the close of business on November 1, 2017 in an amount equal to approximately $5.9549 per unit (a total distribution of approximately $5 million). See Note 9 to our Condensed Consolidated Financial Statements for further discussion of our Series B preferred units, including distribution rates and payment dates.</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Distributions to our common unitholders. </w:t>
      </w:r>
      <w:r>
        <w:rPr>
          <w:rFonts w:ascii="Arial" w:cs="Arial" w:eastAsia="Arial" w:hAnsi="Arial"/>
          <w:sz w:val="17"/>
          <w:szCs w:val="17"/>
          <w:color w:val="auto"/>
        </w:rPr>
        <w:t>In accordance with our partnership agreement, after making distributions to holders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On November 14, 2017, we will pay a quarterly distribution of $0.30 per common unit ($1.20 per common unit on an annualized basis), which equates to a reduction of approximately 45% compared to the quarterly distribution of $0.55 per common unit ($2.20 per common unit on an annualized basis) paid in August 2017. This reduction is part of our action plan to adopt a distribution approach underpinned by fee-based business activities, to reduce our leverage thereby improving our credit metrics and to position ourself for future distribution growth. Cash retained will be used to reduce indebtedness. See “—Executive Summary—Overview of Operating Results, Capital Investments and Other Significant Activities” for further discussion. See Note 9 to our Condensed Consolidated Financial Statements for details of distributions paid during or pertaining to the first nine months of 2017. Also, see Item 5. “Market for Registrant’s Common Units, Related Unitholder Matters and Issuer Purchases of Equity Securities—Cash Distribution Policy” included in our 2016 Annual Report on Form 10-K for additional discussion regarding distributions.</w:t>
      </w:r>
    </w:p>
    <w:p>
      <w:pPr>
        <w:spacing w:after="0" w:line="18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September 30, 2017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Remainder of 2017</w:t>
            </w: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2022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 and</w:t>
            </w: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5"/>
                <w:szCs w:val="25"/>
                <w:color w:val="auto"/>
                <w:vertAlign w:val="superscript"/>
              </w:rPr>
              <w:t>(1)</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15,917</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(2)</w:t>
            </w:r>
          </w:p>
        </w:tc>
        <w:tc>
          <w:tcPr>
            <w:tcW w:w="4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12,053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18,271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4,682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9,224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26,748</w:t>
            </w:r>
          </w:p>
        </w:tc>
        <w:tc>
          <w:tcPr>
            <w:tcW w:w="0" w:type="dxa"/>
            <w:vAlign w:val="bottom"/>
          </w:tcPr>
          <w:p>
            <w:pPr>
              <w:spacing w:after="0"/>
              <w:rPr>
                <w:sz w:val="1"/>
                <w:szCs w:val="1"/>
                <w:color w:val="auto"/>
              </w:rPr>
            </w:pPr>
          </w:p>
        </w:tc>
      </w:tr>
      <w:tr>
        <w:trPr>
          <w:trHeight w:val="25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5,532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21,277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45,019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20" w:hanging="652"/>
        <w:spacing w:after="0" w:line="268" w:lineRule="auto"/>
        <w:tabs>
          <w:tab w:leader="none" w:pos="66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Includes debt service payments, interest payments due on senior notes and the commitment fee on assumed available capacity under our credit facilities and long-term borrowings under our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73" w:lineRule="exact"/>
        <w:rPr>
          <w:rFonts w:ascii="Arial" w:cs="Arial" w:eastAsia="Arial" w:hAnsi="Arial"/>
          <w:sz w:val="22"/>
          <w:szCs w:val="22"/>
          <w:color w:val="auto"/>
          <w:vertAlign w:val="superscript"/>
        </w:rPr>
      </w:pPr>
    </w:p>
    <w:p>
      <w:pPr>
        <w:ind w:left="660" w:right="380" w:hanging="652"/>
        <w:spacing w:after="0" w:line="216"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capital and operating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$780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60" w:hanging="652"/>
        <w:spacing w:after="0" w:line="238" w:lineRule="auto"/>
        <w:tabs>
          <w:tab w:leader="none" w:pos="66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September 2017.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and construction activities. At September 30, 2017 and December 31, 2016, we had outstanding letters of credit of approximately $95 million and $73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2016 Annual Report on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infrastructure projects, which impacts volumes, margins, returns and overall earnings;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2016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52" w:lineRule="exact"/>
        <w:rPr>
          <w:sz w:val="20"/>
          <w:szCs w:val="20"/>
          <w:color w:val="auto"/>
        </w:rPr>
      </w:pPr>
    </w:p>
    <w:p>
      <w:pPr>
        <w:ind w:left="1360" w:hanging="704"/>
        <w:spacing w:after="0"/>
        <w:tabs>
          <w:tab w:leader="none" w:pos="136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39" w:lineRule="exact"/>
        <w:rPr>
          <w:sz w:val="20"/>
          <w:szCs w:val="20"/>
          <w:color w:val="auto"/>
        </w:rPr>
      </w:pPr>
    </w:p>
    <w:p>
      <w:pPr>
        <w:ind w:left="1300" w:right="30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74" w:lineRule="exact"/>
        <w:rPr>
          <w:sz w:val="20"/>
          <w:szCs w:val="20"/>
          <w:color w:val="auto"/>
        </w:rPr>
      </w:pPr>
    </w:p>
    <w:p>
      <w:pPr>
        <w:ind w:left="1360" w:hanging="704"/>
        <w:spacing w:after="0"/>
        <w:tabs>
          <w:tab w:leader="none" w:pos="13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39"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60" w:hanging="704"/>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39" w:lineRule="exact"/>
        <w:rPr>
          <w:sz w:val="20"/>
          <w:szCs w:val="20"/>
          <w:color w:val="auto"/>
        </w:rPr>
      </w:pPr>
    </w:p>
    <w:p>
      <w:pPr>
        <w:ind w:left="1300" w:right="120"/>
        <w:spacing w:after="0" w:line="312" w:lineRule="auto"/>
        <w:rPr>
          <w:sz w:val="20"/>
          <w:szCs w:val="20"/>
          <w:color w:val="auto"/>
        </w:rPr>
      </w:pPr>
      <w:r>
        <w:rPr>
          <w:rFonts w:ascii="Arial" w:cs="Arial" w:eastAsia="Arial" w:hAnsi="Arial"/>
          <w:sz w:val="16"/>
          <w:szCs w:val="16"/>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2017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September 30, 2017, approximately $1.5 billion, was subject to interest rate re-sets that range from less than one week to approximately three months. The average interest rate on variable rate debt that was outstanding during the nine months ended September 30, 2017 was 2.0%, based upon rates in effect during such period. The fair value of our interest rate derivatives was a liability of $34 million as of September 30, 2017. A 10% increase in the forward LIBOR curve as of September 30, 2017 would have resulted in an increase of $33 million to the fair value of our interest rate derivatives. A 10% decrease in the forward LIBOR curve as of September 30, 2017 would have resulted in a decrease of $33 million to the fair value of our interest rate derivatives. See Note 10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an asset of $2 million as of September 30, 2017. A 10% increase in the exchange rate (USD-to-CAD) would have resulted in a decrease of $24 million to the fair value of our foreign currency derivatives. A 10% decrease in the exchange rate (USD-to-CAD) would have resulted in an increase of $24 million to the fair value of our foreign currency derivatives. See Note 10 to our Condensed Consolidated Financial Statements for a discussion of our currency exchange rate risk hedging.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and default probabilities to ultimately calculate the fair value of our Series A preferred units with and without the Preferred Distribution Rate Reset Option. The fair value of this embedded derivative was a liability of $33 million as of September 30, 2017. A 10% increase in the fair value would have an impact of $3 million. A 10% decrease in the fair value would also have an impact of $3 million. See Note 10 to our Condensed Consolidated Financial Statements for a discussion of embedded derivatives.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2017,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2017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2016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Common Units</w:t>
      </w:r>
      <w:r>
        <w:rPr>
          <w:rFonts w:ascii="Arial" w:cs="Arial" w:eastAsia="Arial" w:hAnsi="Arial"/>
          <w:sz w:val="16"/>
          <w:szCs w:val="16"/>
          <w:color w:val="auto"/>
        </w:rPr>
        <w:t>. The Omnibus Agreement, entered into as part of the Simplification Transactions, provides for the mechanics by which (i)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PAGP’s outstanding Class A shares will equal the number of AAP units held by PAGP, and (ii) the total number of our common units held by AAP will equal the sum of the number of outstanding AAP units and the number of AAP units that are issuable to the holders of vested and earned AAP Management Units. As such, we are obligated to issue common units to AAP in connection with PAGP’s issuance of Class A shares upon PAGP LTIP award vestings. During the three months ended September 30, 2017, we issued 11,250 common units to AAP in connection with PAGP LTIP award vestings. The issuance of all such common units to AAP was exempt from the registration requirements of the Securities Act of 1933, as amended, pursuant to Section 4(a)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 thereof.</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Series A Preferred Units</w:t>
      </w:r>
      <w:r>
        <w:rPr>
          <w:rFonts w:ascii="Arial" w:cs="Arial" w:eastAsia="Arial" w:hAnsi="Arial"/>
          <w:sz w:val="16"/>
          <w:szCs w:val="16"/>
          <w:color w:val="auto"/>
        </w:rPr>
        <w:t>. With respect to any quarter ending on or prior to December 31, 2017, we may elect to pay distributions on our Series A</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units in additional preferred units, in cash or a combination of both. During the three months ended September 30, 2017 we issued 1,339,796 additional Series A preferred units in lieu of a cash distribution of $35 million. The issuance of the Series A preferred units, in connection with the quarterly distribution for the Series A preferred units, was exempt from the registration requirements of the Securities Act of 1933, as amended, pursuant to Section 4(a)(2) thereof. Our Series A preferred units are convertible into common units, generally on a one-for-one basis and subject to customary antidiultion adjustments and certain minimum conversion amounts, at any time after January 28, 2018. See Note 11 to our Consolidated Financial Statements included in Part IV of our 2016 Annual Report on Form 10-K for additional information regarding our Series A preferred units.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5"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AAP, L.P.,</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auto"/>
        </w:rPr>
        <w:t>Vice President —Accounting and Chief Accounting Officer of</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7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0" w:type="dxa"/>
            <w:vAlign w:val="bottom"/>
            <w:gridSpan w:val="27"/>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80" w:type="dxa"/>
            <w:vAlign w:val="bottom"/>
          </w:tcPr>
          <w:p>
            <w:pPr>
              <w:ind w:left="40"/>
              <w:spacing w:after="0"/>
              <w:rPr>
                <w:sz w:val="20"/>
                <w:szCs w:val="20"/>
                <w:color w:val="auto"/>
              </w:rPr>
            </w:pPr>
            <w:r>
              <w:rPr>
                <w:rFonts w:ascii="Arial" w:cs="Arial" w:eastAsia="Arial" w:hAnsi="Arial"/>
                <w:sz w:val="18"/>
                <w:szCs w:val="18"/>
                <w:color w:val="auto"/>
              </w:rPr>
              <w:t>2.1 *</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80" w:type="dxa"/>
            <w:vAlign w:val="bottom"/>
            <w:tcBorders>
              <w:bottom w:val="single" w:sz="8" w:color="0000FF"/>
            </w:tcBorders>
            <w:gridSpan w:val="23"/>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Securities Purchase Agreement dated as of January 19, 2017 by and between COG Operating LLC, as seller, and Plains Pipeline,</w:t>
              </w:r>
            </w:hyperlink>
          </w:p>
        </w:tc>
        <w:tc>
          <w:tcPr>
            <w:tcW w:w="180" w:type="dxa"/>
            <w:vAlign w:val="bottom"/>
            <w:gridSpan w:val="5"/>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4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L.P., as purchaser (the schedules and exhibits have been omitted pursuant to Item 601(b)(2) of Regulation S-K) (incorporated by</w:t>
              </w:r>
            </w:hyperlink>
          </w:p>
        </w:tc>
        <w:tc>
          <w:tcPr>
            <w:tcW w:w="220" w:type="dxa"/>
            <w:vAlign w:val="bottom"/>
            <w:gridSpan w:val="6"/>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reference to Exhibit 2.1 to our Quarterly Report on Form 10-Q for the quarter ended March 31, 2017).</w:t>
              </w:r>
            </w:hyperlink>
          </w:p>
        </w:tc>
      </w:tr>
      <w:tr>
        <w:trPr>
          <w:trHeight w:val="20"/>
        </w:trPr>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80" w:type="dxa"/>
            <w:vAlign w:val="bottom"/>
          </w:tcPr>
          <w:p>
            <w:pPr>
              <w:ind w:left="40"/>
              <w:spacing w:after="0"/>
              <w:rPr>
                <w:sz w:val="20"/>
                <w:szCs w:val="20"/>
                <w:color w:val="auto"/>
              </w:rPr>
            </w:pPr>
            <w:r>
              <w:rPr>
                <w:rFonts w:ascii="Arial" w:cs="Arial" w:eastAsia="Arial" w:hAnsi="Arial"/>
                <w:sz w:val="18"/>
                <w:szCs w:val="18"/>
                <w:color w:val="auto"/>
              </w:rPr>
              <w:t>2.2 *</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8"/>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Securities Purchase Agreement dated as of January 19, 2017 by and between Frontier Midstream Solutions, LLC, as seller, and</w:t>
              </w:r>
            </w:hyperlink>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Plains Pipeline, L.P., as purchaser (the schedules and exhibits have been omitted pursuant to Item 601(b)(2) of Regulation S-K)</w:t>
              </w:r>
            </w:hyperlink>
          </w:p>
        </w:tc>
        <w:tc>
          <w:tcPr>
            <w:tcW w:w="280" w:type="dxa"/>
            <w:vAlign w:val="bottom"/>
            <w:gridSpan w:val="7"/>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(incorporated by reference to Exhibit 2.2 to our Quarterly Report on Form 10-Q for the quarter ended March 31, 2017).</w:t>
              </w:r>
            </w:hyperlink>
          </w:p>
        </w:tc>
        <w:tc>
          <w:tcPr>
            <w:tcW w:w="860" w:type="dxa"/>
            <w:vAlign w:val="bottom"/>
            <w:gridSpan w:val="16"/>
          </w:tcPr>
          <w:p>
            <w:pPr>
              <w:spacing w:after="0"/>
              <w:rPr>
                <w:sz w:val="17"/>
                <w:szCs w:val="17"/>
                <w:color w:val="auto"/>
              </w:rPr>
            </w:pPr>
          </w:p>
        </w:tc>
      </w:tr>
      <w:tr>
        <w:trPr>
          <w:trHeight w:val="372"/>
        </w:trPr>
        <w:tc>
          <w:tcPr>
            <w:tcW w:w="780" w:type="dxa"/>
            <w:vAlign w:val="bottom"/>
          </w:tcPr>
          <w:p>
            <w:pPr>
              <w:ind w:left="40"/>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8"/>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Seventh Amended and Restated Agreement of Limited Partnership of Plains All American Pipeline, L.P., dated as of October 10,</w:t>
              </w:r>
            </w:hyperlink>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2017 (incorporated by reference to Exhibit 3.1 to our Current Report on Form 8-K filed October 12, 2017).</w:t>
              </w:r>
            </w:hyperlink>
          </w:p>
        </w:tc>
        <w:tc>
          <w:tcPr>
            <w:tcW w:w="1580" w:type="dxa"/>
            <w:vAlign w:val="bottom"/>
            <w:tcBorders>
              <w:top w:val="single" w:sz="8" w:color="0000FF"/>
            </w:tcBorders>
            <w:gridSpan w:val="15"/>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320" w:type="dxa"/>
            <w:vAlign w:val="bottom"/>
            <w:tcBorders>
              <w:bottom w:val="single" w:sz="8" w:color="0000FF"/>
            </w:tcBorders>
            <w:gridSpan w:val="24"/>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Third Amended and Restated Agreement of Limited Partnership of Plains Marketing, L.P. dated as of April 1, 2004 (incorporated</w:t>
              </w:r>
            </w:hyperlink>
          </w:p>
        </w:tc>
        <w:tc>
          <w:tcPr>
            <w:tcW w:w="140" w:type="dxa"/>
            <w:vAlign w:val="bottom"/>
            <w:gridSpan w:val="4"/>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5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by reference to Exhibit 3.2 to our Quarterly Report on Form 10-Q for the quarter ended March 31, 2004).</w:t>
              </w:r>
            </w:hyperlink>
          </w:p>
        </w:tc>
        <w:tc>
          <w:tcPr>
            <w:tcW w:w="1880" w:type="dxa"/>
            <w:vAlign w:val="bottom"/>
            <w:gridSpan w:val="21"/>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8"/>
          </w:tcPr>
          <w:p>
            <w:pPr>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Amendment No. 1 dated December 31, 2010 to the Third Amended and Restated Agreement of Limited Partnership of Plains</w:t>
              </w:r>
            </w:hyperlink>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Marketing, L.P. (incorporated by reference to Exhibit 3.9 to our Annual Report on Form 10-K for the year ended December 31,</w:t>
              </w:r>
            </w:hyperlink>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1">
              <w:r>
                <w:rPr>
                  <w:rFonts w:ascii="Arial" w:cs="Arial" w:eastAsia="Arial" w:hAnsi="Arial"/>
                  <w:sz w:val="18"/>
                  <w:szCs w:val="18"/>
                  <w:color w:val="0000FF"/>
                  <w:w w:val="86"/>
                </w:rPr>
                <w:t>2010).</w:t>
              </w:r>
            </w:hyperlink>
          </w:p>
        </w:tc>
        <w:tc>
          <w:tcPr>
            <w:tcW w:w="32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760" w:type="dxa"/>
            <w:vAlign w:val="bottom"/>
            <w:tcBorders>
              <w:bottom w:val="single" w:sz="8" w:color="0000FF"/>
            </w:tcBorders>
            <w:gridSpan w:val="15"/>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Amendment No. 2 dated January 1, 2011 to the Third Amended and Restated Agreement of Limited Partnership of Plains</w:t>
              </w:r>
            </w:hyperlink>
          </w:p>
        </w:tc>
        <w:tc>
          <w:tcPr>
            <w:tcW w:w="700" w:type="dxa"/>
            <w:vAlign w:val="bottom"/>
            <w:gridSpan w:val="13"/>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Marketing, L.P. (incorporated by reference to Exhibit 3.10 to our Annual Report on Form 10-K for the year ended December 31,</w:t>
              </w:r>
            </w:hyperlink>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2">
              <w:r>
                <w:rPr>
                  <w:rFonts w:ascii="Arial" w:cs="Arial" w:eastAsia="Arial" w:hAnsi="Arial"/>
                  <w:sz w:val="18"/>
                  <w:szCs w:val="18"/>
                  <w:color w:val="0000FF"/>
                  <w:w w:val="86"/>
                </w:rPr>
                <w:t>2010).</w:t>
              </w:r>
            </w:hyperlink>
          </w:p>
        </w:tc>
        <w:tc>
          <w:tcPr>
            <w:tcW w:w="32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20" w:type="dxa"/>
            <w:vAlign w:val="bottom"/>
            <w:tcBorders>
              <w:bottom w:val="single" w:sz="8" w:color="0000FF"/>
            </w:tcBorders>
            <w:gridSpan w:val="13"/>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Amendment No. 3 dated June 30, 2011 to the Third Amended and Restated Agreement of Limited Partnership of Plains</w:t>
              </w:r>
            </w:hyperlink>
          </w:p>
        </w:tc>
        <w:tc>
          <w:tcPr>
            <w:tcW w:w="840" w:type="dxa"/>
            <w:vAlign w:val="bottom"/>
            <w:gridSpan w:val="15"/>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Marketing, L.P. (incorporated by reference to Exhibit 3.7 to our Annual Report on Form 10-K for the year ended December 31,</w:t>
              </w:r>
            </w:hyperlink>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3">
              <w:r>
                <w:rPr>
                  <w:rFonts w:ascii="Arial" w:cs="Arial" w:eastAsia="Arial" w:hAnsi="Arial"/>
                  <w:sz w:val="18"/>
                  <w:szCs w:val="18"/>
                  <w:color w:val="0000FF"/>
                  <w:w w:val="86"/>
                </w:rPr>
                <w:t>2013).</w:t>
              </w:r>
            </w:hyperlink>
          </w:p>
        </w:tc>
        <w:tc>
          <w:tcPr>
            <w:tcW w:w="32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760" w:type="dxa"/>
            <w:vAlign w:val="bottom"/>
            <w:tcBorders>
              <w:bottom w:val="single" w:sz="8" w:color="0000FF"/>
            </w:tcBorders>
            <w:gridSpan w:val="15"/>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Amendment No. 4 dated January 1, 2013 to the Third Amended and Restated Agreement of Limited Partnership of Plains</w:t>
              </w:r>
            </w:hyperlink>
          </w:p>
        </w:tc>
        <w:tc>
          <w:tcPr>
            <w:tcW w:w="700" w:type="dxa"/>
            <w:vAlign w:val="bottom"/>
            <w:gridSpan w:val="13"/>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Marketing, L.P (incorporated by reference to Exhibit 3.8 to our Annual Report on Form 10-K for the year ended December 31,</w:t>
              </w:r>
            </w:hyperlink>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4">
              <w:r>
                <w:rPr>
                  <w:rFonts w:ascii="Arial" w:cs="Arial" w:eastAsia="Arial" w:hAnsi="Arial"/>
                  <w:sz w:val="18"/>
                  <w:szCs w:val="18"/>
                  <w:color w:val="0000FF"/>
                  <w:w w:val="86"/>
                </w:rPr>
                <w:t>2013).</w:t>
              </w:r>
            </w:hyperlink>
          </w:p>
        </w:tc>
        <w:tc>
          <w:tcPr>
            <w:tcW w:w="32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3.7</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8"/>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Third Amended and Restated Agreement of Limited Partnership of Plains Pipeline, L.P. dated as of April 1, 2004 (incorporated by</w:t>
              </w:r>
            </w:hyperlink>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reference to Exhibit 3.3 to our Quarterly Report on Form 10-Q for the quarter ended March 31, 2004).</w:t>
              </w:r>
            </w:hyperlink>
          </w:p>
        </w:tc>
        <w:tc>
          <w:tcPr>
            <w:tcW w:w="80" w:type="dxa"/>
            <w:vAlign w:val="bottom"/>
            <w:gridSpan w:val="3"/>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8"/>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Amendment No. 1 dated January 1, 2013 to the Third Amended and Restated Agreement of Limited Partnership of Plains Pipeline,</w:t>
              </w:r>
            </w:hyperlink>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L.P. (incorporated by reference to Exhibit 3.10 to our Annual Report on Form 10-K for the year ended December 31, 2013).</w:t>
              </w:r>
            </w:hyperlink>
          </w:p>
        </w:tc>
        <w:tc>
          <w:tcPr>
            <w:tcW w:w="540" w:type="dxa"/>
            <w:vAlign w:val="bottom"/>
            <w:gridSpan w:val="12"/>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3.9</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27"/>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Seventh Amended and Restated Limited Liability Company Agreement of Plains All American GP LLC dated November 15, 2016</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(incorporated by reference to Exhibit 3.3 to our Current Report on Form 8-K filed November 21, 2016).</w:t>
              </w:r>
            </w:hyperlink>
          </w:p>
        </w:tc>
        <w:tc>
          <w:tcPr>
            <w:tcW w:w="1980" w:type="dxa"/>
            <w:vAlign w:val="bottom"/>
            <w:gridSpan w:val="22"/>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3.10</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140" w:type="dxa"/>
            <w:vAlign w:val="bottom"/>
            <w:tcBorders>
              <w:bottom w:val="single" w:sz="8" w:color="0000FF"/>
            </w:tcBorders>
            <w:gridSpan w:val="19"/>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Eighth Amended and Restated Limited Partnership Agreement of Plains AAP, L.P. dated November 15, 2016 (incorporated by</w:t>
              </w:r>
            </w:hyperlink>
          </w:p>
        </w:tc>
        <w:tc>
          <w:tcPr>
            <w:tcW w:w="320" w:type="dxa"/>
            <w:vAlign w:val="bottom"/>
            <w:gridSpan w:val="9"/>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reference to Exhibit 3.4 to our Current Report on Form 8-K filed November 21, 2016).</w:t>
              </w:r>
            </w:hyperlink>
          </w:p>
        </w:tc>
        <w:tc>
          <w:tcPr>
            <w:tcW w:w="3220" w:type="dxa"/>
            <w:vAlign w:val="bottom"/>
            <w:gridSpan w:val="24"/>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3.11</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8"/>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Certificate of Incorporation of PAA Finance Corp. (f/k/a Pacific Energy Finance Corporation, successor-by-merger to PAA Finance</w:t>
              </w:r>
            </w:hyperlink>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Corp.) (incorporated by reference to Exhibit 3.10 to our Annual Report on Form 10-K for the year ended December 31, 2006).</w:t>
              </w:r>
            </w:hyperlink>
          </w:p>
        </w:tc>
        <w:tc>
          <w:tcPr>
            <w:tcW w:w="360" w:type="dxa"/>
            <w:vAlign w:val="bottom"/>
            <w:gridSpan w:val="10"/>
          </w:tcPr>
          <w:p>
            <w:pPr>
              <w:spacing w:after="0"/>
              <w:rPr>
                <w:sz w:val="17"/>
                <w:szCs w:val="17"/>
                <w:color w:val="auto"/>
              </w:rPr>
            </w:pPr>
          </w:p>
        </w:tc>
      </w:tr>
      <w:tr>
        <w:trPr>
          <w:trHeight w:val="372"/>
        </w:trPr>
        <w:tc>
          <w:tcPr>
            <w:tcW w:w="780" w:type="dxa"/>
            <w:vAlign w:val="bottom"/>
          </w:tcPr>
          <w:p>
            <w:pPr>
              <w:ind w:left="40"/>
              <w:spacing w:after="0"/>
              <w:rPr>
                <w:sz w:val="20"/>
                <w:szCs w:val="20"/>
                <w:color w:val="auto"/>
              </w:rPr>
            </w:pPr>
            <w:r>
              <w:rPr>
                <w:rFonts w:ascii="Arial" w:cs="Arial" w:eastAsia="Arial" w:hAnsi="Arial"/>
                <w:sz w:val="18"/>
                <w:szCs w:val="18"/>
                <w:color w:val="auto"/>
              </w:rPr>
              <w:t>3.12</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540" w:type="dxa"/>
            <w:vAlign w:val="bottom"/>
            <w:tcBorders>
              <w:bottom w:val="single" w:sz="8" w:color="0000FF"/>
            </w:tcBorders>
            <w:gridSpan w:val="10"/>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Bylaws of PAA Finance Corp. (f/k/a Pacific Energy Finance Corporation, successor-by-merger to PAA Finance Corp.)</w:t>
              </w:r>
            </w:hyperlink>
          </w:p>
        </w:tc>
        <w:tc>
          <w:tcPr>
            <w:tcW w:w="920" w:type="dxa"/>
            <w:vAlign w:val="bottom"/>
            <w:gridSpan w:val="18"/>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(incorporated by reference to Exhibit 3.11 to our Annual Report on Form 10-K for the year ended December 31, 2006).</w:t>
              </w:r>
            </w:hyperlink>
          </w:p>
        </w:tc>
      </w:tr>
      <w:tr>
        <w:trPr>
          <w:trHeight w:val="20"/>
        </w:trPr>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0" w:type="dxa"/>
            <w:vAlign w:val="bottom"/>
            <w:gridSpan w:val="6"/>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3.13</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26"/>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Limited Liability Company Agreement of PAA GP LLC dated December 28, 2007 (incorporated by reference to Exhibit 3.3 to our</w:t>
              </w:r>
            </w:hyperlink>
          </w:p>
        </w:tc>
        <w:tc>
          <w:tcPr>
            <w:tcW w:w="60" w:type="dxa"/>
            <w:vAlign w:val="bottom"/>
            <w:gridSpan w:val="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Current Report on Form 8-K filed January 4, 2008).</w:t>
              </w:r>
            </w:hyperlink>
          </w:p>
        </w:tc>
        <w:tc>
          <w:tcPr>
            <w:tcW w:w="5720" w:type="dxa"/>
            <w:vAlign w:val="bottom"/>
            <w:gridSpan w:val="26"/>
          </w:tcPr>
          <w:p>
            <w:pPr>
              <w:spacing w:after="0"/>
              <w:rPr>
                <w:sz w:val="17"/>
                <w:szCs w:val="17"/>
                <w:color w:val="auto"/>
              </w:rPr>
            </w:pPr>
          </w:p>
        </w:tc>
      </w:tr>
      <w:tr>
        <w:trPr>
          <w:trHeight w:val="520"/>
        </w:trPr>
        <w:tc>
          <w:tcPr>
            <w:tcW w:w="780" w:type="dxa"/>
            <w:vAlign w:val="bottom"/>
          </w:tcPr>
          <w:p>
            <w:pPr>
              <w:ind w:left="40"/>
              <w:spacing w:after="0"/>
              <w:rPr>
                <w:sz w:val="20"/>
                <w:szCs w:val="20"/>
                <w:color w:val="auto"/>
              </w:rPr>
            </w:pPr>
            <w:r>
              <w:rPr>
                <w:rFonts w:ascii="Arial" w:cs="Arial" w:eastAsia="Arial" w:hAnsi="Arial"/>
                <w:sz w:val="18"/>
                <w:szCs w:val="18"/>
                <w:color w:val="auto"/>
              </w:rPr>
              <w:t>3.14</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0000FF"/>
            </w:tcBorders>
            <w:gridSpan w:val="20"/>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Certificate of Limited Partnership of Plains GP Holdings, L.P. (incorporated by reference to Exhibit 3.1 to PAGP’s Registration</w:t>
              </w:r>
            </w:hyperlink>
          </w:p>
        </w:tc>
        <w:tc>
          <w:tcPr>
            <w:tcW w:w="300" w:type="dxa"/>
            <w:vAlign w:val="bottom"/>
            <w:gridSpan w:val="8"/>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Statement on Form S-1 (333-190227) filed July 29, 2013).</w:t>
              </w:r>
            </w:hyperlink>
          </w:p>
        </w:tc>
      </w:tr>
      <w:tr>
        <w:trPr>
          <w:trHeight w:val="20"/>
        </w:trPr>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r>
      <w:tr>
        <w:trPr>
          <w:trHeight w:val="372"/>
        </w:trPr>
        <w:tc>
          <w:tcPr>
            <w:tcW w:w="780" w:type="dxa"/>
            <w:vAlign w:val="bottom"/>
          </w:tcPr>
          <w:p>
            <w:pPr>
              <w:ind w:left="40"/>
              <w:spacing w:after="0"/>
              <w:rPr>
                <w:sz w:val="20"/>
                <w:szCs w:val="20"/>
                <w:color w:val="auto"/>
              </w:rPr>
            </w:pPr>
            <w:r>
              <w:rPr>
                <w:rFonts w:ascii="Arial" w:cs="Arial" w:eastAsia="Arial" w:hAnsi="Arial"/>
                <w:sz w:val="18"/>
                <w:szCs w:val="18"/>
                <w:color w:val="auto"/>
              </w:rPr>
              <w:t>3.15</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60" w:type="dxa"/>
            <w:vAlign w:val="bottom"/>
            <w:gridSpan w:val="28"/>
          </w:tcPr>
          <w:p>
            <w:pPr>
              <w:spacing w:after="0"/>
              <w:rPr>
                <w:rFonts w:ascii="Arial" w:cs="Arial" w:eastAsia="Arial" w:hAnsi="Arial"/>
                <w:sz w:val="18"/>
                <w:szCs w:val="18"/>
                <w:color w:val="0000FF"/>
                <w:w w:val="97"/>
              </w:rPr>
            </w:pPr>
            <w:hyperlink r:id="rId63">
              <w:r>
                <w:rPr>
                  <w:rFonts w:ascii="Arial" w:cs="Arial" w:eastAsia="Arial" w:hAnsi="Arial"/>
                  <w:sz w:val="18"/>
                  <w:szCs w:val="18"/>
                  <w:color w:val="0000FF"/>
                  <w:w w:val="97"/>
                </w:rPr>
                <w:t>Second Amended and Restated Agreement of Limited Partnership of Plains GP Holdings, L.P. dated November 15, 2016</w:t>
              </w:r>
            </w:hyperlink>
          </w:p>
        </w:tc>
      </w:tr>
      <w:tr>
        <w:trPr>
          <w:trHeight w:val="196"/>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(incorporated by reference to Exhibit 3.2 to PAGP’s Current Report on Form 8-K filed November 21, 2016).</w:t>
              </w:r>
            </w:hyperlink>
          </w:p>
        </w:tc>
        <w:tc>
          <w:tcPr>
            <w:tcW w:w="900" w:type="dxa"/>
            <w:vAlign w:val="bottom"/>
            <w:tcBorders>
              <w:top w:val="single" w:sz="8" w:color="0000FF"/>
            </w:tcBorders>
            <w:gridSpan w:val="5"/>
          </w:tcPr>
          <w:p>
            <w:pPr>
              <w:spacing w:after="0"/>
              <w:rPr>
                <w:sz w:val="17"/>
                <w:szCs w:val="17"/>
                <w:color w:val="auto"/>
              </w:rPr>
            </w:pPr>
          </w:p>
        </w:tc>
        <w:tc>
          <w:tcPr>
            <w:tcW w:w="760" w:type="dxa"/>
            <w:vAlign w:val="bottom"/>
            <w:gridSpan w:val="1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40"/>
          </w:cols>
          <w:pgMar w:left="240" w:top="108" w:right="31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01"/>
        </w:trPr>
        <w:tc>
          <w:tcPr>
            <w:tcW w:w="760" w:type="dxa"/>
            <w:vAlign w:val="bottom"/>
          </w:tcPr>
          <w:p>
            <w:pPr>
              <w:ind w:left="40"/>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33"/>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Certificate of Formation of PAA GP Holdings LLC (incorporated by reference to Exhibit 3.3 to PAGP’s Registration Statement on</w:t>
              </w:r>
            </w:hyperlink>
          </w:p>
        </w:tc>
        <w:tc>
          <w:tcPr>
            <w:tcW w:w="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Form S-1 (333-190227) filed July 29, 2013).</w:t>
              </w:r>
            </w:hyperlink>
          </w:p>
        </w:tc>
        <w:tc>
          <w:tcPr>
            <w:tcW w:w="6240" w:type="dxa"/>
            <w:vAlign w:val="bottom"/>
            <w:gridSpan w:val="31"/>
          </w:tcPr>
          <w:p>
            <w:pPr>
              <w:spacing w:after="0"/>
              <w:rPr>
                <w:sz w:val="17"/>
                <w:szCs w:val="17"/>
                <w:color w:val="auto"/>
              </w:rPr>
            </w:pPr>
          </w:p>
        </w:tc>
      </w:tr>
      <w:tr>
        <w:trPr>
          <w:trHeight w:val="372"/>
        </w:trPr>
        <w:tc>
          <w:tcPr>
            <w:tcW w:w="760" w:type="dxa"/>
            <w:vAlign w:val="bottom"/>
          </w:tcPr>
          <w:p>
            <w:pPr>
              <w:ind w:left="40"/>
              <w:spacing w:after="0"/>
              <w:rPr>
                <w:sz w:val="20"/>
                <w:szCs w:val="20"/>
                <w:color w:val="auto"/>
              </w:rPr>
            </w:pPr>
            <w:r>
              <w:rPr>
                <w:rFonts w:ascii="Arial" w:cs="Arial" w:eastAsia="Arial" w:hAnsi="Arial"/>
                <w:sz w:val="18"/>
                <w:szCs w:val="18"/>
                <w:color w:val="auto"/>
              </w:rPr>
              <w:t>3.17</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120" w:type="dxa"/>
            <w:vAlign w:val="bottom"/>
            <w:tcBorders>
              <w:bottom w:val="single" w:sz="8" w:color="0000FF"/>
            </w:tcBorders>
            <w:gridSpan w:val="22"/>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Third Amended and Restated Limited Liability Company Agreement of PAA GP Holdings LLC dated as of February 16, 2017</w:t>
              </w:r>
            </w:hyperlink>
          </w:p>
        </w:tc>
        <w:tc>
          <w:tcPr>
            <w:tcW w:w="340" w:type="dxa"/>
            <w:vAlign w:val="bottom"/>
            <w:gridSpan w:val="1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(incorporated by reference to Exhibit 3.1 to our Current Report on Form 8-K filed February 21, 2017).</w:t>
              </w:r>
            </w:hyperlink>
          </w:p>
        </w:tc>
      </w:tr>
      <w:tr>
        <w:trPr>
          <w:trHeight w:val="20"/>
        </w:trPr>
        <w:tc>
          <w:tcPr>
            <w:tcW w:w="7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760" w:type="dxa"/>
            <w:vAlign w:val="bottom"/>
          </w:tcPr>
          <w:p>
            <w:pPr>
              <w:ind w:left="40"/>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0000FF"/>
            </w:tcBorders>
            <w:gridSpan w:val="31"/>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Indenture dated September 25, 2002 among Plains All American Pipeline, L.P., PAA Finance Corp. and Wachovia Bank, National</w:t>
              </w:r>
            </w:hyperlink>
          </w:p>
        </w:tc>
        <w:tc>
          <w:tcPr>
            <w:tcW w:w="100" w:type="dxa"/>
            <w:vAlign w:val="bottom"/>
            <w:gridSpan w:val="3"/>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6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Association, as trustee (incorporated by reference to Exhibit 4.1 to our Quarterly Report on Form 10-Q for the quarter ended</w:t>
              </w:r>
            </w:hyperlink>
          </w:p>
        </w:tc>
        <w:tc>
          <w:tcPr>
            <w:tcW w:w="500" w:type="dxa"/>
            <w:vAlign w:val="bottom"/>
            <w:gridSpan w:val="1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September 30, 2002).</w:t>
              </w:r>
            </w:hyperlink>
          </w:p>
        </w:tc>
      </w:tr>
      <w:tr>
        <w:trPr>
          <w:trHeight w:val="20"/>
        </w:trPr>
        <w:tc>
          <w:tcPr>
            <w:tcW w:w="7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760" w:type="dxa"/>
            <w:vAlign w:val="bottom"/>
          </w:tcPr>
          <w:p>
            <w:pPr>
              <w:ind w:left="40"/>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80" w:type="dxa"/>
            <w:vAlign w:val="bottom"/>
            <w:tcBorders>
              <w:bottom w:val="single" w:sz="8" w:color="0000FF"/>
            </w:tcBorders>
            <w:gridSpan w:val="17"/>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Sixth Supplemental Indenture (Series A and Series B 6.70% Senior Notes due 2036) dated May 12, 2006 among Plains All</w:t>
              </w:r>
            </w:hyperlink>
          </w:p>
        </w:tc>
        <w:tc>
          <w:tcPr>
            <w:tcW w:w="580" w:type="dxa"/>
            <w:vAlign w:val="bottom"/>
            <w:gridSpan w:val="17"/>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American Pipeline, L.P., PAA Finance Corp., the Subsidiary Guarantors named therein and Wachovia Bank, National Association,</w:t>
              </w:r>
            </w:hyperlink>
          </w:p>
        </w:tc>
        <w:tc>
          <w:tcPr>
            <w:tcW w:w="6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as trustee (incorporated by reference to Exhibit 4.1 to our Current Report on Form 8-K filed May 12, 2006).</w:t>
              </w:r>
            </w:hyperlink>
          </w:p>
        </w:tc>
      </w:tr>
      <w:tr>
        <w:trPr>
          <w:trHeight w:val="20"/>
        </w:trPr>
        <w:tc>
          <w:tcPr>
            <w:tcW w:w="7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760" w:type="dxa"/>
            <w:vAlign w:val="bottom"/>
          </w:tcPr>
          <w:p>
            <w:pPr>
              <w:ind w:left="40"/>
              <w:spacing w:after="0"/>
              <w:rPr>
                <w:sz w:val="20"/>
                <w:szCs w:val="20"/>
                <w:color w:val="auto"/>
              </w:rPr>
            </w:pPr>
            <w:r>
              <w:rPr>
                <w:rFonts w:ascii="Arial" w:cs="Arial" w:eastAsia="Arial" w:hAnsi="Arial"/>
                <w:sz w:val="18"/>
                <w:szCs w:val="18"/>
                <w:color w:val="auto"/>
              </w:rPr>
              <w:t>4.3</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26"/>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Tenth Supplemental Indenture (Series A and Series B 6.650% Senior Notes due 2037) dated October 30, 2006 among Plains All</w:t>
              </w:r>
            </w:hyperlink>
          </w:p>
        </w:tc>
        <w:tc>
          <w:tcPr>
            <w:tcW w:w="240" w:type="dxa"/>
            <w:vAlign w:val="bottom"/>
            <w:gridSpan w:val="8"/>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American Pipeline, L.P., PAA Finance Corp., the Subsidiary Guarantors named therein and U.S. Bank National Association, as</w:t>
              </w:r>
            </w:hyperlink>
          </w:p>
        </w:tc>
        <w:tc>
          <w:tcPr>
            <w:tcW w:w="320" w:type="dxa"/>
            <w:vAlign w:val="bottom"/>
            <w:gridSpan w:val="11"/>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2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trustee (incorporated by reference to Exhibit 4.2 to our Current Report on Form 8-K filed October 30, 2006).</w:t>
              </w:r>
            </w:hyperlink>
          </w:p>
        </w:tc>
        <w:tc>
          <w:tcPr>
            <w:tcW w:w="1640" w:type="dxa"/>
            <w:vAlign w:val="bottom"/>
            <w:gridSpan w:val="21"/>
          </w:tcPr>
          <w:p>
            <w:pPr>
              <w:spacing w:after="0"/>
              <w:rPr>
                <w:sz w:val="17"/>
                <w:szCs w:val="17"/>
                <w:color w:val="auto"/>
              </w:rPr>
            </w:pPr>
          </w:p>
        </w:tc>
      </w:tr>
      <w:tr>
        <w:trPr>
          <w:trHeight w:val="520"/>
        </w:trPr>
        <w:tc>
          <w:tcPr>
            <w:tcW w:w="760" w:type="dxa"/>
            <w:vAlign w:val="bottom"/>
          </w:tcPr>
          <w:p>
            <w:pPr>
              <w:ind w:left="40"/>
              <w:spacing w:after="0"/>
              <w:rPr>
                <w:sz w:val="20"/>
                <w:szCs w:val="20"/>
                <w:color w:val="auto"/>
              </w:rPr>
            </w:pPr>
            <w:r>
              <w:rPr>
                <w:rFonts w:ascii="Arial" w:cs="Arial" w:eastAsia="Arial" w:hAnsi="Arial"/>
                <w:sz w:val="18"/>
                <w:szCs w:val="18"/>
                <w:color w:val="auto"/>
              </w:rPr>
              <w:t>4.4</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Thirteenth Supplemental Indenture (Series A and Series B 6.50% Senior Notes due 2018) dated April 23, 2008 among Plains All</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American Pipeline, L.P., PAA Finance Corp., the Subsidiary Guarantors named therein and U.S. Bank National Association, as</w:t>
              </w:r>
            </w:hyperlink>
          </w:p>
        </w:tc>
        <w:tc>
          <w:tcPr>
            <w:tcW w:w="120" w:type="dxa"/>
            <w:vAlign w:val="bottom"/>
            <w:tcBorders>
              <w:top w:val="single" w:sz="8" w:color="0000FF"/>
            </w:tcBorders>
            <w:gridSpan w:val="5"/>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2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trustee (incorporated by reference to Exhibit 4.1 to our Current Report on Form 8-K filed April 23, 2008).</w:t>
              </w:r>
            </w:hyperlink>
          </w:p>
        </w:tc>
        <w:tc>
          <w:tcPr>
            <w:tcW w:w="1840" w:type="dxa"/>
            <w:vAlign w:val="bottom"/>
            <w:gridSpan w:val="23"/>
          </w:tcPr>
          <w:p>
            <w:pPr>
              <w:spacing w:after="0"/>
              <w:rPr>
                <w:sz w:val="17"/>
                <w:szCs w:val="17"/>
                <w:color w:val="auto"/>
              </w:rPr>
            </w:pPr>
          </w:p>
        </w:tc>
      </w:tr>
      <w:tr>
        <w:trPr>
          <w:trHeight w:val="372"/>
        </w:trPr>
        <w:tc>
          <w:tcPr>
            <w:tcW w:w="760" w:type="dxa"/>
            <w:vAlign w:val="bottom"/>
          </w:tcPr>
          <w:p>
            <w:pPr>
              <w:ind w:left="40"/>
              <w:spacing w:after="0"/>
              <w:rPr>
                <w:sz w:val="20"/>
                <w:szCs w:val="20"/>
                <w:color w:val="auto"/>
              </w:rPr>
            </w:pPr>
            <w:r>
              <w:rPr>
                <w:rFonts w:ascii="Arial" w:cs="Arial" w:eastAsia="Arial" w:hAnsi="Arial"/>
                <w:sz w:val="18"/>
                <w:szCs w:val="18"/>
                <w:color w:val="auto"/>
              </w:rPr>
              <w:t>4.5</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380" w:type="dxa"/>
            <w:vAlign w:val="bottom"/>
            <w:tcBorders>
              <w:bottom w:val="single" w:sz="8" w:color="0000FF"/>
            </w:tcBorders>
            <w:gridSpan w:val="32"/>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Fifteenth Supplemental Indenture (8.75% Senior Notes due 2019) dated April 20, 2009 among Plains All American Pipeline, L.P.,</w:t>
              </w:r>
            </w:hyperlink>
          </w:p>
        </w:tc>
        <w:tc>
          <w:tcPr>
            <w:tcW w:w="8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PAA Finance Corp., the Subsidiary Guarantors named therein and U.S. Bank National Association, as trustee (incorporated by</w:t>
              </w:r>
            </w:hyperlink>
          </w:p>
        </w:tc>
        <w:tc>
          <w:tcPr>
            <w:tcW w:w="360" w:type="dxa"/>
            <w:vAlign w:val="bottom"/>
            <w:gridSpan w:val="1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reference to Exhibit 4.1 to our Current Report on Form 8-K filed April 20, 2009).</w:t>
              </w:r>
            </w:hyperlink>
          </w:p>
        </w:tc>
        <w:tc>
          <w:tcPr>
            <w:tcW w:w="3600" w:type="dxa"/>
            <w:vAlign w:val="bottom"/>
            <w:gridSpan w:val="27"/>
          </w:tcPr>
          <w:p>
            <w:pPr>
              <w:spacing w:after="0"/>
              <w:rPr>
                <w:sz w:val="17"/>
                <w:szCs w:val="17"/>
                <w:color w:val="auto"/>
              </w:rPr>
            </w:pPr>
          </w:p>
        </w:tc>
      </w:tr>
      <w:tr>
        <w:trPr>
          <w:trHeight w:val="520"/>
        </w:trPr>
        <w:tc>
          <w:tcPr>
            <w:tcW w:w="760" w:type="dxa"/>
            <w:vAlign w:val="bottom"/>
          </w:tcPr>
          <w:p>
            <w:pPr>
              <w:ind w:left="40"/>
              <w:spacing w:after="0"/>
              <w:rPr>
                <w:sz w:val="20"/>
                <w:szCs w:val="20"/>
                <w:color w:val="auto"/>
              </w:rPr>
            </w:pPr>
            <w:r>
              <w:rPr>
                <w:rFonts w:ascii="Arial" w:cs="Arial" w:eastAsia="Arial" w:hAnsi="Arial"/>
                <w:sz w:val="18"/>
                <w:szCs w:val="18"/>
                <w:color w:val="auto"/>
              </w:rPr>
              <w:t>4.6</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16"/>
          </w:tcPr>
          <w:p>
            <w:pPr>
              <w:spacing w:after="0"/>
              <w:rPr>
                <w:rFonts w:ascii="Arial" w:cs="Arial" w:eastAsia="Arial" w:hAnsi="Arial"/>
                <w:sz w:val="18"/>
                <w:szCs w:val="18"/>
                <w:color w:val="0000FF"/>
                <w:w w:val="89"/>
              </w:rPr>
            </w:pPr>
            <w:hyperlink r:id="rId71">
              <w:r>
                <w:rPr>
                  <w:rFonts w:ascii="Arial" w:cs="Arial" w:eastAsia="Arial" w:hAnsi="Arial"/>
                  <w:sz w:val="18"/>
                  <w:szCs w:val="18"/>
                  <w:color w:val="0000FF"/>
                  <w:w w:val="89"/>
                </w:rPr>
                <w:t>Seventeenth Supplemental Indenture (5.75% Senior Notes due 2020) dated September 4, 2009 among Plains All American</w:t>
              </w:r>
            </w:hyperlink>
          </w:p>
        </w:tc>
        <w:tc>
          <w:tcPr>
            <w:tcW w:w="600" w:type="dxa"/>
            <w:vAlign w:val="bottom"/>
            <w:gridSpan w:val="18"/>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Pipeline, L.P., PAA Finance Corp., the Subsidiary Guarantors named therein and U.S. Bank National Association, as trustee</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(incorporated by reference to Exhibit 4.1 to our Current Report on Form 8-K filed September 4, 2009).</w:t>
              </w:r>
            </w:hyperlink>
          </w:p>
        </w:tc>
        <w:tc>
          <w:tcPr>
            <w:tcW w:w="1500" w:type="dxa"/>
            <w:vAlign w:val="bottom"/>
            <w:tcBorders>
              <w:top w:val="single" w:sz="8" w:color="0000FF"/>
            </w:tcBorders>
            <w:gridSpan w:val="8"/>
          </w:tcPr>
          <w:p>
            <w:pPr>
              <w:spacing w:after="0"/>
              <w:rPr>
                <w:sz w:val="17"/>
                <w:szCs w:val="17"/>
                <w:color w:val="auto"/>
              </w:rPr>
            </w:pPr>
          </w:p>
        </w:tc>
        <w:tc>
          <w:tcPr>
            <w:tcW w:w="560" w:type="dxa"/>
            <w:vAlign w:val="bottom"/>
            <w:gridSpan w:val="16"/>
          </w:tcPr>
          <w:p>
            <w:pPr>
              <w:spacing w:after="0"/>
              <w:rPr>
                <w:sz w:val="17"/>
                <w:szCs w:val="17"/>
                <w:color w:val="auto"/>
              </w:rPr>
            </w:pPr>
          </w:p>
        </w:tc>
      </w:tr>
      <w:tr>
        <w:trPr>
          <w:trHeight w:val="520"/>
        </w:trPr>
        <w:tc>
          <w:tcPr>
            <w:tcW w:w="760" w:type="dxa"/>
            <w:vAlign w:val="bottom"/>
          </w:tcPr>
          <w:p>
            <w:pPr>
              <w:ind w:left="40"/>
              <w:spacing w:after="0"/>
              <w:rPr>
                <w:sz w:val="20"/>
                <w:szCs w:val="20"/>
                <w:color w:val="auto"/>
              </w:rPr>
            </w:pPr>
            <w:r>
              <w:rPr>
                <w:rFonts w:ascii="Arial" w:cs="Arial" w:eastAsia="Arial" w:hAnsi="Arial"/>
                <w:sz w:val="18"/>
                <w:szCs w:val="18"/>
                <w:color w:val="auto"/>
              </w:rPr>
              <w:t>4.7</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Nineteenth Supplemental Indenture (5.00% Senior Notes due 2021) dated January 14, 2011 among Plains All American Pipeline,</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74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bottom w:val="single" w:sz="8" w:color="0000FF"/>
            </w:tcBorders>
            <w:gridSpan w:val="34"/>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L.P., PAA Finance Corp., the Subsidiary Guarantors named therein and U.S. Bank National Association, as trustee (incorporated by</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reference to Exhibit 4.1 to our Current Report on Form 8-K filed January 11, 2011).</w:t>
              </w:r>
            </w:hyperlink>
          </w:p>
        </w:tc>
      </w:tr>
      <w:tr>
        <w:trPr>
          <w:trHeight w:val="20"/>
        </w:trPr>
        <w:tc>
          <w:tcPr>
            <w:tcW w:w="7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20"/>
        </w:trPr>
        <w:tc>
          <w:tcPr>
            <w:tcW w:w="760" w:type="dxa"/>
            <w:vAlign w:val="bottom"/>
          </w:tcPr>
          <w:p>
            <w:pPr>
              <w:ind w:left="40"/>
              <w:spacing w:after="0"/>
              <w:rPr>
                <w:sz w:val="20"/>
                <w:szCs w:val="20"/>
                <w:color w:val="auto"/>
              </w:rPr>
            </w:pPr>
            <w:r>
              <w:rPr>
                <w:rFonts w:ascii="Arial" w:cs="Arial" w:eastAsia="Arial" w:hAnsi="Arial"/>
                <w:sz w:val="18"/>
                <w:szCs w:val="18"/>
                <w:color w:val="auto"/>
              </w:rPr>
              <w:t>4.8</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0000FF"/>
            </w:tcBorders>
            <w:gridSpan w:val="24"/>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Twentieth Supplemental Indenture (3.65% Senior Notes due 2022) dated March 22, 2012 among Plains All American Pipeline,</w:t>
              </w:r>
            </w:hyperlink>
          </w:p>
        </w:tc>
        <w:tc>
          <w:tcPr>
            <w:tcW w:w="300" w:type="dxa"/>
            <w:vAlign w:val="bottom"/>
            <w:gridSpan w:val="10"/>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4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L.P., PAA Finance Corp. and U.S. Bank National Association, as trustee (incorporated by reference to Exhibit 4.1 to our Current</w:t>
              </w:r>
            </w:hyperlink>
          </w:p>
        </w:tc>
        <w:tc>
          <w:tcPr>
            <w:tcW w:w="220" w:type="dxa"/>
            <w:vAlign w:val="bottom"/>
            <w:gridSpan w:val="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Report on Form 8-K filed March 26, 2012).</w:t>
              </w:r>
            </w:hyperlink>
          </w:p>
        </w:tc>
        <w:tc>
          <w:tcPr>
            <w:tcW w:w="6320" w:type="dxa"/>
            <w:vAlign w:val="bottom"/>
            <w:gridSpan w:val="32"/>
          </w:tcPr>
          <w:p>
            <w:pPr>
              <w:spacing w:after="0"/>
              <w:rPr>
                <w:sz w:val="17"/>
                <w:szCs w:val="17"/>
                <w:color w:val="auto"/>
              </w:rPr>
            </w:pPr>
          </w:p>
        </w:tc>
      </w:tr>
      <w:tr>
        <w:trPr>
          <w:trHeight w:val="520"/>
        </w:trPr>
        <w:tc>
          <w:tcPr>
            <w:tcW w:w="760" w:type="dxa"/>
            <w:vAlign w:val="bottom"/>
          </w:tcPr>
          <w:p>
            <w:pPr>
              <w:ind w:left="40"/>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Twenty-First Supplemental Indenture (5.15% Senior Notes due 2042) dated March 22, 2012 among Plains All American Pipeline,</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27"/>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L.P., PAA Finance Corp. and U.S. Bank National Association, as trustee (incorporated by reference to Exhibit 4.3 to our Current</w:t>
              </w:r>
            </w:hyperlink>
          </w:p>
        </w:tc>
        <w:tc>
          <w:tcPr>
            <w:tcW w:w="120" w:type="dxa"/>
            <w:vAlign w:val="bottom"/>
            <w:tcBorders>
              <w:top w:val="single" w:sz="8" w:color="0000FF"/>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Report on Form 8-K filed March 26, 2012).</w:t>
              </w:r>
            </w:hyperlink>
          </w:p>
        </w:tc>
        <w:tc>
          <w:tcPr>
            <w:tcW w:w="6320" w:type="dxa"/>
            <w:vAlign w:val="bottom"/>
            <w:gridSpan w:val="32"/>
          </w:tcPr>
          <w:p>
            <w:pPr>
              <w:spacing w:after="0"/>
              <w:rPr>
                <w:sz w:val="17"/>
                <w:szCs w:val="17"/>
                <w:color w:val="auto"/>
              </w:rPr>
            </w:pPr>
          </w:p>
        </w:tc>
      </w:tr>
      <w:tr>
        <w:trPr>
          <w:trHeight w:val="372"/>
        </w:trPr>
        <w:tc>
          <w:tcPr>
            <w:tcW w:w="760" w:type="dxa"/>
            <w:vAlign w:val="bottom"/>
          </w:tcPr>
          <w:p>
            <w:pPr>
              <w:ind w:left="40"/>
              <w:spacing w:after="0"/>
              <w:rPr>
                <w:sz w:val="20"/>
                <w:szCs w:val="20"/>
                <w:color w:val="auto"/>
              </w:rPr>
            </w:pPr>
            <w:r>
              <w:rPr>
                <w:rFonts w:ascii="Arial" w:cs="Arial" w:eastAsia="Arial" w:hAnsi="Arial"/>
                <w:sz w:val="18"/>
                <w:szCs w:val="18"/>
                <w:color w:val="auto"/>
              </w:rPr>
              <w:t>4.10</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980" w:type="dxa"/>
            <w:vAlign w:val="bottom"/>
            <w:tcBorders>
              <w:bottom w:val="single" w:sz="8" w:color="0000FF"/>
            </w:tcBorders>
            <w:gridSpan w:val="20"/>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Twenty-Second Supplemental Indenture (2.85% Senior Notes due 2023) dated December 10, 2012, by and among Plains All</w:t>
              </w:r>
            </w:hyperlink>
          </w:p>
        </w:tc>
        <w:tc>
          <w:tcPr>
            <w:tcW w:w="480" w:type="dxa"/>
            <w:vAlign w:val="bottom"/>
            <w:gridSpan w:val="14"/>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w w:val="97"/>
              </w:rPr>
            </w:pPr>
            <w:hyperlink r:id="rId75">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Exhibit 4.1 to our Current Report on Form 8-K filed December 12, 2012).</w:t>
              </w:r>
            </w:hyperlink>
          </w:p>
        </w:tc>
        <w:tc>
          <w:tcPr>
            <w:tcW w:w="3440" w:type="dxa"/>
            <w:vAlign w:val="bottom"/>
            <w:tcBorders>
              <w:top w:val="single" w:sz="8" w:color="0000FF"/>
            </w:tcBorders>
            <w:gridSpan w:val="8"/>
          </w:tcPr>
          <w:p>
            <w:pPr>
              <w:spacing w:after="0"/>
              <w:rPr>
                <w:sz w:val="17"/>
                <w:szCs w:val="17"/>
                <w:color w:val="auto"/>
              </w:rPr>
            </w:pPr>
          </w:p>
        </w:tc>
        <w:tc>
          <w:tcPr>
            <w:tcW w:w="700" w:type="dxa"/>
            <w:vAlign w:val="bottom"/>
            <w:gridSpan w:val="20"/>
          </w:tcPr>
          <w:p>
            <w:pPr>
              <w:spacing w:after="0"/>
              <w:rPr>
                <w:sz w:val="17"/>
                <w:szCs w:val="17"/>
                <w:color w:val="auto"/>
              </w:rPr>
            </w:pPr>
          </w:p>
        </w:tc>
      </w:tr>
      <w:tr>
        <w:trPr>
          <w:trHeight w:val="372"/>
        </w:trPr>
        <w:tc>
          <w:tcPr>
            <w:tcW w:w="760" w:type="dxa"/>
            <w:vAlign w:val="bottom"/>
          </w:tcPr>
          <w:p>
            <w:pPr>
              <w:ind w:left="40"/>
              <w:spacing w:after="0"/>
              <w:rPr>
                <w:sz w:val="20"/>
                <w:szCs w:val="20"/>
                <w:color w:val="auto"/>
              </w:rPr>
            </w:pPr>
            <w:r>
              <w:rPr>
                <w:rFonts w:ascii="Arial" w:cs="Arial" w:eastAsia="Arial" w:hAnsi="Arial"/>
                <w:sz w:val="18"/>
                <w:szCs w:val="18"/>
                <w:color w:val="auto"/>
              </w:rPr>
              <w:t>4.11</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6"/>
              </w:rPr>
            </w:pPr>
            <w:hyperlink r:id="rId76">
              <w:r>
                <w:rPr>
                  <w:rFonts w:ascii="Arial" w:cs="Arial" w:eastAsia="Arial" w:hAnsi="Arial"/>
                  <w:sz w:val="18"/>
                  <w:szCs w:val="18"/>
                  <w:color w:val="0000FF"/>
                  <w:w w:val="96"/>
                </w:rPr>
                <w:t>Twenty-Third Supplemental Indenture (4.30% Senior Notes due 2043) dated December 10, 2012, by and among Plains All</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40" w:type="dxa"/>
            <w:vAlign w:val="bottom"/>
            <w:tcBorders>
              <w:top w:val="single" w:sz="8" w:color="0000FF"/>
            </w:tcBorders>
            <w:gridSpan w:val="15"/>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American Pipeline, L.P., PAA Finance Corp. and U.S. Bank National Association, as trustee (incorporated by reference to</w:t>
              </w:r>
            </w:hyperlink>
          </w:p>
        </w:tc>
        <w:tc>
          <w:tcPr>
            <w:tcW w:w="620" w:type="dxa"/>
            <w:vAlign w:val="bottom"/>
            <w:gridSpan w:val="19"/>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Exhibit 4.3 to our Current Report on Form 8-K filed December 12, 2012).</w:t>
              </w:r>
            </w:hyperlink>
          </w:p>
        </w:tc>
        <w:tc>
          <w:tcPr>
            <w:tcW w:w="3440" w:type="dxa"/>
            <w:vAlign w:val="bottom"/>
            <w:tcBorders>
              <w:top w:val="single" w:sz="8" w:color="0000FF"/>
            </w:tcBorders>
            <w:gridSpan w:val="8"/>
          </w:tcPr>
          <w:p>
            <w:pPr>
              <w:spacing w:after="0"/>
              <w:rPr>
                <w:sz w:val="17"/>
                <w:szCs w:val="17"/>
                <w:color w:val="auto"/>
              </w:rPr>
            </w:pPr>
          </w:p>
        </w:tc>
        <w:tc>
          <w:tcPr>
            <w:tcW w:w="700" w:type="dxa"/>
            <w:vAlign w:val="bottom"/>
            <w:gridSpan w:val="20"/>
          </w:tcPr>
          <w:p>
            <w:pPr>
              <w:spacing w:after="0"/>
              <w:rPr>
                <w:sz w:val="17"/>
                <w:szCs w:val="17"/>
                <w:color w:val="auto"/>
              </w:rPr>
            </w:pPr>
          </w:p>
        </w:tc>
      </w:tr>
      <w:tr>
        <w:trPr>
          <w:trHeight w:val="372"/>
        </w:trPr>
        <w:tc>
          <w:tcPr>
            <w:tcW w:w="760" w:type="dxa"/>
            <w:vAlign w:val="bottom"/>
          </w:tcPr>
          <w:p>
            <w:pPr>
              <w:ind w:left="40"/>
              <w:spacing w:after="0"/>
              <w:rPr>
                <w:sz w:val="20"/>
                <w:szCs w:val="20"/>
                <w:color w:val="auto"/>
              </w:rPr>
            </w:pPr>
            <w:r>
              <w:rPr>
                <w:rFonts w:ascii="Arial" w:cs="Arial" w:eastAsia="Arial" w:hAnsi="Arial"/>
                <w:sz w:val="18"/>
                <w:szCs w:val="18"/>
                <w:color w:val="auto"/>
              </w:rPr>
              <w:t>4.12</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34"/>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Twenty-Fourth Supplemental Indenture (3.85% Senior Notes due 2023) dated August 15, 2013, by and among Plains All American</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Current Report on Form 8-K filed August 15, 2013).</w:t>
              </w:r>
            </w:hyperlink>
          </w:p>
        </w:tc>
        <w:tc>
          <w:tcPr>
            <w:tcW w:w="140" w:type="dxa"/>
            <w:vAlign w:val="bottom"/>
            <w:gridSpan w:val="4"/>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0" w:type="dxa"/>
            <w:vAlign w:val="bottom"/>
            <w:gridSpan w:val="20"/>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372"/>
        </w:trPr>
        <w:tc>
          <w:tcPr>
            <w:tcW w:w="760" w:type="dxa"/>
            <w:vAlign w:val="bottom"/>
          </w:tcPr>
          <w:p>
            <w:pPr>
              <w:ind w:left="40"/>
              <w:spacing w:after="0"/>
              <w:rPr>
                <w:sz w:val="20"/>
                <w:szCs w:val="20"/>
                <w:color w:val="auto"/>
              </w:rPr>
            </w:pPr>
            <w:r>
              <w:rPr>
                <w:rFonts w:ascii="Arial" w:cs="Arial" w:eastAsia="Arial" w:hAnsi="Arial"/>
                <w:sz w:val="18"/>
                <w:szCs w:val="18"/>
                <w:color w:val="auto"/>
              </w:rPr>
              <w:t>4.13</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Twenty-Fifth Supplemental Indenture (4.70% Senior Notes due 2044) dated April 23, 2014, by and among Plains All American</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5580" w:type="dxa"/>
            <w:vAlign w:val="bottom"/>
            <w:gridSpan w:val="21"/>
            <w:shd w:val="clear" w:color="auto" w:fill="0000FF"/>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Current Report on Form 8-K filed April 29, 2014)</w:t>
              </w:r>
              <w:r>
                <w:rPr>
                  <w:rFonts w:ascii="Arial" w:cs="Arial" w:eastAsia="Arial" w:hAnsi="Arial"/>
                  <w:sz w:val="18"/>
                  <w:szCs w:val="18"/>
                  <w:color w:val="000000"/>
                </w:rPr>
                <w:t>.</w:t>
              </w:r>
            </w:hyperlink>
          </w:p>
        </w:tc>
        <w:tc>
          <w:tcPr>
            <w:tcW w:w="140" w:type="dxa"/>
            <w:vAlign w:val="bottom"/>
            <w:gridSpan w:val="4"/>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40"/>
          </w:cols>
          <w:pgMar w:left="240" w:top="108" w:right="31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8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01"/>
        </w:trPr>
        <w:tc>
          <w:tcPr>
            <w:tcW w:w="380" w:type="dxa"/>
            <w:vAlign w:val="bottom"/>
          </w:tcPr>
          <w:p>
            <w:pPr>
              <w:jc w:val="right"/>
              <w:spacing w:after="0"/>
              <w:rPr>
                <w:sz w:val="20"/>
                <w:szCs w:val="20"/>
                <w:color w:val="auto"/>
              </w:rPr>
            </w:pPr>
            <w:r>
              <w:rPr>
                <w:rFonts w:ascii="Arial" w:cs="Arial" w:eastAsia="Arial" w:hAnsi="Arial"/>
                <w:sz w:val="18"/>
                <w:szCs w:val="18"/>
                <w:color w:val="auto"/>
                <w:w w:val="96"/>
              </w:rPr>
              <w:t>4.14</w:t>
            </w:r>
          </w:p>
        </w:tc>
        <w:tc>
          <w:tcPr>
            <w:tcW w:w="5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gridSpan w:val="31"/>
          </w:tcPr>
          <w:p>
            <w:pPr>
              <w:spacing w:after="0"/>
              <w:rPr>
                <w:rFonts w:ascii="Arial" w:cs="Arial" w:eastAsia="Arial" w:hAnsi="Arial"/>
                <w:sz w:val="18"/>
                <w:szCs w:val="18"/>
                <w:color w:val="0000FF"/>
                <w:w w:val="97"/>
              </w:rPr>
            </w:pPr>
            <w:hyperlink r:id="rId79">
              <w:r>
                <w:rPr>
                  <w:rFonts w:ascii="Arial" w:cs="Arial" w:eastAsia="Arial" w:hAnsi="Arial"/>
                  <w:sz w:val="18"/>
                  <w:szCs w:val="18"/>
                  <w:color w:val="0000FF"/>
                  <w:w w:val="97"/>
                </w:rPr>
                <w:t>Twenty-Sixth Supplemental Indenture (3.60% Senior Notes due 2024) dated September 9, 2014, by and among Plains All</w:t>
              </w:r>
            </w:hyperlink>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31"/>
          </w:tcPr>
          <w:p>
            <w:pPr>
              <w:spacing w:after="0" w:line="196" w:lineRule="exact"/>
              <w:rPr>
                <w:rFonts w:ascii="Arial" w:cs="Arial" w:eastAsia="Arial" w:hAnsi="Arial"/>
                <w:sz w:val="18"/>
                <w:szCs w:val="18"/>
                <w:color w:val="0000FF"/>
                <w:w w:val="98"/>
              </w:rPr>
            </w:pPr>
            <w:hyperlink r:id="rId79">
              <w:r>
                <w:rPr>
                  <w:rFonts w:ascii="Arial" w:cs="Arial" w:eastAsia="Arial" w:hAnsi="Arial"/>
                  <w:sz w:val="18"/>
                  <w:szCs w:val="18"/>
                  <w:color w:val="0000FF"/>
                  <w:w w:val="98"/>
                </w:rPr>
                <w:t>American Pipeline, L.P., PAA Finance Corp. and U.S. Bank National Association, as trustee (incorporated by reference to</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Exhibit 4.1 to our Current Report on Form 8-K filed September 11, 2014).</w:t>
              </w:r>
            </w:hyperlink>
          </w:p>
        </w:tc>
        <w:tc>
          <w:tcPr>
            <w:tcW w:w="3380" w:type="dxa"/>
            <w:vAlign w:val="bottom"/>
            <w:tcBorders>
              <w:top w:val="single" w:sz="8" w:color="0000FF"/>
            </w:tcBorders>
            <w:gridSpan w:val="9"/>
          </w:tcPr>
          <w:p>
            <w:pPr>
              <w:spacing w:after="0"/>
              <w:rPr>
                <w:sz w:val="17"/>
                <w:szCs w:val="17"/>
                <w:color w:val="auto"/>
              </w:rPr>
            </w:pPr>
          </w:p>
        </w:tc>
        <w:tc>
          <w:tcPr>
            <w:tcW w:w="780" w:type="dxa"/>
            <w:vAlign w:val="bottom"/>
            <w:gridSpan w:val="15"/>
          </w:tcPr>
          <w:p>
            <w:pPr>
              <w:spacing w:after="0"/>
              <w:rPr>
                <w:sz w:val="17"/>
                <w:szCs w:val="17"/>
                <w:color w:val="auto"/>
              </w:rPr>
            </w:pPr>
          </w:p>
        </w:tc>
      </w:tr>
      <w:tr>
        <w:trPr>
          <w:trHeight w:val="520"/>
        </w:trPr>
        <w:tc>
          <w:tcPr>
            <w:tcW w:w="380" w:type="dxa"/>
            <w:vAlign w:val="bottom"/>
          </w:tcPr>
          <w:p>
            <w:pPr>
              <w:jc w:val="right"/>
              <w:spacing w:after="0"/>
              <w:rPr>
                <w:sz w:val="20"/>
                <w:szCs w:val="20"/>
                <w:color w:val="auto"/>
              </w:rPr>
            </w:pPr>
            <w:r>
              <w:rPr>
                <w:rFonts w:ascii="Arial" w:cs="Arial" w:eastAsia="Arial" w:hAnsi="Arial"/>
                <w:sz w:val="18"/>
                <w:szCs w:val="18"/>
                <w:color w:val="auto"/>
                <w:w w:val="96"/>
              </w:rPr>
              <w:t>4.15</w:t>
            </w:r>
          </w:p>
        </w:tc>
        <w:tc>
          <w:tcPr>
            <w:tcW w:w="5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19"/>
          </w:tcPr>
          <w:p>
            <w:pPr>
              <w:spacing w:after="0"/>
              <w:rPr>
                <w:rFonts w:ascii="Arial" w:cs="Arial" w:eastAsia="Arial" w:hAnsi="Arial"/>
                <w:sz w:val="18"/>
                <w:szCs w:val="18"/>
                <w:color w:val="0000FF"/>
                <w:w w:val="90"/>
              </w:rPr>
            </w:pPr>
            <w:hyperlink r:id="rId80">
              <w:r>
                <w:rPr>
                  <w:rFonts w:ascii="Arial" w:cs="Arial" w:eastAsia="Arial" w:hAnsi="Arial"/>
                  <w:sz w:val="18"/>
                  <w:szCs w:val="18"/>
                  <w:color w:val="0000FF"/>
                  <w:w w:val="90"/>
                </w:rPr>
                <w:t>Twenty-Seventh Supplemental Indenture (2.60% Senior Notes due 2019) dated December 9, 2014, by and among Plains All</w:t>
              </w:r>
            </w:hyperlink>
          </w:p>
        </w:tc>
        <w:tc>
          <w:tcPr>
            <w:tcW w:w="560" w:type="dxa"/>
            <w:vAlign w:val="bottom"/>
            <w:gridSpan w:val="12"/>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31"/>
          </w:tcPr>
          <w:p>
            <w:pPr>
              <w:spacing w:after="0" w:line="196" w:lineRule="exact"/>
              <w:rPr>
                <w:rFonts w:ascii="Arial" w:cs="Arial" w:eastAsia="Arial" w:hAnsi="Arial"/>
                <w:sz w:val="18"/>
                <w:szCs w:val="18"/>
                <w:color w:val="0000FF"/>
                <w:w w:val="98"/>
              </w:rPr>
            </w:pPr>
            <w:hyperlink r:id="rId80">
              <w:r>
                <w:rPr>
                  <w:rFonts w:ascii="Arial" w:cs="Arial" w:eastAsia="Arial" w:hAnsi="Arial"/>
                  <w:sz w:val="18"/>
                  <w:szCs w:val="18"/>
                  <w:color w:val="0000FF"/>
                  <w:w w:val="98"/>
                </w:rPr>
                <w:t>American Pipeline, L.P., PAA Finance Corp. and U.S. Bank National Association, as trustee (incorporated by reference to</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Exhibit 4.1 to our Current Report on Form 8-K filed December 11, 2014).</w:t>
              </w:r>
            </w:hyperlink>
          </w:p>
        </w:tc>
        <w:tc>
          <w:tcPr>
            <w:tcW w:w="780" w:type="dxa"/>
            <w:vAlign w:val="bottom"/>
            <w:gridSpan w:val="15"/>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380" w:type="dxa"/>
            <w:vAlign w:val="bottom"/>
          </w:tcPr>
          <w:p>
            <w:pPr>
              <w:jc w:val="right"/>
              <w:spacing w:after="0"/>
              <w:rPr>
                <w:sz w:val="20"/>
                <w:szCs w:val="20"/>
                <w:color w:val="auto"/>
              </w:rPr>
            </w:pPr>
            <w:r>
              <w:rPr>
                <w:rFonts w:ascii="Arial" w:cs="Arial" w:eastAsia="Arial" w:hAnsi="Arial"/>
                <w:sz w:val="18"/>
                <w:szCs w:val="18"/>
                <w:color w:val="auto"/>
                <w:w w:val="96"/>
              </w:rPr>
              <w:t>4.16</w:t>
            </w:r>
          </w:p>
        </w:tc>
        <w:tc>
          <w:tcPr>
            <w:tcW w:w="5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7"/>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Twenty-Eighth Supplemental Indenture (4.90% Senior Notes due 2045) dated December 9, 2014, by and among Plains All</w:t>
              </w:r>
            </w:hyperlink>
          </w:p>
        </w:tc>
        <w:tc>
          <w:tcPr>
            <w:tcW w:w="660" w:type="dxa"/>
            <w:vAlign w:val="bottom"/>
            <w:gridSpan w:val="14"/>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31"/>
          </w:tcPr>
          <w:p>
            <w:pPr>
              <w:spacing w:after="0" w:line="196" w:lineRule="exact"/>
              <w:rPr>
                <w:rFonts w:ascii="Arial" w:cs="Arial" w:eastAsia="Arial" w:hAnsi="Arial"/>
                <w:sz w:val="18"/>
                <w:szCs w:val="18"/>
                <w:color w:val="0000FF"/>
                <w:w w:val="98"/>
              </w:rPr>
            </w:pPr>
            <w:hyperlink r:id="rId81">
              <w:r>
                <w:rPr>
                  <w:rFonts w:ascii="Arial" w:cs="Arial" w:eastAsia="Arial" w:hAnsi="Arial"/>
                  <w:sz w:val="18"/>
                  <w:szCs w:val="18"/>
                  <w:color w:val="0000FF"/>
                  <w:w w:val="98"/>
                </w:rPr>
                <w:t>American Pipeline, L.P., PAA Finance Corp. and U.S. Bank National Association, as trustee (incorporated by reference to</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Exhibit 4.3 to our Current Report on Form 8-K filed December 11, 2014).</w:t>
              </w:r>
            </w:hyperlink>
          </w:p>
        </w:tc>
        <w:tc>
          <w:tcPr>
            <w:tcW w:w="780" w:type="dxa"/>
            <w:vAlign w:val="bottom"/>
            <w:gridSpan w:val="15"/>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380" w:type="dxa"/>
            <w:vAlign w:val="bottom"/>
          </w:tcPr>
          <w:p>
            <w:pPr>
              <w:jc w:val="right"/>
              <w:spacing w:after="0"/>
              <w:rPr>
                <w:sz w:val="20"/>
                <w:szCs w:val="20"/>
                <w:color w:val="auto"/>
              </w:rPr>
            </w:pPr>
            <w:r>
              <w:rPr>
                <w:rFonts w:ascii="Arial" w:cs="Arial" w:eastAsia="Arial" w:hAnsi="Arial"/>
                <w:sz w:val="18"/>
                <w:szCs w:val="18"/>
                <w:color w:val="auto"/>
                <w:w w:val="96"/>
              </w:rPr>
              <w:t>4.17</w:t>
            </w:r>
          </w:p>
        </w:tc>
        <w:tc>
          <w:tcPr>
            <w:tcW w:w="5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gridSpan w:val="31"/>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Twenty-Ninth Supplemental Indenture (4.65% Senior Notes due 2025) dated August 24, 2015, by and among Plains All American</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FF"/>
            </w:tcBorders>
            <w:gridSpan w:val="28"/>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120" w:type="dxa"/>
            <w:vAlign w:val="bottom"/>
            <w:gridSpan w:val="3"/>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Current Report on Form 8-K filed August 26, 2015).</w:t>
              </w:r>
            </w:hyperlink>
          </w:p>
        </w:tc>
        <w:tc>
          <w:tcPr>
            <w:tcW w:w="180" w:type="dxa"/>
            <w:vAlign w:val="bottom"/>
            <w:gridSpan w:val="6"/>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380" w:type="dxa"/>
            <w:vAlign w:val="bottom"/>
          </w:tcPr>
          <w:p>
            <w:pPr>
              <w:jc w:val="right"/>
              <w:spacing w:after="0"/>
              <w:rPr>
                <w:sz w:val="20"/>
                <w:szCs w:val="20"/>
                <w:color w:val="auto"/>
              </w:rPr>
            </w:pPr>
            <w:r>
              <w:rPr>
                <w:rFonts w:ascii="Arial" w:cs="Arial" w:eastAsia="Arial" w:hAnsi="Arial"/>
                <w:sz w:val="18"/>
                <w:szCs w:val="18"/>
                <w:color w:val="auto"/>
                <w:w w:val="96"/>
              </w:rPr>
              <w:t>4.18</w:t>
            </w:r>
          </w:p>
        </w:tc>
        <w:tc>
          <w:tcPr>
            <w:tcW w:w="5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gridSpan w:val="31"/>
          </w:tcPr>
          <w:p>
            <w:pPr>
              <w:spacing w:after="0"/>
              <w:rPr>
                <w:rFonts w:ascii="Arial" w:cs="Arial" w:eastAsia="Arial" w:hAnsi="Arial"/>
                <w:sz w:val="18"/>
                <w:szCs w:val="18"/>
                <w:color w:val="0000FF"/>
                <w:w w:val="93"/>
              </w:rPr>
            </w:pPr>
            <w:hyperlink r:id="rId83">
              <w:r>
                <w:rPr>
                  <w:rFonts w:ascii="Arial" w:cs="Arial" w:eastAsia="Arial" w:hAnsi="Arial"/>
                  <w:sz w:val="18"/>
                  <w:szCs w:val="18"/>
                  <w:color w:val="0000FF"/>
                  <w:w w:val="93"/>
                </w:rPr>
                <w:t>Thirtieth Supplemental Indenture (4.50% Senior Notes due 2026) dated November 22, 2016, by and among Plains All American</w:t>
              </w:r>
            </w:hyperlink>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31"/>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c>
          <w:tcPr>
            <w:tcW w:w="180" w:type="dxa"/>
            <w:vAlign w:val="bottom"/>
            <w:gridSpan w:val="6"/>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4.19</w:t>
            </w:r>
          </w:p>
        </w:tc>
        <w:tc>
          <w:tcPr>
            <w:tcW w:w="5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gridSpan w:val="31"/>
          </w:tcPr>
          <w:p>
            <w:pPr>
              <w:spacing w:after="0"/>
              <w:rPr>
                <w:rFonts w:ascii="Arial" w:cs="Arial" w:eastAsia="Arial" w:hAnsi="Arial"/>
                <w:sz w:val="18"/>
                <w:szCs w:val="18"/>
                <w:color w:val="0000FF"/>
                <w:w w:val="95"/>
              </w:rPr>
            </w:pPr>
            <w:hyperlink r:id="rId84">
              <w:r>
                <w:rPr>
                  <w:rFonts w:ascii="Arial" w:cs="Arial" w:eastAsia="Arial" w:hAnsi="Arial"/>
                  <w:sz w:val="18"/>
                  <w:szCs w:val="18"/>
                  <w:color w:val="0000FF"/>
                  <w:w w:val="95"/>
                </w:rPr>
                <w:t>Registration Rights Agreement dated September 3, 2009 by and between Plains All American Pipeline, L.P. and Vulcan Gas</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40" w:type="dxa"/>
            <w:vAlign w:val="bottom"/>
            <w:tcBorders>
              <w:top w:val="single" w:sz="8" w:color="0000FF"/>
            </w:tcBorders>
            <w:gridSpan w:val="19"/>
          </w:tcPr>
          <w:p>
            <w:pPr>
              <w:spacing w:after="0" w:line="196"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Storage LLC (incorporated by reference to Exhibit 4.1 to our Registration Statement on Form S-3, File No. 333-162477).</w:t>
              </w:r>
            </w:hyperlink>
          </w:p>
        </w:tc>
        <w:tc>
          <w:tcPr>
            <w:tcW w:w="560" w:type="dxa"/>
            <w:vAlign w:val="bottom"/>
            <w:gridSpan w:val="12"/>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380" w:type="dxa"/>
            <w:vAlign w:val="bottom"/>
          </w:tcPr>
          <w:p>
            <w:pPr>
              <w:jc w:val="right"/>
              <w:spacing w:after="0"/>
              <w:rPr>
                <w:sz w:val="20"/>
                <w:szCs w:val="20"/>
                <w:color w:val="auto"/>
              </w:rPr>
            </w:pPr>
            <w:r>
              <w:rPr>
                <w:rFonts w:ascii="Arial" w:cs="Arial" w:eastAsia="Arial" w:hAnsi="Arial"/>
                <w:sz w:val="18"/>
                <w:szCs w:val="18"/>
                <w:color w:val="auto"/>
                <w:w w:val="96"/>
              </w:rPr>
              <w:t>4.20</w:t>
            </w:r>
          </w:p>
        </w:tc>
        <w:tc>
          <w:tcPr>
            <w:tcW w:w="5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gridSpan w:val="31"/>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Registration Rights Agreement dated as of January 28, 2016 among Plains All American Pipeline, L.P. and the Purchasers named</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therein (incorporated by reference to Exhibit 4.1 to our Current Report on Form 8-K filed February 2, 2016).</w:t>
              </w:r>
            </w:hyperlink>
          </w:p>
        </w:tc>
        <w:tc>
          <w:tcPr>
            <w:tcW w:w="1480" w:type="dxa"/>
            <w:vAlign w:val="bottom"/>
            <w:tcBorders>
              <w:top w:val="single" w:sz="8" w:color="0000FF"/>
            </w:tcBorders>
            <w:gridSpan w:val="12"/>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520"/>
        </w:trPr>
        <w:tc>
          <w:tcPr>
            <w:tcW w:w="380" w:type="dxa"/>
            <w:vAlign w:val="bottom"/>
          </w:tcPr>
          <w:p>
            <w:pPr>
              <w:jc w:val="right"/>
              <w:spacing w:after="0"/>
              <w:rPr>
                <w:sz w:val="20"/>
                <w:szCs w:val="20"/>
                <w:color w:val="auto"/>
              </w:rPr>
            </w:pPr>
            <w:r>
              <w:rPr>
                <w:rFonts w:ascii="Arial" w:cs="Arial" w:eastAsia="Arial" w:hAnsi="Arial"/>
                <w:sz w:val="18"/>
                <w:szCs w:val="18"/>
                <w:color w:val="auto"/>
                <w:w w:val="96"/>
              </w:rPr>
              <w:t>4.21</w:t>
            </w:r>
          </w:p>
        </w:tc>
        <w:tc>
          <w:tcPr>
            <w:tcW w:w="5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FF"/>
            </w:tcBorders>
            <w:gridSpan w:val="29"/>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Registration Rights Agreement by and among Plains All American Pipeline, L.P. and the Holders defined therein, dated November</w:t>
              </w:r>
            </w:hyperlink>
          </w:p>
        </w:tc>
        <w:tc>
          <w:tcPr>
            <w:tcW w:w="80" w:type="dxa"/>
            <w:vAlign w:val="bottom"/>
            <w:gridSpan w:val="2"/>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15, 2016 (incorporated by reference to Exhibit 10.4 to our Current Report on Form 8-K filed November 21, 2016).</w:t>
              </w:r>
            </w:hyperlink>
          </w:p>
        </w:tc>
        <w:tc>
          <w:tcPr>
            <w:tcW w:w="1260" w:type="dxa"/>
            <w:vAlign w:val="bottom"/>
            <w:gridSpan w:val="18"/>
          </w:tcPr>
          <w:p>
            <w:pPr>
              <w:spacing w:after="0"/>
              <w:rPr>
                <w:sz w:val="17"/>
                <w:szCs w:val="17"/>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30"/>
          </w:tcPr>
          <w:p>
            <w:pPr>
              <w:spacing w:after="0"/>
              <w:rPr>
                <w:rFonts w:ascii="Arial" w:cs="Arial" w:eastAsia="Arial" w:hAnsi="Arial"/>
                <w:sz w:val="18"/>
                <w:szCs w:val="18"/>
                <w:color w:val="0000FF"/>
                <w:w w:val="92"/>
              </w:rPr>
            </w:pPr>
            <w:hyperlink r:id="rId87">
              <w:r>
                <w:rPr>
                  <w:rFonts w:ascii="Arial" w:cs="Arial" w:eastAsia="Arial" w:hAnsi="Arial"/>
                  <w:sz w:val="18"/>
                  <w:szCs w:val="18"/>
                  <w:color w:val="0000FF"/>
                  <w:w w:val="92"/>
                </w:rPr>
                <w:t>Form of Director LTIP Grant Letter (February 2017) - Director Grant - Designated Directors and Audit Committee Members (PAA</w:t>
              </w:r>
            </w:hyperlink>
          </w:p>
        </w:tc>
        <w:tc>
          <w:tcPr>
            <w:tcW w:w="6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2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Plan) (incorporated by reference to Exhibit 10.1 to our Quarterly Report on Form 10-Q for the quarter ended March 31, 2017).</w:t>
              </w:r>
            </w:hyperlink>
          </w:p>
        </w:tc>
        <w:tc>
          <w:tcPr>
            <w:tcW w:w="380" w:type="dxa"/>
            <w:vAlign w:val="bottom"/>
            <w:gridSpan w:val="10"/>
          </w:tcPr>
          <w:p>
            <w:pPr>
              <w:spacing w:after="0"/>
              <w:rPr>
                <w:sz w:val="17"/>
                <w:szCs w:val="17"/>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10.2</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gridSpan w:val="31"/>
          </w:tcPr>
          <w:p>
            <w:pPr>
              <w:spacing w:after="0"/>
              <w:rPr>
                <w:rFonts w:ascii="Arial" w:cs="Arial" w:eastAsia="Arial" w:hAnsi="Arial"/>
                <w:sz w:val="18"/>
                <w:szCs w:val="18"/>
                <w:color w:val="0000FF"/>
                <w:w w:val="95"/>
              </w:rPr>
            </w:pPr>
            <w:hyperlink r:id="rId88">
              <w:r>
                <w:rPr>
                  <w:rFonts w:ascii="Arial" w:cs="Arial" w:eastAsia="Arial" w:hAnsi="Arial"/>
                  <w:sz w:val="18"/>
                  <w:szCs w:val="18"/>
                  <w:color w:val="0000FF"/>
                  <w:w w:val="95"/>
                </w:rPr>
                <w:t>Form of Director LTIP Grant Letter (February 2017) - Audit Committee Supplement (PAA Plan) (incorporated by reference to</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Exhibit 10.2 to our Quarterly Report on Form 10-Q for the quarter ended March 31, 2017).</w:t>
              </w:r>
            </w:hyperlink>
          </w:p>
        </w:tc>
        <w:tc>
          <w:tcPr>
            <w:tcW w:w="400" w:type="dxa"/>
            <w:vAlign w:val="bottom"/>
            <w:gridSpan w:val="11"/>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10.3</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tcBorders>
              <w:bottom w:val="single" w:sz="8" w:color="0000FF"/>
            </w:tcBorders>
            <w:gridSpan w:val="31"/>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Form of Director LTIP Grant Letter (February 2017) - Independent Director Grant (PAA Plan) (incorporated by reference to Exhibit</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31"/>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our Quarterly Report on Form 10-Q for the quarter ended March 31, 2017).</w:t>
              </w:r>
            </w:hyperlink>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10.4</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30"/>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Form of LTIP Grant Letter for Officers (July 2017) (incorporated by reference to Exhibit 10.4 to our Quarterly Report on Form 10-</w:t>
              </w:r>
            </w:hyperlink>
          </w:p>
        </w:tc>
        <w:tc>
          <w:tcPr>
            <w:tcW w:w="6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31"/>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Q for the quarter ended June 30, 2017).</w:t>
              </w:r>
            </w:hyperlink>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10.5</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gridSpan w:val="31"/>
          </w:tcPr>
          <w:p>
            <w:pPr>
              <w:spacing w:after="0"/>
              <w:rPr>
                <w:rFonts w:ascii="Arial" w:cs="Arial" w:eastAsia="Arial" w:hAnsi="Arial"/>
                <w:sz w:val="18"/>
                <w:szCs w:val="18"/>
                <w:color w:val="0000FF"/>
                <w:w w:val="97"/>
              </w:rPr>
            </w:pPr>
            <w:hyperlink w:anchor="page72">
              <w:r>
                <w:rPr>
                  <w:rFonts w:ascii="Arial" w:cs="Arial" w:eastAsia="Arial" w:hAnsi="Arial"/>
                  <w:sz w:val="18"/>
                  <w:szCs w:val="18"/>
                  <w:color w:val="0000FF"/>
                  <w:w w:val="97"/>
                </w:rPr>
                <w:t>Third Amendment to 364-Day Credit Agreement dated as of August 10, 2017 among Plains All American Pipeline, L.P., as</w:t>
              </w:r>
            </w:hyperlink>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4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8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w:anchor="page72">
              <w:r>
                <w:rPr>
                  <w:rFonts w:ascii="Arial" w:cs="Arial" w:eastAsia="Arial" w:hAnsi="Arial"/>
                  <w:sz w:val="18"/>
                  <w:szCs w:val="18"/>
                  <w:color w:val="0000FF"/>
                  <w:w w:val="92"/>
                </w:rPr>
                <w:t>Borrower; Bank of America, N.A., as Administrative Agent; Citibank, N.A., JPMorgan Chase Bank N.A. and Wells Fargo Bank,</w:t>
              </w:r>
            </w:hyperlink>
          </w:p>
        </w:tc>
        <w:tc>
          <w:tcPr>
            <w:tcW w:w="220" w:type="dxa"/>
            <w:vAlign w:val="bottom"/>
            <w:gridSpan w:val="8"/>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31"/>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National Association, as Co-Syndication Agents; DNB Bank ASA, New York Branch and Mizuho Bank, Ltd., as Co-</w:t>
              </w:r>
            </w:hyperlink>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4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31"/>
          </w:tcPr>
          <w:p>
            <w:pPr>
              <w:spacing w:after="0" w:line="196" w:lineRule="exact"/>
              <w:rPr>
                <w:rFonts w:ascii="Arial" w:cs="Arial" w:eastAsia="Arial" w:hAnsi="Arial"/>
                <w:sz w:val="18"/>
                <w:szCs w:val="18"/>
                <w:color w:val="0000FF"/>
                <w:w w:val="92"/>
              </w:rPr>
            </w:pPr>
            <w:hyperlink w:anchor="page72">
              <w:r>
                <w:rPr>
                  <w:rFonts w:ascii="Arial" w:cs="Arial" w:eastAsia="Arial" w:hAnsi="Arial"/>
                  <w:sz w:val="18"/>
                  <w:szCs w:val="18"/>
                  <w:color w:val="0000FF"/>
                  <w:w w:val="92"/>
                </w:rPr>
                <w:t>Documentation Agents; the other Lenders party thereto; and Merrill Lynch, Pierce, Fenner &amp; Smith Incorporated, Citigroup Global</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tcBorders>
              <w:top w:val="single" w:sz="8" w:color="0000FF"/>
              <w:bottom w:val="single" w:sz="8" w:color="0000FF"/>
            </w:tcBorders>
            <w:gridSpan w:val="27"/>
          </w:tcPr>
          <w:p>
            <w:pPr>
              <w:spacing w:after="0" w:line="196" w:lineRule="exact"/>
              <w:rPr>
                <w:rFonts w:ascii="Arial" w:cs="Arial" w:eastAsia="Arial" w:hAnsi="Arial"/>
                <w:sz w:val="18"/>
                <w:szCs w:val="18"/>
                <w:color w:val="0000FF"/>
                <w:w w:val="91"/>
              </w:rPr>
            </w:pPr>
            <w:hyperlink w:anchor="page72">
              <w:r>
                <w:rPr>
                  <w:rFonts w:ascii="Arial" w:cs="Arial" w:eastAsia="Arial" w:hAnsi="Arial"/>
                  <w:sz w:val="18"/>
                  <w:szCs w:val="18"/>
                  <w:color w:val="0000FF"/>
                  <w:w w:val="91"/>
                </w:rPr>
                <w:t>Markets Inc., DNB Markets, Inc., J.P. Morgan Securities LLC, Mizuho Bank, Ltd. and Wells Fargo Securities, LLC, as Joint Lead</w:t>
              </w:r>
            </w:hyperlink>
          </w:p>
        </w:tc>
        <w:tc>
          <w:tcPr>
            <w:tcW w:w="8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Arrangers and Joint Bookrunners.</w:t>
              </w:r>
            </w:hyperlink>
          </w:p>
        </w:tc>
        <w:tc>
          <w:tcPr>
            <w:tcW w:w="7060" w:type="dxa"/>
            <w:vAlign w:val="bottom"/>
            <w:gridSpan w:val="29"/>
          </w:tcPr>
          <w:p>
            <w:pPr>
              <w:spacing w:after="0"/>
              <w:rPr>
                <w:sz w:val="17"/>
                <w:szCs w:val="17"/>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10.6</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gridSpan w:val="31"/>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Fourth Amendment to Third Amended and Restated Credit Agreement dated as of August 16, 2017 among Plains Marketing, L.P.</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w:anchor="page107">
              <w:r>
                <w:rPr>
                  <w:rFonts w:ascii="Arial" w:cs="Arial" w:eastAsia="Arial" w:hAnsi="Arial"/>
                  <w:sz w:val="18"/>
                  <w:szCs w:val="18"/>
                  <w:color w:val="0000FF"/>
                  <w:w w:val="91"/>
                </w:rPr>
                <w:t>and Plains Midstream Canada ULC, as Borrowers; Plains All American Pipeline, L.P., as Guarantor; Bank of America, N.A., as</w:t>
              </w:r>
            </w:hyperlink>
          </w:p>
        </w:tc>
        <w:tc>
          <w:tcPr>
            <w:tcW w:w="100" w:type="dxa"/>
            <w:vAlign w:val="bottom"/>
            <w:tcBorders>
              <w:top w:val="single" w:sz="8" w:color="0000FF"/>
            </w:tcBorders>
            <w:gridSpan w:val="4"/>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31"/>
          </w:tcPr>
          <w:p>
            <w:pPr>
              <w:spacing w:after="0" w:line="196" w:lineRule="exact"/>
              <w:rPr>
                <w:rFonts w:ascii="Arial" w:cs="Arial" w:eastAsia="Arial" w:hAnsi="Arial"/>
                <w:sz w:val="18"/>
                <w:szCs w:val="18"/>
                <w:color w:val="0000FF"/>
                <w:w w:val="92"/>
              </w:rPr>
            </w:pPr>
            <w:hyperlink w:anchor="page107">
              <w:r>
                <w:rPr>
                  <w:rFonts w:ascii="Arial" w:cs="Arial" w:eastAsia="Arial" w:hAnsi="Arial"/>
                  <w:sz w:val="18"/>
                  <w:szCs w:val="18"/>
                  <w:color w:val="0000FF"/>
                  <w:w w:val="92"/>
                </w:rPr>
                <w:t>Administrative Agent, Swing Line Lender and L/C Issuer; Wells Fargo Bank, National Association, as an L/C Issuer; and the other</w:t>
              </w:r>
            </w:hyperlink>
          </w:p>
        </w:tc>
      </w:tr>
      <w:tr>
        <w:trPr>
          <w:trHeight w:val="196"/>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w:anchor="page107">
              <w:r>
                <w:rPr>
                  <w:rFonts w:ascii="Arial" w:cs="Arial" w:eastAsia="Arial" w:hAnsi="Arial"/>
                  <w:sz w:val="18"/>
                  <w:szCs w:val="18"/>
                  <w:color w:val="0000FF"/>
                  <w:w w:val="88"/>
                </w:rPr>
                <w:t>Lenders party thereto.</w:t>
              </w:r>
            </w:hyperlink>
          </w:p>
        </w:tc>
        <w:tc>
          <w:tcPr>
            <w:tcW w:w="7840" w:type="dxa"/>
            <w:vAlign w:val="bottom"/>
            <w:tcBorders>
              <w:top w:val="single" w:sz="8" w:color="0000FF"/>
            </w:tcBorders>
            <w:gridSpan w:val="28"/>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12.1</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32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123">
              <w:r>
                <w:rPr>
                  <w:rFonts w:ascii="Arial" w:cs="Arial" w:eastAsia="Arial" w:hAnsi="Arial"/>
                  <w:sz w:val="18"/>
                  <w:szCs w:val="18"/>
                  <w:color w:val="0000FF"/>
                  <w:w w:val="90"/>
                </w:rPr>
                <w:t>Computation of Ratio of Earnings to Fixed Charges and Combined Fixed Charges and Preferred Unit Distributions.</w:t>
              </w:r>
            </w:hyperlink>
          </w:p>
        </w:tc>
        <w:tc>
          <w:tcPr>
            <w:tcW w:w="1180" w:type="dxa"/>
            <w:vAlign w:val="bottom"/>
            <w:gridSpan w:val="17"/>
          </w:tcPr>
          <w:p>
            <w:pPr>
              <w:spacing w:after="0"/>
              <w:rPr>
                <w:sz w:val="24"/>
                <w:szCs w:val="24"/>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31.1</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24">
              <w:r>
                <w:rPr>
                  <w:rFonts w:ascii="Arial" w:cs="Arial" w:eastAsia="Arial" w:hAnsi="Arial"/>
                  <w:sz w:val="18"/>
                  <w:szCs w:val="18"/>
                  <w:color w:val="0000FF"/>
                  <w:w w:val="91"/>
                </w:rPr>
                <w:t>Certification of Principal Executive Officer pursuant to Exchange Act Rules 13a-14(a) and 15d-14(a).</w:t>
              </w:r>
            </w:hyperlink>
          </w:p>
        </w:tc>
        <w:tc>
          <w:tcPr>
            <w:tcW w:w="2160" w:type="dxa"/>
            <w:vAlign w:val="bottom"/>
            <w:gridSpan w:val="20"/>
          </w:tcPr>
          <w:p>
            <w:pPr>
              <w:spacing w:after="0"/>
              <w:rPr>
                <w:sz w:val="24"/>
                <w:szCs w:val="24"/>
                <w:color w:val="auto"/>
              </w:rPr>
            </w:pPr>
          </w:p>
        </w:tc>
      </w:tr>
      <w:tr>
        <w:trPr>
          <w:trHeight w:val="372"/>
        </w:trPr>
        <w:tc>
          <w:tcPr>
            <w:tcW w:w="380" w:type="dxa"/>
            <w:vAlign w:val="bottom"/>
          </w:tcPr>
          <w:p>
            <w:pPr>
              <w:jc w:val="right"/>
              <w:spacing w:after="0"/>
              <w:rPr>
                <w:sz w:val="20"/>
                <w:szCs w:val="20"/>
                <w:color w:val="auto"/>
              </w:rPr>
            </w:pPr>
            <w:r>
              <w:rPr>
                <w:rFonts w:ascii="Arial" w:cs="Arial" w:eastAsia="Arial" w:hAnsi="Arial"/>
                <w:sz w:val="18"/>
                <w:szCs w:val="18"/>
                <w:color w:val="auto"/>
                <w:w w:val="96"/>
              </w:rPr>
              <w:t>31.2</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500" w:type="dxa"/>
            <w:vAlign w:val="bottom"/>
            <w:gridSpan w:val="31"/>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Certification of Principal Financial Officer pursuant to Exchange Act Rules 13a-14(a) and 15d-14(a).</w:t>
              </w:r>
            </w:hyperlink>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08" w:right="279" w:bottom="144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80"/>
          </w:cols>
          <w:pgMar w:left="240" w:top="108" w:right="27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01"/>
        </w:trPr>
        <w:tc>
          <w:tcPr>
            <w:tcW w:w="1000" w:type="dxa"/>
            <w:vAlign w:val="bottom"/>
          </w:tcPr>
          <w:p>
            <w:pPr>
              <w:ind w:left="40"/>
              <w:spacing w:after="0"/>
              <w:rPr>
                <w:sz w:val="20"/>
                <w:szCs w:val="20"/>
                <w:color w:val="auto"/>
              </w:rPr>
            </w:pPr>
            <w:r>
              <w:rPr>
                <w:rFonts w:ascii="Arial" w:cs="Arial" w:eastAsia="Arial" w:hAnsi="Arial"/>
                <w:sz w:val="18"/>
                <w:szCs w:val="18"/>
                <w:color w:val="auto"/>
              </w:rPr>
              <w:t>32.1 ††</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18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126">
              <w:r>
                <w:rPr>
                  <w:rFonts w:ascii="Arial" w:cs="Arial" w:eastAsia="Arial" w:hAnsi="Arial"/>
                  <w:sz w:val="18"/>
                  <w:szCs w:val="18"/>
                  <w:color w:val="0000FF"/>
                  <w:w w:val="92"/>
                </w:rPr>
                <w:t>Certification of Principal Executive Officer pursuant to 18 U.S.C. 1350.</w:t>
              </w:r>
            </w:hyperlink>
          </w:p>
        </w:tc>
      </w:tr>
      <w:tr>
        <w:trPr>
          <w:trHeight w:val="372"/>
        </w:trPr>
        <w:tc>
          <w:tcPr>
            <w:tcW w:w="1000" w:type="dxa"/>
            <w:vAlign w:val="bottom"/>
          </w:tcPr>
          <w:p>
            <w:pPr>
              <w:ind w:left="40"/>
              <w:spacing w:after="0"/>
              <w:rPr>
                <w:sz w:val="20"/>
                <w:szCs w:val="20"/>
                <w:color w:val="auto"/>
              </w:rPr>
            </w:pPr>
            <w:r>
              <w:rPr>
                <w:rFonts w:ascii="Arial" w:cs="Arial" w:eastAsia="Arial" w:hAnsi="Arial"/>
                <w:sz w:val="18"/>
                <w:szCs w:val="18"/>
                <w:color w:val="auto"/>
              </w:rPr>
              <w:t>32.2 ††</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180" w:type="dxa"/>
            <w:vAlign w:val="bottom"/>
            <w:gridSpan w:val="2"/>
          </w:tcPr>
          <w:p>
            <w:pPr>
              <w:spacing w:after="0"/>
              <w:rPr>
                <w:rFonts w:ascii="Arial" w:cs="Arial" w:eastAsia="Arial" w:hAnsi="Arial"/>
                <w:sz w:val="18"/>
                <w:szCs w:val="18"/>
                <w:color w:val="0000FF"/>
                <w:w w:val="93"/>
              </w:rPr>
            </w:pPr>
            <w:hyperlink w:anchor="page127">
              <w:r>
                <w:rPr>
                  <w:rFonts w:ascii="Arial" w:cs="Arial" w:eastAsia="Arial" w:hAnsi="Arial"/>
                  <w:sz w:val="18"/>
                  <w:szCs w:val="18"/>
                  <w:color w:val="0000FF"/>
                  <w:w w:val="93"/>
                </w:rPr>
                <w:t>Certification of Principal Financial Officer pursuant to 18 U.S.C. 1350.</w:t>
              </w:r>
            </w:hyperlink>
          </w:p>
        </w:tc>
      </w:tr>
      <w:tr>
        <w:trPr>
          <w:trHeight w:val="412"/>
        </w:trPr>
        <w:tc>
          <w:tcPr>
            <w:tcW w:w="1000" w:type="dxa"/>
            <w:vAlign w:val="bottom"/>
          </w:tcPr>
          <w:p>
            <w:pPr>
              <w:ind w:left="40"/>
              <w:spacing w:after="0"/>
              <w:rPr>
                <w:sz w:val="20"/>
                <w:szCs w:val="20"/>
                <w:color w:val="auto"/>
              </w:rPr>
            </w:pPr>
            <w:r>
              <w:rPr>
                <w:rFonts w:ascii="Arial" w:cs="Arial" w:eastAsia="Arial" w:hAnsi="Arial"/>
                <w:sz w:val="18"/>
                <w:szCs w:val="18"/>
                <w:color w:val="auto"/>
              </w:rPr>
              <w:t>101.INS†</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tcPr>
          <w:p>
            <w:pPr>
              <w:spacing w:after="0"/>
              <w:rPr>
                <w:sz w:val="24"/>
                <w:szCs w:val="24"/>
                <w:color w:val="auto"/>
              </w:rPr>
            </w:pP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101.SCH†</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1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101.CAL†</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1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101.DEF†</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1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101.LAB†</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1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101.PRE†</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1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8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66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601(b)(2) of Regulation S-K. A copy of any omitted schedule will be furnished supplementally to the SEC upon request.</w:t>
      </w:r>
    </w:p>
    <w:p>
      <w:pPr>
        <w:spacing w:after="0" w:line="62"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108" w:right="47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10.5</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364-DAY CREDIT AGREEMENT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August 10,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ALL AMERICAN PIPELINE, L.P.,</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OF AMERICA, N.A.,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CITIBANK, N.A., JPMORGAN CHASE BANK, N.A.</w:t>
      </w:r>
    </w:p>
    <w:p>
      <w:pPr>
        <w:spacing w:after="0" w:line="28"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and WELLS FARGO BANK, NATIONAL ASSOCIATION,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Co-Syndication Agents,</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DNB BANK ASA, NEW YORK BRANCH and MIZUHO BANK,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Co-Documentation Agents,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Other Lenders Party Hereto</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MERRILL LYNCH, PIERCE, FENNER &amp; SMITH INCORPORATED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CITIGROUP GLOBAL MARKETS INC., DNB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 MORGAN SECURITIES LLC, MIZUHO BANK, LTD.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WELLS FARGO SECURITIES,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Senior Unsecured 364-Day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color w:val="auto"/>
        </w:rPr>
        <w:t>THIRD AMENDMENT TO 364-DAY CREDIT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THIRD AMENDMENT TO 364-DAY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the 10th day of August, 2017, is by and among PLAINS ALL AMERICAN PIPELINE, L.P. (the “</w:t>
      </w:r>
      <w:r>
        <w:rPr>
          <w:rFonts w:ascii="Arial" w:cs="Arial" w:eastAsia="Arial" w:hAnsi="Arial"/>
          <w:sz w:val="22"/>
          <w:szCs w:val="22"/>
          <w:u w:val="single" w:color="auto"/>
          <w:color w:val="auto"/>
        </w:rPr>
        <w:t>Borrower</w:t>
      </w:r>
      <w:r>
        <w:rPr>
          <w:rFonts w:ascii="Arial" w:cs="Arial" w:eastAsia="Arial" w:hAnsi="Arial"/>
          <w:sz w:val="22"/>
          <w:szCs w:val="22"/>
          <w:color w:val="auto"/>
        </w:rPr>
        <w:t>”), BANK OF AMERICA, N.A., as Administrative Agent, and the Lenders party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Borrower, Administrative Agent and Lenders entered into that certain 364-Day Credit Agreement dated as of January 16, 2015, as amended by that certain First Amendment to 364-Day Credit Agreement dated as of August 14, 2015 and that certain Second Amendment to 364-Day Credit Agreement dated as of August 11, 2016 (as so amended,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 for the purposes and consideration therein expressed; and</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Merrill Lynch, Pierce, Fenner &amp; Smith Incorporated (“</w:t>
      </w:r>
      <w:r>
        <w:rPr>
          <w:rFonts w:ascii="Arial" w:cs="Arial" w:eastAsia="Arial" w:hAnsi="Arial"/>
          <w:sz w:val="22"/>
          <w:szCs w:val="22"/>
          <w:u w:val="single" w:color="auto"/>
          <w:color w:val="auto"/>
        </w:rPr>
        <w:t>MLPFS</w:t>
      </w:r>
      <w:r>
        <w:rPr>
          <w:rFonts w:ascii="Arial" w:cs="Arial" w:eastAsia="Arial" w:hAnsi="Arial"/>
          <w:sz w:val="22"/>
          <w:szCs w:val="22"/>
          <w:color w:val="auto"/>
        </w:rPr>
        <w:t>”) and the other joint lead arrangers and joint bookrunners, have, at the Borrower’s request, syndicated and arranged for an extension of the maturity date set forth in, and other amendments to, the Original Agreement, and pursuant thereto, the Borrower, Administrative Agent and the Lenders party hereto desire to amend the Original Agreement for the purposes described herein;</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 — </w:t>
      </w:r>
      <w:r>
        <w:rPr>
          <w:rFonts w:ascii="Arial" w:cs="Arial" w:eastAsia="Arial" w:hAnsi="Arial"/>
          <w:sz w:val="22"/>
          <w:szCs w:val="22"/>
          <w:u w:val="single" w:color="auto"/>
          <w:color w:val="auto"/>
        </w:rPr>
        <w:t>Definitions and References</w:t>
      </w:r>
    </w:p>
    <w:p>
      <w:pPr>
        <w:spacing w:after="0" w:line="220" w:lineRule="exact"/>
        <w:rPr>
          <w:sz w:val="20"/>
          <w:szCs w:val="20"/>
          <w:color w:val="auto"/>
        </w:rPr>
      </w:pPr>
    </w:p>
    <w:p>
      <w:pPr>
        <w:ind w:firstLine="656"/>
        <w:spacing w:after="0" w:line="343" w:lineRule="auto"/>
        <w:tabs>
          <w:tab w:leader="none" w:pos="835"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Terms Defined in the Original Agreement</w:t>
      </w:r>
      <w:r>
        <w:rPr>
          <w:rFonts w:ascii="Arial" w:cs="Arial" w:eastAsia="Arial" w:hAnsi="Arial"/>
          <w:sz w:val="19"/>
          <w:szCs w:val="19"/>
          <w:color w:val="auto"/>
        </w:rPr>
        <w:t>. Unless the context otherwise requires or unless otherwise expressly defined herein, the terms defined in the Credit Agreement shall have the same meanings whenever used in this Amendment.</w:t>
      </w:r>
    </w:p>
    <w:p>
      <w:pPr>
        <w:spacing w:after="0" w:line="104" w:lineRule="exact"/>
        <w:rPr>
          <w:rFonts w:ascii="Arial" w:cs="Arial" w:eastAsia="Arial" w:hAnsi="Arial"/>
          <w:sz w:val="19"/>
          <w:szCs w:val="19"/>
          <w:color w:val="auto"/>
        </w:rPr>
      </w:pPr>
    </w:p>
    <w:p>
      <w:pPr>
        <w:ind w:firstLine="656"/>
        <w:spacing w:after="0" w:line="263" w:lineRule="auto"/>
        <w:tabs>
          <w:tab w:leader="none" w:pos="829"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Other Defined Terms</w:t>
      </w:r>
      <w:r>
        <w:rPr>
          <w:rFonts w:ascii="Arial" w:cs="Arial" w:eastAsia="Arial" w:hAnsi="Arial"/>
          <w:sz w:val="22"/>
          <w:szCs w:val="22"/>
          <w:color w:val="auto"/>
        </w:rPr>
        <w:t xml:space="preserve">. Unless the context otherwise requires, the following terms when used in this Amendment shall have the meanings assigned to them in this </w:t>
      </w:r>
      <w:r>
        <w:rPr>
          <w:rFonts w:ascii="Arial" w:cs="Arial" w:eastAsia="Arial" w:hAnsi="Arial"/>
          <w:sz w:val="22"/>
          <w:szCs w:val="22"/>
          <w:u w:val="single" w:color="auto"/>
          <w:color w:val="auto"/>
        </w:rPr>
        <w:t>§ 1.2</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means this Third Amendment to 364-Day Credit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 3.1</w:t>
      </w:r>
      <w:r>
        <w:rPr>
          <w:rFonts w:ascii="Arial" w:cs="Arial" w:eastAsia="Arial" w:hAnsi="Arial"/>
          <w:sz w:val="22"/>
          <w:szCs w:val="22"/>
          <w:color w:val="auto"/>
        </w:rPr>
        <w:t xml:space="preserve"> of this Amendment.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means the Original Agreement as amended hereby.</w:t>
      </w:r>
    </w:p>
    <w:p>
      <w:pPr>
        <w:spacing w:after="0" w:line="22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Exiting Lender</w:t>
      </w:r>
      <w:r>
        <w:rPr>
          <w:rFonts w:ascii="Arial" w:cs="Arial" w:eastAsia="Arial" w:hAnsi="Arial"/>
          <w:sz w:val="22"/>
          <w:szCs w:val="22"/>
          <w:color w:val="auto"/>
        </w:rPr>
        <w:t>” means any Person that is a Lender to the Original Agreement immediately prior to the execution of this Amendment and not a signatory hereto on the Amendment Effective Date as a Lender.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3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color w:val="auto"/>
        </w:rPr>
        <w:t xml:space="preserve">ARTICLE II. — </w:t>
      </w:r>
      <w:r>
        <w:rPr>
          <w:rFonts w:ascii="Arial" w:cs="Arial" w:eastAsia="Arial" w:hAnsi="Arial"/>
          <w:sz w:val="22"/>
          <w:szCs w:val="22"/>
          <w:u w:val="single" w:color="auto"/>
          <w:color w:val="auto"/>
        </w:rPr>
        <w:t>Amendments</w:t>
      </w:r>
    </w:p>
    <w:p>
      <w:pPr>
        <w:spacing w:after="0" w:line="220" w:lineRule="exact"/>
        <w:rPr>
          <w:sz w:val="20"/>
          <w:szCs w:val="20"/>
          <w:color w:val="auto"/>
        </w:rPr>
      </w:pPr>
    </w:p>
    <w:p>
      <w:pPr>
        <w:ind w:left="820" w:hanging="164"/>
        <w:spacing w:after="0"/>
        <w:tabs>
          <w:tab w:leader="none" w:pos="8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63" w:lineRule="auto"/>
        <w:tabs>
          <w:tab w:leader="none" w:pos="1212"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second sentence of the definition of “Applicable Percentage”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in its entirety to read as follows:</w:t>
      </w:r>
    </w:p>
    <w:p>
      <w:pPr>
        <w:spacing w:after="0" w:line="175"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 xml:space="preserve">If the commitment of each Lender to make Loans has been terminated pursuant to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or if the Aggregate Commitments have expired, then the Applicable Percentage of each Lender shall be determined based on either (i) the Applicable Percentage of such Lender most recently in effect, giving effect to any subsequent assignments or (ii) if the Loans have been converted to Term Loans pursuant to </w:t>
      </w:r>
      <w:r>
        <w:rPr>
          <w:rFonts w:ascii="Arial" w:cs="Arial" w:eastAsia="Arial" w:hAnsi="Arial"/>
          <w:sz w:val="21"/>
          <w:szCs w:val="21"/>
          <w:u w:val="single" w:color="auto"/>
          <w:color w:val="auto"/>
        </w:rPr>
        <w:t>Section 2.01A</w:t>
      </w:r>
      <w:r>
        <w:rPr>
          <w:rFonts w:ascii="Arial" w:cs="Arial" w:eastAsia="Arial" w:hAnsi="Arial"/>
          <w:sz w:val="21"/>
          <w:szCs w:val="21"/>
          <w:color w:val="auto"/>
        </w:rPr>
        <w:t>, the percentage (carried out to the ninth decimal place) of the total Term Loans represented by such Lender’s Term Loan.</w:t>
      </w:r>
    </w:p>
    <w:p>
      <w:pPr>
        <w:spacing w:after="0" w:line="176" w:lineRule="exact"/>
        <w:rPr>
          <w:sz w:val="20"/>
          <w:szCs w:val="20"/>
          <w:color w:val="auto"/>
        </w:rPr>
      </w:pPr>
    </w:p>
    <w:p>
      <w:pPr>
        <w:jc w:val="both"/>
        <w:ind w:firstLine="656"/>
        <w:spacing w:after="0" w:line="250" w:lineRule="auto"/>
        <w:tabs>
          <w:tab w:leader="none" w:pos="122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The references to “and the Maturity Date”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definition of “Interest Payment Date”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are hereby amended to refer instead to “and the Maturity Date, or, if the Loans have been converted to Term Loans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the effective date of such conversion and the Term Loan Maturity Date”.</w:t>
      </w:r>
    </w:p>
    <w:p>
      <w:pPr>
        <w:spacing w:after="0" w:line="188" w:lineRule="exact"/>
        <w:rPr>
          <w:rFonts w:ascii="Arial" w:cs="Arial" w:eastAsia="Arial" w:hAnsi="Arial"/>
          <w:sz w:val="22"/>
          <w:szCs w:val="22"/>
          <w:color w:val="auto"/>
        </w:rPr>
      </w:pPr>
    </w:p>
    <w:p>
      <w:pPr>
        <w:ind w:right="20" w:firstLine="656"/>
        <w:spacing w:after="0" w:line="263" w:lineRule="auto"/>
        <w:tabs>
          <w:tab w:leader="none" w:pos="121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Loan</w:t>
      </w:r>
      <w:r>
        <w:rPr>
          <w:rFonts w:ascii="Arial" w:cs="Arial" w:eastAsia="Arial" w:hAnsi="Arial"/>
          <w:sz w:val="22"/>
          <w:szCs w:val="22"/>
          <w:color w:val="auto"/>
        </w:rPr>
        <w:t xml:space="preserve">. The definition of “Loan”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in its entirety to read as follows:</w:t>
      </w:r>
    </w:p>
    <w:p>
      <w:pPr>
        <w:spacing w:after="0" w:line="175"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and shall include any Loan converted into a Term Loan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175" w:lineRule="exact"/>
        <w:rPr>
          <w:sz w:val="20"/>
          <w:szCs w:val="20"/>
          <w:color w:val="auto"/>
        </w:rPr>
      </w:pPr>
    </w:p>
    <w:p>
      <w:pPr>
        <w:ind w:firstLine="656"/>
        <w:spacing w:after="0" w:line="263" w:lineRule="auto"/>
        <w:tabs>
          <w:tab w:leader="none" w:pos="1224"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The definition of “Maturity Date”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in its entirety to read as follows</w:t>
      </w:r>
    </w:p>
    <w:p>
      <w:pPr>
        <w:spacing w:after="0" w:line="17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August 9, 2018;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if the Loans have been converted to Term Loans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from and after the effective date of such conversion “</w:t>
      </w:r>
      <w:r>
        <w:rPr>
          <w:rFonts w:ascii="Arial" w:cs="Arial" w:eastAsia="Arial" w:hAnsi="Arial"/>
          <w:sz w:val="22"/>
          <w:szCs w:val="22"/>
          <w:u w:val="single" w:color="auto"/>
          <w:color w:val="auto"/>
        </w:rPr>
        <w:t>Maturity Date</w:t>
      </w:r>
      <w:r>
        <w:rPr>
          <w:rFonts w:ascii="Arial" w:cs="Arial" w:eastAsia="Arial" w:hAnsi="Arial"/>
          <w:sz w:val="22"/>
          <w:szCs w:val="22"/>
          <w:color w:val="auto"/>
        </w:rPr>
        <w:t>” shall mean August 9, 2019 (the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 Maturity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in either case, that if such date is not a Business Day, the Maturity Date shall be the next preceding Business Day.</w:t>
      </w:r>
    </w:p>
    <w:p>
      <w:pPr>
        <w:spacing w:after="0" w:line="188" w:lineRule="exact"/>
        <w:rPr>
          <w:sz w:val="20"/>
          <w:szCs w:val="20"/>
          <w:color w:val="auto"/>
        </w:rPr>
      </w:pPr>
    </w:p>
    <w:p>
      <w:pPr>
        <w:ind w:firstLine="656"/>
        <w:spacing w:after="0" w:line="263" w:lineRule="auto"/>
        <w:tabs>
          <w:tab w:leader="none" w:pos="121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The definition of “Required Lenders”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in its entirety to read as follows</w:t>
      </w:r>
    </w:p>
    <w:p>
      <w:pPr>
        <w:spacing w:after="0" w:line="175"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as of any date of determination, Lenders having more than 50% of the Aggregate Commitments or, if the commitment of each Lender to make Loans has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Lenders holding in the aggregate more than 50% of the Total Outstandings;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if the Loans have been converted to Term Loans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from and after the effective date of such conversion, “</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Lenders having more than 50% of the aggregate outstanding principal amount of the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either case, the Commitment of, and the portion of the Total Outstandings held by, any Defaulting Lender shall be excluded for purposes of making a determination of Required Lenders.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74" w:name="page75"/>
    <w:bookmarkEnd w:id="74"/>
    <w:p>
      <w:pPr>
        <w:ind w:firstLine="656"/>
        <w:spacing w:after="0" w:line="263" w:lineRule="auto"/>
        <w:tabs>
          <w:tab w:leader="none" w:pos="1188"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New Defined Terms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by adding the following new defined terms in appropriate alphabetical order, to read as follows: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Maturity Date</w:t>
      </w:r>
      <w:r>
        <w:rPr>
          <w:rFonts w:ascii="Arial" w:cs="Arial" w:eastAsia="Arial" w:hAnsi="Arial"/>
          <w:sz w:val="19"/>
          <w:szCs w:val="19"/>
          <w:color w:val="auto"/>
        </w:rPr>
        <w:t xml:space="preserve">” has the meaning set forth in the definition of “Maturity Date”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Term-Out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63" w:lineRule="auto"/>
        <w:tabs>
          <w:tab w:leader="none" w:pos="827"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Term-Out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Original Agreement is hereby amended by adding a new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immediately following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of the Original Agreement, to read as follows:</w:t>
      </w:r>
    </w:p>
    <w:p>
      <w:pPr>
        <w:spacing w:after="0" w:line="169" w:lineRule="exact"/>
        <w:rPr>
          <w:sz w:val="20"/>
          <w:szCs w:val="20"/>
          <w:color w:val="auto"/>
        </w:rPr>
      </w:pPr>
    </w:p>
    <w:p>
      <w:pPr>
        <w:jc w:val="both"/>
        <w:ind w:left="660" w:firstLine="648"/>
        <w:spacing w:after="0" w:line="285" w:lineRule="auto"/>
        <w:rPr>
          <w:sz w:val="20"/>
          <w:szCs w:val="20"/>
          <w:color w:val="auto"/>
        </w:rPr>
      </w:pPr>
      <w:r>
        <w:rPr>
          <w:rFonts w:ascii="Arial" w:cs="Arial" w:eastAsia="Arial" w:hAnsi="Arial"/>
          <w:sz w:val="19"/>
          <w:szCs w:val="19"/>
          <w:b w:val="1"/>
          <w:bCs w:val="1"/>
          <w:color w:val="auto"/>
        </w:rPr>
        <w:t>2.01A</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Term-Out</w:t>
      </w:r>
      <w:r>
        <w:rPr>
          <w:rFonts w:ascii="Arial" w:cs="Arial" w:eastAsia="Arial" w:hAnsi="Arial"/>
          <w:sz w:val="19"/>
          <w:szCs w:val="19"/>
          <w:color w:val="auto"/>
        </w:rPr>
        <w:t>. Provided no Default or Event of Default has occurred and is continuing, the Borrower may,</w:t>
      </w:r>
      <w:r>
        <w:rPr>
          <w:rFonts w:ascii="Arial" w:cs="Arial" w:eastAsia="Arial" w:hAnsi="Arial"/>
          <w:sz w:val="19"/>
          <w:szCs w:val="19"/>
          <w:b w:val="1"/>
          <w:bCs w:val="1"/>
          <w:color w:val="auto"/>
        </w:rPr>
        <w:t xml:space="preserve"> </w:t>
      </w:r>
      <w:r>
        <w:rPr>
          <w:rFonts w:ascii="Arial" w:cs="Arial" w:eastAsia="Arial" w:hAnsi="Arial"/>
          <w:sz w:val="19"/>
          <w:szCs w:val="19"/>
          <w:color w:val="auto"/>
        </w:rPr>
        <w:t>upon prior written notice to the Administrative Agent for posting to the Lenders sent not less than thirty (30) days and not more than sixty (60) days prior to the Maturity Date, elect to have the entire principal balance of the Loans then outstanding converted to non-revolving term loans (the “</w:t>
      </w:r>
      <w:r>
        <w:rPr>
          <w:rFonts w:ascii="Arial" w:cs="Arial" w:eastAsia="Arial" w:hAnsi="Arial"/>
          <w:sz w:val="19"/>
          <w:szCs w:val="19"/>
          <w:u w:val="single" w:color="auto"/>
          <w:color w:val="auto"/>
        </w:rPr>
        <w:t>Term Loans</w:t>
      </w:r>
      <w:r>
        <w:rPr>
          <w:rFonts w:ascii="Arial" w:cs="Arial" w:eastAsia="Arial" w:hAnsi="Arial"/>
          <w:sz w:val="19"/>
          <w:szCs w:val="19"/>
          <w:color w:val="auto"/>
        </w:rPr>
        <w:t>”), which Term Loans shall be due and payable on the Term Loan Maturity Date (such option to convert the revolving Loans to Term Loans, the “</w:t>
      </w:r>
      <w:r>
        <w:rPr>
          <w:rFonts w:ascii="Arial" w:cs="Arial" w:eastAsia="Arial" w:hAnsi="Arial"/>
          <w:sz w:val="19"/>
          <w:szCs w:val="19"/>
          <w:u w:val="single" w:color="auto"/>
          <w:color w:val="auto"/>
        </w:rPr>
        <w:t>Term-Out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 may exercise the Term-Out only once during the term of this Agreement. Upon the effectiveness of the Term-Out, (a) the Commitments shall be permanently terminated and (b) the Borrower may repay, but not reborrow, the Term Loans. As a condition precedent to the Term-Out, the Borrower shall deliver to the Administrative Agent a certificate of the Borrower dated the effective date of the Term-Out signed by a Responsible Officer of the Borrower, certifying that: (i) the resolutions adopted by the Borrower approving or consenting to the Term-Out are attached thereto and such resolutions are true and correct and have not been altered, amended or repealed and are in full force and effect and (ii) both immediately before and after giving effect to the Term-Out, (A) the representations and warranties of the Borrower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in any other Loan Document are true and correct in all material respects on and as of the effective date of the Term-Out, except to the extent that such representations and warranties specifically refer to an earlier date, in which case they were true and correct in all material respects as of such earlier date, and except that for purposes of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(b)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clauses (a) and (b),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(B) no Default or Event of Default exists or would immediately result from the Term-Out. The Borrower agrees to pay to the Administrative Agent for the ratable account of each Lender a one-time Term-Out fee equal to 1.00% of the outstanding principal of the Term Loans so converted, which shall be due and payable on the effective date of the Term-Out. The Borrower hereby agrees to pay any and all costs (if any)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incurred by any Lender in connection with the exercise of the Term-Out.</w:t>
      </w:r>
    </w:p>
    <w:p>
      <w:pPr>
        <w:spacing w:after="0" w:line="200" w:lineRule="exact"/>
        <w:rPr>
          <w:sz w:val="20"/>
          <w:szCs w:val="20"/>
          <w:color w:val="auto"/>
        </w:rPr>
      </w:pPr>
    </w:p>
    <w:p>
      <w:pPr>
        <w:spacing w:after="0" w:line="219" w:lineRule="exact"/>
        <w:rPr>
          <w:sz w:val="20"/>
          <w:szCs w:val="20"/>
          <w:color w:val="auto"/>
        </w:rPr>
      </w:pPr>
    </w:p>
    <w:p>
      <w:pPr>
        <w:jc w:val="both"/>
        <w:ind w:firstLine="656"/>
        <w:spacing w:after="0" w:line="271" w:lineRule="auto"/>
        <w:tabs>
          <w:tab w:leader="none" w:pos="824"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Fees</w:t>
      </w:r>
      <w:r>
        <w:rPr>
          <w:rFonts w:ascii="Arial" w:cs="Arial" w:eastAsia="Arial" w:hAnsi="Arial"/>
          <w:sz w:val="21"/>
          <w:szCs w:val="21"/>
          <w:color w:val="auto"/>
        </w:rPr>
        <w:t xml:space="preserve">. The reference to “and on the last day of the Availability Period” set forth in the second sentence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2.07</w:t>
      </w:r>
      <w:r>
        <w:rPr>
          <w:rFonts w:ascii="Arial" w:cs="Arial" w:eastAsia="Arial" w:hAnsi="Arial"/>
          <w:sz w:val="21"/>
          <w:szCs w:val="21"/>
          <w:color w:val="auto"/>
        </w:rPr>
        <w:t xml:space="preserve"> of the Original Agreement is hereby amended to refer instead to “and on the last day of the Availability Period, and, if the Loans have been converted to Term Loans pursuant to </w:t>
      </w:r>
      <w:r>
        <w:rPr>
          <w:rFonts w:ascii="Arial" w:cs="Arial" w:eastAsia="Arial" w:hAnsi="Arial"/>
          <w:sz w:val="21"/>
          <w:szCs w:val="21"/>
          <w:u w:val="single" w:color="auto"/>
          <w:color w:val="auto"/>
        </w:rPr>
        <w:t>Section 2.01A</w:t>
      </w:r>
      <w:r>
        <w:rPr>
          <w:rFonts w:ascii="Arial" w:cs="Arial" w:eastAsia="Arial" w:hAnsi="Arial"/>
          <w:sz w:val="21"/>
          <w:szCs w:val="21"/>
          <w:color w:val="auto"/>
        </w:rPr>
        <w:t>, on the Term Loan Maturity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75" w:name="page76"/>
    <w:bookmarkEnd w:id="75"/>
    <w:p>
      <w:pPr>
        <w:jc w:val="both"/>
        <w:ind w:firstLine="656"/>
        <w:spacing w:after="0" w:line="250" w:lineRule="auto"/>
        <w:tabs>
          <w:tab w:leader="none" w:pos="827"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Commitments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to the Original Agreement is hereby amended in its entirety to read as set forth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attached hereto. Each Lender that did not have a Commitment prior to its execution of this Amendment is hereby added to the Credit Agreement as a Lender with a Commitment as provided on such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and agrees to be bound by the terms of the Credit Agreement as a Lender thereunder.</w:t>
      </w:r>
    </w:p>
    <w:p>
      <w:pPr>
        <w:spacing w:after="0" w:line="188" w:lineRule="exact"/>
        <w:rPr>
          <w:rFonts w:ascii="Arial" w:cs="Arial" w:eastAsia="Arial" w:hAnsi="Arial"/>
          <w:sz w:val="22"/>
          <w:szCs w:val="22"/>
          <w:color w:val="auto"/>
        </w:rPr>
      </w:pPr>
    </w:p>
    <w:p>
      <w:pPr>
        <w:jc w:val="both"/>
        <w:ind w:firstLine="656"/>
        <w:spacing w:after="0" w:line="289" w:lineRule="auto"/>
        <w:tabs>
          <w:tab w:leader="none" w:pos="835"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Ratable Loans</w:t>
      </w:r>
      <w:r>
        <w:rPr>
          <w:rFonts w:ascii="Arial" w:cs="Arial" w:eastAsia="Arial" w:hAnsi="Arial"/>
          <w:sz w:val="19"/>
          <w:szCs w:val="19"/>
          <w:color w:val="auto"/>
        </w:rPr>
        <w:t xml:space="preserve">. In connection herewith, on and as of the Amendment Effective Date, Borrower, Administrative Agent and Lenders shall make adjustments to the then outstanding principal amount of Loans (but not any interest accrued thereon prior to the Amendment Effective Date), including the borrowing of additional Loans and/or repayment of outstanding Loans, plus all applicable accrued interest, fees and expenses, as shall be necessary to repay in full all Exiting Lenders, and to provide for Loans hereunder by each Lender in the amount of its Applicable Percentage of all Loans as of the Amendment Effective Date, but in no event shall such adjustment of any Eurocurrency Rate Loans (i) constitute a payment or prepayment of all or a portion of any such Eurocurrency Rate Loans or (ii) entitle any Lender to any reimbursement under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of the Credit Agreement, and each Lender shall be deemed to have made an assignment of its outstanding Loans under the Credit Agreement, and assumed outstanding Loans of other Lenders under the Credit Agreement, as may be necessary to effect the foregoing.</w:t>
      </w:r>
    </w:p>
    <w:p>
      <w:pPr>
        <w:spacing w:after="0" w:line="157" w:lineRule="exact"/>
        <w:rPr>
          <w:rFonts w:ascii="Arial" w:cs="Arial" w:eastAsia="Arial" w:hAnsi="Arial"/>
          <w:sz w:val="19"/>
          <w:szCs w:val="19"/>
          <w:color w:val="auto"/>
        </w:rPr>
      </w:pPr>
    </w:p>
    <w:p>
      <w:pPr>
        <w:jc w:val="both"/>
        <w:ind w:firstLine="656"/>
        <w:spacing w:after="0" w:line="248" w:lineRule="auto"/>
        <w:tabs>
          <w:tab w:leader="none" w:pos="829"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Exiting Lenders</w:t>
      </w:r>
      <w:r>
        <w:rPr>
          <w:rFonts w:ascii="Arial" w:cs="Arial" w:eastAsia="Arial" w:hAnsi="Arial"/>
          <w:sz w:val="22"/>
          <w:szCs w:val="22"/>
          <w:color w:val="auto"/>
        </w:rPr>
        <w:t>. On and as of the Amendment Effective Date, contemporaneous with repayment in full of each Exiting Lender’s Loans, plus all applicable accrued interest, fees and expenses, each such Exiting Lender shall cease to be a Lender, shall be released from its obligations as a Lender under the Credit Agreement and shall cease to be a party thereto, and the Credit Agreement shall have no further force and effect as to such Exiting Lender, other than such provisions that expressly survive termination of such Exiting Lender’s Commitment.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III. — </w:t>
      </w:r>
      <w:r>
        <w:rPr>
          <w:rFonts w:ascii="Arial" w:cs="Arial" w:eastAsia="Arial" w:hAnsi="Arial"/>
          <w:sz w:val="22"/>
          <w:szCs w:val="22"/>
          <w:u w:val="single" w:color="auto"/>
          <w:color w:val="auto"/>
        </w:rPr>
        <w:t>Conditions of Effectiveness</w:t>
      </w:r>
    </w:p>
    <w:p>
      <w:pPr>
        <w:spacing w:after="0" w:line="220" w:lineRule="exact"/>
        <w:rPr>
          <w:sz w:val="20"/>
          <w:szCs w:val="20"/>
          <w:color w:val="auto"/>
        </w:rPr>
      </w:pPr>
    </w:p>
    <w:p>
      <w:pPr>
        <w:ind w:firstLine="656"/>
        <w:spacing w:after="0" w:line="263" w:lineRule="auto"/>
        <w:tabs>
          <w:tab w:leader="none" w:pos="851"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This Amendment shall become effective as of the date first written above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upon the satisfaction of the following conditions precedent:</w:t>
      </w:r>
    </w:p>
    <w:p>
      <w:pPr>
        <w:spacing w:after="0" w:line="175" w:lineRule="exact"/>
        <w:rPr>
          <w:sz w:val="20"/>
          <w:szCs w:val="20"/>
          <w:color w:val="auto"/>
        </w:rPr>
      </w:pPr>
    </w:p>
    <w:p>
      <w:pPr>
        <w:jc w:val="both"/>
        <w:ind w:firstLine="656"/>
        <w:spacing w:after="0" w:line="300" w:lineRule="auto"/>
        <w:tabs>
          <w:tab w:leader="none" w:pos="113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Administrative Agent’s receipt of the following, each of which shall be originals, telecopies or other electronic copies (followed promptly by originals) unless otherwise specified, each properly executed by a Responsible Officer of the Borrower,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47" w:lineRule="exact"/>
        <w:rPr>
          <w:rFonts w:ascii="Arial" w:cs="Arial" w:eastAsia="Arial" w:hAnsi="Arial"/>
          <w:sz w:val="19"/>
          <w:szCs w:val="19"/>
          <w:color w:val="auto"/>
        </w:rPr>
      </w:pPr>
    </w:p>
    <w:p>
      <w:pPr>
        <w:ind w:left="660" w:firstLine="645"/>
        <w:spacing w:after="0" w:line="263" w:lineRule="auto"/>
        <w:tabs>
          <w:tab w:leader="none" w:pos="1836" w:val="left"/>
        </w:tabs>
        <w:numPr>
          <w:ilvl w:val="1"/>
          <w:numId w:val="68"/>
        </w:numPr>
        <w:rPr>
          <w:rFonts w:ascii="Arial" w:cs="Arial" w:eastAsia="Arial" w:hAnsi="Arial"/>
          <w:sz w:val="22"/>
          <w:szCs w:val="22"/>
          <w:color w:val="auto"/>
        </w:rPr>
      </w:pPr>
      <w:r>
        <w:rPr>
          <w:rFonts w:ascii="Arial" w:cs="Arial" w:eastAsia="Arial" w:hAnsi="Arial"/>
          <w:sz w:val="22"/>
          <w:szCs w:val="22"/>
          <w:color w:val="auto"/>
        </w:rPr>
        <w:t>executed counterparts of this Amendment, sufficient in number for distribution to the Administrative Agent, each Lender and Borrower;</w:t>
      </w:r>
    </w:p>
    <w:p>
      <w:pPr>
        <w:spacing w:after="0" w:line="174" w:lineRule="exact"/>
        <w:rPr>
          <w:rFonts w:ascii="Arial" w:cs="Arial" w:eastAsia="Arial" w:hAnsi="Arial"/>
          <w:sz w:val="22"/>
          <w:szCs w:val="22"/>
          <w:color w:val="auto"/>
        </w:rPr>
      </w:pPr>
    </w:p>
    <w:p>
      <w:pPr>
        <w:ind w:left="660" w:firstLine="645"/>
        <w:spacing w:after="0" w:line="263" w:lineRule="auto"/>
        <w:tabs>
          <w:tab w:leader="none" w:pos="1896" w:val="left"/>
        </w:tabs>
        <w:numPr>
          <w:ilvl w:val="1"/>
          <w:numId w:val="68"/>
        </w:numPr>
        <w:rPr>
          <w:rFonts w:ascii="Arial" w:cs="Arial" w:eastAsia="Arial" w:hAnsi="Arial"/>
          <w:sz w:val="22"/>
          <w:szCs w:val="22"/>
          <w:color w:val="auto"/>
        </w:rPr>
      </w:pPr>
      <w:r>
        <w:rPr>
          <w:rFonts w:ascii="Arial" w:cs="Arial" w:eastAsia="Arial" w:hAnsi="Arial"/>
          <w:sz w:val="22"/>
          <w:szCs w:val="22"/>
          <w:color w:val="auto"/>
        </w:rPr>
        <w:t>if so requested within three Business Days prior to the Amendment Effective Date, a Note executed by Borrower in favor of each requesting Lender;</w:t>
      </w:r>
    </w:p>
    <w:p>
      <w:pPr>
        <w:spacing w:after="0" w:line="174" w:lineRule="exact"/>
        <w:rPr>
          <w:rFonts w:ascii="Arial" w:cs="Arial" w:eastAsia="Arial" w:hAnsi="Arial"/>
          <w:sz w:val="22"/>
          <w:szCs w:val="22"/>
          <w:color w:val="auto"/>
        </w:rPr>
      </w:pPr>
    </w:p>
    <w:p>
      <w:pPr>
        <w:ind w:left="660" w:firstLine="645"/>
        <w:spacing w:after="0" w:line="263" w:lineRule="auto"/>
        <w:tabs>
          <w:tab w:leader="none" w:pos="1956" w:val="left"/>
        </w:tabs>
        <w:numPr>
          <w:ilvl w:val="1"/>
          <w:numId w:val="68"/>
        </w:numPr>
        <w:rPr>
          <w:rFonts w:ascii="Arial" w:cs="Arial" w:eastAsia="Arial" w:hAnsi="Arial"/>
          <w:sz w:val="22"/>
          <w:szCs w:val="22"/>
          <w:color w:val="auto"/>
        </w:rPr>
      </w:pPr>
      <w:r>
        <w:rPr>
          <w:rFonts w:ascii="Arial" w:cs="Arial" w:eastAsia="Arial" w:hAnsi="Arial"/>
          <w:sz w:val="22"/>
          <w:szCs w:val="22"/>
          <w:color w:val="auto"/>
        </w:rPr>
        <w:t>such certificates of resolutions or other action, incumbency certificates and/or other certificates of Responsible Officers of Borrower as the Administrative Agent may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76" w:name="page77"/>
    <w:bookmarkEnd w:id="76"/>
    <w:p>
      <w:pPr>
        <w:jc w:val="both"/>
        <w:ind w:left="660"/>
        <w:spacing w:after="0" w:line="253" w:lineRule="auto"/>
        <w:rPr>
          <w:sz w:val="20"/>
          <w:szCs w:val="20"/>
          <w:color w:val="auto"/>
        </w:rPr>
      </w:pPr>
      <w:r>
        <w:rPr>
          <w:rFonts w:ascii="Arial" w:cs="Arial" w:eastAsia="Arial" w:hAnsi="Arial"/>
          <w:sz w:val="22"/>
          <w:szCs w:val="22"/>
          <w:color w:val="auto"/>
        </w:rPr>
        <w:t xml:space="preserve">reasonably require evidencing the identity, authority and capacity of each Responsible Officer thereof authorized to act as a Responsible Officer in connection with this Amendment and the other Loan Documents delivered pursuant to this </w:t>
      </w:r>
      <w:r>
        <w:rPr>
          <w:rFonts w:ascii="Arial" w:cs="Arial" w:eastAsia="Arial" w:hAnsi="Arial"/>
          <w:sz w:val="22"/>
          <w:szCs w:val="22"/>
          <w:u w:val="single" w:color="auto"/>
          <w:color w:val="auto"/>
        </w:rPr>
        <w:t>§ 3.1</w:t>
      </w:r>
      <w:r>
        <w:rPr>
          <w:rFonts w:ascii="Arial" w:cs="Arial" w:eastAsia="Arial" w:hAnsi="Arial"/>
          <w:sz w:val="22"/>
          <w:szCs w:val="22"/>
          <w:color w:val="auto"/>
        </w:rPr>
        <w:t xml:space="preserve"> to which Borrower is a party;</w:t>
      </w:r>
    </w:p>
    <w:p>
      <w:pPr>
        <w:spacing w:after="0" w:line="186" w:lineRule="exact"/>
        <w:rPr>
          <w:sz w:val="20"/>
          <w:szCs w:val="20"/>
          <w:color w:val="auto"/>
        </w:rPr>
      </w:pPr>
    </w:p>
    <w:p>
      <w:pPr>
        <w:jc w:val="both"/>
        <w:ind w:left="660" w:firstLine="645"/>
        <w:spacing w:after="0" w:line="271" w:lineRule="auto"/>
        <w:tabs>
          <w:tab w:leader="none" w:pos="1944" w:val="left"/>
        </w:tabs>
        <w:numPr>
          <w:ilvl w:val="1"/>
          <w:numId w:val="69"/>
        </w:numPr>
        <w:rPr>
          <w:rFonts w:ascii="Arial" w:cs="Arial" w:eastAsia="Arial" w:hAnsi="Arial"/>
          <w:sz w:val="21"/>
          <w:szCs w:val="21"/>
          <w:color w:val="auto"/>
        </w:rPr>
      </w:pPr>
      <w:r>
        <w:rPr>
          <w:rFonts w:ascii="Arial" w:cs="Arial" w:eastAsia="Arial" w:hAnsi="Arial"/>
          <w:sz w:val="21"/>
          <w:szCs w:val="21"/>
          <w:color w:val="auto"/>
        </w:rPr>
        <w:t>such documents and certifications as the Administrative Agent may reasonably require to evidence that Borrower, General Partner and GP LLC are duly organized or formed, and that Borrower is validly existing and in good standing in its jurisdiction of organization, issued by the appropriate authorities of such jurisdiction;</w:t>
      </w:r>
    </w:p>
    <w:p>
      <w:pPr>
        <w:spacing w:after="0" w:line="167" w:lineRule="exact"/>
        <w:rPr>
          <w:rFonts w:ascii="Arial" w:cs="Arial" w:eastAsia="Arial" w:hAnsi="Arial"/>
          <w:sz w:val="21"/>
          <w:szCs w:val="21"/>
          <w:color w:val="auto"/>
        </w:rPr>
      </w:pPr>
    </w:p>
    <w:p>
      <w:pPr>
        <w:ind w:left="660" w:firstLine="645"/>
        <w:spacing w:after="0" w:line="287" w:lineRule="auto"/>
        <w:tabs>
          <w:tab w:leader="none" w:pos="1884" w:val="left"/>
        </w:tabs>
        <w:numPr>
          <w:ilvl w:val="1"/>
          <w:numId w:val="69"/>
        </w:numPr>
        <w:rPr>
          <w:rFonts w:ascii="Arial" w:cs="Arial" w:eastAsia="Arial" w:hAnsi="Arial"/>
          <w:sz w:val="21"/>
          <w:szCs w:val="21"/>
          <w:color w:val="auto"/>
        </w:rPr>
      </w:pPr>
      <w:r>
        <w:rPr>
          <w:rFonts w:ascii="Arial" w:cs="Arial" w:eastAsia="Arial" w:hAnsi="Arial"/>
          <w:sz w:val="21"/>
          <w:szCs w:val="21"/>
          <w:color w:val="auto"/>
        </w:rPr>
        <w:t>favorable opinions of (A) Richard McGee, Esq., General Counsel for Borrower, and (B) Baker Botts L.L.P., special Texas and New York counsel to Borrower, addressed to the Administrative Agent and each Lender;</w:t>
      </w:r>
    </w:p>
    <w:p>
      <w:pPr>
        <w:spacing w:after="0" w:line="151" w:lineRule="exact"/>
        <w:rPr>
          <w:rFonts w:ascii="Arial" w:cs="Arial" w:eastAsia="Arial" w:hAnsi="Arial"/>
          <w:sz w:val="21"/>
          <w:szCs w:val="21"/>
          <w:color w:val="auto"/>
        </w:rPr>
      </w:pPr>
    </w:p>
    <w:p>
      <w:pPr>
        <w:jc w:val="both"/>
        <w:ind w:left="660" w:firstLine="645"/>
        <w:spacing w:after="0" w:line="250" w:lineRule="auto"/>
        <w:tabs>
          <w:tab w:leader="none" w:pos="1944"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a certificate signed by a Responsible Officer of Borrower certifying (A) that the conditions specified in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Credit Agreement have been satisfied, (B) that there has been no event or circumstance since December 31, 2016 that has had or could be reasonably expected to have, either individually or in the aggregate, a Material Adverse Effect and (C) the current Debt Ratings; and</w:t>
      </w:r>
    </w:p>
    <w:p>
      <w:pPr>
        <w:spacing w:after="0" w:line="188" w:lineRule="exact"/>
        <w:rPr>
          <w:rFonts w:ascii="Arial" w:cs="Arial" w:eastAsia="Arial" w:hAnsi="Arial"/>
          <w:sz w:val="22"/>
          <w:szCs w:val="22"/>
          <w:color w:val="auto"/>
        </w:rPr>
      </w:pPr>
    </w:p>
    <w:p>
      <w:pPr>
        <w:ind w:left="660" w:firstLine="645"/>
        <w:spacing w:after="0" w:line="263" w:lineRule="auto"/>
        <w:tabs>
          <w:tab w:leader="none" w:pos="2004" w:val="left"/>
        </w:tabs>
        <w:numPr>
          <w:ilvl w:val="1"/>
          <w:numId w:val="69"/>
        </w:numPr>
        <w:rPr>
          <w:rFonts w:ascii="Arial" w:cs="Arial" w:eastAsia="Arial" w:hAnsi="Arial"/>
          <w:sz w:val="22"/>
          <w:szCs w:val="22"/>
          <w:color w:val="auto"/>
        </w:rPr>
      </w:pPr>
      <w:r>
        <w:rPr>
          <w:rFonts w:ascii="Arial" w:cs="Arial" w:eastAsia="Arial" w:hAnsi="Arial"/>
          <w:sz w:val="22"/>
          <w:szCs w:val="22"/>
          <w:color w:val="auto"/>
        </w:rPr>
        <w:t>such other assurances, certificates, documents, consents or opinions as the Administrative Agent may reasonably require.</w:t>
      </w:r>
    </w:p>
    <w:p>
      <w:pPr>
        <w:spacing w:after="0" w:line="174" w:lineRule="exact"/>
        <w:rPr>
          <w:rFonts w:ascii="Arial" w:cs="Arial" w:eastAsia="Arial" w:hAnsi="Arial"/>
          <w:sz w:val="22"/>
          <w:szCs w:val="22"/>
          <w:color w:val="auto"/>
        </w:rPr>
      </w:pPr>
    </w:p>
    <w:p>
      <w:pPr>
        <w:jc w:val="both"/>
        <w:ind w:firstLine="656"/>
        <w:spacing w:after="0" w:line="260" w:lineRule="auto"/>
        <w:tabs>
          <w:tab w:leader="none" w:pos="1094" w:val="left"/>
        </w:tabs>
        <w:numPr>
          <w:ilvl w:val="0"/>
          <w:numId w:val="70"/>
        </w:numPr>
        <w:rPr>
          <w:rFonts w:ascii="Arial" w:cs="Arial" w:eastAsia="Arial" w:hAnsi="Arial"/>
          <w:sz w:val="22"/>
          <w:szCs w:val="22"/>
          <w:color w:val="auto"/>
        </w:rPr>
      </w:pPr>
      <w:r>
        <w:rPr>
          <w:rFonts w:ascii="Arial" w:cs="Arial" w:eastAsia="Arial" w:hAnsi="Arial"/>
          <w:sz w:val="22"/>
          <w:szCs w:val="22"/>
          <w:color w:val="auto"/>
        </w:rPr>
        <w:t>All consents, licenses and approvals required in connection with the execution, delivery and performance by Borrower and the validity against Borrower of this Amendment and each of the other Loan Documents to which it is a party shall have been obtained and shall be in full force and effect.</w:t>
      </w:r>
    </w:p>
    <w:p>
      <w:pPr>
        <w:spacing w:after="0" w:line="177" w:lineRule="exact"/>
        <w:rPr>
          <w:rFonts w:ascii="Arial" w:cs="Arial" w:eastAsia="Arial" w:hAnsi="Arial"/>
          <w:sz w:val="22"/>
          <w:szCs w:val="22"/>
          <w:color w:val="auto"/>
        </w:rPr>
      </w:pPr>
    </w:p>
    <w:p>
      <w:pPr>
        <w:jc w:val="both"/>
        <w:ind w:firstLine="656"/>
        <w:spacing w:after="0" w:line="250" w:lineRule="auto"/>
        <w:tabs>
          <w:tab w:leader="none" w:pos="1176"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There shall not have occurred during the period from December 31, 2016 through and including the Amendment Effective Date (i) any event or condition that has had or could reasonably be expected, either individually or in the aggregate, to have a Material Adverse Effect, or (ii) any action, suit, investigation, proceeding, claim or dispute pending or, to the knowledge of Borrower, threatened in writing, at law, in equity, in arbitration or before any Governmental Authority, by or against Borrower or any of its Subsidiaries or against any of their properties or revenues that either individually or in the aggregate, could reasonably be expected to have a Material Adverse Effect.</w:t>
      </w:r>
    </w:p>
    <w:p>
      <w:pPr>
        <w:spacing w:after="0" w:line="188" w:lineRule="exact"/>
        <w:rPr>
          <w:rFonts w:ascii="Arial" w:cs="Arial" w:eastAsia="Arial" w:hAnsi="Arial"/>
          <w:sz w:val="22"/>
          <w:szCs w:val="22"/>
          <w:color w:val="auto"/>
        </w:rPr>
      </w:pPr>
    </w:p>
    <w:p>
      <w:pPr>
        <w:jc w:val="both"/>
        <w:ind w:firstLine="656"/>
        <w:spacing w:after="0" w:line="278" w:lineRule="auto"/>
        <w:tabs>
          <w:tab w:leader="none" w:pos="10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Any fees due the Lead Arranger, Administrative Agent or any Lender, including any arrangement fees, agency fees and upfront fees, and any expenses incurred by the Lead Arranger and Administrative Agent, in each case, as agreed in writing by Borrower, required to be paid on or before the Amendment Effective Date shall have been paid.</w:t>
      </w:r>
    </w:p>
    <w:p>
      <w:pPr>
        <w:spacing w:after="0" w:line="160" w:lineRule="exact"/>
        <w:rPr>
          <w:rFonts w:ascii="Arial" w:cs="Arial" w:eastAsia="Arial" w:hAnsi="Arial"/>
          <w:sz w:val="21"/>
          <w:szCs w:val="21"/>
          <w:color w:val="auto"/>
        </w:rPr>
      </w:pPr>
    </w:p>
    <w:p>
      <w:pPr>
        <w:ind w:firstLine="656"/>
        <w:spacing w:after="0" w:line="276" w:lineRule="auto"/>
        <w:tabs>
          <w:tab w:leader="none" w:pos="1082" w:val="left"/>
        </w:tabs>
        <w:numPr>
          <w:ilvl w:val="0"/>
          <w:numId w:val="70"/>
        </w:numPr>
        <w:rPr>
          <w:rFonts w:ascii="Arial" w:cs="Arial" w:eastAsia="Arial" w:hAnsi="Arial"/>
          <w:sz w:val="22"/>
          <w:szCs w:val="22"/>
          <w:color w:val="auto"/>
        </w:rPr>
      </w:pPr>
      <w:r>
        <w:rPr>
          <w:rFonts w:ascii="Arial" w:cs="Arial" w:eastAsia="Arial" w:hAnsi="Arial"/>
          <w:sz w:val="22"/>
          <w:szCs w:val="22"/>
          <w:color w:val="auto"/>
        </w:rPr>
        <w:t>Borrower shall have paid all reasonable fees, charges and disbursements of counsel to the Administrative Agent to the extent invoiced prior to the Amendment Effective Date.</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purposes of determining compliance with the conditions specified in this §3.1,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77" w:name="page78"/>
    <w:bookmarkEnd w:id="77"/>
    <w:p>
      <w:pPr>
        <w:jc w:val="both"/>
        <w:spacing w:after="0" w:line="253" w:lineRule="auto"/>
        <w:rPr>
          <w:sz w:val="20"/>
          <w:szCs w:val="20"/>
          <w:color w:val="auto"/>
        </w:rPr>
      </w:pPr>
      <w:r>
        <w:rPr>
          <w:rFonts w:ascii="Arial" w:cs="Arial" w:eastAsia="Arial" w:hAnsi="Arial"/>
          <w:sz w:val="22"/>
          <w:szCs w:val="22"/>
          <w:color w:val="auto"/>
        </w:rPr>
        <w:t>received notice from such Lender prior to the proposed Amendment Effective Date specifying its objection thereto and the Administrative Agent hereby agrees to promptly provide Borrower with a copy of any such notice received by the Administrative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IV. — </w:t>
      </w: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right="20" w:firstLine="656"/>
        <w:spacing w:after="0" w:line="263" w:lineRule="auto"/>
        <w:tabs>
          <w:tab w:leader="none" w:pos="81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Representations and Warranties of Borrower</w:t>
      </w:r>
      <w:r>
        <w:rPr>
          <w:rFonts w:ascii="Arial" w:cs="Arial" w:eastAsia="Arial" w:hAnsi="Arial"/>
          <w:sz w:val="22"/>
          <w:szCs w:val="22"/>
          <w:color w:val="auto"/>
        </w:rPr>
        <w:t>. In order to induce Administrative Agent and Lenders to enter into this Amendment, Borrower represents and warrants to Administrative Agent and each Lender that:</w:t>
      </w:r>
    </w:p>
    <w:p>
      <w:pPr>
        <w:spacing w:after="0" w:line="175" w:lineRule="exact"/>
        <w:rPr>
          <w:sz w:val="20"/>
          <w:szCs w:val="20"/>
          <w:color w:val="auto"/>
        </w:rPr>
      </w:pPr>
    </w:p>
    <w:p>
      <w:pPr>
        <w:jc w:val="both"/>
        <w:ind w:firstLine="656"/>
        <w:spacing w:after="0" w:line="264" w:lineRule="auto"/>
        <w:tabs>
          <w:tab w:leader="none" w:pos="1082"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Borrower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the Credit Agreement and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21"/>
          <w:szCs w:val="21"/>
          <w:u w:val="single" w:color="auto"/>
          <w:color w:val="auto"/>
        </w:rPr>
        <w:t>subsections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5.05</w:t>
      </w:r>
      <w:r>
        <w:rPr>
          <w:rFonts w:ascii="Arial" w:cs="Arial" w:eastAsia="Arial" w:hAnsi="Arial"/>
          <w:sz w:val="21"/>
          <w:szCs w:val="21"/>
          <w:color w:val="auto"/>
        </w:rPr>
        <w:t xml:space="preserve"> of the Credit Agreement shall be deemed to refer to the most recent statements furnished pursuant to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respectively, of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of the Credit Agreement.</w:t>
      </w:r>
    </w:p>
    <w:p>
      <w:pPr>
        <w:spacing w:after="0" w:line="175" w:lineRule="exact"/>
        <w:rPr>
          <w:rFonts w:ascii="Arial" w:cs="Arial" w:eastAsia="Arial" w:hAnsi="Arial"/>
          <w:sz w:val="21"/>
          <w:szCs w:val="21"/>
          <w:color w:val="auto"/>
        </w:rPr>
      </w:pPr>
    </w:p>
    <w:p>
      <w:pPr>
        <w:ind w:left="1080" w:hanging="424"/>
        <w:spacing w:after="0"/>
        <w:tabs>
          <w:tab w:leader="none" w:pos="10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No Default has occurred and is continuing as of the Amendment Effective Date.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V. — </w:t>
      </w:r>
      <w:r>
        <w:rPr>
          <w:rFonts w:ascii="Arial" w:cs="Arial" w:eastAsia="Arial" w:hAnsi="Arial"/>
          <w:sz w:val="22"/>
          <w:szCs w:val="22"/>
          <w:u w:val="single" w:color="auto"/>
          <w:color w:val="auto"/>
        </w:rPr>
        <w:t>Miscellaneous</w:t>
      </w:r>
    </w:p>
    <w:p>
      <w:pPr>
        <w:spacing w:after="0" w:line="220" w:lineRule="exact"/>
        <w:rPr>
          <w:sz w:val="20"/>
          <w:szCs w:val="20"/>
          <w:color w:val="auto"/>
        </w:rPr>
      </w:pPr>
    </w:p>
    <w:p>
      <w:pPr>
        <w:jc w:val="both"/>
        <w:ind w:firstLine="656"/>
        <w:spacing w:after="0" w:line="258" w:lineRule="auto"/>
        <w:tabs>
          <w:tab w:leader="none" w:pos="827"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Ratification of Agreements</w:t>
      </w:r>
      <w:r>
        <w:rPr>
          <w:rFonts w:ascii="Arial" w:cs="Arial" w:eastAsia="Arial" w:hAnsi="Arial"/>
          <w:sz w:val="21"/>
          <w:szCs w:val="21"/>
          <w:color w:val="auto"/>
        </w:rPr>
        <w:t>. The Original Agreement, as hereby amended, is hereby ratified and confirmed in all respects. The Loan Documents, as they may be amended or affected by this Amendment, are hereby ratified and confirmed in all respects by Borrower.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or any Lender under the Credit Agreement or any other Loan Document nor constitute a waiver of any provision of the Credit Agreement or any other Loan Document.</w:t>
      </w:r>
    </w:p>
    <w:p>
      <w:pPr>
        <w:spacing w:after="0" w:line="186" w:lineRule="exact"/>
        <w:rPr>
          <w:rFonts w:ascii="Arial" w:cs="Arial" w:eastAsia="Arial" w:hAnsi="Arial"/>
          <w:sz w:val="21"/>
          <w:szCs w:val="21"/>
          <w:color w:val="auto"/>
        </w:rPr>
      </w:pPr>
    </w:p>
    <w:p>
      <w:pPr>
        <w:ind w:firstLine="656"/>
        <w:spacing w:after="0" w:line="263" w:lineRule="auto"/>
        <w:tabs>
          <w:tab w:leader="none" w:pos="818"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Amendment is a Loan Document, and all provisions in the Credit Agreement pertaining to Loan Documents apply hereto.</w:t>
      </w:r>
    </w:p>
    <w:p>
      <w:pPr>
        <w:spacing w:after="0" w:line="168" w:lineRule="exact"/>
        <w:rPr>
          <w:rFonts w:ascii="Arial" w:cs="Arial" w:eastAsia="Arial" w:hAnsi="Arial"/>
          <w:sz w:val="22"/>
          <w:szCs w:val="22"/>
          <w:color w:val="auto"/>
        </w:rPr>
      </w:pPr>
    </w:p>
    <w:p>
      <w:pPr>
        <w:jc w:val="both"/>
        <w:ind w:firstLine="656"/>
        <w:spacing w:after="0" w:line="256" w:lineRule="auto"/>
        <w:tabs>
          <w:tab w:leader="none" w:pos="867"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5.3. GOVERNING LAW. THIS AMENDMENT SHALL BE GOVERNED BY, AND CONSTRUED IN </w:t>
      </w:r>
      <w:r>
        <w:rPr>
          <w:rFonts w:ascii="Arial" w:cs="Arial" w:eastAsia="Arial" w:hAnsi="Arial"/>
          <w:sz w:val="22"/>
          <w:szCs w:val="22"/>
          <w:b w:val="1"/>
          <w:bCs w:val="1"/>
          <w:u w:val="single" w:color="auto"/>
          <w:color w:val="auto"/>
        </w:rPr>
        <w:t>ACCORDANCE WITH, THE LAWS OF THE STATE OF NEW YORK, WITHOUT REGARD TO PRINCIPLES OF CONFLICTS OF LAW</w:t>
      </w:r>
      <w:r>
        <w:rPr>
          <w:rFonts w:ascii="Arial" w:cs="Arial" w:eastAsia="Arial" w:hAnsi="Arial"/>
          <w:sz w:val="22"/>
          <w:szCs w:val="22"/>
          <w:color w:val="auto"/>
        </w:rPr>
        <w:t>.</w:t>
      </w:r>
    </w:p>
    <w:p>
      <w:pPr>
        <w:spacing w:after="0" w:line="182" w:lineRule="exact"/>
        <w:rPr>
          <w:rFonts w:ascii="Arial" w:cs="Arial" w:eastAsia="Arial" w:hAnsi="Arial"/>
          <w:sz w:val="22"/>
          <w:szCs w:val="22"/>
          <w:b w:val="1"/>
          <w:bCs w:val="1"/>
          <w:color w:val="auto"/>
        </w:rPr>
      </w:pPr>
    </w:p>
    <w:p>
      <w:pPr>
        <w:jc w:val="both"/>
        <w:ind w:firstLine="656"/>
        <w:spacing w:after="0" w:line="250" w:lineRule="auto"/>
        <w:tabs>
          <w:tab w:leader="none" w:pos="848"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-1152525</wp:posOffset>
            </wp:positionV>
            <wp:extent cx="6764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4">
                      <a:extLst>
                        <a:ext uri="{28A0092B-C50C-407E-A947-70E740481C1C}"/>
                      </a:extLst>
                    </a:blip>
                    <a:srcRect/>
                    <a:stretch>
                      <a:fillRect/>
                    </a:stretch>
                  </pic:blipFill>
                  <pic:spPr bwMode="auto">
                    <a:xfrm>
                      <a:off x="0" y="0"/>
                      <a:ext cx="676465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78" w:name="page79"/>
    <w:bookmarkEnd w:id="78"/>
    <w:p>
      <w:pPr>
        <w:jc w:val="both"/>
        <w:ind w:left="-20" w:firstLine="656"/>
        <w:spacing w:after="0" w:line="250" w:lineRule="auto"/>
        <w:tabs>
          <w:tab w:leader="none" w:pos="809"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60" w:top="631"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22"/>
          <w:szCs w:val="22"/>
          <w:color w:val="auto"/>
        </w:rPr>
        <w:t>IN WITNESS WHEREOF, this Amendment is executed as of the date first above written.</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PLAINS ALL AMERICAN PIPELINE, L.P.</w:t>
      </w:r>
    </w:p>
    <w:p>
      <w:pPr>
        <w:spacing w:after="0" w:line="11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11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11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PLAINS ALL AMERICAN GP LLC,</w:t>
      </w:r>
    </w:p>
    <w:p>
      <w:pPr>
        <w:spacing w:after="0" w:line="22" w:lineRule="exact"/>
        <w:rPr>
          <w:sz w:val="20"/>
          <w:szCs w:val="20"/>
          <w:color w:val="auto"/>
        </w:rPr>
      </w:pPr>
    </w:p>
    <w:p>
      <w:pPr>
        <w:ind w:left="83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273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5">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 w:lineRule="exact"/>
        <w:rPr>
          <w:sz w:val="20"/>
          <w:szCs w:val="20"/>
          <w:color w:val="auto"/>
        </w:rPr>
      </w:pPr>
    </w:p>
    <w:p>
      <w:pPr>
        <w:ind w:left="8320"/>
        <w:spacing w:after="0"/>
        <w:rPr>
          <w:sz w:val="20"/>
          <w:szCs w:val="20"/>
          <w:color w:val="auto"/>
        </w:rPr>
      </w:pPr>
      <w:r>
        <w:rPr>
          <w:rFonts w:ascii="Arial" w:cs="Arial" w:eastAsia="Arial" w:hAnsi="Arial"/>
          <w:sz w:val="22"/>
          <w:szCs w:val="22"/>
          <w:color w:val="auto"/>
        </w:rPr>
        <w:t>Name: Sharon S. Spurlin</w:t>
      </w:r>
    </w:p>
    <w:p>
      <w:pPr>
        <w:spacing w:after="0" w:line="4" w:lineRule="exact"/>
        <w:rPr>
          <w:sz w:val="20"/>
          <w:szCs w:val="20"/>
          <w:color w:val="auto"/>
        </w:rPr>
      </w:pPr>
    </w:p>
    <w:p>
      <w:pPr>
        <w:ind w:left="8320"/>
        <w:spacing w:after="0"/>
        <w:rPr>
          <w:sz w:val="20"/>
          <w:szCs w:val="20"/>
          <w:color w:val="auto"/>
        </w:rPr>
      </w:pPr>
      <w:r>
        <w:rPr>
          <w:rFonts w:ascii="Arial" w:cs="Arial" w:eastAsia="Arial" w:hAnsi="Arial"/>
          <w:sz w:val="19"/>
          <w:szCs w:val="19"/>
          <w:color w:val="auto"/>
        </w:rPr>
        <w:t>Title: Vice President and Treasurer</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1340"/>
          </w:cols>
          <w:pgMar w:left="240" w:top="631" w:right="319" w:bottom="1440" w:gutter="0" w:footer="0" w:header="0"/>
        </w:sectPr>
      </w:pPr>
    </w:p>
    <w:bookmarkStart w:id="80" w:name="page81"/>
    <w:bookmarkEnd w:id="80"/>
    <w:p>
      <w:pPr>
        <w:ind w:left="3900"/>
        <w:spacing w:after="0"/>
        <w:rPr>
          <w:sz w:val="20"/>
          <w:szCs w:val="20"/>
          <w:color w:val="auto"/>
        </w:rPr>
      </w:pPr>
      <w:r>
        <w:rPr>
          <w:rFonts w:ascii="Arial" w:cs="Arial" w:eastAsia="Arial" w:hAnsi="Arial"/>
          <w:sz w:val="21"/>
          <w:szCs w:val="21"/>
          <w:b w:val="1"/>
          <w:bCs w:val="1"/>
          <w:color w:val="auto"/>
        </w:rPr>
        <w:t>BANK OF AMERICA, N.A.,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Administrative Agent</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Anthea Del 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525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6">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Anthea Del Bianco</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1" w:name="page82"/>
    <w:bookmarkEnd w:id="81"/>
    <w:p>
      <w:pPr>
        <w:jc w:val="right"/>
        <w:ind w:right="2599"/>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Christopher Dibiase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027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7">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Christopher Dibiase</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2" w:name="page83"/>
    <w:bookmarkEnd w:id="82"/>
    <w:p>
      <w:pPr>
        <w:ind w:left="3900"/>
        <w:spacing w:after="0"/>
        <w:rPr>
          <w:sz w:val="20"/>
          <w:szCs w:val="20"/>
          <w:color w:val="auto"/>
        </w:rPr>
      </w:pPr>
      <w:r>
        <w:rPr>
          <w:rFonts w:ascii="Arial" w:cs="Arial" w:eastAsia="Arial" w:hAnsi="Arial"/>
          <w:sz w:val="22"/>
          <w:szCs w:val="22"/>
          <w:b w:val="1"/>
          <w:bCs w:val="1"/>
          <w:color w:val="auto"/>
        </w:rPr>
        <w:t>CITIBANK, N.A.,</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Gabriel Juarez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3810</wp:posOffset>
            </wp:positionV>
            <wp:extent cx="10972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6" w:lineRule="exact"/>
        <w:rPr>
          <w:sz w:val="20"/>
          <w:szCs w:val="20"/>
          <w:color w:val="auto"/>
        </w:rPr>
      </w:pPr>
    </w:p>
    <w:p>
      <w:pPr>
        <w:jc w:val="right"/>
        <w:ind w:right="4439"/>
        <w:spacing w:after="0"/>
        <w:rPr>
          <w:sz w:val="20"/>
          <w:szCs w:val="20"/>
          <w:color w:val="auto"/>
        </w:rPr>
      </w:pPr>
      <w:r>
        <w:rPr>
          <w:rFonts w:ascii="Arial" w:cs="Arial" w:eastAsia="Arial" w:hAnsi="Arial"/>
          <w:sz w:val="22"/>
          <w:szCs w:val="22"/>
          <w:color w:val="auto"/>
        </w:rPr>
        <w:t>Name: Gabriel Juarez</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 Vice President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3" w:name="page84"/>
    <w:bookmarkEnd w:id="83"/>
    <w:p>
      <w:pPr>
        <w:ind w:left="3900"/>
        <w:spacing w:after="0"/>
        <w:rPr>
          <w:sz w:val="20"/>
          <w:szCs w:val="20"/>
          <w:color w:val="auto"/>
        </w:rPr>
      </w:pPr>
      <w:r>
        <w:rPr>
          <w:rFonts w:ascii="Arial" w:cs="Arial" w:eastAsia="Arial" w:hAnsi="Arial"/>
          <w:sz w:val="22"/>
          <w:szCs w:val="22"/>
          <w:b w:val="1"/>
          <w:bCs w:val="1"/>
          <w:color w:val="auto"/>
        </w:rPr>
        <w:t>DNB CAPITAL LLC,</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Jamie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05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9">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Jamie Grubb</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Kelton Glasscock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2725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0">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Name: Kelton Glasscock</w:t>
      </w:r>
    </w:p>
    <w:p>
      <w:pPr>
        <w:spacing w:after="0" w:line="123" w:lineRule="exact"/>
        <w:rPr>
          <w:sz w:val="20"/>
          <w:szCs w:val="20"/>
          <w:color w:val="auto"/>
        </w:rPr>
      </w:pPr>
    </w:p>
    <w:p>
      <w:pPr>
        <w:jc w:val="right"/>
        <w:ind w:right="3939"/>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4" w:name="page85"/>
    <w:bookmarkEnd w:id="84"/>
    <w:p>
      <w:pPr>
        <w:ind w:left="3900"/>
        <w:spacing w:after="0"/>
        <w:rPr>
          <w:sz w:val="20"/>
          <w:szCs w:val="20"/>
          <w:color w:val="auto"/>
        </w:rPr>
      </w:pPr>
      <w:r>
        <w:rPr>
          <w:rFonts w:ascii="Arial" w:cs="Arial" w:eastAsia="Arial" w:hAnsi="Arial"/>
          <w:sz w:val="21"/>
          <w:szCs w:val="21"/>
          <w:b w:val="1"/>
          <w:bCs w:val="1"/>
          <w:color w:val="auto"/>
        </w:rPr>
        <w:t>DEUTSCHE BANK AG NEW YORK BRANCH,</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9950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Ming K Chu</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247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2">
                      <a:extLst>
                        <a:ext uri="{28A0092B-C50C-407E-A947-70E740481C1C}"/>
                      </a:extLst>
                    </a:blip>
                    <a:srcRect/>
                    <a:stretch>
                      <a:fillRect/>
                    </a:stretch>
                  </pic:blipFill>
                  <pic:spPr bwMode="auto">
                    <a:xfrm>
                      <a:off x="0" y="0"/>
                      <a:ext cx="124714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Virginia Cosenza</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5" w:name="page86"/>
    <w:bookmarkEnd w:id="85"/>
    <w:p>
      <w:pPr>
        <w:ind w:left="3900"/>
        <w:spacing w:after="0"/>
        <w:rPr>
          <w:sz w:val="20"/>
          <w:szCs w:val="20"/>
          <w:color w:val="auto"/>
        </w:rPr>
      </w:pPr>
      <w:r>
        <w:rPr>
          <w:rFonts w:ascii="Arial" w:cs="Arial" w:eastAsia="Arial" w:hAnsi="Arial"/>
          <w:sz w:val="21"/>
          <w:szCs w:val="21"/>
          <w:b w:val="1"/>
          <w:bCs w:val="1"/>
          <w:color w:val="auto"/>
        </w:rPr>
        <w:t>JPMORGAN CHASE BANK, N.A.,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2649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3">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Stephanie Balette</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Officer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6" w:name="page87"/>
    <w:bookmarkEnd w:id="86"/>
    <w:p>
      <w:pPr>
        <w:ind w:left="3900"/>
        <w:spacing w:after="0"/>
        <w:rPr>
          <w:sz w:val="20"/>
          <w:szCs w:val="20"/>
          <w:color w:val="auto"/>
        </w:rPr>
      </w:pPr>
      <w:r>
        <w:rPr>
          <w:rFonts w:ascii="Arial" w:cs="Arial" w:eastAsia="Arial" w:hAnsi="Arial"/>
          <w:sz w:val="22"/>
          <w:szCs w:val="22"/>
          <w:b w:val="1"/>
          <w:bCs w:val="1"/>
          <w:color w:val="auto"/>
        </w:rPr>
        <w:t>MIZUHO BANK, LTD.,</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8077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4">
                      <a:extLst>
                        <a:ext uri="{28A0092B-C50C-407E-A947-70E740481C1C}"/>
                      </a:extLst>
                    </a:blip>
                    <a:srcRect/>
                    <a:stretch>
                      <a:fillRect/>
                    </a:stretch>
                  </pic:blipFill>
                  <pic:spPr bwMode="auto">
                    <a:xfrm>
                      <a:off x="0" y="0"/>
                      <a:ext cx="80772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Leon Mo</w:t>
      </w:r>
    </w:p>
    <w:p>
      <w:pPr>
        <w:spacing w:after="0" w:line="112" w:lineRule="exact"/>
        <w:rPr>
          <w:sz w:val="20"/>
          <w:szCs w:val="20"/>
          <w:color w:val="auto"/>
        </w:rPr>
      </w:pPr>
    </w:p>
    <w:p>
      <w:pPr>
        <w:jc w:val="right"/>
        <w:ind w:right="3939"/>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7" w:name="page88"/>
    <w:bookmarkEnd w:id="87"/>
    <w:p>
      <w:pPr>
        <w:ind w:left="3900"/>
        <w:spacing w:after="0"/>
        <w:rPr>
          <w:sz w:val="20"/>
          <w:szCs w:val="20"/>
          <w:color w:val="auto"/>
        </w:rPr>
      </w:pPr>
      <w:r>
        <w:rPr>
          <w:rFonts w:ascii="Arial" w:cs="Arial" w:eastAsia="Arial" w:hAnsi="Arial"/>
          <w:sz w:val="21"/>
          <w:szCs w:val="21"/>
          <w:b w:val="1"/>
          <w:bCs w:val="1"/>
          <w:color w:val="auto"/>
        </w:rPr>
        <w:t>MORGAN STANLEY BANK, N.A.,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59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5">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Michael King</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8" w:name="page89"/>
    <w:bookmarkEnd w:id="88"/>
    <w:p>
      <w:pPr>
        <w:ind w:left="3900" w:right="1199"/>
        <w:spacing w:after="0" w:line="269" w:lineRule="auto"/>
        <w:rPr>
          <w:sz w:val="20"/>
          <w:szCs w:val="20"/>
          <w:color w:val="auto"/>
        </w:rPr>
      </w:pPr>
      <w:r>
        <w:rPr>
          <w:rFonts w:ascii="Arial" w:cs="Arial" w:eastAsia="Arial" w:hAnsi="Arial"/>
          <w:sz w:val="22"/>
          <w:szCs w:val="22"/>
          <w:b w:val="1"/>
          <w:bCs w:val="1"/>
          <w:color w:val="auto"/>
        </w:rPr>
        <w:t xml:space="preserve">WELLS FARGO BANK, NATIONAL ASSOCIATION, </w:t>
      </w:r>
      <w:r>
        <w:rPr>
          <w:rFonts w:ascii="Arial" w:cs="Arial" w:eastAsia="Arial" w:hAnsi="Arial"/>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Douglas McDowell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798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Douglas McDowell</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9" w:name="page90"/>
    <w:bookmarkEnd w:id="89"/>
    <w:p>
      <w:pPr>
        <w:ind w:left="3900"/>
        <w:spacing w:after="0"/>
        <w:rPr>
          <w:sz w:val="20"/>
          <w:szCs w:val="20"/>
          <w:color w:val="auto"/>
        </w:rPr>
      </w:pPr>
      <w:r>
        <w:rPr>
          <w:rFonts w:ascii="Arial" w:cs="Arial" w:eastAsia="Arial" w:hAnsi="Arial"/>
          <w:sz w:val="21"/>
          <w:szCs w:val="21"/>
          <w:b w:val="1"/>
          <w:bCs w:val="1"/>
          <w:color w:val="auto"/>
        </w:rPr>
        <w:t>BRANCH BANKING AND TRUST COMPANY,</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Erron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515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7">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Erron Powers</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0" w:name="page91"/>
    <w:bookmarkEnd w:id="90"/>
    <w:p>
      <w:pPr>
        <w:ind w:left="3900"/>
        <w:spacing w:after="0"/>
        <w:rPr>
          <w:sz w:val="20"/>
          <w:szCs w:val="20"/>
          <w:color w:val="auto"/>
        </w:rPr>
      </w:pPr>
      <w:r>
        <w:rPr>
          <w:rFonts w:ascii="Arial" w:cs="Arial" w:eastAsia="Arial" w:hAnsi="Arial"/>
          <w:sz w:val="21"/>
          <w:szCs w:val="21"/>
          <w:b w:val="1"/>
          <w:bCs w:val="1"/>
          <w:color w:val="auto"/>
        </w:rPr>
        <w:t>THE BANK OF NOVA SCOTIA,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Mark Sparrow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972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Mark Sparrow</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1" w:name="page92"/>
    <w:bookmarkEnd w:id="91"/>
    <w:p>
      <w:pPr>
        <w:ind w:left="3900"/>
        <w:spacing w:after="0"/>
        <w:rPr>
          <w:sz w:val="20"/>
          <w:szCs w:val="20"/>
          <w:color w:val="auto"/>
        </w:rPr>
      </w:pPr>
      <w:r>
        <w:rPr>
          <w:rFonts w:ascii="Arial" w:cs="Arial" w:eastAsia="Arial" w:hAnsi="Arial"/>
          <w:sz w:val="21"/>
          <w:szCs w:val="21"/>
          <w:b w:val="1"/>
          <w:bCs w:val="1"/>
          <w:color w:val="auto"/>
        </w:rPr>
        <w:t>THE BANK OF TOKYO-MITSUBISHI UFJ, LTD.,</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Stephen W. Warfel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32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9">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Stephen W. Warfel</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2" w:name="page93"/>
    <w:bookmarkEnd w:id="92"/>
    <w:p>
      <w:pPr>
        <w:ind w:left="3900"/>
        <w:spacing w:after="0"/>
        <w:rPr>
          <w:sz w:val="20"/>
          <w:szCs w:val="20"/>
          <w:color w:val="auto"/>
        </w:rPr>
      </w:pPr>
      <w:r>
        <w:rPr>
          <w:rFonts w:ascii="Arial" w:cs="Arial" w:eastAsia="Arial" w:hAnsi="Arial"/>
          <w:sz w:val="22"/>
          <w:szCs w:val="22"/>
          <w:b w:val="1"/>
          <w:bCs w:val="1"/>
          <w:color w:val="auto"/>
        </w:rPr>
        <w:t>BARCLAYS BANK PLC,</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Christopher Aitkin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341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0">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Christopher Aitkin</w:t>
      </w:r>
    </w:p>
    <w:p>
      <w:pPr>
        <w:spacing w:after="0" w:line="112" w:lineRule="exact"/>
        <w:rPr>
          <w:sz w:val="20"/>
          <w:szCs w:val="20"/>
          <w:color w:val="auto"/>
        </w:rPr>
      </w:pPr>
    </w:p>
    <w:p>
      <w:pPr>
        <w:jc w:val="right"/>
        <w:ind w:right="3699"/>
        <w:spacing w:after="0"/>
        <w:rPr>
          <w:sz w:val="20"/>
          <w:szCs w:val="20"/>
          <w:color w:val="auto"/>
        </w:rPr>
      </w:pPr>
      <w:r>
        <w:rPr>
          <w:rFonts w:ascii="Arial" w:cs="Arial" w:eastAsia="Arial" w:hAnsi="Arial"/>
          <w:sz w:val="22"/>
          <w:szCs w:val="22"/>
          <w:color w:val="auto"/>
        </w:rPr>
        <w:t>Title: Assistant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3" w:name="page94"/>
    <w:bookmarkEnd w:id="93"/>
    <w:p>
      <w:pPr>
        <w:ind w:left="3900"/>
        <w:spacing w:after="0"/>
        <w:rPr>
          <w:sz w:val="20"/>
          <w:szCs w:val="20"/>
          <w:color w:val="auto"/>
        </w:rPr>
      </w:pPr>
      <w:r>
        <w:rPr>
          <w:rFonts w:ascii="Arial" w:cs="Arial" w:eastAsia="Arial" w:hAnsi="Arial"/>
          <w:sz w:val="22"/>
          <w:szCs w:val="22"/>
          <w:b w:val="1"/>
          <w:bCs w:val="1"/>
          <w:color w:val="auto"/>
        </w:rPr>
        <w:t>BNP PARIBAS,</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Joe Onischuk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439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1">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Joe Onischuk</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Reginald Crichlow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3810</wp:posOffset>
            </wp:positionV>
            <wp:extent cx="13417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2">
                      <a:extLst>
                        <a:ext uri="{28A0092B-C50C-407E-A947-70E740481C1C}"/>
                      </a:extLst>
                    </a:blip>
                    <a:srcRect/>
                    <a:stretch>
                      <a:fillRect/>
                    </a:stretch>
                  </pic:blipFill>
                  <pic:spPr bwMode="auto">
                    <a:xfrm>
                      <a:off x="0" y="0"/>
                      <a:ext cx="1341755" cy="8890"/>
                    </a:xfrm>
                    <a:prstGeom prst="rect">
                      <a:avLst/>
                    </a:prstGeom>
                    <a:noFill/>
                  </pic:spPr>
                </pic:pic>
              </a:graphicData>
            </a:graphic>
          </wp:anchor>
        </w:drawing>
      </w:r>
    </w:p>
    <w:p>
      <w:pPr>
        <w:spacing w:after="0" w:line="126" w:lineRule="exact"/>
        <w:rPr>
          <w:sz w:val="20"/>
          <w:szCs w:val="20"/>
          <w:color w:val="auto"/>
        </w:rPr>
      </w:pPr>
    </w:p>
    <w:p>
      <w:pPr>
        <w:jc w:val="right"/>
        <w:ind w:right="4059"/>
        <w:spacing w:after="0"/>
        <w:rPr>
          <w:sz w:val="20"/>
          <w:szCs w:val="20"/>
          <w:color w:val="auto"/>
        </w:rPr>
      </w:pPr>
      <w:r>
        <w:rPr>
          <w:rFonts w:ascii="Arial" w:cs="Arial" w:eastAsia="Arial" w:hAnsi="Arial"/>
          <w:sz w:val="22"/>
          <w:szCs w:val="22"/>
          <w:color w:val="auto"/>
        </w:rPr>
        <w:t>Name: Reginald Crichlow</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4" w:name="page95"/>
    <w:bookmarkEnd w:id="94"/>
    <w:p>
      <w:pPr>
        <w:ind w:left="3900"/>
        <w:spacing w:after="0"/>
        <w:rPr>
          <w:sz w:val="20"/>
          <w:szCs w:val="20"/>
          <w:color w:val="auto"/>
        </w:rPr>
      </w:pPr>
      <w:r>
        <w:rPr>
          <w:rFonts w:ascii="Arial" w:cs="Arial" w:eastAsia="Arial" w:hAnsi="Arial"/>
          <w:sz w:val="22"/>
          <w:szCs w:val="22"/>
          <w:b w:val="1"/>
          <w:bCs w:val="1"/>
          <w:color w:val="auto"/>
        </w:rPr>
        <w:t>COMPASS BANK,</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Mark H.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712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Mark H. Wolf</w:t>
      </w:r>
    </w:p>
    <w:p>
      <w:pPr>
        <w:spacing w:after="0" w:line="112" w:lineRule="exact"/>
        <w:rPr>
          <w:sz w:val="20"/>
          <w:szCs w:val="20"/>
          <w:color w:val="auto"/>
        </w:rPr>
      </w:pPr>
    </w:p>
    <w:p>
      <w:pPr>
        <w:jc w:val="right"/>
        <w:ind w:right="3939"/>
        <w:spacing w:after="0"/>
        <w:rPr>
          <w:sz w:val="20"/>
          <w:szCs w:val="20"/>
          <w:color w:val="auto"/>
        </w:rPr>
      </w:pPr>
      <w:r>
        <w:rPr>
          <w:rFonts w:ascii="Arial" w:cs="Arial" w:eastAsia="Arial" w:hAnsi="Arial"/>
          <w:sz w:val="22"/>
          <w:szCs w:val="22"/>
          <w:color w:val="auto"/>
        </w:rPr>
        <w:t>Title: Senior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5" w:name="page96"/>
    <w:bookmarkEnd w:id="95"/>
    <w:p>
      <w:pPr>
        <w:ind w:left="3900"/>
        <w:spacing w:after="0" w:line="269" w:lineRule="auto"/>
        <w:rPr>
          <w:sz w:val="20"/>
          <w:szCs w:val="20"/>
          <w:color w:val="auto"/>
        </w:rPr>
      </w:pPr>
      <w:r>
        <w:rPr>
          <w:rFonts w:ascii="Arial" w:cs="Arial" w:eastAsia="Arial" w:hAnsi="Arial"/>
          <w:sz w:val="22"/>
          <w:szCs w:val="22"/>
          <w:b w:val="1"/>
          <w:bCs w:val="1"/>
          <w:color w:val="auto"/>
        </w:rPr>
        <w:t xml:space="preserve">CANADIAN IMPERIAL BANK OF COMMERCE, NEW YORK BRANCH, </w:t>
      </w:r>
      <w:r>
        <w:rPr>
          <w:rFonts w:ascii="Arial" w:cs="Arial" w:eastAsia="Arial" w:hAnsi="Arial"/>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Trudy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547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Trudy Nelson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Richard Antl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134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5">
                      <a:extLst>
                        <a:ext uri="{28A0092B-C50C-407E-A947-70E740481C1C}"/>
                      </a:extLst>
                    </a:blip>
                    <a:srcRect/>
                    <a:stretch>
                      <a:fillRect/>
                    </a:stretch>
                  </pic:blipFill>
                  <pic:spPr bwMode="auto">
                    <a:xfrm>
                      <a:off x="0" y="0"/>
                      <a:ext cx="101346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Richard Antl</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1020"/>
          </w:cols>
          <w:pgMar w:left="240" w:top="733" w:right="639" w:bottom="1440" w:gutter="0" w:footer="0" w:header="0"/>
        </w:sectPr>
      </w:pPr>
    </w:p>
    <w:bookmarkStart w:id="96" w:name="page97"/>
    <w:bookmarkEnd w:id="96"/>
    <w:p>
      <w:pPr>
        <w:ind w:left="3900"/>
        <w:spacing w:after="0"/>
        <w:rPr>
          <w:sz w:val="20"/>
          <w:szCs w:val="20"/>
          <w:color w:val="auto"/>
        </w:rPr>
      </w:pPr>
      <w:r>
        <w:rPr>
          <w:rFonts w:ascii="Arial" w:cs="Arial" w:eastAsia="Arial" w:hAnsi="Arial"/>
          <w:sz w:val="22"/>
          <w:szCs w:val="22"/>
          <w:b w:val="1"/>
          <w:bCs w:val="1"/>
          <w:color w:val="auto"/>
        </w:rPr>
        <w:t>SUMITOMO MITSUI BANKING CORPORATION,</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836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James D. Weinstein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7" w:name="page98"/>
    <w:bookmarkEnd w:id="97"/>
    <w:p>
      <w:pPr>
        <w:ind w:left="3900"/>
        <w:spacing w:after="0"/>
        <w:rPr>
          <w:sz w:val="20"/>
          <w:szCs w:val="20"/>
          <w:color w:val="auto"/>
        </w:rPr>
      </w:pPr>
      <w:r>
        <w:rPr>
          <w:rFonts w:ascii="Arial" w:cs="Arial" w:eastAsia="Arial" w:hAnsi="Arial"/>
          <w:sz w:val="21"/>
          <w:szCs w:val="21"/>
          <w:b w:val="1"/>
          <w:bCs w:val="1"/>
          <w:color w:val="auto"/>
        </w:rPr>
        <w:t>SUNTRUST BANK,</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Chulley Bogle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3810</wp:posOffset>
            </wp:positionV>
            <wp:extent cx="10979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2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 Chulley Bogle</w:t>
      </w:r>
    </w:p>
    <w:p>
      <w:pPr>
        <w:spacing w:after="0" w:line="146"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 Vice President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8" w:name="page99"/>
    <w:bookmarkEnd w:id="98"/>
    <w:p>
      <w:pPr>
        <w:ind w:left="3900"/>
        <w:spacing w:after="0"/>
        <w:rPr>
          <w:sz w:val="20"/>
          <w:szCs w:val="20"/>
          <w:color w:val="auto"/>
        </w:rPr>
      </w:pPr>
      <w:r>
        <w:rPr>
          <w:rFonts w:ascii="Arial" w:cs="Arial" w:eastAsia="Arial" w:hAnsi="Arial"/>
          <w:sz w:val="21"/>
          <w:szCs w:val="21"/>
          <w:b w:val="1"/>
          <w:bCs w:val="1"/>
          <w:color w:val="auto"/>
        </w:rPr>
        <w:t>BMO HARRIS BANK N.A.,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Matthew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43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Matthew Davis</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9" w:name="page100"/>
    <w:bookmarkEnd w:id="99"/>
    <w:p>
      <w:pPr>
        <w:ind w:left="3900"/>
        <w:spacing w:after="0"/>
        <w:rPr>
          <w:sz w:val="20"/>
          <w:szCs w:val="20"/>
          <w:color w:val="auto"/>
        </w:rPr>
      </w:pPr>
      <w:r>
        <w:rPr>
          <w:rFonts w:ascii="Arial" w:cs="Arial" w:eastAsia="Arial" w:hAnsi="Arial"/>
          <w:sz w:val="22"/>
          <w:szCs w:val="22"/>
          <w:b w:val="1"/>
          <w:bCs w:val="1"/>
          <w:color w:val="auto"/>
        </w:rPr>
        <w:t>ING CAPITAL LLC,</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Cheryl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43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Cheryl LaBelle</w:t>
      </w:r>
    </w:p>
    <w:p>
      <w:pPr>
        <w:spacing w:after="0" w:line="112" w:lineRule="exact"/>
        <w:rPr>
          <w:sz w:val="20"/>
          <w:szCs w:val="20"/>
          <w:color w:val="auto"/>
        </w:rPr>
      </w:pPr>
    </w:p>
    <w:p>
      <w:pPr>
        <w:jc w:val="right"/>
        <w:ind w:right="4159"/>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Hans Beekmans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3810</wp:posOffset>
            </wp:positionV>
            <wp:extent cx="1188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0">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spacing w:after="0" w:line="12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 Hans Beekmans</w:t>
      </w:r>
    </w:p>
    <w:p>
      <w:pPr>
        <w:spacing w:after="0" w:line="14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0" w:name="page101"/>
    <w:bookmarkEnd w:id="100"/>
    <w:p>
      <w:pPr>
        <w:ind w:left="3900"/>
        <w:spacing w:after="0"/>
        <w:rPr>
          <w:sz w:val="20"/>
          <w:szCs w:val="20"/>
          <w:color w:val="auto"/>
        </w:rPr>
      </w:pPr>
      <w:r>
        <w:rPr>
          <w:rFonts w:ascii="Arial" w:cs="Arial" w:eastAsia="Arial" w:hAnsi="Arial"/>
          <w:sz w:val="22"/>
          <w:szCs w:val="22"/>
          <w:b w:val="1"/>
          <w:bCs w:val="1"/>
          <w:color w:val="auto"/>
        </w:rPr>
        <w:t>REGIONS BANK,</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By: /s/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-10160</wp:posOffset>
            </wp:positionV>
            <wp:extent cx="11887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1">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spacing w:after="0" w:line="103"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Name: David Valentine</w:t>
      </w:r>
    </w:p>
    <w:p>
      <w:pPr>
        <w:spacing w:after="0" w:line="123" w:lineRule="exact"/>
        <w:rPr>
          <w:sz w:val="20"/>
          <w:szCs w:val="20"/>
          <w:color w:val="auto"/>
        </w:rPr>
      </w:pPr>
    </w:p>
    <w:p>
      <w:pPr>
        <w:jc w:val="right"/>
        <w:ind w:right="4159"/>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1" w:name="page102"/>
    <w:bookmarkEnd w:id="101"/>
    <w:p>
      <w:pPr>
        <w:ind w:left="3900"/>
        <w:spacing w:after="0"/>
        <w:rPr>
          <w:sz w:val="20"/>
          <w:szCs w:val="20"/>
          <w:color w:val="auto"/>
        </w:rPr>
      </w:pPr>
      <w:r>
        <w:rPr>
          <w:rFonts w:ascii="Arial" w:cs="Arial" w:eastAsia="Arial" w:hAnsi="Arial"/>
          <w:sz w:val="21"/>
          <w:szCs w:val="21"/>
          <w:b w:val="1"/>
          <w:bCs w:val="1"/>
          <w:color w:val="auto"/>
        </w:rPr>
        <w:t>U.S. BANK NATIONAL ASSOCIATION,</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Patrick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023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2">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Patrick Jeffrey</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2" w:name="page103"/>
    <w:bookmarkEnd w:id="102"/>
    <w:p>
      <w:pPr>
        <w:ind w:left="3900"/>
        <w:spacing w:after="0"/>
        <w:rPr>
          <w:sz w:val="20"/>
          <w:szCs w:val="20"/>
          <w:color w:val="auto"/>
        </w:rPr>
      </w:pPr>
      <w:r>
        <w:rPr>
          <w:rFonts w:ascii="Arial" w:cs="Arial" w:eastAsia="Arial" w:hAnsi="Arial"/>
          <w:sz w:val="21"/>
          <w:szCs w:val="21"/>
          <w:b w:val="1"/>
          <w:bCs w:val="1"/>
          <w:color w:val="auto"/>
        </w:rPr>
        <w:t>PNC BANK, NATIONAL ASSOCIATION</w:t>
      </w:r>
      <w:r>
        <w:rPr>
          <w:rFonts w:ascii="Arial" w:cs="Arial" w:eastAsia="Arial" w:hAnsi="Arial"/>
          <w:sz w:val="21"/>
          <w:szCs w:val="21"/>
          <w:color w:val="auto"/>
        </w:rPr>
        <w:t>,</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Stephen Monto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436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3">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Stephen Monto</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3" w:name="page104"/>
    <w:bookmarkEnd w:id="103"/>
    <w:p>
      <w:pPr>
        <w:ind w:left="3900"/>
        <w:spacing w:after="0"/>
        <w:rPr>
          <w:sz w:val="20"/>
          <w:szCs w:val="20"/>
          <w:color w:val="auto"/>
        </w:rPr>
      </w:pPr>
      <w:r>
        <w:rPr>
          <w:rFonts w:ascii="Arial" w:cs="Arial" w:eastAsia="Arial" w:hAnsi="Arial"/>
          <w:sz w:val="21"/>
          <w:szCs w:val="21"/>
          <w:b w:val="1"/>
          <w:bCs w:val="1"/>
          <w:color w:val="auto"/>
        </w:rPr>
        <w:t>ROYAL BANK OF CANADA,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Kristan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20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4">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Kristan Spivey</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4" w:name="page105"/>
    <w:bookmarkEnd w:id="104"/>
    <w:p>
      <w:pPr>
        <w:ind w:left="3900"/>
        <w:spacing w:after="0"/>
        <w:rPr>
          <w:sz w:val="20"/>
          <w:szCs w:val="20"/>
          <w:color w:val="auto"/>
        </w:rPr>
      </w:pPr>
      <w:r>
        <w:rPr>
          <w:rFonts w:ascii="Arial" w:cs="Arial" w:eastAsia="Arial" w:hAnsi="Arial"/>
          <w:sz w:val="21"/>
          <w:szCs w:val="21"/>
          <w:b w:val="1"/>
          <w:bCs w:val="1"/>
          <w:color w:val="auto"/>
        </w:rPr>
        <w:t>MORGAN STANLEY SENIOR FUNDING, INC.</w:t>
      </w:r>
      <w:r>
        <w:rPr>
          <w:rFonts w:ascii="Arial" w:cs="Arial" w:eastAsia="Arial" w:hAnsi="Arial"/>
          <w:sz w:val="21"/>
          <w:szCs w:val="21"/>
          <w:u w:val="single" w:color="auto"/>
          <w:color w:val="auto"/>
        </w:rPr>
        <w:t>,</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59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5">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Michael King</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75"/>
        </w:trPr>
        <w:tc>
          <w:tcPr>
            <w:tcW w:w="37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22"/>
                <w:szCs w:val="22"/>
                <w:b w:val="1"/>
                <w:bCs w:val="1"/>
                <w:i w:val="1"/>
                <w:iCs w:val="1"/>
                <w:color w:val="auto"/>
              </w:rPr>
              <w:t>SCHEDULE 2.01</w:t>
            </w:r>
          </w:p>
        </w:tc>
      </w:tr>
      <w:tr>
        <w:trPr>
          <w:trHeight w:val="354"/>
        </w:trPr>
        <w:tc>
          <w:tcPr>
            <w:tcW w:w="3720" w:type="dxa"/>
            <w:vAlign w:val="bottom"/>
          </w:tcPr>
          <w:p>
            <w:pPr>
              <w:spacing w:after="0"/>
              <w:rPr>
                <w:sz w:val="24"/>
                <w:szCs w:val="24"/>
                <w:color w:val="auto"/>
              </w:rPr>
            </w:pPr>
          </w:p>
        </w:tc>
        <w:tc>
          <w:tcPr>
            <w:tcW w:w="4980" w:type="dxa"/>
            <w:vAlign w:val="bottom"/>
          </w:tcPr>
          <w:p>
            <w:pPr>
              <w:jc w:val="right"/>
              <w:ind w:right="2072"/>
              <w:spacing w:after="0"/>
              <w:rPr>
                <w:sz w:val="20"/>
                <w:szCs w:val="20"/>
                <w:color w:val="auto"/>
              </w:rPr>
            </w:pPr>
            <w:r>
              <w:rPr>
                <w:rFonts w:ascii="Arial" w:cs="Arial" w:eastAsia="Arial" w:hAnsi="Arial"/>
                <w:sz w:val="22"/>
                <w:szCs w:val="22"/>
                <w:b w:val="1"/>
                <w:bCs w:val="1"/>
                <w:color w:val="auto"/>
              </w:rPr>
              <w:t>COMMITMENTS</w:t>
            </w:r>
          </w:p>
        </w:tc>
        <w:tc>
          <w:tcPr>
            <w:tcW w:w="2680" w:type="dxa"/>
            <w:vAlign w:val="bottom"/>
          </w:tcPr>
          <w:p>
            <w:pPr>
              <w:spacing w:after="0"/>
              <w:rPr>
                <w:sz w:val="24"/>
                <w:szCs w:val="24"/>
                <w:color w:val="auto"/>
              </w:rPr>
            </w:pPr>
          </w:p>
        </w:tc>
      </w:tr>
      <w:tr>
        <w:trPr>
          <w:trHeight w:val="281"/>
        </w:trPr>
        <w:tc>
          <w:tcPr>
            <w:tcW w:w="3720" w:type="dxa"/>
            <w:vAlign w:val="bottom"/>
          </w:tcPr>
          <w:p>
            <w:pPr>
              <w:spacing w:after="0"/>
              <w:rPr>
                <w:sz w:val="24"/>
                <w:szCs w:val="24"/>
                <w:color w:val="auto"/>
              </w:rPr>
            </w:pPr>
          </w:p>
        </w:tc>
        <w:tc>
          <w:tcPr>
            <w:tcW w:w="4980" w:type="dxa"/>
            <w:vAlign w:val="bottom"/>
          </w:tcPr>
          <w:p>
            <w:pPr>
              <w:jc w:val="right"/>
              <w:ind w:right="1132"/>
              <w:spacing w:after="0"/>
              <w:rPr>
                <w:sz w:val="20"/>
                <w:szCs w:val="20"/>
                <w:color w:val="auto"/>
              </w:rPr>
            </w:pPr>
            <w:r>
              <w:rPr>
                <w:rFonts w:ascii="Arial" w:cs="Arial" w:eastAsia="Arial" w:hAnsi="Arial"/>
                <w:sz w:val="22"/>
                <w:szCs w:val="22"/>
                <w:b w:val="1"/>
                <w:bCs w:val="1"/>
                <w:color w:val="auto"/>
              </w:rPr>
              <w:t>AND APPLICABLE PERCENTAGES</w:t>
            </w:r>
          </w:p>
        </w:tc>
        <w:tc>
          <w:tcPr>
            <w:tcW w:w="2680" w:type="dxa"/>
            <w:vAlign w:val="bottom"/>
          </w:tcPr>
          <w:p>
            <w:pPr>
              <w:spacing w:after="0"/>
              <w:rPr>
                <w:sz w:val="24"/>
                <w:szCs w:val="24"/>
                <w:color w:val="auto"/>
              </w:rPr>
            </w:pPr>
          </w:p>
        </w:tc>
      </w:tr>
      <w:tr>
        <w:trPr>
          <w:trHeight w:val="621"/>
        </w:trPr>
        <w:tc>
          <w:tcPr>
            <w:tcW w:w="3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80" w:type="dxa"/>
            <w:vAlign w:val="bottom"/>
          </w:tcPr>
          <w:p>
            <w:pPr>
              <w:jc w:val="right"/>
              <w:ind w:right="272"/>
              <w:spacing w:after="0"/>
              <w:rPr>
                <w:sz w:val="20"/>
                <w:szCs w:val="20"/>
                <w:color w:val="auto"/>
              </w:rPr>
            </w:pPr>
            <w:r>
              <w:rPr>
                <w:rFonts w:ascii="Arial" w:cs="Arial" w:eastAsia="Arial" w:hAnsi="Arial"/>
                <w:sz w:val="22"/>
                <w:szCs w:val="22"/>
                <w:b w:val="1"/>
                <w:bCs w:val="1"/>
                <w:color w:val="auto"/>
                <w:w w:val="96"/>
              </w:rPr>
              <w:t>Applicable Percentage</w:t>
            </w:r>
          </w:p>
        </w:tc>
      </w:tr>
      <w:tr>
        <w:trPr>
          <w:trHeight w:val="297"/>
        </w:trPr>
        <w:tc>
          <w:tcPr>
            <w:tcW w:w="3720" w:type="dxa"/>
            <w:vAlign w:val="bottom"/>
          </w:tcPr>
          <w:p>
            <w:pPr>
              <w:ind w:left="2280"/>
              <w:spacing w:after="0"/>
              <w:rPr>
                <w:sz w:val="20"/>
                <w:szCs w:val="20"/>
                <w:color w:val="auto"/>
              </w:rPr>
            </w:pPr>
            <w:r>
              <w:rPr>
                <w:rFonts w:ascii="Arial" w:cs="Arial" w:eastAsia="Arial" w:hAnsi="Arial"/>
                <w:sz w:val="22"/>
                <w:szCs w:val="22"/>
                <w:b w:val="1"/>
                <w:bCs w:val="1"/>
                <w:color w:val="auto"/>
              </w:rPr>
              <w:t>Lender</w:t>
            </w:r>
          </w:p>
        </w:tc>
        <w:tc>
          <w:tcPr>
            <w:tcW w:w="4980" w:type="dxa"/>
            <w:vAlign w:val="bottom"/>
          </w:tcPr>
          <w:p>
            <w:pPr>
              <w:jc w:val="right"/>
              <w:ind w:right="1072"/>
              <w:spacing w:after="0"/>
              <w:rPr>
                <w:sz w:val="20"/>
                <w:szCs w:val="20"/>
                <w:color w:val="auto"/>
              </w:rPr>
            </w:pPr>
            <w:r>
              <w:rPr>
                <w:rFonts w:ascii="Arial" w:cs="Arial" w:eastAsia="Arial" w:hAnsi="Arial"/>
                <w:sz w:val="22"/>
                <w:szCs w:val="22"/>
                <w:b w:val="1"/>
                <w:bCs w:val="1"/>
                <w:color w:val="auto"/>
              </w:rPr>
              <w:t>Commitment</w:t>
            </w:r>
          </w:p>
        </w:tc>
        <w:tc>
          <w:tcPr>
            <w:tcW w:w="2680" w:type="dxa"/>
            <w:vAlign w:val="bottom"/>
          </w:tcPr>
          <w:p>
            <w:pPr>
              <w:spacing w:after="0"/>
              <w:rPr>
                <w:sz w:val="24"/>
                <w:szCs w:val="24"/>
                <w:color w:val="auto"/>
              </w:rPr>
            </w:pPr>
          </w:p>
        </w:tc>
      </w:tr>
      <w:tr>
        <w:trPr>
          <w:trHeight w:val="351"/>
        </w:trPr>
        <w:tc>
          <w:tcPr>
            <w:tcW w:w="3720" w:type="dxa"/>
            <w:vAlign w:val="bottom"/>
          </w:tcPr>
          <w:p>
            <w:pPr>
              <w:spacing w:after="0"/>
              <w:rPr>
                <w:sz w:val="20"/>
                <w:szCs w:val="20"/>
                <w:color w:val="auto"/>
              </w:rPr>
            </w:pPr>
            <w:r>
              <w:rPr>
                <w:rFonts w:ascii="Arial" w:cs="Arial" w:eastAsia="Arial" w:hAnsi="Arial"/>
                <w:sz w:val="22"/>
                <w:szCs w:val="22"/>
                <w:color w:val="auto"/>
              </w:rPr>
              <w:t>Bank of America,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Citibank,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DNB Capital LLC</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Deutsche Bank AG New York Branch</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JPMorgan Chase Bank,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Mizuho Bank, Ltd.</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w w:val="96"/>
              </w:rPr>
              <w:t>Wells Fargo Bank, National Association</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Morgan Stanley Bank,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$52,500,000.00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5.250000000%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Branch Banking and Trust Company</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$52,500,000.00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5.250000000%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The Bank of Nova Scotia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$43,000,000.00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4.300000000%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w w:val="96"/>
              </w:rPr>
              <w:t>The Bank of Tokyo-Mitsubishi UFJ, Ltd.</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$43,000,000.00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4.300000000%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Barclays Bank PLC</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$43,000,000.00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4.300000000%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PNC Bank, National Association</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$43,000,000.00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4.300000000%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BNP Paribas</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Compass Bank</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401"/>
        </w:trPr>
        <w:tc>
          <w:tcPr>
            <w:tcW w:w="3720" w:type="dxa"/>
            <w:vAlign w:val="bottom"/>
          </w:tcPr>
          <w:p>
            <w:pPr>
              <w:spacing w:after="0"/>
              <w:rPr>
                <w:sz w:val="20"/>
                <w:szCs w:val="20"/>
                <w:color w:val="auto"/>
              </w:rPr>
            </w:pPr>
            <w:r>
              <w:rPr>
                <w:rFonts w:ascii="Arial" w:cs="Arial" w:eastAsia="Arial" w:hAnsi="Arial"/>
                <w:sz w:val="22"/>
                <w:szCs w:val="22"/>
                <w:color w:val="auto"/>
                <w:w w:val="97"/>
              </w:rPr>
              <w:t>Canadian Imperial Bank of Commerce,</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275"/>
        </w:trPr>
        <w:tc>
          <w:tcPr>
            <w:tcW w:w="3720" w:type="dxa"/>
            <w:vAlign w:val="bottom"/>
          </w:tcPr>
          <w:p>
            <w:pPr>
              <w:spacing w:after="0"/>
              <w:rPr>
                <w:sz w:val="20"/>
                <w:szCs w:val="20"/>
                <w:color w:val="auto"/>
              </w:rPr>
            </w:pPr>
            <w:r>
              <w:rPr>
                <w:rFonts w:ascii="Arial" w:cs="Arial" w:eastAsia="Arial" w:hAnsi="Arial"/>
                <w:sz w:val="22"/>
                <w:szCs w:val="22"/>
                <w:color w:val="auto"/>
              </w:rPr>
              <w:t>New York Branch</w:t>
            </w:r>
          </w:p>
        </w:tc>
        <w:tc>
          <w:tcPr>
            <w:tcW w:w="498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351"/>
        </w:trPr>
        <w:tc>
          <w:tcPr>
            <w:tcW w:w="3720" w:type="dxa"/>
            <w:vAlign w:val="bottom"/>
          </w:tcPr>
          <w:p>
            <w:pPr>
              <w:spacing w:after="0"/>
              <w:rPr>
                <w:sz w:val="20"/>
                <w:szCs w:val="20"/>
                <w:color w:val="auto"/>
              </w:rPr>
            </w:pPr>
            <w:r>
              <w:rPr>
                <w:rFonts w:ascii="Arial" w:cs="Arial" w:eastAsia="Arial" w:hAnsi="Arial"/>
                <w:sz w:val="22"/>
                <w:szCs w:val="22"/>
                <w:color w:val="auto"/>
              </w:rPr>
              <w:t>Sumitomo Mitsui Banking Corporation</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SunTrust Bank</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BMO Harris Bank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$26,500,000.00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2.650000000%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ING Capital LLC</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$26,500,000.00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2.650000000%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Regions Bank</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$26,500,000.00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2.650000000%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U.S. Bank National Association</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$26,500,000.00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2.650000000%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Royal Bank of Canada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$14,500,000.00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1.450000000%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Morgan Stanley Senior Funding, Inc.</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$5,937,500.00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0.593750000%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Total</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$1,000,000,000.00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100.000000000%</w:t>
            </w:r>
          </w:p>
        </w:tc>
      </w:tr>
    </w:tbl>
    <w:p>
      <w:pPr>
        <w:sectPr>
          <w:pgSz w:w="11900" w:h="16838" w:orient="portrait"/>
          <w:cols w:equalWidth="0" w:num="1">
            <w:col w:w="11380"/>
          </w:cols>
          <w:pgMar w:left="280" w:top="63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FOURTH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CREDIT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August 16,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MARKETING, L.P.</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MIDSTREAM CANADA ULC,</w:t>
      </w:r>
    </w:p>
    <w:p>
      <w:pPr>
        <w:spacing w:after="0" w:line="26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as Borrowers,</w:t>
      </w:r>
    </w:p>
    <w:p>
      <w:pPr>
        <w:spacing w:after="0" w:line="214"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PLAINS ALL AMERICAN PIPELINE, L.P.,</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as Guarantor</w:t>
      </w:r>
    </w:p>
    <w:p>
      <w:pPr>
        <w:spacing w:after="0" w:line="196"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BANK OF AMERICA, N.A.,</w:t>
      </w:r>
    </w:p>
    <w:p>
      <w:pPr>
        <w:spacing w:after="0" w:line="2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as Administrative Agent and Swing Line Lender,</w:t>
      </w:r>
    </w:p>
    <w:p>
      <w:pPr>
        <w:spacing w:after="0" w:line="196"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auto"/>
        </w:rPr>
        <w:t>BANK OF AMERICA, N.A. and WELLS FARGO BANK, NATIONAL ASSOCIATION,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L/C Issuers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Other Lenders Party Hereto</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CITIBANK, N.A. and SOCIÉTÉ GÉNÉRALE,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Co-Syndication Agents,</w:t>
      </w:r>
    </w:p>
    <w:p>
      <w:pPr>
        <w:spacing w:after="0" w:line="200" w:lineRule="exact"/>
        <w:rPr>
          <w:sz w:val="20"/>
          <w:szCs w:val="20"/>
          <w:color w:val="auto"/>
        </w:rPr>
      </w:pPr>
    </w:p>
    <w:p>
      <w:pPr>
        <w:spacing w:after="0" w:line="306"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b w:val="1"/>
          <w:bCs w:val="1"/>
          <w:color w:val="auto"/>
        </w:rPr>
        <w:t xml:space="preserve">MERRILL LYNCH, PIERCE, FENNER &amp; SMITH INCORPORATED CITIGROUP GLOBAL MARKETS INC. and SOCIÉTÉ GÉNÉRALE, </w:t>
      </w:r>
      <w:r>
        <w:rPr>
          <w:rFonts w:ascii="Arial" w:cs="Arial" w:eastAsia="Arial" w:hAnsi="Arial"/>
          <w:sz w:val="22"/>
          <w:szCs w:val="22"/>
          <w:color w:val="auto"/>
        </w:rPr>
        <w:t>as</w:t>
      </w:r>
    </w:p>
    <w:p>
      <w:pPr>
        <w:jc w:val="center"/>
        <w:spacing w:after="0"/>
        <w:rPr>
          <w:sz w:val="20"/>
          <w:szCs w:val="20"/>
          <w:color w:val="auto"/>
        </w:rPr>
      </w:pPr>
      <w:r>
        <w:rPr>
          <w:rFonts w:ascii="Arial" w:cs="Arial" w:eastAsia="Arial" w:hAnsi="Arial"/>
          <w:sz w:val="22"/>
          <w:szCs w:val="22"/>
          <w:color w:val="auto"/>
        </w:rPr>
        <w:t>Joint Lead Arrangers and Joint Bookrunners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Senior Secured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2"/>
          <w:szCs w:val="22"/>
          <w:color w:val="auto"/>
        </w:rPr>
        <w:t>FOURTH AMENDMENT TO THIRD AMENDED AND RESTATED CREDIT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FOURTH AMENDMENT TO THIRD AMENDED AND RESTATED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the 16th day of August, 2017, is by and among PLAINS MARKETING, L.P., a Texas limited partnership (the “</w:t>
      </w:r>
      <w:r>
        <w:rPr>
          <w:rFonts w:ascii="Arial" w:cs="Arial" w:eastAsia="Arial" w:hAnsi="Arial"/>
          <w:sz w:val="22"/>
          <w:szCs w:val="22"/>
          <w:u w:val="single" w:color="auto"/>
          <w:color w:val="auto"/>
        </w:rPr>
        <w:t>Company</w:t>
      </w:r>
      <w:r>
        <w:rPr>
          <w:rFonts w:ascii="Arial" w:cs="Arial" w:eastAsia="Arial" w:hAnsi="Arial"/>
          <w:sz w:val="22"/>
          <w:szCs w:val="22"/>
          <w:color w:val="auto"/>
        </w:rPr>
        <w:t>”), PLAINS MIDSTREAM CANADA ULC, a British Columbia unlimited liability company (“</w:t>
      </w:r>
      <w:r>
        <w:rPr>
          <w:rFonts w:ascii="Arial" w:cs="Arial" w:eastAsia="Arial" w:hAnsi="Arial"/>
          <w:sz w:val="22"/>
          <w:szCs w:val="22"/>
          <w:u w:val="single" w:color="auto"/>
          <w:color w:val="auto"/>
        </w:rPr>
        <w:t>PMCULC</w:t>
      </w:r>
      <w:r>
        <w:rPr>
          <w:rFonts w:ascii="Arial" w:cs="Arial" w:eastAsia="Arial" w:hAnsi="Arial"/>
          <w:sz w:val="22"/>
          <w:szCs w:val="22"/>
          <w:color w:val="auto"/>
        </w:rPr>
        <w:t>”; and together with the Company, the “</w:t>
      </w:r>
      <w:r>
        <w:rPr>
          <w:rFonts w:ascii="Arial" w:cs="Arial" w:eastAsia="Arial" w:hAnsi="Arial"/>
          <w:sz w:val="22"/>
          <w:szCs w:val="22"/>
          <w:u w:val="single" w:color="auto"/>
          <w:color w:val="auto"/>
        </w:rPr>
        <w:t>Borrowers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Borrower</w:t>
      </w:r>
      <w:r>
        <w:rPr>
          <w:rFonts w:ascii="Arial" w:cs="Arial" w:eastAsia="Arial" w:hAnsi="Arial"/>
          <w:sz w:val="22"/>
          <w:szCs w:val="22"/>
          <w:color w:val="auto"/>
        </w:rPr>
        <w:t>”), PLAINS ALL AMERICAN PIPELINE, L.P., as guarantor, BANK OF AMERICA, N.A., as Administrative Agent and an L/C Issuer, WELLS FARGO BANK, NATIONAL ASSOCIATION, as an L/C Issuer, and the Lenders party 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WHEREAS, Borrowers, Administrative Agent, certain of the L/C Issuers and certain of the Lenders entered into that certain Third Amended and Restated Credit Agreement dated as of August 19, 2011, as amended by that certain First Amendment to Third Amended and Restated Credit Agreement dated as of June 27, 2012, that certain Second Amendment to Third Amended and Restated Credit Agreement dated as of August 16, 2013 and that certain Third Amendment to Third Amended and Restated Credit Agreement dated as of August 11, 2016 (as heretofore amended,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 for the purposes and consideration therein expressed; and</w:t>
      </w:r>
    </w:p>
    <w:p>
      <w:pPr>
        <w:spacing w:after="0" w:line="19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WHEREAS, Merrill Lynch, Pierce, Fenner &amp; Smith, Incorporated (“</w:t>
      </w:r>
      <w:r>
        <w:rPr>
          <w:rFonts w:ascii="Arial" w:cs="Arial" w:eastAsia="Arial" w:hAnsi="Arial"/>
          <w:sz w:val="21"/>
          <w:szCs w:val="21"/>
          <w:u w:val="single" w:color="auto"/>
          <w:color w:val="auto"/>
        </w:rPr>
        <w:t>MLPFS</w:t>
      </w:r>
      <w:r>
        <w:rPr>
          <w:rFonts w:ascii="Arial" w:cs="Arial" w:eastAsia="Arial" w:hAnsi="Arial"/>
          <w:sz w:val="21"/>
          <w:szCs w:val="21"/>
          <w:color w:val="auto"/>
        </w:rPr>
        <w:t>”) and the other joint lead arrangers and joint bookrunners, have, at the Company’s request, syndicated and arranged for an extension of the maturity date set forth in, and other amendments to, the Original Agreement, and pursuant thereto, the Borrowers, Administrative Agent, L/C Issuers and the Lenders party hereto desire to amend the Original Agreement for the purposes described herein;</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 — </w:t>
      </w:r>
      <w:r>
        <w:rPr>
          <w:rFonts w:ascii="Arial" w:cs="Arial" w:eastAsia="Arial" w:hAnsi="Arial"/>
          <w:sz w:val="22"/>
          <w:szCs w:val="22"/>
          <w:u w:val="single" w:color="auto"/>
          <w:color w:val="auto"/>
        </w:rPr>
        <w:t>Definitions and References</w:t>
      </w:r>
    </w:p>
    <w:p>
      <w:pPr>
        <w:spacing w:after="0" w:line="220" w:lineRule="exact"/>
        <w:rPr>
          <w:sz w:val="20"/>
          <w:szCs w:val="20"/>
          <w:color w:val="auto"/>
        </w:rPr>
      </w:pPr>
    </w:p>
    <w:p>
      <w:pPr>
        <w:ind w:firstLine="656"/>
        <w:spacing w:after="0" w:line="343" w:lineRule="auto"/>
        <w:tabs>
          <w:tab w:leader="none" w:pos="835"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Terms Defined in the Original Agreement</w:t>
      </w:r>
      <w:r>
        <w:rPr>
          <w:rFonts w:ascii="Arial" w:cs="Arial" w:eastAsia="Arial" w:hAnsi="Arial"/>
          <w:sz w:val="19"/>
          <w:szCs w:val="19"/>
          <w:color w:val="auto"/>
        </w:rPr>
        <w:t>. Unless the context otherwise requires or unless otherwise expressly defined herein, the terms defined in the Credit Agreement shall have the same meanings whenever used in this Amendment.</w:t>
      </w:r>
    </w:p>
    <w:p>
      <w:pPr>
        <w:spacing w:after="0" w:line="104" w:lineRule="exact"/>
        <w:rPr>
          <w:rFonts w:ascii="Arial" w:cs="Arial" w:eastAsia="Arial" w:hAnsi="Arial"/>
          <w:sz w:val="19"/>
          <w:szCs w:val="19"/>
          <w:color w:val="auto"/>
        </w:rPr>
      </w:pPr>
    </w:p>
    <w:p>
      <w:pPr>
        <w:ind w:firstLine="656"/>
        <w:spacing w:after="0" w:line="263" w:lineRule="auto"/>
        <w:tabs>
          <w:tab w:leader="none" w:pos="829"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Other Defined Terms</w:t>
      </w:r>
      <w:r>
        <w:rPr>
          <w:rFonts w:ascii="Arial" w:cs="Arial" w:eastAsia="Arial" w:hAnsi="Arial"/>
          <w:sz w:val="22"/>
          <w:szCs w:val="22"/>
          <w:color w:val="auto"/>
        </w:rPr>
        <w:t xml:space="preserve">. Unless the context otherwise requires, the following terms when used in this Amendment shall have the meanings assigned to them in this </w:t>
      </w:r>
      <w:r>
        <w:rPr>
          <w:rFonts w:ascii="Arial" w:cs="Arial" w:eastAsia="Arial" w:hAnsi="Arial"/>
          <w:sz w:val="22"/>
          <w:szCs w:val="22"/>
          <w:u w:val="single" w:color="auto"/>
          <w:color w:val="auto"/>
        </w:rPr>
        <w:t>§ 1.2</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means this Fourth Amendment to Third Amended and Restated Credit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 3.1</w:t>
      </w:r>
      <w:r>
        <w:rPr>
          <w:rFonts w:ascii="Arial" w:cs="Arial" w:eastAsia="Arial" w:hAnsi="Arial"/>
          <w:sz w:val="22"/>
          <w:szCs w:val="22"/>
          <w:color w:val="auto"/>
        </w:rPr>
        <w:t xml:space="preserve"> of this Amendment.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means the Original Agreement as amended hereby.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3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color w:val="auto"/>
        </w:rPr>
        <w:t xml:space="preserve">ARTICLE II. — </w:t>
      </w:r>
      <w:r>
        <w:rPr>
          <w:rFonts w:ascii="Arial" w:cs="Arial" w:eastAsia="Arial" w:hAnsi="Arial"/>
          <w:sz w:val="22"/>
          <w:szCs w:val="22"/>
          <w:u w:val="single" w:color="auto"/>
          <w:color w:val="auto"/>
        </w:rPr>
        <w:t>Amendments</w:t>
      </w:r>
    </w:p>
    <w:p>
      <w:pPr>
        <w:spacing w:after="0" w:line="220" w:lineRule="exact"/>
        <w:rPr>
          <w:sz w:val="20"/>
          <w:szCs w:val="20"/>
          <w:color w:val="auto"/>
        </w:rPr>
      </w:pPr>
    </w:p>
    <w:p>
      <w:pPr>
        <w:ind w:left="820" w:hanging="164"/>
        <w:spacing w:after="0"/>
        <w:tabs>
          <w:tab w:leader="none" w:pos="8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63" w:lineRule="auto"/>
        <w:tabs>
          <w:tab w:leader="none" w:pos="153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The definition of “Collateral”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by adding the following new sentence at the end thereof:</w:t>
      </w:r>
    </w:p>
    <w:p>
      <w:pPr>
        <w:spacing w:after="0" w:line="175"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 xml:space="preserve">In no event shall Collateral include any Subject Inventory, corresponding Swap Contracts with respect thereto, and Subject Receivables that are the subject of Collateral Intermediary Transactions permitted pursuant to </w:t>
      </w:r>
      <w:r>
        <w:rPr>
          <w:rFonts w:ascii="Arial" w:cs="Arial" w:eastAsia="Arial" w:hAnsi="Arial"/>
          <w:sz w:val="21"/>
          <w:szCs w:val="21"/>
          <w:u w:val="single" w:color="auto"/>
          <w:color w:val="auto"/>
        </w:rPr>
        <w:t>Section 7.08</w:t>
      </w:r>
      <w:r>
        <w:rPr>
          <w:rFonts w:ascii="Arial" w:cs="Arial" w:eastAsia="Arial" w:hAnsi="Arial"/>
          <w:sz w:val="21"/>
          <w:szCs w:val="21"/>
          <w:color w:val="auto"/>
        </w:rPr>
        <w:t>.</w:t>
      </w:r>
    </w:p>
    <w:p>
      <w:pPr>
        <w:spacing w:after="0" w:line="152" w:lineRule="exact"/>
        <w:rPr>
          <w:sz w:val="20"/>
          <w:szCs w:val="20"/>
          <w:color w:val="auto"/>
        </w:rPr>
      </w:pPr>
    </w:p>
    <w:p>
      <w:pPr>
        <w:ind w:right="20" w:firstLine="656"/>
        <w:spacing w:after="0" w:line="263" w:lineRule="auto"/>
        <w:tabs>
          <w:tab w:leader="none" w:pos="154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Collateral Value</w:t>
      </w:r>
      <w:r>
        <w:rPr>
          <w:rFonts w:ascii="Arial" w:cs="Arial" w:eastAsia="Arial" w:hAnsi="Arial"/>
          <w:sz w:val="22"/>
          <w:szCs w:val="22"/>
          <w:color w:val="auto"/>
        </w:rPr>
        <w:t xml:space="preserve">. The definition of “Collateral Value”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by adding the following new sentence at the end thereof:</w:t>
      </w:r>
    </w:p>
    <w:p>
      <w:pPr>
        <w:spacing w:after="0" w:line="17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no event shall any Subject Inventory, any corresponding Swap Contracts with respect thereto or Subject Receivables be included in the calculation of Collateral Value.</w:t>
      </w:r>
    </w:p>
    <w:p>
      <w:pPr>
        <w:spacing w:after="0" w:line="175" w:lineRule="exact"/>
        <w:rPr>
          <w:sz w:val="20"/>
          <w:szCs w:val="20"/>
          <w:color w:val="auto"/>
        </w:rPr>
      </w:pPr>
    </w:p>
    <w:p>
      <w:pPr>
        <w:ind w:firstLine="656"/>
        <w:spacing w:after="0" w:line="263" w:lineRule="auto"/>
        <w:tabs>
          <w:tab w:leader="none" w:pos="153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New Defined Terms</w:t>
      </w:r>
      <w:r>
        <w:rPr>
          <w:rFonts w:ascii="Arial" w:cs="Arial" w:eastAsia="Arial" w:hAnsi="Arial"/>
          <w:sz w:val="22"/>
          <w:szCs w:val="22"/>
          <w:color w:val="auto"/>
        </w:rPr>
        <w:t>. Section 1.01 of the Original Agreement is hereby amended by adding the following new defined terms in appropriate alphabetical order, to read as follows:</w:t>
      </w:r>
    </w:p>
    <w:p>
      <w:pPr>
        <w:spacing w:after="0" w:line="17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Intermediary</w:t>
      </w:r>
      <w:r>
        <w:rPr>
          <w:rFonts w:ascii="Arial" w:cs="Arial" w:eastAsia="Arial" w:hAnsi="Arial"/>
          <w:sz w:val="19"/>
          <w:szCs w:val="19"/>
          <w:color w:val="auto"/>
        </w:rPr>
        <w:t>” means (i) any Lender, any Affiliate of any Lender that engages in Commodity Intermediary Transactions, or other nationally recognized institution engaged in transactions of such type, or (ii) any other institution that engages in Commodity Intermediary Transactions that is reasonably acceptable to the Administrative Agent.</w:t>
      </w:r>
    </w:p>
    <w:p>
      <w:pPr>
        <w:spacing w:after="0" w:line="13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Commodity Intermediary Transaction</w:t>
      </w:r>
      <w:r>
        <w:rPr>
          <w:rFonts w:ascii="Arial" w:cs="Arial" w:eastAsia="Arial" w:hAnsi="Arial"/>
          <w:sz w:val="21"/>
          <w:szCs w:val="21"/>
          <w:color w:val="auto"/>
        </w:rPr>
        <w:t>” means a transaction or series of transactions (whether reflected in a single agreement or a set of related agreements) under which a Commodity Intermediary buys from Borrower and/or sells to Borrower or third parties Subject Inventory, and in addition, may enter into Swap Contracts with respect to such Subject Inventory (including for hedging and/or risk mitigation purposes) and/or provide additional financial accommodations based on Subject Receivables, and in connection therewith (i) the Administrative Agent releases any Liens securing the Obligations on Subject Inventory, such Swap Contracts and Subject Receivables, and (ii) Borrower grants a Lien on Subject Inventory, corresponding Swap Contracts with respect thereto, and Subject Receivables (if any) in favor of such Commodity Intermediary to secure the obligations of Borrower to such Commodity Intermediary arising under such Commodity Intermediary Transaction.</w:t>
      </w:r>
    </w:p>
    <w:p>
      <w:pPr>
        <w:spacing w:after="0" w:line="18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Inventory</w:t>
      </w:r>
      <w:r>
        <w:rPr>
          <w:rFonts w:ascii="Arial" w:cs="Arial" w:eastAsia="Arial" w:hAnsi="Arial"/>
          <w:sz w:val="22"/>
          <w:szCs w:val="22"/>
          <w:color w:val="auto"/>
        </w:rPr>
        <w:t>” means any portion of Borrower’s Petroleum Product inventory identified by Borrower as subject to a Commodity Intermediary Transaction.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Receivables</w:t>
      </w:r>
      <w:r>
        <w:rPr>
          <w:rFonts w:ascii="Arial" w:cs="Arial" w:eastAsia="Arial" w:hAnsi="Arial"/>
          <w:sz w:val="22"/>
          <w:szCs w:val="22"/>
          <w:color w:val="auto"/>
        </w:rPr>
        <w:t>” means Receivables arising from the sale of Subject Inventory.</w:t>
      </w:r>
    </w:p>
    <w:p>
      <w:pPr>
        <w:spacing w:after="0" w:line="220" w:lineRule="exact"/>
        <w:rPr>
          <w:sz w:val="20"/>
          <w:szCs w:val="20"/>
          <w:color w:val="auto"/>
        </w:rPr>
      </w:pPr>
    </w:p>
    <w:p>
      <w:pPr>
        <w:jc w:val="both"/>
        <w:ind w:firstLine="656"/>
        <w:spacing w:after="0" w:line="253" w:lineRule="auto"/>
        <w:tabs>
          <w:tab w:leader="none" w:pos="848"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Liens</w:t>
      </w:r>
      <w:r>
        <w:rPr>
          <w:rFonts w:ascii="Arial" w:cs="Arial" w:eastAsia="Arial" w:hAnsi="Arial"/>
          <w:sz w:val="22"/>
          <w:szCs w:val="22"/>
          <w:color w:val="auto"/>
        </w:rPr>
        <w:t xml:space="preserve">. The reference to “Liens, other than Liens permitted by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5.07</w:t>
      </w:r>
      <w:r>
        <w:rPr>
          <w:rFonts w:ascii="Arial" w:cs="Arial" w:eastAsia="Arial" w:hAnsi="Arial"/>
          <w:sz w:val="22"/>
          <w:szCs w:val="22"/>
          <w:color w:val="auto"/>
        </w:rPr>
        <w:t xml:space="preserve"> of the Original Agreement is hereby amended to refer instead to “Liens, other than Liens permitted by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and Liens granted in connection with Commodity Intermediary Transactions permitted pursuant to </w:t>
      </w:r>
      <w:r>
        <w:rPr>
          <w:rFonts w:ascii="Arial" w:cs="Arial" w:eastAsia="Arial" w:hAnsi="Arial"/>
          <w:sz w:val="22"/>
          <w:szCs w:val="22"/>
          <w:u w:val="single" w:color="auto"/>
          <w:color w:val="auto"/>
        </w:rPr>
        <w:t>Section 7.08</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09" w:name="page110"/>
    <w:bookmarkEnd w:id="109"/>
    <w:p>
      <w:pPr>
        <w:jc w:val="both"/>
        <w:ind w:firstLine="656"/>
        <w:spacing w:after="0" w:line="253" w:lineRule="auto"/>
        <w:tabs>
          <w:tab w:leader="none" w:pos="845"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The reference to “(excluding tank bottoms and pipeline linefill of such Borrower)” in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of the Original Agreement is hereby amended to refer instead to “(excluding tank bottoms, pipeline linefill and Subject Inventory of such Borrower)”.</w:t>
      </w:r>
    </w:p>
    <w:p>
      <w:pPr>
        <w:spacing w:after="0" w:line="185" w:lineRule="exact"/>
        <w:rPr>
          <w:rFonts w:ascii="Arial" w:cs="Arial" w:eastAsia="Arial" w:hAnsi="Arial"/>
          <w:sz w:val="22"/>
          <w:szCs w:val="22"/>
          <w:color w:val="auto"/>
        </w:rPr>
      </w:pPr>
    </w:p>
    <w:p>
      <w:pPr>
        <w:jc w:val="both"/>
        <w:ind w:firstLine="656"/>
        <w:spacing w:after="0" w:line="271" w:lineRule="auto"/>
        <w:tabs>
          <w:tab w:leader="none" w:pos="848"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Covenant to Give Security</w:t>
      </w:r>
      <w:r>
        <w:rPr>
          <w:rFonts w:ascii="Arial" w:cs="Arial" w:eastAsia="Arial" w:hAnsi="Arial"/>
          <w:sz w:val="21"/>
          <w:szCs w:val="21"/>
          <w:color w:val="auto"/>
        </w:rPr>
        <w:t xml:space="preserve">. The reference to “(excluding tank bottoms, pipeline linefill and other Petroleum Products inventory of such Borrower)” in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of the Original Agreement is hereby amended to refer instead to “(excluding tank bottoms, pipeline linefill, other Petroleum Products inventory and Subject Inventory of such Borrower)”.</w:t>
      </w:r>
    </w:p>
    <w:p>
      <w:pPr>
        <w:spacing w:after="0" w:line="167" w:lineRule="exact"/>
        <w:rPr>
          <w:rFonts w:ascii="Arial" w:cs="Arial" w:eastAsia="Arial" w:hAnsi="Arial"/>
          <w:sz w:val="21"/>
          <w:szCs w:val="21"/>
          <w:color w:val="auto"/>
        </w:rPr>
      </w:pPr>
    </w:p>
    <w:p>
      <w:pPr>
        <w:jc w:val="both"/>
        <w:ind w:firstLine="656"/>
        <w:spacing w:after="0" w:line="271" w:lineRule="auto"/>
        <w:tabs>
          <w:tab w:leader="none" w:pos="810"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Dispositions</w:t>
      </w:r>
      <w:r>
        <w:rPr>
          <w:rFonts w:ascii="Arial" w:cs="Arial" w:eastAsia="Arial" w:hAnsi="Arial"/>
          <w:sz w:val="21"/>
          <w:szCs w:val="21"/>
          <w:color w:val="auto"/>
        </w:rPr>
        <w:t xml:space="preserve">. The reference to “except in the ordinary course of business on ordinary trade terms” in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of the Original Agreement is hereby amended to refer instead to “except (i) in the ordinary course of business on ordinary trade terms and (ii) in connection with Commodity Intermediary Transactions permitted pursuant to </w:t>
      </w:r>
      <w:r>
        <w:rPr>
          <w:rFonts w:ascii="Arial" w:cs="Arial" w:eastAsia="Arial" w:hAnsi="Arial"/>
          <w:sz w:val="21"/>
          <w:szCs w:val="21"/>
          <w:u w:val="single" w:color="auto"/>
          <w:color w:val="auto"/>
        </w:rPr>
        <w:t>Section 7.08</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firstLine="656"/>
        <w:spacing w:after="0" w:line="263" w:lineRule="auto"/>
        <w:tabs>
          <w:tab w:leader="none" w:pos="816"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Commodity Intermediary Transactions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of the Original Agreement is hereby amended by adding a new Section 7.08 at the end thereof, to read as follows:</w:t>
      </w:r>
    </w:p>
    <w:p>
      <w:pPr>
        <w:spacing w:after="0" w:line="16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7.08</w:t>
      </w:r>
      <w:r>
        <w:rPr>
          <w:sz w:val="20"/>
          <w:szCs w:val="20"/>
          <w:color w:val="auto"/>
        </w:rPr>
        <w:tab/>
      </w:r>
      <w:r>
        <w:rPr>
          <w:rFonts w:ascii="Arial" w:cs="Arial" w:eastAsia="Arial" w:hAnsi="Arial"/>
          <w:sz w:val="19"/>
          <w:szCs w:val="19"/>
          <w:b w:val="1"/>
          <w:bCs w:val="1"/>
          <w:color w:val="auto"/>
        </w:rPr>
        <w:t>Commodity Intermediary Transactions</w:t>
      </w:r>
      <w:r>
        <w:rPr>
          <w:rFonts w:ascii="Arial" w:cs="Arial" w:eastAsia="Arial" w:hAnsi="Arial"/>
          <w:sz w:val="19"/>
          <w:szCs w:val="19"/>
          <w:color w:val="auto"/>
        </w:rPr>
        <w:t>. Enter into any Commodity Intermediary Transaction, unless:</w:t>
      </w:r>
    </w:p>
    <w:p>
      <w:pPr>
        <w:spacing w:after="0" w:line="226" w:lineRule="exact"/>
        <w:rPr>
          <w:sz w:val="20"/>
          <w:szCs w:val="20"/>
          <w:color w:val="auto"/>
        </w:rPr>
      </w:pPr>
    </w:p>
    <w:p>
      <w:pPr>
        <w:jc w:val="both"/>
        <w:ind w:left="660" w:firstLine="645"/>
        <w:spacing w:after="0" w:line="246" w:lineRule="auto"/>
        <w:tabs>
          <w:tab w:leader="none" w:pos="1766"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aggregate value of the maximum volume of Subject Inventory and Subject Receivables shall not exceed an amount equal to the lesser of (i) $500 million and (ii) 20% of the value of all of Borrower’s Petroleum Product inventory and all of Borrower’s Receivables therefrom at such time; provided that, in the case of a Commodity Intermediary Transaction that is documented under a master or framework agreement and contemplates an ongoing series of transactions, such calculation shall be made only at the commencement of a Commodity Intermediary Transaction and each time thereafter that the maximum volume of Subject Inventory is increased by Borrower and the applicable Commodity Intermediary;</w:t>
      </w:r>
    </w:p>
    <w:p>
      <w:pPr>
        <w:spacing w:after="0" w:line="197" w:lineRule="exact"/>
        <w:rPr>
          <w:rFonts w:ascii="Arial" w:cs="Arial" w:eastAsia="Arial" w:hAnsi="Arial"/>
          <w:sz w:val="22"/>
          <w:szCs w:val="22"/>
          <w:color w:val="auto"/>
        </w:rPr>
      </w:pPr>
    </w:p>
    <w:p>
      <w:pPr>
        <w:jc w:val="both"/>
        <w:ind w:left="660" w:firstLine="645"/>
        <w:spacing w:after="0" w:line="285" w:lineRule="auto"/>
        <w:tabs>
          <w:tab w:leader="none" w:pos="1779"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Borrower shall (i) notify the Administrative Agent of the specific locations of Subject Inventory, certifying that no Petroleum Product inventory constituting Collateral is stored or located at any such location, and any corresponding Swap Contracts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 Commodity Intermediary Transaction that is documented under a master or framework agreement and contemplates an ongoing series of transactions, the foregoing requirement shall be satisfied by Borrower providing such notice to the Administrative Agent at the inception of such Commodity Intermediary Transaction and upon (A) the addition of any new locations at which Subject Inventory is stored or located or</w:t>
      </w:r>
    </w:p>
    <w:p>
      <w:pPr>
        <w:ind w:left="660" w:right="20" w:hanging="4"/>
        <w:spacing w:after="0" w:line="246" w:lineRule="auto"/>
        <w:tabs>
          <w:tab w:leader="none" w:pos="103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such location at which Subject Inventory ceases to be stored or located, and (ii) expressly identify any Subject Receivables as such in Borrower’s records;</w:t>
      </w:r>
    </w:p>
    <w:p>
      <w:pPr>
        <w:spacing w:after="0" w:line="192" w:lineRule="exact"/>
        <w:rPr>
          <w:rFonts w:ascii="Arial" w:cs="Arial" w:eastAsia="Arial" w:hAnsi="Arial"/>
          <w:sz w:val="22"/>
          <w:szCs w:val="22"/>
          <w:color w:val="auto"/>
        </w:rPr>
      </w:pPr>
    </w:p>
    <w:p>
      <w:pPr>
        <w:jc w:val="both"/>
        <w:ind w:left="660" w:firstLine="645"/>
        <w:spacing w:after="0" w:line="253" w:lineRule="auto"/>
        <w:tabs>
          <w:tab w:leader="none" w:pos="1848" w:val="left"/>
        </w:tabs>
        <w:numPr>
          <w:ilvl w:val="1"/>
          <w:numId w:val="83"/>
        </w:numPr>
        <w:rPr>
          <w:rFonts w:ascii="Arial" w:cs="Arial" w:eastAsia="Arial" w:hAnsi="Arial"/>
          <w:sz w:val="22"/>
          <w:szCs w:val="22"/>
          <w:color w:val="auto"/>
        </w:rPr>
      </w:pPr>
      <w:r>
        <w:rPr>
          <w:rFonts w:ascii="Arial" w:cs="Arial" w:eastAsia="Arial" w:hAnsi="Arial"/>
          <w:sz w:val="22"/>
          <w:szCs w:val="22"/>
          <w:color w:val="auto"/>
        </w:rPr>
        <w:t>In connection with any requested release of Collateral with respect to Subject Inventory, any corresponding Swap Contracts with respect thereto and any Subject Receivables, Borrower shall certify that after giving effect to such release, the Collateral Value shall exceed Total Outstandings;</w:t>
      </w:r>
    </w:p>
    <w:p>
      <w:pPr>
        <w:spacing w:after="0" w:line="185" w:lineRule="exact"/>
        <w:rPr>
          <w:rFonts w:ascii="Arial" w:cs="Arial" w:eastAsia="Arial" w:hAnsi="Arial"/>
          <w:sz w:val="22"/>
          <w:szCs w:val="22"/>
          <w:color w:val="auto"/>
        </w:rPr>
      </w:pPr>
    </w:p>
    <w:p>
      <w:pPr>
        <w:ind w:left="660" w:firstLine="645"/>
        <w:spacing w:after="0" w:line="263" w:lineRule="auto"/>
        <w:tabs>
          <w:tab w:leader="none" w:pos="1938" w:val="left"/>
        </w:tabs>
        <w:numPr>
          <w:ilvl w:val="1"/>
          <w:numId w:val="83"/>
        </w:numPr>
        <w:rPr>
          <w:rFonts w:ascii="Arial" w:cs="Arial" w:eastAsia="Arial" w:hAnsi="Arial"/>
          <w:sz w:val="22"/>
          <w:szCs w:val="22"/>
          <w:color w:val="auto"/>
        </w:rPr>
      </w:pPr>
      <w:r>
        <w:rPr>
          <w:rFonts w:ascii="Arial" w:cs="Arial" w:eastAsia="Arial" w:hAnsi="Arial"/>
          <w:sz w:val="22"/>
          <w:szCs w:val="22"/>
          <w:color w:val="auto"/>
        </w:rPr>
        <w:t>With respect to any release of Petroleum Product inventory constituting Collateral in connection with a Commodity Intermediary Transaction, such release shall be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10" w:name="page111"/>
    <w:bookmarkEnd w:id="110"/>
    <w:p>
      <w:pPr>
        <w:jc w:val="both"/>
        <w:ind w:left="660"/>
        <w:spacing w:after="0" w:line="261" w:lineRule="auto"/>
        <w:rPr>
          <w:sz w:val="20"/>
          <w:szCs w:val="20"/>
          <w:color w:val="auto"/>
        </w:rPr>
      </w:pPr>
      <w:r>
        <w:rPr>
          <w:rFonts w:ascii="Arial" w:cs="Arial" w:eastAsia="Arial" w:hAnsi="Arial"/>
          <w:sz w:val="21"/>
          <w:szCs w:val="21"/>
          <w:color w:val="auto"/>
        </w:rPr>
        <w:t>effective with respect to such Petroleum Product inventory provided that, subject to clause (a) of this Section 7.08, such Petroleum Product inventory is stored or located at a specified location where either (A) only Subject Inventory is stored or located or (B) only such Petroleum Product inventory (and no other Petroleum Product inventory constituting Collateral) is stored or located. Immediately upon the termination of (A) the Commodity Intermediary Transaction regarding such Subject Inventory or (B) the Borrower’s relationship with the applicable Commodity Intermediary, all Petroleum Product inventory stored or located at such location shall thereafter constitute Collateral;</w:t>
      </w:r>
    </w:p>
    <w:p>
      <w:pPr>
        <w:spacing w:after="0" w:line="180" w:lineRule="exact"/>
        <w:rPr>
          <w:sz w:val="20"/>
          <w:szCs w:val="20"/>
          <w:color w:val="auto"/>
        </w:rPr>
      </w:pPr>
    </w:p>
    <w:p>
      <w:pPr>
        <w:ind w:left="1760" w:hanging="455"/>
        <w:spacing w:after="0"/>
        <w:tabs>
          <w:tab w:leader="none" w:pos="17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Subject Inventory shall not be commingled with any Collateral at any time;</w:t>
      </w:r>
    </w:p>
    <w:p>
      <w:pPr>
        <w:spacing w:after="0" w:line="219" w:lineRule="exact"/>
        <w:rPr>
          <w:rFonts w:ascii="Arial" w:cs="Arial" w:eastAsia="Arial" w:hAnsi="Arial"/>
          <w:sz w:val="22"/>
          <w:szCs w:val="22"/>
          <w:color w:val="auto"/>
        </w:rPr>
      </w:pPr>
    </w:p>
    <w:p>
      <w:pPr>
        <w:jc w:val="both"/>
        <w:ind w:left="660" w:right="20" w:firstLine="645"/>
        <w:spacing w:after="0" w:line="271" w:lineRule="auto"/>
        <w:tabs>
          <w:tab w:leader="none" w:pos="1766" w:val="left"/>
        </w:tabs>
        <w:numPr>
          <w:ilvl w:val="0"/>
          <w:numId w:val="84"/>
        </w:numPr>
        <w:rPr>
          <w:rFonts w:ascii="Arial" w:cs="Arial" w:eastAsia="Arial" w:hAnsi="Arial"/>
          <w:sz w:val="21"/>
          <w:szCs w:val="21"/>
          <w:color w:val="auto"/>
        </w:rPr>
      </w:pPr>
      <w:r>
        <w:rPr>
          <w:rFonts w:ascii="Arial" w:cs="Arial" w:eastAsia="Arial" w:hAnsi="Arial"/>
          <w:sz w:val="21"/>
          <w:szCs w:val="21"/>
          <w:color w:val="auto"/>
        </w:rPr>
        <w:t>No corresponding Swap Contract with respect to Subject Inventory shall be (i) pursuant to or governed by any ISDA Master Agreement governing any Swap Contracts with respect to any Collateral, (ii) subject to netting with respect to any Swap Contract with respect to any Collateral, or (iii) secured by any Collateral;</w:t>
      </w:r>
    </w:p>
    <w:p>
      <w:pPr>
        <w:spacing w:after="0" w:line="167" w:lineRule="exact"/>
        <w:rPr>
          <w:rFonts w:ascii="Arial" w:cs="Arial" w:eastAsia="Arial" w:hAnsi="Arial"/>
          <w:sz w:val="21"/>
          <w:szCs w:val="21"/>
          <w:color w:val="auto"/>
        </w:rPr>
      </w:pPr>
    </w:p>
    <w:p>
      <w:pPr>
        <w:jc w:val="both"/>
        <w:ind w:left="660" w:firstLine="645"/>
        <w:spacing w:after="0" w:line="253" w:lineRule="auto"/>
        <w:tabs>
          <w:tab w:leader="none" w:pos="1963" w:val="left"/>
        </w:tabs>
        <w:numPr>
          <w:ilvl w:val="0"/>
          <w:numId w:val="84"/>
        </w:numPr>
        <w:rPr>
          <w:rFonts w:ascii="Arial" w:cs="Arial" w:eastAsia="Arial" w:hAnsi="Arial"/>
          <w:sz w:val="22"/>
          <w:szCs w:val="22"/>
          <w:color w:val="auto"/>
        </w:rPr>
      </w:pPr>
      <w:r>
        <w:rPr>
          <w:rFonts w:ascii="Arial" w:cs="Arial" w:eastAsia="Arial" w:hAnsi="Arial"/>
          <w:sz w:val="22"/>
          <w:szCs w:val="22"/>
          <w:color w:val="auto"/>
        </w:rPr>
        <w:t>Upon the sale to any third party (other than a Commodity Intermediary) of any Subject Inventory (or corresponding Subject Receivable (if any)), Borrower shall promptly pay to the applicable Commodity Intermediary the corresponding account payable with respect thereto;</w:t>
      </w:r>
    </w:p>
    <w:p>
      <w:pPr>
        <w:spacing w:after="0" w:line="185" w:lineRule="exact"/>
        <w:rPr>
          <w:rFonts w:ascii="Arial" w:cs="Arial" w:eastAsia="Arial" w:hAnsi="Arial"/>
          <w:sz w:val="22"/>
          <w:szCs w:val="22"/>
          <w:color w:val="auto"/>
        </w:rPr>
      </w:pPr>
    </w:p>
    <w:p>
      <w:pPr>
        <w:jc w:val="both"/>
        <w:ind w:left="660" w:firstLine="645"/>
        <w:spacing w:after="0" w:line="253" w:lineRule="auto"/>
        <w:tabs>
          <w:tab w:leader="none" w:pos="1895" w:val="left"/>
        </w:tabs>
        <w:numPr>
          <w:ilvl w:val="0"/>
          <w:numId w:val="84"/>
        </w:numPr>
        <w:rPr>
          <w:rFonts w:ascii="Arial" w:cs="Arial" w:eastAsia="Arial" w:hAnsi="Arial"/>
          <w:sz w:val="22"/>
          <w:szCs w:val="22"/>
          <w:color w:val="auto"/>
        </w:rPr>
      </w:pPr>
      <w:r>
        <w:rPr>
          <w:rFonts w:ascii="Arial" w:cs="Arial" w:eastAsia="Arial" w:hAnsi="Arial"/>
          <w:sz w:val="22"/>
          <w:szCs w:val="22"/>
          <w:color w:val="auto"/>
        </w:rPr>
        <w:t>Following the occurrence and during the continuance of any Event of Default, all proceeds of the sale of Subject Inventory or any Subject Receivables shall be segregated by Borrower from its other funds, held in a segregated deposit account and not commingled with any other funds of Borrower; and</w:t>
      </w:r>
    </w:p>
    <w:p>
      <w:pPr>
        <w:spacing w:after="0" w:line="185" w:lineRule="exact"/>
        <w:rPr>
          <w:rFonts w:ascii="Arial" w:cs="Arial" w:eastAsia="Arial" w:hAnsi="Arial"/>
          <w:sz w:val="22"/>
          <w:szCs w:val="22"/>
          <w:color w:val="auto"/>
        </w:rPr>
      </w:pPr>
    </w:p>
    <w:p>
      <w:pPr>
        <w:ind w:left="660" w:firstLine="645"/>
        <w:spacing w:after="0" w:line="343" w:lineRule="auto"/>
        <w:tabs>
          <w:tab w:leader="none" w:pos="1794" w:val="left"/>
        </w:tabs>
        <w:numPr>
          <w:ilvl w:val="0"/>
          <w:numId w:val="84"/>
        </w:numPr>
        <w:rPr>
          <w:rFonts w:ascii="Arial" w:cs="Arial" w:eastAsia="Arial" w:hAnsi="Arial"/>
          <w:sz w:val="19"/>
          <w:szCs w:val="19"/>
          <w:color w:val="auto"/>
        </w:rPr>
      </w:pPr>
      <w:r>
        <w:rPr>
          <w:rFonts w:ascii="Arial" w:cs="Arial" w:eastAsia="Arial" w:hAnsi="Arial"/>
          <w:sz w:val="19"/>
          <w:szCs w:val="19"/>
          <w:color w:val="auto"/>
        </w:rPr>
        <w:t>Borrower shall enter into an intercreditor agreement in form and substance satisfactory to the Administrative Agent in all respects with any Commodity Intermediary party to any Commodity Intermediary Transaction.</w:t>
      </w:r>
    </w:p>
    <w:p>
      <w:pPr>
        <w:spacing w:after="0" w:line="105" w:lineRule="exact"/>
        <w:rPr>
          <w:sz w:val="20"/>
          <w:szCs w:val="20"/>
          <w:color w:val="auto"/>
        </w:rPr>
      </w:pPr>
    </w:p>
    <w:p>
      <w:pPr>
        <w:ind w:left="660" w:right="20"/>
        <w:spacing w:after="0" w:line="343" w:lineRule="auto"/>
        <w:rPr>
          <w:sz w:val="20"/>
          <w:szCs w:val="20"/>
          <w:color w:val="auto"/>
        </w:rPr>
      </w:pPr>
      <w:r>
        <w:rPr>
          <w:rFonts w:ascii="Arial" w:cs="Arial" w:eastAsia="Arial" w:hAnsi="Arial"/>
          <w:sz w:val="19"/>
          <w:szCs w:val="19"/>
          <w:color w:val="auto"/>
        </w:rPr>
        <w:t>Each Lender hereby authorizes the Administrative Agent to enter into amendments to the Security Documents, in form and substance satisfactory to the Administrative Agent, to evidence the foregoing and consents to each such amendment.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ARTICLE IIA. — </w:t>
      </w:r>
      <w:r>
        <w:rPr>
          <w:rFonts w:ascii="Arial" w:cs="Arial" w:eastAsia="Arial" w:hAnsi="Arial"/>
          <w:sz w:val="22"/>
          <w:szCs w:val="22"/>
          <w:u w:val="single" w:color="auto"/>
          <w:color w:val="auto"/>
        </w:rPr>
        <w:t>Extension of Maturity Date</w:t>
      </w:r>
    </w:p>
    <w:p>
      <w:pPr>
        <w:spacing w:after="0" w:line="220" w:lineRule="exact"/>
        <w:rPr>
          <w:sz w:val="20"/>
          <w:szCs w:val="20"/>
          <w:color w:val="auto"/>
        </w:rPr>
      </w:pPr>
    </w:p>
    <w:p>
      <w:pPr>
        <w:jc w:val="both"/>
        <w:ind w:firstLine="656"/>
        <w:spacing w:after="0" w:line="302" w:lineRule="auto"/>
        <w:tabs>
          <w:tab w:leader="none" w:pos="842"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2A.1. </w:t>
      </w:r>
      <w:r>
        <w:rPr>
          <w:rFonts w:ascii="Arial" w:cs="Arial" w:eastAsia="Arial" w:hAnsi="Arial"/>
          <w:sz w:val="19"/>
          <w:szCs w:val="19"/>
          <w:u w:val="single" w:color="auto"/>
          <w:color w:val="auto"/>
        </w:rPr>
        <w:t>Extension of Maturity Date</w:t>
      </w:r>
      <w:r>
        <w:rPr>
          <w:rFonts w:ascii="Arial" w:cs="Arial" w:eastAsia="Arial" w:hAnsi="Arial"/>
          <w:sz w:val="19"/>
          <w:szCs w:val="19"/>
          <w:color w:val="auto"/>
        </w:rPr>
        <w:t xml:space="preserve">. With respect to the Company’s request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of the Credit Agreement to extend the Maturity Date applicable to each Lender for one additional year from the Existing Maturity Date (the “</w:t>
      </w:r>
      <w:r>
        <w:rPr>
          <w:rFonts w:ascii="Arial" w:cs="Arial" w:eastAsia="Arial" w:hAnsi="Arial"/>
          <w:sz w:val="19"/>
          <w:szCs w:val="19"/>
          <w:u w:val="single" w:color="auto"/>
          <w:color w:val="auto"/>
        </w:rPr>
        <w:t>Extension</w:t>
      </w:r>
      <w:r>
        <w:rPr>
          <w:rFonts w:ascii="Arial" w:cs="Arial" w:eastAsia="Arial" w:hAnsi="Arial"/>
          <w:sz w:val="19"/>
          <w:szCs w:val="19"/>
          <w:color w:val="auto"/>
        </w:rPr>
        <w:t xml:space="preserve">”), Administrative Agent has notified the Company of the Extending Lenders and Non-Extending Lenders with respect thereto as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Subject to the satisfaction of the conditions precedent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w:t>
      </w:r>
    </w:p>
    <w:p>
      <w:pPr>
        <w:spacing w:after="0" w:line="143" w:lineRule="exact"/>
        <w:rPr>
          <w:sz w:val="20"/>
          <w:szCs w:val="20"/>
          <w:color w:val="auto"/>
        </w:rPr>
      </w:pPr>
    </w:p>
    <w:p>
      <w:pPr>
        <w:ind w:left="1120" w:hanging="464"/>
        <w:spacing w:after="0"/>
        <w:tabs>
          <w:tab w:leader="none" w:pos="11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Effective as of August 16, 2017, the Maturity Date with respect to each such Extending Lender is August 16, 2020;</w:t>
      </w:r>
    </w:p>
    <w:p>
      <w:pPr>
        <w:spacing w:after="0" w:line="254" w:lineRule="exact"/>
        <w:rPr>
          <w:rFonts w:ascii="Arial" w:cs="Arial" w:eastAsia="Arial" w:hAnsi="Arial"/>
          <w:sz w:val="19"/>
          <w:szCs w:val="19"/>
          <w:color w:val="auto"/>
        </w:rPr>
      </w:pPr>
    </w:p>
    <w:p>
      <w:pPr>
        <w:ind w:left="1140" w:hanging="484"/>
        <w:spacing w:after="0"/>
        <w:tabs>
          <w:tab w:leader="none" w:pos="11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Existing Maturity Date of August 16, 2019 shall remain in effect with respect to each such Non-Extending Lender;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11" w:name="page112"/>
    <w:bookmarkEnd w:id="111"/>
    <w:p>
      <w:pPr>
        <w:ind w:right="20" w:firstLine="656"/>
        <w:spacing w:after="0" w:line="287" w:lineRule="auto"/>
        <w:tabs>
          <w:tab w:leader="none" w:pos="1104"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the parties hereto agree that with respect to the Extension, the certification by the Company required by </w:t>
      </w:r>
      <w:r>
        <w:rPr>
          <w:rFonts w:ascii="Arial" w:cs="Arial" w:eastAsia="Arial" w:hAnsi="Arial"/>
          <w:sz w:val="21"/>
          <w:szCs w:val="21"/>
          <w:u w:val="single" w:color="auto"/>
          <w:color w:val="auto"/>
        </w:rPr>
        <w:t>Section 2.14(f)</w:t>
      </w:r>
      <w:r>
        <w:rPr>
          <w:rFonts w:ascii="Arial" w:cs="Arial" w:eastAsia="Arial" w:hAnsi="Arial"/>
          <w:sz w:val="21"/>
          <w:szCs w:val="21"/>
          <w:color w:val="auto"/>
        </w:rPr>
        <w:t xml:space="preserve"> of the Credit Agreement is hereby satisfied by the Company’s execution and delivery of this Amendment.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III. — </w:t>
      </w:r>
      <w:r>
        <w:rPr>
          <w:rFonts w:ascii="Arial" w:cs="Arial" w:eastAsia="Arial" w:hAnsi="Arial"/>
          <w:sz w:val="22"/>
          <w:szCs w:val="22"/>
          <w:u w:val="single" w:color="auto"/>
          <w:color w:val="auto"/>
        </w:rPr>
        <w:t>Conditions of Effectiveness</w:t>
      </w:r>
    </w:p>
    <w:p>
      <w:pPr>
        <w:spacing w:after="0" w:line="220" w:lineRule="exact"/>
        <w:rPr>
          <w:sz w:val="20"/>
          <w:szCs w:val="20"/>
          <w:color w:val="auto"/>
        </w:rPr>
      </w:pPr>
    </w:p>
    <w:p>
      <w:pPr>
        <w:ind w:firstLine="656"/>
        <w:spacing w:after="0" w:line="263" w:lineRule="auto"/>
        <w:tabs>
          <w:tab w:leader="none" w:pos="851"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This Amendment shall become effective as of the date first written above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upon the satisfaction of the following conditions precedent:</w:t>
      </w:r>
    </w:p>
    <w:p>
      <w:pPr>
        <w:spacing w:after="0" w:line="175" w:lineRule="exact"/>
        <w:rPr>
          <w:sz w:val="20"/>
          <w:szCs w:val="20"/>
          <w:color w:val="auto"/>
        </w:rPr>
      </w:pPr>
    </w:p>
    <w:p>
      <w:pPr>
        <w:jc w:val="both"/>
        <w:ind w:firstLine="656"/>
        <w:spacing w:after="0" w:line="297" w:lineRule="auto"/>
        <w:tabs>
          <w:tab w:leader="none" w:pos="1536"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47" w:lineRule="exact"/>
        <w:rPr>
          <w:rFonts w:ascii="Arial" w:cs="Arial" w:eastAsia="Arial" w:hAnsi="Arial"/>
          <w:sz w:val="19"/>
          <w:szCs w:val="19"/>
          <w:color w:val="auto"/>
        </w:rPr>
      </w:pPr>
    </w:p>
    <w:p>
      <w:pPr>
        <w:ind w:left="660" w:firstLine="645"/>
        <w:spacing w:after="0" w:line="263" w:lineRule="auto"/>
        <w:tabs>
          <w:tab w:leader="none" w:pos="21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executed counterparts of this Amendment, sufficient in number for distribution to the Administrative Agent, each Lender, each Borrower and PAA;</w:t>
      </w:r>
    </w:p>
    <w:p>
      <w:pPr>
        <w:spacing w:after="0" w:line="174" w:lineRule="exact"/>
        <w:rPr>
          <w:rFonts w:ascii="Arial" w:cs="Arial" w:eastAsia="Arial" w:hAnsi="Arial"/>
          <w:sz w:val="22"/>
          <w:szCs w:val="22"/>
          <w:color w:val="auto"/>
        </w:rPr>
      </w:pPr>
    </w:p>
    <w:p>
      <w:pPr>
        <w:jc w:val="both"/>
        <w:ind w:left="660" w:firstLine="645"/>
        <w:spacing w:after="0" w:line="307" w:lineRule="auto"/>
        <w:tabs>
          <w:tab w:leader="none" w:pos="1766"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delivered pursuant to this </w:t>
      </w:r>
      <w:r>
        <w:rPr>
          <w:rFonts w:ascii="Arial" w:cs="Arial" w:eastAsia="Arial" w:hAnsi="Arial"/>
          <w:sz w:val="19"/>
          <w:szCs w:val="19"/>
          <w:u w:val="single" w:color="auto"/>
          <w:color w:val="auto"/>
        </w:rPr>
        <w:t>§ 3.1</w:t>
      </w:r>
      <w:r>
        <w:rPr>
          <w:rFonts w:ascii="Arial" w:cs="Arial" w:eastAsia="Arial" w:hAnsi="Arial"/>
          <w:sz w:val="19"/>
          <w:szCs w:val="19"/>
          <w:color w:val="auto"/>
        </w:rPr>
        <w:t xml:space="preserve"> to which such Loan Party is a party;</w:t>
      </w:r>
    </w:p>
    <w:p>
      <w:pPr>
        <w:spacing w:after="0" w:line="138" w:lineRule="exact"/>
        <w:rPr>
          <w:rFonts w:ascii="Arial" w:cs="Arial" w:eastAsia="Arial" w:hAnsi="Arial"/>
          <w:sz w:val="19"/>
          <w:szCs w:val="19"/>
          <w:color w:val="auto"/>
        </w:rPr>
      </w:pPr>
    </w:p>
    <w:p>
      <w:pPr>
        <w:jc w:val="both"/>
        <w:ind w:left="660" w:firstLine="645"/>
        <w:spacing w:after="0" w:line="278" w:lineRule="auto"/>
        <w:tabs>
          <w:tab w:leader="none" w:pos="1853" w:val="left"/>
        </w:tabs>
        <w:numPr>
          <w:ilvl w:val="1"/>
          <w:numId w:val="89"/>
        </w:numPr>
        <w:rPr>
          <w:rFonts w:ascii="Arial" w:cs="Arial" w:eastAsia="Arial" w:hAnsi="Arial"/>
          <w:sz w:val="21"/>
          <w:szCs w:val="21"/>
          <w:color w:val="auto"/>
        </w:rPr>
      </w:pPr>
      <w:r>
        <w:rPr>
          <w:rFonts w:ascii="Arial" w:cs="Arial" w:eastAsia="Arial" w:hAnsi="Arial"/>
          <w:sz w:val="21"/>
          <w:szCs w:val="21"/>
          <w:color w:val="auto"/>
        </w:rPr>
        <w:t>such documents and certifications as the Administrative Agent may reasonably require to evidence that each Loan Party and General Partner is duly organized or formed, and that each Borrower is validly existing and in good standing in its jurisdiction of organization, issued by the appropriate authorities of such jurisdiction;</w:t>
      </w:r>
    </w:p>
    <w:p>
      <w:pPr>
        <w:spacing w:after="0" w:line="160" w:lineRule="exact"/>
        <w:rPr>
          <w:rFonts w:ascii="Arial" w:cs="Arial" w:eastAsia="Arial" w:hAnsi="Arial"/>
          <w:sz w:val="21"/>
          <w:szCs w:val="21"/>
          <w:color w:val="auto"/>
        </w:rPr>
      </w:pPr>
    </w:p>
    <w:p>
      <w:pPr>
        <w:jc w:val="both"/>
        <w:ind w:left="660" w:firstLine="645"/>
        <w:spacing w:after="0" w:line="260" w:lineRule="auto"/>
        <w:tabs>
          <w:tab w:leader="none" w:pos="1868" w:val="left"/>
        </w:tabs>
        <w:numPr>
          <w:ilvl w:val="1"/>
          <w:numId w:val="89"/>
        </w:numPr>
        <w:rPr>
          <w:rFonts w:ascii="Arial" w:cs="Arial" w:eastAsia="Arial" w:hAnsi="Arial"/>
          <w:sz w:val="22"/>
          <w:szCs w:val="22"/>
          <w:color w:val="auto"/>
        </w:rPr>
      </w:pPr>
      <w:r>
        <w:rPr>
          <w:rFonts w:ascii="Arial" w:cs="Arial" w:eastAsia="Arial" w:hAnsi="Arial"/>
          <w:sz w:val="22"/>
          <w:szCs w:val="22"/>
          <w:color w:val="auto"/>
        </w:rPr>
        <w:t>favorable opinions of (A) Richard McGee, Esq., General Counsel for Borrowers and PAA, (B) Baker Botts L.L.P., special Texas and New York counsel to Borrowers and PAA, and (C) Patterson Adams LLP, special Canadian counsel to PMCULC, addressed to the Administrative Agent and each Lender;</w:t>
      </w:r>
    </w:p>
    <w:p>
      <w:pPr>
        <w:spacing w:after="0" w:line="177" w:lineRule="exact"/>
        <w:rPr>
          <w:rFonts w:ascii="Arial" w:cs="Arial" w:eastAsia="Arial" w:hAnsi="Arial"/>
          <w:sz w:val="22"/>
          <w:szCs w:val="22"/>
          <w:color w:val="auto"/>
        </w:rPr>
      </w:pPr>
    </w:p>
    <w:p>
      <w:pPr>
        <w:jc w:val="both"/>
        <w:ind w:left="660" w:firstLine="645"/>
        <w:spacing w:after="0" w:line="264" w:lineRule="auto"/>
        <w:tabs>
          <w:tab w:leader="none" w:pos="1821" w:val="left"/>
        </w:tabs>
        <w:numPr>
          <w:ilvl w:val="1"/>
          <w:numId w:val="89"/>
        </w:numPr>
        <w:rPr>
          <w:rFonts w:ascii="Arial" w:cs="Arial" w:eastAsia="Arial" w:hAnsi="Arial"/>
          <w:sz w:val="21"/>
          <w:szCs w:val="21"/>
          <w:color w:val="auto"/>
        </w:rPr>
      </w:pPr>
      <w:r>
        <w:rPr>
          <w:rFonts w:ascii="Arial" w:cs="Arial" w:eastAsia="Arial" w:hAnsi="Arial"/>
          <w:sz w:val="21"/>
          <w:szCs w:val="21"/>
          <w:color w:val="auto"/>
        </w:rPr>
        <w:t xml:space="preserve">a certificate signed by a Responsible Officer of the Company certifying (A) that the conditions specified in </w:t>
      </w:r>
      <w:r>
        <w:rPr>
          <w:rFonts w:ascii="Arial" w:cs="Arial" w:eastAsia="Arial" w:hAnsi="Arial"/>
          <w:sz w:val="21"/>
          <w:szCs w:val="21"/>
          <w:u w:val="single" w:color="auto"/>
          <w:color w:val="auto"/>
        </w:rPr>
        <w:t>Section 4.02(a)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xml:space="preserve"> of the Credit Agreement have been satisfied (and in the case of said </w:t>
      </w:r>
      <w:r>
        <w:rPr>
          <w:rFonts w:ascii="Arial" w:cs="Arial" w:eastAsia="Arial" w:hAnsi="Arial"/>
          <w:sz w:val="21"/>
          <w:szCs w:val="21"/>
          <w:u w:val="single" w:color="auto"/>
          <w:color w:val="auto"/>
        </w:rPr>
        <w:t>Section 4.02(d)</w:t>
      </w:r>
      <w:r>
        <w:rPr>
          <w:rFonts w:ascii="Arial" w:cs="Arial" w:eastAsia="Arial" w:hAnsi="Arial"/>
          <w:sz w:val="21"/>
          <w:szCs w:val="21"/>
          <w:color w:val="auto"/>
        </w:rPr>
        <w:t>, if no Request for Credit Extension is made on the Amendment Effective Date, then determined in respect to then Outstanding Amount of Obligations, if any, of each Borrower), (B) that there has been no event or circumstance since December 31, 2016 that has had or could be reasonably expected to have, either individually or in the aggregate, a Material Adverse Effect, and (C) the current PAA Debt Ratings;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12" w:name="page113"/>
    <w:bookmarkEnd w:id="112"/>
    <w:p>
      <w:pPr>
        <w:ind w:left="660" w:firstLine="645"/>
        <w:spacing w:after="0" w:line="276" w:lineRule="auto"/>
        <w:tabs>
          <w:tab w:leader="none" w:pos="2003" w:val="left"/>
        </w:tabs>
        <w:numPr>
          <w:ilvl w:val="1"/>
          <w:numId w:val="90"/>
        </w:numPr>
        <w:rPr>
          <w:rFonts w:ascii="Arial" w:cs="Arial" w:eastAsia="Arial" w:hAnsi="Arial"/>
          <w:sz w:val="22"/>
          <w:szCs w:val="22"/>
          <w:color w:val="auto"/>
        </w:rPr>
      </w:pPr>
      <w:r>
        <w:rPr>
          <w:rFonts w:ascii="Arial" w:cs="Arial" w:eastAsia="Arial" w:hAnsi="Arial"/>
          <w:sz w:val="22"/>
          <w:szCs w:val="22"/>
          <w:color w:val="auto"/>
        </w:rPr>
        <w:t>such other assurances, certificates, documents, consents or opinions as the Administrative Agent may reasonably require.</w:t>
      </w:r>
    </w:p>
    <w:p>
      <w:pPr>
        <w:spacing w:after="0" w:line="160"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91"/>
        </w:numPr>
        <w:rPr>
          <w:rFonts w:ascii="Arial" w:cs="Arial" w:eastAsia="Arial" w:hAnsi="Arial"/>
          <w:sz w:val="22"/>
          <w:szCs w:val="22"/>
          <w:color w:val="auto"/>
        </w:rPr>
      </w:pPr>
      <w:r>
        <w:rPr>
          <w:rFonts w:ascii="Arial" w:cs="Arial" w:eastAsia="Arial" w:hAnsi="Arial"/>
          <w:sz w:val="22"/>
          <w:szCs w:val="22"/>
          <w:color w:val="auto"/>
        </w:rPr>
        <w:t>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536"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There shall not have occurred during the period from December 31, 2016 through and including the Amendment Effective Date (i) any event or condition that has had or could reasonably be expected, either individually or in the aggregate, to have a Material Adverse Effect, or (ii) any action, suit, investigation, proceeding, claim or dispute pending or, to the knowledge of PAA, threatened in writing, at law, in equity, in arbitration or before any Governmental Authority, by or against PAA or any of its Subsidiaries or against any of their properties or revenues that either individually or in the aggregate, could reasonably be expected to have a Material Adverse Effect.</w:t>
      </w:r>
    </w:p>
    <w:p>
      <w:pPr>
        <w:spacing w:after="0" w:line="193"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fees due MLPFS, Administrative Agent or any Lender, including any arrangement fees, agency fees and upfront fees, and any expenses incurred by MLPFS and Administrative Agent, in each case, as agreed in writing by the Company, required to be paid on or before the Amendment Effective Date shall have been paid.</w:t>
      </w:r>
    </w:p>
    <w:p>
      <w:pPr>
        <w:spacing w:after="0" w:line="185" w:lineRule="exact"/>
        <w:rPr>
          <w:rFonts w:ascii="Arial" w:cs="Arial" w:eastAsia="Arial" w:hAnsi="Arial"/>
          <w:sz w:val="22"/>
          <w:szCs w:val="22"/>
          <w:color w:val="auto"/>
        </w:rPr>
      </w:pPr>
    </w:p>
    <w:p>
      <w:pPr>
        <w:ind w:firstLine="656"/>
        <w:spacing w:after="0" w:line="263" w:lineRule="auto"/>
        <w:tabs>
          <w:tab w:leader="none" w:pos="1536"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Company shall have paid all reasonable fees, charges and disbursements of counsel to the Administrative Agent to the extent invoiced prior to the Amendment Effective Date.</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For purposes of determining compliance with the conditions specified in this </w:t>
      </w:r>
      <w:r>
        <w:rPr>
          <w:rFonts w:ascii="Arial" w:cs="Arial" w:eastAsia="Arial" w:hAnsi="Arial"/>
          <w:sz w:val="22"/>
          <w:szCs w:val="22"/>
          <w:u w:val="single" w:color="auto"/>
          <w:color w:val="auto"/>
        </w:rPr>
        <w:t>§ 3.1</w:t>
      </w:r>
      <w:r>
        <w:rPr>
          <w:rFonts w:ascii="Arial" w:cs="Arial" w:eastAsia="Arial" w:hAnsi="Arial"/>
          <w:sz w:val="22"/>
          <w:szCs w:val="22"/>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IV. — </w:t>
      </w: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firstLine="656"/>
        <w:spacing w:after="0" w:line="343" w:lineRule="auto"/>
        <w:tabs>
          <w:tab w:leader="none" w:pos="813"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In order to induce Administrative Agent, L/C Issuers and Lenders to enter into this Amendment, the Company represents and warrants to Administrative Agent, L/C Issuers and each Lender that:</w:t>
      </w:r>
    </w:p>
    <w:p>
      <w:pPr>
        <w:spacing w:after="0" w:line="105" w:lineRule="exact"/>
        <w:rPr>
          <w:sz w:val="20"/>
          <w:szCs w:val="20"/>
          <w:color w:val="auto"/>
        </w:rPr>
      </w:pPr>
    </w:p>
    <w:p>
      <w:pPr>
        <w:jc w:val="both"/>
        <w:ind w:firstLine="656"/>
        <w:spacing w:after="0" w:line="294" w:lineRule="auto"/>
        <w:tabs>
          <w:tab w:leader="none" w:pos="1536"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(i) the Company (and PMCULC, solely as to itself) contained in Article V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of the Credit Agreement shall be deemed to refer to the most recent statements furnished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of the Credit Agreement.</w:t>
      </w:r>
    </w:p>
    <w:p>
      <w:pPr>
        <w:spacing w:after="0" w:line="149" w:lineRule="exact"/>
        <w:rPr>
          <w:rFonts w:ascii="Arial" w:cs="Arial" w:eastAsia="Arial" w:hAnsi="Arial"/>
          <w:sz w:val="19"/>
          <w:szCs w:val="19"/>
          <w:color w:val="auto"/>
        </w:rPr>
      </w:pPr>
    </w:p>
    <w:p>
      <w:pPr>
        <w:ind w:left="1560" w:hanging="904"/>
        <w:spacing w:after="0"/>
        <w:tabs>
          <w:tab w:leader="none" w:pos="15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 Default has occurred and is continuing as of the Amendment Effective Date.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color w:val="auto"/>
        </w:rPr>
        <w:t xml:space="preserve">ARTICLE V. — </w:t>
      </w:r>
      <w:r>
        <w:rPr>
          <w:rFonts w:ascii="Arial" w:cs="Arial" w:eastAsia="Arial" w:hAnsi="Arial"/>
          <w:sz w:val="22"/>
          <w:szCs w:val="22"/>
          <w:u w:val="single" w:color="auto"/>
          <w:color w:val="auto"/>
        </w:rPr>
        <w:t>Miscellaneous</w:t>
      </w:r>
    </w:p>
    <w:p>
      <w:pPr>
        <w:spacing w:after="0" w:line="220" w:lineRule="exact"/>
        <w:rPr>
          <w:sz w:val="20"/>
          <w:szCs w:val="20"/>
          <w:color w:val="auto"/>
        </w:rPr>
      </w:pPr>
    </w:p>
    <w:p>
      <w:pPr>
        <w:jc w:val="both"/>
        <w:ind w:firstLine="656"/>
        <w:spacing w:after="0" w:line="258" w:lineRule="auto"/>
        <w:tabs>
          <w:tab w:leader="none" w:pos="827"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Ratification of Agreements</w:t>
      </w:r>
      <w:r>
        <w:rPr>
          <w:rFonts w:ascii="Arial" w:cs="Arial" w:eastAsia="Arial" w:hAnsi="Arial"/>
          <w:sz w:val="21"/>
          <w:szCs w:val="21"/>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186" w:lineRule="exact"/>
        <w:rPr>
          <w:rFonts w:ascii="Arial" w:cs="Arial" w:eastAsia="Arial" w:hAnsi="Arial"/>
          <w:sz w:val="21"/>
          <w:szCs w:val="21"/>
          <w:color w:val="auto"/>
        </w:rPr>
      </w:pPr>
    </w:p>
    <w:p>
      <w:pPr>
        <w:jc w:val="both"/>
        <w:ind w:firstLine="656"/>
        <w:spacing w:after="0" w:line="292" w:lineRule="auto"/>
        <w:tabs>
          <w:tab w:leader="none" w:pos="813"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Ratification of PAA Guaranty and Collateral Documents</w:t>
      </w:r>
      <w:r>
        <w:rPr>
          <w:rFonts w:ascii="Arial" w:cs="Arial" w:eastAsia="Arial" w:hAnsi="Arial"/>
          <w:sz w:val="19"/>
          <w:szCs w:val="19"/>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Each Borrower, Administrative Agent, L/C Issuers and Lenders each acknowledges and agrees that any and all Obligations of such Borrower are secured indebtedness under, and are secured by, each and every Collateral Document with respect to the Collateral pledged thereunder by such Borrower. The Company hereby re-pledges, re-grants and re-assigns a security interest in and lien on every asset of such Borrower described as Collateral in any Collateral Document.</w:t>
      </w:r>
    </w:p>
    <w:p>
      <w:pPr>
        <w:spacing w:after="0" w:line="151" w:lineRule="exact"/>
        <w:rPr>
          <w:rFonts w:ascii="Arial" w:cs="Arial" w:eastAsia="Arial" w:hAnsi="Arial"/>
          <w:sz w:val="19"/>
          <w:szCs w:val="19"/>
          <w:color w:val="auto"/>
        </w:rPr>
      </w:pPr>
    </w:p>
    <w:p>
      <w:pPr>
        <w:ind w:firstLine="656"/>
        <w:spacing w:after="0" w:line="263" w:lineRule="auto"/>
        <w:tabs>
          <w:tab w:leader="none" w:pos="818"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Amendment is a Loan Document, and all provisions in the Credit Agreement pertaining to Loan Documents apply hereto.</w:t>
      </w:r>
    </w:p>
    <w:p>
      <w:pPr>
        <w:spacing w:after="0" w:line="168" w:lineRule="exact"/>
        <w:rPr>
          <w:rFonts w:ascii="Arial" w:cs="Arial" w:eastAsia="Arial" w:hAnsi="Arial"/>
          <w:sz w:val="22"/>
          <w:szCs w:val="22"/>
          <w:color w:val="auto"/>
        </w:rPr>
      </w:pPr>
    </w:p>
    <w:p>
      <w:pPr>
        <w:jc w:val="both"/>
        <w:ind w:firstLine="656"/>
        <w:spacing w:after="0" w:line="256" w:lineRule="auto"/>
        <w:tabs>
          <w:tab w:leader="none" w:pos="867"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5.4. GOVERNING LAW. THIS AMENDMENT SHALL BE GOVERNED BY, AND CONSTRUED IN </w:t>
      </w:r>
      <w:r>
        <w:rPr>
          <w:rFonts w:ascii="Arial" w:cs="Arial" w:eastAsia="Arial" w:hAnsi="Arial"/>
          <w:sz w:val="22"/>
          <w:szCs w:val="22"/>
          <w:b w:val="1"/>
          <w:bCs w:val="1"/>
          <w:u w:val="single" w:color="auto"/>
          <w:color w:val="auto"/>
        </w:rPr>
        <w:t>ACCORDANCE WITH, THE LAWS OF THE STATE OF NEW YORK, WITHOUT REGARD TO PRINCIPLES OF CONFLICTS OF LAW</w:t>
      </w:r>
      <w:r>
        <w:rPr>
          <w:rFonts w:ascii="Arial" w:cs="Arial" w:eastAsia="Arial" w:hAnsi="Arial"/>
          <w:sz w:val="22"/>
          <w:szCs w:val="22"/>
          <w:color w:val="auto"/>
        </w:rPr>
        <w:t>.</w:t>
      </w:r>
    </w:p>
    <w:p>
      <w:pPr>
        <w:spacing w:after="0" w:line="182" w:lineRule="exact"/>
        <w:rPr>
          <w:rFonts w:ascii="Arial" w:cs="Arial" w:eastAsia="Arial" w:hAnsi="Arial"/>
          <w:sz w:val="22"/>
          <w:szCs w:val="22"/>
          <w:b w:val="1"/>
          <w:bCs w:val="1"/>
          <w:color w:val="auto"/>
        </w:rPr>
      </w:pPr>
    </w:p>
    <w:p>
      <w:pPr>
        <w:jc w:val="both"/>
        <w:ind w:firstLine="656"/>
        <w:spacing w:after="0" w:line="250" w:lineRule="auto"/>
        <w:tabs>
          <w:tab w:leader="none" w:pos="848"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88" w:lineRule="exact"/>
        <w:rPr>
          <w:rFonts w:ascii="Arial" w:cs="Arial" w:eastAsia="Arial" w:hAnsi="Arial"/>
          <w:sz w:val="22"/>
          <w:szCs w:val="22"/>
          <w:color w:val="auto"/>
        </w:rPr>
      </w:pPr>
    </w:p>
    <w:p>
      <w:pPr>
        <w:jc w:val="both"/>
        <w:ind w:firstLine="656"/>
        <w:spacing w:after="0" w:line="250" w:lineRule="auto"/>
        <w:tabs>
          <w:tab w:leader="none" w:pos="829"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-1941195</wp:posOffset>
            </wp:positionV>
            <wp:extent cx="6764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676465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14" w:name="page115"/>
    <w:bookmarkEnd w:id="114"/>
    <w:p>
      <w:pPr>
        <w:jc w:val="right"/>
        <w:ind w:right="299"/>
        <w:spacing w:after="0"/>
        <w:rPr>
          <w:sz w:val="20"/>
          <w:szCs w:val="20"/>
          <w:color w:val="auto"/>
        </w:rPr>
      </w:pPr>
      <w:r>
        <w:rPr>
          <w:rFonts w:ascii="Arial" w:cs="Arial" w:eastAsia="Arial" w:hAnsi="Arial"/>
          <w:sz w:val="22"/>
          <w:szCs w:val="22"/>
          <w:color w:val="auto"/>
        </w:rPr>
        <w:t>IN WITNESS WHEREOF, this Amendment is executed as of the date first above written.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240" w:type="dxa"/>
            <w:vAlign w:val="bottom"/>
          </w:tcPr>
          <w:p>
            <w:pPr>
              <w:spacing w:after="0"/>
              <w:rPr>
                <w:sz w:val="20"/>
                <w:szCs w:val="20"/>
                <w:color w:val="auto"/>
              </w:rPr>
            </w:pPr>
            <w:r>
              <w:rPr>
                <w:rFonts w:ascii="Arial" w:cs="Arial" w:eastAsia="Arial" w:hAnsi="Arial"/>
                <w:sz w:val="22"/>
                <w:szCs w:val="22"/>
                <w:b w:val="1"/>
                <w:bCs w:val="1"/>
                <w:color w:val="auto"/>
              </w:rPr>
              <w:t>BORROWERS:</w:t>
            </w:r>
          </w:p>
        </w:tc>
        <w:tc>
          <w:tcPr>
            <w:tcW w:w="3760" w:type="dxa"/>
            <w:vAlign w:val="bottom"/>
            <w:gridSpan w:val="3"/>
          </w:tcPr>
          <w:p>
            <w:pPr>
              <w:ind w:left="760"/>
              <w:spacing w:after="0"/>
              <w:rPr>
                <w:sz w:val="20"/>
                <w:szCs w:val="20"/>
                <w:color w:val="auto"/>
              </w:rPr>
            </w:pPr>
            <w:r>
              <w:rPr>
                <w:rFonts w:ascii="Arial" w:cs="Arial" w:eastAsia="Arial" w:hAnsi="Arial"/>
                <w:sz w:val="22"/>
                <w:szCs w:val="22"/>
                <w:b w:val="1"/>
                <w:bCs w:val="1"/>
                <w:color w:val="auto"/>
              </w:rPr>
              <w:t>PLAINS MARKETING, L.P.,</w:t>
            </w:r>
          </w:p>
        </w:tc>
      </w:tr>
      <w:tr>
        <w:trPr>
          <w:trHeight w:val="275"/>
        </w:trPr>
        <w:tc>
          <w:tcPr>
            <w:tcW w:w="2240" w:type="dxa"/>
            <w:vAlign w:val="bottom"/>
          </w:tcPr>
          <w:p>
            <w:pPr>
              <w:spacing w:after="0"/>
              <w:rPr>
                <w:sz w:val="23"/>
                <w:szCs w:val="23"/>
                <w:color w:val="auto"/>
              </w:rPr>
            </w:pPr>
          </w:p>
        </w:tc>
        <w:tc>
          <w:tcPr>
            <w:tcW w:w="3760" w:type="dxa"/>
            <w:vAlign w:val="bottom"/>
            <w:gridSpan w:val="3"/>
          </w:tcPr>
          <w:p>
            <w:pPr>
              <w:ind w:left="760"/>
              <w:spacing w:after="0"/>
              <w:rPr>
                <w:sz w:val="20"/>
                <w:szCs w:val="20"/>
                <w:color w:val="auto"/>
              </w:rPr>
            </w:pPr>
            <w:r>
              <w:rPr>
                <w:rFonts w:ascii="Arial" w:cs="Arial" w:eastAsia="Arial" w:hAnsi="Arial"/>
                <w:sz w:val="22"/>
                <w:szCs w:val="22"/>
                <w:color w:val="auto"/>
                <w:w w:val="94"/>
              </w:rPr>
              <w:t>as the Company and a Borrower</w:t>
            </w:r>
          </w:p>
        </w:tc>
      </w:tr>
      <w:tr>
        <w:trPr>
          <w:trHeight w:val="455"/>
        </w:trPr>
        <w:tc>
          <w:tcPr>
            <w:tcW w:w="2240" w:type="dxa"/>
            <w:vAlign w:val="bottom"/>
          </w:tcPr>
          <w:p>
            <w:pPr>
              <w:spacing w:after="0"/>
              <w:rPr>
                <w:sz w:val="24"/>
                <w:szCs w:val="24"/>
                <w:color w:val="auto"/>
              </w:rPr>
            </w:pPr>
          </w:p>
        </w:tc>
        <w:tc>
          <w:tcPr>
            <w:tcW w:w="3760" w:type="dxa"/>
            <w:vAlign w:val="bottom"/>
            <w:gridSpan w:val="3"/>
          </w:tcPr>
          <w:p>
            <w:pPr>
              <w:ind w:left="760"/>
              <w:spacing w:after="0"/>
              <w:rPr>
                <w:sz w:val="20"/>
                <w:szCs w:val="20"/>
                <w:color w:val="auto"/>
              </w:rPr>
            </w:pPr>
            <w:r>
              <w:rPr>
                <w:rFonts w:ascii="Arial" w:cs="Arial" w:eastAsia="Arial" w:hAnsi="Arial"/>
                <w:sz w:val="22"/>
                <w:szCs w:val="22"/>
                <w:color w:val="auto"/>
              </w:rPr>
              <w:t>By:  PLAINS GP LLC,</w:t>
            </w:r>
          </w:p>
        </w:tc>
      </w:tr>
      <w:tr>
        <w:trPr>
          <w:trHeight w:val="275"/>
        </w:trPr>
        <w:tc>
          <w:tcPr>
            <w:tcW w:w="2240" w:type="dxa"/>
            <w:vAlign w:val="bottom"/>
          </w:tcPr>
          <w:p>
            <w:pPr>
              <w:spacing w:after="0"/>
              <w:rPr>
                <w:sz w:val="23"/>
                <w:szCs w:val="23"/>
                <w:color w:val="auto"/>
              </w:rPr>
            </w:pPr>
          </w:p>
        </w:tc>
        <w:tc>
          <w:tcPr>
            <w:tcW w:w="3760" w:type="dxa"/>
            <w:vAlign w:val="bottom"/>
            <w:gridSpan w:val="3"/>
          </w:tcPr>
          <w:p>
            <w:pPr>
              <w:ind w:left="760"/>
              <w:spacing w:after="0"/>
              <w:rPr>
                <w:sz w:val="20"/>
                <w:szCs w:val="20"/>
                <w:color w:val="auto"/>
              </w:rPr>
            </w:pPr>
            <w:r>
              <w:rPr>
                <w:rFonts w:ascii="Arial" w:cs="Arial" w:eastAsia="Arial" w:hAnsi="Arial"/>
                <w:sz w:val="22"/>
                <w:szCs w:val="22"/>
                <w:color w:val="auto"/>
              </w:rPr>
              <w:t>its general partner</w:t>
            </w:r>
          </w:p>
        </w:tc>
      </w:tr>
      <w:tr>
        <w:trPr>
          <w:trHeight w:val="571"/>
        </w:trPr>
        <w:tc>
          <w:tcPr>
            <w:tcW w:w="2240" w:type="dxa"/>
            <w:vAlign w:val="bottom"/>
          </w:tcPr>
          <w:p>
            <w:pPr>
              <w:spacing w:after="0"/>
              <w:rPr>
                <w:sz w:val="24"/>
                <w:szCs w:val="24"/>
                <w:color w:val="auto"/>
              </w:rPr>
            </w:pPr>
          </w:p>
        </w:tc>
        <w:tc>
          <w:tcPr>
            <w:tcW w:w="3760" w:type="dxa"/>
            <w:vAlign w:val="bottom"/>
            <w:gridSpan w:val="3"/>
          </w:tcPr>
          <w:p>
            <w:pPr>
              <w:ind w:left="760"/>
              <w:spacing w:after="0"/>
              <w:rPr>
                <w:sz w:val="20"/>
                <w:szCs w:val="20"/>
                <w:color w:val="auto"/>
              </w:rPr>
            </w:pPr>
            <w:r>
              <w:rPr>
                <w:rFonts w:ascii="Arial" w:cs="Arial" w:eastAsia="Arial" w:hAnsi="Arial"/>
                <w:sz w:val="22"/>
                <w:szCs w:val="22"/>
                <w:color w:val="auto"/>
              </w:rPr>
              <w:t>By:  /s/ Sharon S. Spurlin</w:t>
            </w: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9"/>
        </w:trPr>
        <w:tc>
          <w:tcPr>
            <w:tcW w:w="2240" w:type="dxa"/>
            <w:vAlign w:val="bottom"/>
          </w:tcPr>
          <w:p>
            <w:pPr>
              <w:spacing w:after="0"/>
              <w:rPr>
                <w:sz w:val="23"/>
                <w:szCs w:val="23"/>
                <w:color w:val="auto"/>
              </w:rPr>
            </w:pPr>
          </w:p>
        </w:tc>
        <w:tc>
          <w:tcPr>
            <w:tcW w:w="3760" w:type="dxa"/>
            <w:vAlign w:val="bottom"/>
            <w:gridSpan w:val="3"/>
          </w:tcPr>
          <w:p>
            <w:pPr>
              <w:ind w:left="760"/>
              <w:spacing w:after="0"/>
              <w:rPr>
                <w:sz w:val="20"/>
                <w:szCs w:val="20"/>
                <w:color w:val="auto"/>
              </w:rPr>
            </w:pPr>
            <w:r>
              <w:rPr>
                <w:rFonts w:ascii="Arial" w:cs="Arial" w:eastAsia="Arial" w:hAnsi="Arial"/>
                <w:sz w:val="22"/>
                <w:szCs w:val="22"/>
                <w:color w:val="auto"/>
              </w:rPr>
              <w:t>Name: Sharon S. Spurlin</w:t>
            </w:r>
          </w:p>
        </w:tc>
      </w:tr>
      <w:tr>
        <w:trPr>
          <w:trHeight w:val="275"/>
        </w:trPr>
        <w:tc>
          <w:tcPr>
            <w:tcW w:w="2240" w:type="dxa"/>
            <w:vAlign w:val="bottom"/>
          </w:tcPr>
          <w:p>
            <w:pPr>
              <w:spacing w:after="0"/>
              <w:rPr>
                <w:sz w:val="23"/>
                <w:szCs w:val="23"/>
                <w:color w:val="auto"/>
              </w:rPr>
            </w:pPr>
          </w:p>
        </w:tc>
        <w:tc>
          <w:tcPr>
            <w:tcW w:w="3760" w:type="dxa"/>
            <w:vAlign w:val="bottom"/>
            <w:gridSpan w:val="3"/>
          </w:tcPr>
          <w:p>
            <w:pPr>
              <w:ind w:left="760"/>
              <w:spacing w:after="0"/>
              <w:rPr>
                <w:sz w:val="20"/>
                <w:szCs w:val="20"/>
                <w:color w:val="auto"/>
              </w:rPr>
            </w:pPr>
            <w:r>
              <w:rPr>
                <w:rFonts w:ascii="Arial" w:cs="Arial" w:eastAsia="Arial" w:hAnsi="Arial"/>
                <w:sz w:val="22"/>
                <w:szCs w:val="22"/>
                <w:color w:val="auto"/>
                <w:w w:val="87"/>
              </w:rPr>
              <w:t>Title: Vice President and Treasurer</w:t>
            </w:r>
          </w:p>
        </w:tc>
      </w:tr>
    </w:tbl>
    <w:p>
      <w:pPr>
        <w:spacing w:after="0" w:line="200" w:lineRule="exact"/>
        <w:rPr>
          <w:sz w:val="20"/>
          <w:szCs w:val="20"/>
          <w:color w:val="auto"/>
        </w:rPr>
      </w:pPr>
    </w:p>
    <w:p>
      <w:pPr>
        <w:spacing w:after="0" w:line="289"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PLAINS MIDSTREAM CANADA ULC,</w:t>
      </w:r>
    </w:p>
    <w:p>
      <w:pPr>
        <w:spacing w:after="0" w:line="2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as PMCULC and a Borrower</w:t>
      </w:r>
    </w:p>
    <w:p>
      <w:pPr>
        <w:spacing w:after="0" w:line="242" w:lineRule="exact"/>
        <w:rPr>
          <w:sz w:val="20"/>
          <w:szCs w:val="20"/>
          <w:color w:val="auto"/>
        </w:rPr>
      </w:pPr>
    </w:p>
    <w:p>
      <w:pPr>
        <w:ind w:left="3000"/>
        <w:spacing w:after="0"/>
        <w:tabs>
          <w:tab w:leader="none" w:pos="3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-17780</wp:posOffset>
            </wp:positionV>
            <wp:extent cx="12731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Sharon S. Spurlin</w:t>
      </w:r>
    </w:p>
    <w:p>
      <w:pPr>
        <w:spacing w:after="0" w:line="4"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740" w:type="dxa"/>
            <w:vAlign w:val="bottom"/>
          </w:tcPr>
          <w:p>
            <w:pPr>
              <w:spacing w:after="0"/>
              <w:rPr>
                <w:sz w:val="20"/>
                <w:szCs w:val="20"/>
                <w:color w:val="auto"/>
              </w:rPr>
            </w:pPr>
            <w:r>
              <w:rPr>
                <w:rFonts w:ascii="Arial" w:cs="Arial" w:eastAsia="Arial" w:hAnsi="Arial"/>
                <w:sz w:val="22"/>
                <w:szCs w:val="22"/>
                <w:b w:val="1"/>
                <w:bCs w:val="1"/>
                <w:color w:val="auto"/>
              </w:rPr>
              <w:t>PAA:</w:t>
            </w:r>
          </w:p>
        </w:tc>
        <w:tc>
          <w:tcPr>
            <w:tcW w:w="5360" w:type="dxa"/>
            <w:vAlign w:val="bottom"/>
            <w:gridSpan w:val="3"/>
          </w:tcPr>
          <w:p>
            <w:pPr>
              <w:ind w:left="1260"/>
              <w:spacing w:after="0"/>
              <w:rPr>
                <w:sz w:val="20"/>
                <w:szCs w:val="20"/>
                <w:color w:val="auto"/>
              </w:rPr>
            </w:pPr>
            <w:r>
              <w:rPr>
                <w:rFonts w:ascii="Arial" w:cs="Arial" w:eastAsia="Arial" w:hAnsi="Arial"/>
                <w:sz w:val="22"/>
                <w:szCs w:val="22"/>
                <w:b w:val="1"/>
                <w:bCs w:val="1"/>
                <w:color w:val="auto"/>
                <w:w w:val="98"/>
              </w:rPr>
              <w:t>PLAINS ALL AMERICAN PIPELINE, L.P.</w:t>
            </w:r>
          </w:p>
        </w:tc>
      </w:tr>
      <w:tr>
        <w:trPr>
          <w:trHeight w:val="365"/>
        </w:trPr>
        <w:tc>
          <w:tcPr>
            <w:tcW w:w="1740" w:type="dxa"/>
            <w:vAlign w:val="bottom"/>
          </w:tcPr>
          <w:p>
            <w:pPr>
              <w:spacing w:after="0"/>
              <w:rPr>
                <w:sz w:val="24"/>
                <w:szCs w:val="24"/>
                <w:color w:val="auto"/>
              </w:rPr>
            </w:pPr>
          </w:p>
        </w:tc>
        <w:tc>
          <w:tcPr>
            <w:tcW w:w="5360" w:type="dxa"/>
            <w:vAlign w:val="bottom"/>
            <w:gridSpan w:val="3"/>
          </w:tcPr>
          <w:p>
            <w:pPr>
              <w:ind w:left="1260"/>
              <w:spacing w:after="0"/>
              <w:rPr>
                <w:sz w:val="20"/>
                <w:szCs w:val="20"/>
                <w:color w:val="auto"/>
              </w:rPr>
            </w:pPr>
            <w:r>
              <w:rPr>
                <w:rFonts w:ascii="Arial" w:cs="Arial" w:eastAsia="Arial" w:hAnsi="Arial"/>
                <w:sz w:val="22"/>
                <w:szCs w:val="22"/>
                <w:color w:val="auto"/>
              </w:rPr>
              <w:t>By:  PAA GP LLC, its general partner</w:t>
            </w:r>
          </w:p>
        </w:tc>
      </w:tr>
      <w:tr>
        <w:trPr>
          <w:trHeight w:val="365"/>
        </w:trPr>
        <w:tc>
          <w:tcPr>
            <w:tcW w:w="1740" w:type="dxa"/>
            <w:vAlign w:val="bottom"/>
          </w:tcPr>
          <w:p>
            <w:pPr>
              <w:spacing w:after="0"/>
              <w:rPr>
                <w:sz w:val="24"/>
                <w:szCs w:val="24"/>
                <w:color w:val="auto"/>
              </w:rPr>
            </w:pPr>
          </w:p>
        </w:tc>
        <w:tc>
          <w:tcPr>
            <w:tcW w:w="5360" w:type="dxa"/>
            <w:vAlign w:val="bottom"/>
            <w:gridSpan w:val="3"/>
          </w:tcPr>
          <w:p>
            <w:pPr>
              <w:ind w:left="1260"/>
              <w:spacing w:after="0"/>
              <w:rPr>
                <w:sz w:val="20"/>
                <w:szCs w:val="20"/>
                <w:color w:val="auto"/>
              </w:rPr>
            </w:pPr>
            <w:r>
              <w:rPr>
                <w:rFonts w:ascii="Arial" w:cs="Arial" w:eastAsia="Arial" w:hAnsi="Arial"/>
                <w:sz w:val="22"/>
                <w:szCs w:val="22"/>
                <w:color w:val="auto"/>
              </w:rPr>
              <w:t>By:  PLAINS AAP, L.P., its sole member</w:t>
            </w:r>
          </w:p>
        </w:tc>
      </w:tr>
      <w:tr>
        <w:trPr>
          <w:trHeight w:val="347"/>
        </w:trPr>
        <w:tc>
          <w:tcPr>
            <w:tcW w:w="1740" w:type="dxa"/>
            <w:vAlign w:val="bottom"/>
          </w:tcPr>
          <w:p>
            <w:pPr>
              <w:spacing w:after="0"/>
              <w:rPr>
                <w:sz w:val="24"/>
                <w:szCs w:val="24"/>
                <w:color w:val="auto"/>
              </w:rPr>
            </w:pPr>
          </w:p>
        </w:tc>
        <w:tc>
          <w:tcPr>
            <w:tcW w:w="5360" w:type="dxa"/>
            <w:vAlign w:val="bottom"/>
            <w:gridSpan w:val="3"/>
          </w:tcPr>
          <w:p>
            <w:pPr>
              <w:ind w:left="1260"/>
              <w:spacing w:after="0"/>
              <w:rPr>
                <w:sz w:val="20"/>
                <w:szCs w:val="20"/>
                <w:color w:val="auto"/>
              </w:rPr>
            </w:pPr>
            <w:r>
              <w:rPr>
                <w:rFonts w:ascii="Arial" w:cs="Arial" w:eastAsia="Arial" w:hAnsi="Arial"/>
                <w:sz w:val="22"/>
                <w:szCs w:val="22"/>
                <w:color w:val="auto"/>
              </w:rPr>
              <w:t>By:  PLAINS ALL AMERICAN GP LLC,</w:t>
            </w:r>
          </w:p>
        </w:tc>
      </w:tr>
      <w:tr>
        <w:trPr>
          <w:trHeight w:val="275"/>
        </w:trPr>
        <w:tc>
          <w:tcPr>
            <w:tcW w:w="1740" w:type="dxa"/>
            <w:vAlign w:val="bottom"/>
          </w:tcPr>
          <w:p>
            <w:pPr>
              <w:spacing w:after="0"/>
              <w:rPr>
                <w:sz w:val="23"/>
                <w:szCs w:val="23"/>
                <w:color w:val="auto"/>
              </w:rPr>
            </w:pPr>
          </w:p>
        </w:tc>
        <w:tc>
          <w:tcPr>
            <w:tcW w:w="5360" w:type="dxa"/>
            <w:vAlign w:val="bottom"/>
            <w:gridSpan w:val="3"/>
          </w:tcPr>
          <w:p>
            <w:pPr>
              <w:ind w:left="1260"/>
              <w:spacing w:after="0"/>
              <w:rPr>
                <w:sz w:val="20"/>
                <w:szCs w:val="20"/>
                <w:color w:val="auto"/>
              </w:rPr>
            </w:pPr>
            <w:r>
              <w:rPr>
                <w:rFonts w:ascii="Arial" w:cs="Arial" w:eastAsia="Arial" w:hAnsi="Arial"/>
                <w:sz w:val="22"/>
                <w:szCs w:val="22"/>
                <w:color w:val="auto"/>
              </w:rPr>
              <w:t>its general partner</w:t>
            </w:r>
          </w:p>
        </w:tc>
      </w:tr>
      <w:tr>
        <w:trPr>
          <w:trHeight w:val="571"/>
        </w:trPr>
        <w:tc>
          <w:tcPr>
            <w:tcW w:w="1740" w:type="dxa"/>
            <w:vAlign w:val="bottom"/>
          </w:tcPr>
          <w:p>
            <w:pPr>
              <w:spacing w:after="0"/>
              <w:rPr>
                <w:sz w:val="24"/>
                <w:szCs w:val="24"/>
                <w:color w:val="auto"/>
              </w:rPr>
            </w:pPr>
          </w:p>
        </w:tc>
        <w:tc>
          <w:tcPr>
            <w:tcW w:w="5360" w:type="dxa"/>
            <w:vAlign w:val="bottom"/>
            <w:gridSpan w:val="3"/>
          </w:tcPr>
          <w:p>
            <w:pPr>
              <w:ind w:left="1260"/>
              <w:spacing w:after="0"/>
              <w:rPr>
                <w:sz w:val="20"/>
                <w:szCs w:val="20"/>
                <w:color w:val="auto"/>
              </w:rPr>
            </w:pPr>
            <w:r>
              <w:rPr>
                <w:rFonts w:ascii="Arial" w:cs="Arial" w:eastAsia="Arial" w:hAnsi="Arial"/>
                <w:sz w:val="22"/>
                <w:szCs w:val="22"/>
                <w:color w:val="auto"/>
              </w:rPr>
              <w:t>By:  /s/ Sharon S. Spurlin</w:t>
            </w:r>
          </w:p>
        </w:tc>
      </w:tr>
      <w:tr>
        <w:trPr>
          <w:trHeight w:val="20"/>
        </w:trPr>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9"/>
        </w:trPr>
        <w:tc>
          <w:tcPr>
            <w:tcW w:w="1740" w:type="dxa"/>
            <w:vAlign w:val="bottom"/>
          </w:tcPr>
          <w:p>
            <w:pPr>
              <w:spacing w:after="0"/>
              <w:rPr>
                <w:sz w:val="23"/>
                <w:szCs w:val="23"/>
                <w:color w:val="auto"/>
              </w:rPr>
            </w:pPr>
          </w:p>
        </w:tc>
        <w:tc>
          <w:tcPr>
            <w:tcW w:w="5360" w:type="dxa"/>
            <w:vAlign w:val="bottom"/>
            <w:gridSpan w:val="3"/>
          </w:tcPr>
          <w:p>
            <w:pPr>
              <w:ind w:left="1260"/>
              <w:spacing w:after="0"/>
              <w:rPr>
                <w:sz w:val="20"/>
                <w:szCs w:val="20"/>
                <w:color w:val="auto"/>
              </w:rPr>
            </w:pPr>
            <w:r>
              <w:rPr>
                <w:rFonts w:ascii="Arial" w:cs="Arial" w:eastAsia="Arial" w:hAnsi="Arial"/>
                <w:sz w:val="22"/>
                <w:szCs w:val="22"/>
                <w:color w:val="auto"/>
              </w:rPr>
              <w:t>Name: Sharon S. Spurlin</w:t>
            </w:r>
          </w:p>
        </w:tc>
      </w:tr>
      <w:tr>
        <w:trPr>
          <w:trHeight w:val="275"/>
        </w:trPr>
        <w:tc>
          <w:tcPr>
            <w:tcW w:w="1740" w:type="dxa"/>
            <w:vAlign w:val="bottom"/>
          </w:tcPr>
          <w:p>
            <w:pPr>
              <w:spacing w:after="0"/>
              <w:rPr>
                <w:sz w:val="23"/>
                <w:szCs w:val="23"/>
                <w:color w:val="auto"/>
              </w:rPr>
            </w:pPr>
          </w:p>
        </w:tc>
        <w:tc>
          <w:tcPr>
            <w:tcW w:w="5360" w:type="dxa"/>
            <w:vAlign w:val="bottom"/>
            <w:gridSpan w:val="3"/>
          </w:tcPr>
          <w:p>
            <w:pPr>
              <w:ind w:left="1260"/>
              <w:spacing w:after="0"/>
              <w:rPr>
                <w:sz w:val="20"/>
                <w:szCs w:val="20"/>
                <w:color w:val="auto"/>
              </w:rPr>
            </w:pPr>
            <w:r>
              <w:rPr>
                <w:rFonts w:ascii="Arial" w:cs="Arial" w:eastAsia="Arial" w:hAnsi="Arial"/>
                <w:sz w:val="22"/>
                <w:szCs w:val="22"/>
                <w:color w:val="auto"/>
              </w:rPr>
              <w:t>Title: Vice President and Treasurer</w:t>
            </w:r>
          </w:p>
        </w:tc>
      </w:tr>
      <w:tr>
        <w:trPr>
          <w:trHeight w:val="548"/>
        </w:trPr>
        <w:tc>
          <w:tcPr>
            <w:tcW w:w="1740" w:type="dxa"/>
            <w:vAlign w:val="bottom"/>
          </w:tcPr>
          <w:p>
            <w:pPr>
              <w:spacing w:after="0"/>
              <w:rPr>
                <w:sz w:val="24"/>
                <w:szCs w:val="24"/>
                <w:color w:val="auto"/>
              </w:rPr>
            </w:pPr>
          </w:p>
        </w:tc>
        <w:tc>
          <w:tcPr>
            <w:tcW w:w="5360" w:type="dxa"/>
            <w:vAlign w:val="bottom"/>
            <w:gridSpan w:val="3"/>
          </w:tcPr>
          <w:p>
            <w:pPr>
              <w:ind w:left="1580"/>
              <w:spacing w:after="0"/>
              <w:rPr>
                <w:sz w:val="20"/>
                <w:szCs w:val="20"/>
                <w:color w:val="auto"/>
              </w:rPr>
            </w:pPr>
            <w:r>
              <w:rPr>
                <w:rFonts w:ascii="Arial" w:cs="Arial" w:eastAsia="Arial" w:hAnsi="Arial"/>
                <w:sz w:val="22"/>
                <w:szCs w:val="22"/>
                <w:color w:val="auto"/>
              </w:rPr>
              <w:t xml:space="preserve">S-1  </w:t>
            </w:r>
            <w:r>
              <w:rPr>
                <w:rFonts w:ascii="Arial" w:cs="Arial" w:eastAsia="Arial" w:hAnsi="Arial"/>
                <w:sz w:val="18"/>
                <w:szCs w:val="18"/>
                <w:color w:val="auto"/>
              </w:rPr>
              <w:t>PMLP 4</w:t>
            </w:r>
            <w:r>
              <w:rPr>
                <w:rFonts w:ascii="Arial" w:cs="Arial" w:eastAsia="Arial" w:hAnsi="Arial"/>
                <w:sz w:val="25"/>
                <w:szCs w:val="25"/>
                <w:color w:val="auto"/>
                <w:vertAlign w:val="superscript"/>
              </w:rPr>
              <w:t>th</w:t>
            </w:r>
            <w:r>
              <w:rPr>
                <w:rFonts w:ascii="Arial" w:cs="Arial" w:eastAsia="Arial" w:hAnsi="Arial"/>
                <w:sz w:val="22"/>
                <w:szCs w:val="22"/>
                <w:color w:val="auto"/>
              </w:rPr>
              <w:t xml:space="preserve"> </w:t>
            </w:r>
            <w:r>
              <w:rPr>
                <w:rFonts w:ascii="Arial" w:cs="Arial" w:eastAsia="Arial" w:hAnsi="Arial"/>
                <w:sz w:val="18"/>
                <w:szCs w:val="18"/>
                <w:color w:val="auto"/>
              </w:rPr>
              <w:t>Amendment</w:t>
            </w:r>
          </w:p>
        </w:tc>
      </w:tr>
    </w:tbl>
    <w:p>
      <w:pPr>
        <w:sectPr>
          <w:pgSz w:w="11900" w:h="16838" w:orient="portrait"/>
          <w:cols w:equalWidth="0" w:num="1">
            <w:col w:w="9319"/>
          </w:cols>
          <w:pgMar w:left="1140" w:top="631" w:right="1440"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460" w:type="dxa"/>
            <w:vAlign w:val="bottom"/>
          </w:tcPr>
          <w:p>
            <w:pPr>
              <w:spacing w:after="0"/>
              <w:rPr>
                <w:sz w:val="20"/>
                <w:szCs w:val="20"/>
                <w:color w:val="auto"/>
              </w:rPr>
            </w:pPr>
            <w:r>
              <w:rPr>
                <w:rFonts w:ascii="Arial" w:cs="Arial" w:eastAsia="Arial" w:hAnsi="Arial"/>
                <w:sz w:val="22"/>
                <w:szCs w:val="22"/>
                <w:b w:val="1"/>
                <w:bCs w:val="1"/>
                <w:color w:val="auto"/>
              </w:rPr>
              <w:t>LENDER PARTIES:</w:t>
            </w: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BANK OF AMERICA, N.A.,</w:t>
            </w:r>
          </w:p>
        </w:tc>
      </w:tr>
      <w:tr>
        <w:trPr>
          <w:trHeight w:val="275"/>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Administrative Agent</w:t>
            </w:r>
          </w:p>
        </w:tc>
      </w:tr>
      <w:tr>
        <w:trPr>
          <w:trHeight w:val="719"/>
        </w:trPr>
        <w:tc>
          <w:tcPr>
            <w:tcW w:w="2460" w:type="dxa"/>
            <w:vAlign w:val="bottom"/>
          </w:tcPr>
          <w:p>
            <w:pPr>
              <w:spacing w:after="0"/>
              <w:rPr>
                <w:sz w:val="24"/>
                <w:szCs w:val="24"/>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By:  /s/ Anthea Del Biaco</w:t>
            </w:r>
          </w:p>
        </w:tc>
      </w:tr>
      <w:tr>
        <w:trPr>
          <w:trHeight w:val="20"/>
        </w:trPr>
        <w:tc>
          <w:tcPr>
            <w:tcW w:w="2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9"/>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Name: Anthea Del Bianco</w:t>
            </w:r>
          </w:p>
        </w:tc>
      </w:tr>
      <w:tr>
        <w:trPr>
          <w:trHeight w:val="275"/>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Title: Vice President</w:t>
            </w:r>
          </w:p>
        </w:tc>
      </w:tr>
      <w:tr>
        <w:trPr>
          <w:trHeight w:val="752"/>
        </w:trPr>
        <w:tc>
          <w:tcPr>
            <w:tcW w:w="2460" w:type="dxa"/>
            <w:vAlign w:val="bottom"/>
          </w:tcPr>
          <w:p>
            <w:pPr>
              <w:spacing w:after="0"/>
              <w:rPr>
                <w:sz w:val="24"/>
                <w:szCs w:val="24"/>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BANK OF AMERICA, N.A.,</w:t>
            </w:r>
          </w:p>
        </w:tc>
      </w:tr>
      <w:tr>
        <w:trPr>
          <w:trHeight w:val="275"/>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w w:val="88"/>
              </w:rPr>
              <w:t>a Lender, Swing Line Lender and an L/C Issuer</w:t>
            </w:r>
          </w:p>
        </w:tc>
      </w:tr>
      <w:tr>
        <w:trPr>
          <w:trHeight w:val="719"/>
        </w:trPr>
        <w:tc>
          <w:tcPr>
            <w:tcW w:w="24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Arial" w:cs="Arial" w:eastAsia="Arial" w:hAnsi="Arial"/>
                <w:sz w:val="22"/>
                <w:szCs w:val="22"/>
                <w:color w:val="auto"/>
                <w:w w:val="87"/>
              </w:rPr>
              <w:t>By:</w:t>
            </w:r>
          </w:p>
        </w:tc>
        <w:tc>
          <w:tcPr>
            <w:tcW w:w="2440" w:type="dxa"/>
            <w:vAlign w:val="bottom"/>
            <w:tcBorders>
              <w:bottom w:val="single" w:sz="8" w:color="auto"/>
            </w:tcBorders>
            <w:gridSpan w:val="4"/>
          </w:tcPr>
          <w:p>
            <w:pPr>
              <w:ind w:left="220"/>
              <w:spacing w:after="0"/>
              <w:rPr>
                <w:sz w:val="20"/>
                <w:szCs w:val="20"/>
                <w:color w:val="auto"/>
              </w:rPr>
            </w:pPr>
            <w:r>
              <w:rPr>
                <w:rFonts w:ascii="Arial" w:cs="Arial" w:eastAsia="Arial" w:hAnsi="Arial"/>
                <w:sz w:val="22"/>
                <w:szCs w:val="22"/>
                <w:color w:val="auto"/>
                <w:w w:val="98"/>
              </w:rPr>
              <w:t>/s/ Christopher Dibiase</w:t>
            </w:r>
          </w:p>
        </w:tc>
        <w:tc>
          <w:tcPr>
            <w:tcW w:w="1380" w:type="dxa"/>
            <w:vAlign w:val="bottom"/>
            <w:gridSpan w:val="2"/>
          </w:tcPr>
          <w:p>
            <w:pPr>
              <w:spacing w:after="0"/>
              <w:rPr>
                <w:sz w:val="24"/>
                <w:szCs w:val="24"/>
                <w:color w:val="auto"/>
              </w:rPr>
            </w:pPr>
          </w:p>
        </w:tc>
      </w:tr>
      <w:tr>
        <w:trPr>
          <w:trHeight w:val="269"/>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Name: Christopher Dibiase</w:t>
            </w:r>
          </w:p>
        </w:tc>
      </w:tr>
      <w:tr>
        <w:trPr>
          <w:trHeight w:val="275"/>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Title: Director</w:t>
            </w:r>
          </w:p>
        </w:tc>
      </w:tr>
      <w:tr>
        <w:trPr>
          <w:trHeight w:val="770"/>
        </w:trPr>
        <w:tc>
          <w:tcPr>
            <w:tcW w:w="2460" w:type="dxa"/>
            <w:vAlign w:val="bottom"/>
          </w:tcPr>
          <w:p>
            <w:pPr>
              <w:spacing w:after="0"/>
              <w:rPr>
                <w:sz w:val="24"/>
                <w:szCs w:val="24"/>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CITIBANK, N.A., Lender</w:t>
            </w:r>
          </w:p>
        </w:tc>
      </w:tr>
      <w:tr>
        <w:trPr>
          <w:trHeight w:val="719"/>
        </w:trPr>
        <w:tc>
          <w:tcPr>
            <w:tcW w:w="24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Arial" w:cs="Arial" w:eastAsia="Arial" w:hAnsi="Arial"/>
                <w:sz w:val="22"/>
                <w:szCs w:val="22"/>
                <w:color w:val="auto"/>
                <w:w w:val="87"/>
              </w:rPr>
              <w:t>By:</w:t>
            </w:r>
          </w:p>
        </w:tc>
        <w:tc>
          <w:tcPr>
            <w:tcW w:w="1960" w:type="dxa"/>
            <w:vAlign w:val="bottom"/>
            <w:tcBorders>
              <w:bottom w:val="single" w:sz="8" w:color="auto"/>
            </w:tcBorders>
            <w:gridSpan w:val="2"/>
          </w:tcPr>
          <w:p>
            <w:pPr>
              <w:ind w:left="220"/>
              <w:spacing w:after="0"/>
              <w:rPr>
                <w:sz w:val="20"/>
                <w:szCs w:val="20"/>
                <w:color w:val="auto"/>
              </w:rPr>
            </w:pPr>
            <w:r>
              <w:rPr>
                <w:rFonts w:ascii="Arial" w:cs="Arial" w:eastAsia="Arial" w:hAnsi="Arial"/>
                <w:sz w:val="22"/>
                <w:szCs w:val="22"/>
                <w:color w:val="auto"/>
                <w:w w:val="99"/>
              </w:rPr>
              <w:t>/s/ Gabriel Juarez</w:t>
            </w:r>
          </w:p>
        </w:tc>
        <w:tc>
          <w:tcPr>
            <w:tcW w:w="1860" w:type="dxa"/>
            <w:vAlign w:val="bottom"/>
            <w:gridSpan w:val="4"/>
          </w:tcPr>
          <w:p>
            <w:pPr>
              <w:spacing w:after="0"/>
              <w:rPr>
                <w:sz w:val="24"/>
                <w:szCs w:val="24"/>
                <w:color w:val="auto"/>
              </w:rPr>
            </w:pPr>
          </w:p>
        </w:tc>
      </w:tr>
      <w:tr>
        <w:trPr>
          <w:trHeight w:val="269"/>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Name: Gabriel Juarez</w:t>
            </w:r>
          </w:p>
        </w:tc>
      </w:tr>
      <w:tr>
        <w:trPr>
          <w:trHeight w:val="275"/>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Title: Vice President</w:t>
            </w:r>
          </w:p>
        </w:tc>
      </w:tr>
      <w:tr>
        <w:trPr>
          <w:trHeight w:val="770"/>
        </w:trPr>
        <w:tc>
          <w:tcPr>
            <w:tcW w:w="2460" w:type="dxa"/>
            <w:vAlign w:val="bottom"/>
          </w:tcPr>
          <w:p>
            <w:pPr>
              <w:spacing w:after="0"/>
              <w:rPr>
                <w:sz w:val="24"/>
                <w:szCs w:val="24"/>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SOCIÉTÉ GÉNÉRALE, Lender</w:t>
            </w:r>
          </w:p>
        </w:tc>
      </w:tr>
      <w:tr>
        <w:trPr>
          <w:trHeight w:val="719"/>
        </w:trPr>
        <w:tc>
          <w:tcPr>
            <w:tcW w:w="2460" w:type="dxa"/>
            <w:vAlign w:val="bottom"/>
          </w:tcPr>
          <w:p>
            <w:pPr>
              <w:spacing w:after="0"/>
              <w:rPr>
                <w:sz w:val="24"/>
                <w:szCs w:val="24"/>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By:  /s/ Michiel V. M. Van Der Voort</w:t>
            </w:r>
          </w:p>
        </w:tc>
      </w:tr>
      <w:tr>
        <w:trPr>
          <w:trHeight w:val="20"/>
        </w:trPr>
        <w:tc>
          <w:tcPr>
            <w:tcW w:w="2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9"/>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Name: Michiel V. M. Van Der Voort</w:t>
            </w:r>
          </w:p>
        </w:tc>
      </w:tr>
      <w:tr>
        <w:trPr>
          <w:trHeight w:val="275"/>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Title: Managing Director</w:t>
            </w:r>
          </w:p>
        </w:tc>
      </w:tr>
      <w:tr>
        <w:trPr>
          <w:trHeight w:val="770"/>
        </w:trPr>
        <w:tc>
          <w:tcPr>
            <w:tcW w:w="2460" w:type="dxa"/>
            <w:vAlign w:val="bottom"/>
          </w:tcPr>
          <w:p>
            <w:pPr>
              <w:spacing w:after="0"/>
              <w:rPr>
                <w:sz w:val="24"/>
                <w:szCs w:val="24"/>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BNP PARIBAS, Lender</w:t>
            </w:r>
          </w:p>
        </w:tc>
      </w:tr>
      <w:tr>
        <w:trPr>
          <w:trHeight w:val="719"/>
        </w:trPr>
        <w:tc>
          <w:tcPr>
            <w:tcW w:w="24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Arial" w:cs="Arial" w:eastAsia="Arial" w:hAnsi="Arial"/>
                <w:sz w:val="22"/>
                <w:szCs w:val="22"/>
                <w:color w:val="auto"/>
                <w:w w:val="87"/>
              </w:rPr>
              <w:t>By:</w:t>
            </w:r>
          </w:p>
        </w:tc>
        <w:tc>
          <w:tcPr>
            <w:tcW w:w="188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/s/ Joe Onischuk</w:t>
            </w:r>
          </w:p>
        </w:tc>
        <w:tc>
          <w:tcPr>
            <w:tcW w:w="1940" w:type="dxa"/>
            <w:vAlign w:val="bottom"/>
            <w:gridSpan w:val="5"/>
          </w:tcPr>
          <w:p>
            <w:pPr>
              <w:spacing w:after="0"/>
              <w:rPr>
                <w:sz w:val="24"/>
                <w:szCs w:val="24"/>
                <w:color w:val="auto"/>
              </w:rPr>
            </w:pPr>
          </w:p>
        </w:tc>
      </w:tr>
      <w:tr>
        <w:trPr>
          <w:trHeight w:val="269"/>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Name: Joe Onischuk</w:t>
            </w:r>
          </w:p>
        </w:tc>
      </w:tr>
      <w:tr>
        <w:trPr>
          <w:trHeight w:val="275"/>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Title: Managing Director</w:t>
            </w:r>
          </w:p>
        </w:tc>
      </w:tr>
      <w:tr>
        <w:trPr>
          <w:trHeight w:val="719"/>
        </w:trPr>
        <w:tc>
          <w:tcPr>
            <w:tcW w:w="24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Arial" w:cs="Arial" w:eastAsia="Arial" w:hAnsi="Arial"/>
                <w:sz w:val="22"/>
                <w:szCs w:val="22"/>
                <w:color w:val="auto"/>
                <w:w w:val="87"/>
              </w:rPr>
              <w:t>By:</w:t>
            </w:r>
          </w:p>
        </w:tc>
        <w:tc>
          <w:tcPr>
            <w:tcW w:w="2260" w:type="dxa"/>
            <w:vAlign w:val="bottom"/>
            <w:tcBorders>
              <w:bottom w:val="single" w:sz="8" w:color="auto"/>
            </w:tcBorders>
            <w:gridSpan w:val="3"/>
          </w:tcPr>
          <w:p>
            <w:pPr>
              <w:ind w:left="220"/>
              <w:spacing w:after="0"/>
              <w:rPr>
                <w:sz w:val="20"/>
                <w:szCs w:val="20"/>
                <w:color w:val="auto"/>
              </w:rPr>
            </w:pPr>
            <w:r>
              <w:rPr>
                <w:rFonts w:ascii="Arial" w:cs="Arial" w:eastAsia="Arial" w:hAnsi="Arial"/>
                <w:sz w:val="22"/>
                <w:szCs w:val="22"/>
                <w:color w:val="auto"/>
              </w:rPr>
              <w:t>/s/ Reginal Crichlow</w:t>
            </w:r>
          </w:p>
        </w:tc>
        <w:tc>
          <w:tcPr>
            <w:tcW w:w="1560" w:type="dxa"/>
            <w:vAlign w:val="bottom"/>
            <w:gridSpan w:val="3"/>
          </w:tcPr>
          <w:p>
            <w:pPr>
              <w:spacing w:after="0"/>
              <w:rPr>
                <w:sz w:val="24"/>
                <w:szCs w:val="24"/>
                <w:color w:val="auto"/>
              </w:rPr>
            </w:pPr>
          </w:p>
        </w:tc>
      </w:tr>
      <w:tr>
        <w:trPr>
          <w:trHeight w:val="269"/>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Name: Reginal Crichlow</w:t>
            </w:r>
          </w:p>
        </w:tc>
      </w:tr>
      <w:tr>
        <w:trPr>
          <w:trHeight w:val="275"/>
        </w:trPr>
        <w:tc>
          <w:tcPr>
            <w:tcW w:w="2460" w:type="dxa"/>
            <w:vAlign w:val="bottom"/>
          </w:tcPr>
          <w:p>
            <w:pPr>
              <w:spacing w:after="0"/>
              <w:rPr>
                <w:sz w:val="23"/>
                <w:szCs w:val="23"/>
                <w:color w:val="auto"/>
              </w:rPr>
            </w:pPr>
          </w:p>
        </w:tc>
        <w:tc>
          <w:tcPr>
            <w:tcW w:w="4660" w:type="dxa"/>
            <w:vAlign w:val="bottom"/>
            <w:gridSpan w:val="7"/>
          </w:tcPr>
          <w:p>
            <w:pPr>
              <w:ind w:left="540"/>
              <w:spacing w:after="0"/>
              <w:rPr>
                <w:sz w:val="20"/>
                <w:szCs w:val="20"/>
                <w:color w:val="auto"/>
              </w:rPr>
            </w:pPr>
            <w:r>
              <w:rPr>
                <w:rFonts w:ascii="Arial" w:cs="Arial" w:eastAsia="Arial" w:hAnsi="Arial"/>
                <w:sz w:val="22"/>
                <w:szCs w:val="22"/>
                <w:color w:val="auto"/>
              </w:rPr>
              <w:t>Title: Vice President</w:t>
            </w:r>
          </w:p>
        </w:tc>
      </w:tr>
    </w:tbl>
    <w:p>
      <w:pPr>
        <w:spacing w:after="0" w:line="219" w:lineRule="exact"/>
        <w:rPr>
          <w:sz w:val="20"/>
          <w:szCs w:val="20"/>
          <w:color w:val="auto"/>
        </w:rPr>
      </w:pPr>
    </w:p>
    <w:p>
      <w:pPr>
        <w:ind w:left="3320"/>
        <w:spacing w:after="0"/>
        <w:tabs>
          <w:tab w:leader="none" w:pos="3780" w:val="left"/>
        </w:tabs>
        <w:rPr>
          <w:sz w:val="20"/>
          <w:szCs w:val="20"/>
          <w:color w:val="auto"/>
        </w:rPr>
      </w:pPr>
      <w:r>
        <w:rPr>
          <w:rFonts w:ascii="Arial" w:cs="Arial" w:eastAsia="Arial" w:hAnsi="Arial"/>
          <w:sz w:val="22"/>
          <w:szCs w:val="22"/>
          <w:color w:val="auto"/>
        </w:rPr>
        <w:t>S-2</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319"/>
          </w:cols>
          <w:pgMar w:left="1140" w:top="625" w:right="1440" w:bottom="1440" w:gutter="0" w:footer="0" w:header="0"/>
        </w:sectPr>
      </w:pPr>
    </w:p>
    <w:bookmarkStart w:id="116" w:name="page117"/>
    <w:bookmarkEnd w:id="116"/>
    <w:p>
      <w:pPr>
        <w:ind w:left="2700"/>
        <w:spacing w:after="0"/>
        <w:rPr>
          <w:sz w:val="20"/>
          <w:szCs w:val="20"/>
          <w:color w:val="auto"/>
        </w:rPr>
      </w:pPr>
      <w:r>
        <w:rPr>
          <w:rFonts w:ascii="Arial" w:cs="Arial" w:eastAsia="Arial" w:hAnsi="Arial"/>
          <w:sz w:val="22"/>
          <w:szCs w:val="22"/>
          <w:color w:val="auto"/>
        </w:rPr>
        <w:t>DNB CAPITAL LLC,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Jamie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430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Jamie Grubb</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Kelton Glasscock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4103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Kelton Glasscock</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JPMORGAN CHASE BANK, N.A.,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4020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Stephanie Balette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Officer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MIZUHO BANK, LTD.,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9455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9455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Leon Mo</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WELLS FARGO BANK, NATIONAL ASSOCIATION, Lender and an L/C Issuer</w:t>
      </w:r>
    </w:p>
    <w:p>
      <w:pPr>
        <w:spacing w:after="0" w:line="200" w:lineRule="exact"/>
        <w:rPr>
          <w:sz w:val="20"/>
          <w:szCs w:val="20"/>
          <w:color w:val="auto"/>
        </w:rPr>
      </w:pPr>
    </w:p>
    <w:p>
      <w:pPr>
        <w:spacing w:after="0" w:line="351"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Douglas McDowell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5170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Douglas McDowell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BANK OF MONTREAL,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Matthew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80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Matthew Davis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23" w:lineRule="exact"/>
        <w:rPr>
          <w:sz w:val="20"/>
          <w:szCs w:val="20"/>
          <w:color w:val="auto"/>
        </w:rPr>
      </w:pPr>
    </w:p>
    <w:p>
      <w:pPr>
        <w:ind w:left="3020"/>
        <w:spacing w:after="0"/>
        <w:tabs>
          <w:tab w:leader="none" w:pos="3480" w:val="left"/>
        </w:tabs>
        <w:rPr>
          <w:sz w:val="20"/>
          <w:szCs w:val="20"/>
          <w:color w:val="auto"/>
        </w:rPr>
      </w:pPr>
      <w:r>
        <w:rPr>
          <w:rFonts w:ascii="Arial" w:cs="Arial" w:eastAsia="Arial" w:hAnsi="Arial"/>
          <w:sz w:val="22"/>
          <w:szCs w:val="22"/>
          <w:color w:val="auto"/>
        </w:rPr>
        <w:t>S-3</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820"/>
          </w:cols>
          <w:pgMar w:left="1440" w:top="631" w:right="639" w:bottom="1440" w:gutter="0" w:footer="0" w:header="0"/>
        </w:sectPr>
      </w:pPr>
    </w:p>
    <w:bookmarkStart w:id="117" w:name="page118"/>
    <w:bookmarkEnd w:id="117"/>
    <w:p>
      <w:pPr>
        <w:ind w:left="2700"/>
        <w:spacing w:after="0"/>
        <w:rPr>
          <w:sz w:val="20"/>
          <w:szCs w:val="20"/>
          <w:color w:val="auto"/>
        </w:rPr>
      </w:pPr>
      <w:r>
        <w:rPr>
          <w:rFonts w:ascii="Arial" w:cs="Arial" w:eastAsia="Arial" w:hAnsi="Arial"/>
          <w:sz w:val="22"/>
          <w:szCs w:val="22"/>
          <w:color w:val="auto"/>
        </w:rPr>
        <w:t>BARCLAYS BANK PLC, Lender</w:t>
      </w:r>
    </w:p>
    <w:p>
      <w:pPr>
        <w:spacing w:after="0" w:line="260"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Christopher Aitkin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4712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14712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Christopher Aitkin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CANADIAN IMPERIAL BANK OF COMMERCE, NEW YORK AGENCY, Lender</w:t>
      </w:r>
    </w:p>
    <w:p>
      <w:pPr>
        <w:spacing w:after="0" w:line="200" w:lineRule="exact"/>
        <w:rPr>
          <w:sz w:val="20"/>
          <w:szCs w:val="20"/>
          <w:color w:val="auto"/>
        </w:rPr>
      </w:pPr>
    </w:p>
    <w:p>
      <w:pPr>
        <w:spacing w:after="0" w:line="328"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Trudy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91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Trudy Nelson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Richard Antl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50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Richard Antl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COMPASS BANK,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H.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08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Mark H. Wolf</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MORGAN STANLEY BANK, N.A., Lender</w:t>
      </w:r>
    </w:p>
    <w:p>
      <w:pPr>
        <w:spacing w:after="0" w:line="260"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963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Michael King</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ROYAL BANK OF CANADA, Lender,</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and further agrees, pursuant to Section 2.14 of the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Credit Agreement, to extend its Maturity Date from</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August 16, 2018 to August 16, 2020</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Kristan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579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12579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Kristan Spivey</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23" w:lineRule="exact"/>
        <w:rPr>
          <w:sz w:val="20"/>
          <w:szCs w:val="20"/>
          <w:color w:val="auto"/>
        </w:rPr>
      </w:pPr>
    </w:p>
    <w:p>
      <w:pPr>
        <w:ind w:left="3020"/>
        <w:spacing w:after="0"/>
        <w:tabs>
          <w:tab w:leader="none" w:pos="3480" w:val="left"/>
        </w:tabs>
        <w:rPr>
          <w:sz w:val="20"/>
          <w:szCs w:val="20"/>
          <w:color w:val="auto"/>
        </w:rPr>
      </w:pPr>
      <w:r>
        <w:rPr>
          <w:rFonts w:ascii="Arial" w:cs="Arial" w:eastAsia="Arial" w:hAnsi="Arial"/>
          <w:sz w:val="22"/>
          <w:szCs w:val="22"/>
          <w:color w:val="auto"/>
        </w:rPr>
        <w:t>S-4</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10120"/>
          </w:cols>
          <w:pgMar w:left="1440" w:top="631" w:right="339" w:bottom="1440" w:gutter="0" w:footer="0" w:header="0"/>
        </w:sectPr>
      </w:pPr>
    </w:p>
    <w:bookmarkStart w:id="118" w:name="page119"/>
    <w:bookmarkEnd w:id="118"/>
    <w:p>
      <w:pPr>
        <w:ind w:left="2700"/>
        <w:spacing w:after="0"/>
        <w:rPr>
          <w:sz w:val="20"/>
          <w:szCs w:val="20"/>
          <w:color w:val="auto"/>
        </w:rPr>
      </w:pPr>
      <w:r>
        <w:rPr>
          <w:rFonts w:ascii="Arial" w:cs="Arial" w:eastAsia="Arial" w:hAnsi="Arial"/>
          <w:sz w:val="19"/>
          <w:szCs w:val="19"/>
          <w:color w:val="auto"/>
        </w:rPr>
        <w:t>SUMITOMO MITSUI BANKING CORPORATION,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By:/s/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3836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James D. Weinstein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SUNTRUST BANK, Lender</w:t>
      </w: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By:/s/ Chulley Bogle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0979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Chulley Bogle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BANK OF NOVA SCOTIA,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By:/s/ Mark Sparrow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0972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Mark Sparrow</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By:/s/ Stephen W. Warfel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332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Stephen W. Warfel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UBS AG, STAMFORD BRANCH,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274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274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w:t>
      </w:r>
    </w:p>
    <w:p>
      <w:pPr>
        <w:spacing w:after="0" w:line="223" w:lineRule="exact"/>
        <w:rPr>
          <w:sz w:val="20"/>
          <w:szCs w:val="20"/>
          <w:color w:val="auto"/>
        </w:rPr>
      </w:pPr>
    </w:p>
    <w:p>
      <w:pPr>
        <w:ind w:left="3020"/>
        <w:spacing w:after="0"/>
        <w:tabs>
          <w:tab w:leader="none" w:pos="3480" w:val="left"/>
        </w:tabs>
        <w:rPr>
          <w:sz w:val="20"/>
          <w:szCs w:val="20"/>
          <w:color w:val="auto"/>
        </w:rPr>
      </w:pPr>
      <w:r>
        <w:rPr>
          <w:rFonts w:ascii="Arial" w:cs="Arial" w:eastAsia="Arial" w:hAnsi="Arial"/>
          <w:sz w:val="22"/>
          <w:szCs w:val="22"/>
          <w:color w:val="auto"/>
        </w:rPr>
        <w:t>S-5</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019"/>
          </w:cols>
          <w:pgMar w:left="1440" w:top="631" w:right="1440" w:bottom="1440" w:gutter="0" w:footer="0" w:header="0"/>
        </w:sectPr>
      </w:pPr>
    </w:p>
    <w:bookmarkStart w:id="119" w:name="page120"/>
    <w:bookmarkEnd w:id="119"/>
    <w:p>
      <w:pPr>
        <w:ind w:left="2700"/>
        <w:spacing w:after="0"/>
        <w:rPr>
          <w:sz w:val="20"/>
          <w:szCs w:val="20"/>
          <w:color w:val="auto"/>
        </w:rPr>
      </w:pPr>
      <w:r>
        <w:rPr>
          <w:rFonts w:ascii="Arial" w:cs="Arial" w:eastAsia="Arial" w:hAnsi="Arial"/>
          <w:sz w:val="19"/>
          <w:szCs w:val="19"/>
          <w:color w:val="auto"/>
        </w:rPr>
        <w:t>DEUTSCHE BANK AG NEW YORK BRANCH, Lender</w:t>
      </w:r>
    </w:p>
    <w:p>
      <w:pPr>
        <w:spacing w:after="0" w:line="200" w:lineRule="exact"/>
        <w:rPr>
          <w:sz w:val="20"/>
          <w:szCs w:val="20"/>
          <w:color w:val="auto"/>
        </w:rPr>
      </w:pPr>
    </w:p>
    <w:p>
      <w:pPr>
        <w:spacing w:after="0" w:line="351"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322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Ming K Chu</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3843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Virginia Cosenza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FIFTH THIRD BANK,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Larry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201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Larry Hayes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Charles Ritchie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-17780</wp:posOffset>
            </wp:positionV>
            <wp:extent cx="1150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Charles Ritchie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ING CAPITAL LLC,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Cheryl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80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Cheryl LaBelle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Hans Beekmans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3258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Hans Beekmans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PNC BANK, NATIONAL ASSOCIATION,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Stephen Monto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807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12807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Stephen Monto</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79" w:lineRule="exact"/>
        <w:rPr>
          <w:sz w:val="20"/>
          <w:szCs w:val="20"/>
          <w:color w:val="auto"/>
        </w:rPr>
      </w:pPr>
    </w:p>
    <w:p>
      <w:pPr>
        <w:ind w:left="3020"/>
        <w:spacing w:after="0"/>
        <w:tabs>
          <w:tab w:leader="none" w:pos="3480" w:val="left"/>
        </w:tabs>
        <w:rPr>
          <w:sz w:val="20"/>
          <w:szCs w:val="20"/>
          <w:color w:val="auto"/>
        </w:rPr>
      </w:pPr>
      <w:r>
        <w:rPr>
          <w:rFonts w:ascii="Arial" w:cs="Arial" w:eastAsia="Arial" w:hAnsi="Arial"/>
          <w:sz w:val="22"/>
          <w:szCs w:val="22"/>
          <w:color w:val="auto"/>
        </w:rPr>
        <w:t>S-6</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019"/>
          </w:cols>
          <w:pgMar w:left="1440" w:top="631" w:right="1440" w:bottom="1440" w:gutter="0" w:footer="0" w:header="0"/>
        </w:sectPr>
      </w:pPr>
    </w:p>
    <w:bookmarkStart w:id="120" w:name="page121"/>
    <w:bookmarkEnd w:id="120"/>
    <w:p>
      <w:pPr>
        <w:ind w:left="2700"/>
        <w:spacing w:after="0"/>
        <w:rPr>
          <w:sz w:val="20"/>
          <w:szCs w:val="20"/>
          <w:color w:val="auto"/>
        </w:rPr>
      </w:pPr>
      <w:r>
        <w:rPr>
          <w:rFonts w:ascii="Arial" w:cs="Arial" w:eastAsia="Arial" w:hAnsi="Arial"/>
          <w:sz w:val="22"/>
          <w:szCs w:val="22"/>
          <w:color w:val="auto"/>
        </w:rPr>
        <w:t>REGIONS BANK,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3258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David Valentine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U.S. BANK NATIONAL ASSOCIATION, Lender</w:t>
      </w:r>
    </w:p>
    <w:p>
      <w:pPr>
        <w:spacing w:after="0" w:line="200" w:lineRule="exact"/>
        <w:rPr>
          <w:sz w:val="20"/>
          <w:szCs w:val="20"/>
          <w:color w:val="auto"/>
        </w:rPr>
      </w:pPr>
    </w:p>
    <w:p>
      <w:pPr>
        <w:spacing w:after="0" w:line="351"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Patrick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395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12395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Patrick Jeffrey</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20"/>
        <w:spacing w:after="0"/>
        <w:tabs>
          <w:tab w:leader="none" w:pos="3480" w:val="left"/>
        </w:tabs>
        <w:rPr>
          <w:sz w:val="20"/>
          <w:szCs w:val="20"/>
          <w:color w:val="auto"/>
        </w:rPr>
      </w:pPr>
      <w:r>
        <w:rPr>
          <w:rFonts w:ascii="Arial" w:cs="Arial" w:eastAsia="Arial" w:hAnsi="Arial"/>
          <w:sz w:val="22"/>
          <w:szCs w:val="22"/>
          <w:color w:val="auto"/>
        </w:rPr>
        <w:t>S-7</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019"/>
          </w:cols>
          <w:pgMar w:left="1440" w:top="888"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color w:val="auto"/>
        </w:rPr>
        <w:t>SCHEDULE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PMLP EXTENDING AND NON-EXTENDING LENDERS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EXTENDING LENDERS: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Société Generalé</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BNP Paribas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DNB Capital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Mizuho Bank,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Bank of Montreal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Barclays Bank PLC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Canadian Imperial Bank of Commerce, New York Agency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Compass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Bank, 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Royal Bank of Canada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Sumitomo Mitsui Banking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SunTrust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Bank of Nova Scotia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Bank of Tokyo-Mitsubishi UFJ,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Deutsche Bank AG New York Branch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Fifth Third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ING Capital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PNC Bank, National Association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Regions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NON-EXTENDING LENDERS: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UBS AG, Stamford Branch</w:t>
      </w:r>
    </w:p>
    <w:p>
      <w:pPr>
        <w:spacing w:after="0" w:line="24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PMLP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Amendment</w:t>
      </w:r>
    </w:p>
    <w:p>
      <w:pPr>
        <w:sectPr>
          <w:pgSz w:w="11900" w:h="16838" w:orient="portrait"/>
          <w:cols w:equalWidth="0" w:num="1">
            <w:col w:w="11420"/>
          </w:cols>
          <w:pgMar w:left="240" w:top="63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left="260" w:right="1540"/>
        <w:spacing w:after="0" w:line="266" w:lineRule="auto"/>
        <w:rPr>
          <w:sz w:val="20"/>
          <w:szCs w:val="20"/>
          <w:color w:val="auto"/>
        </w:rPr>
      </w:pPr>
      <w:r>
        <w:rPr>
          <w:rFonts w:ascii="Arial" w:cs="Arial" w:eastAsia="Arial" w:hAnsi="Arial"/>
          <w:sz w:val="18"/>
          <w:szCs w:val="18"/>
          <w:b w:val="1"/>
          <w:bCs w:val="1"/>
          <w:color w:val="auto"/>
        </w:rPr>
        <w:t>STATEMENT OF COMPUTATION OF RATIO OF EARNINGS TO FIXED CHARGES AND RATIO OF EARNINGS TO COMBINED FIXED CHARGES AND PREFERRED UNIT DISTRIBUTIONS (in millions, except ratio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Pre-tax income from continuing operations before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8"/>
                <w:szCs w:val="18"/>
                <w:color w:val="auto"/>
              </w:rPr>
              <w:t>noncontrolling interests and income from equity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Interest expensed and capitalized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5"/>
                <w:szCs w:val="25"/>
                <w:color w:val="auto"/>
                <w:vertAlign w:val="superscript"/>
              </w:rPr>
              <w:t>(2)(3)</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60" w:type="dxa"/>
            <w:vAlign w:val="bottom"/>
          </w:tcPr>
          <w:p>
            <w:pPr>
              <w:ind w:left="200"/>
              <w:spacing w:after="0"/>
              <w:rPr>
                <w:sz w:val="20"/>
                <w:szCs w:val="20"/>
                <w:color w:val="auto"/>
              </w:rPr>
            </w:pPr>
            <w:r>
              <w:rPr>
                <w:rFonts w:ascii="Arial" w:cs="Arial" w:eastAsia="Arial" w:hAnsi="Arial"/>
                <w:sz w:val="18"/>
                <w:szCs w:val="18"/>
                <w:color w:val="auto"/>
              </w:rPr>
              <w:t>Total Combined Fixed Charges and Preferred Unit</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7"/>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Distributions</w:t>
            </w:r>
          </w:p>
        </w:tc>
        <w:tc>
          <w:tcPr>
            <w:tcW w:w="18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(4)</w:t>
            </w:r>
          </w:p>
        </w:tc>
        <w:tc>
          <w:tcPr>
            <w:tcW w:w="1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2.50x</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2.25x</w:t>
            </w: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2.80x</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4.30x</w:t>
            </w:r>
          </w:p>
        </w:tc>
        <w:tc>
          <w:tcPr>
            <w:tcW w:w="2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4.41x</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4.03x</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RATIO OF EARNINGS TO COMBINED FIXED</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b w:val="1"/>
                <w:bCs w:val="1"/>
                <w:color w:val="auto"/>
              </w:rPr>
              <w:t>CHARGES AND PREFERRED UNIT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4360" w:type="dxa"/>
            <w:vAlign w:val="bottom"/>
          </w:tcPr>
          <w:p>
            <w:pPr>
              <w:ind w:left="200"/>
              <w:spacing w:after="0"/>
              <w:rPr>
                <w:sz w:val="20"/>
                <w:szCs w:val="20"/>
                <w:color w:val="auto"/>
              </w:rPr>
            </w:pPr>
            <w:r>
              <w:rPr>
                <w:rFonts w:ascii="Arial" w:cs="Arial" w:eastAsia="Arial" w:hAnsi="Arial"/>
                <w:sz w:val="18"/>
                <w:szCs w:val="18"/>
                <w:b w:val="1"/>
                <w:bCs w:val="1"/>
                <w:color w:val="auto"/>
              </w:rPr>
              <w:t xml:space="preserve">DISTRIBUTIONS </w:t>
            </w:r>
            <w:r>
              <w:rPr>
                <w:rFonts w:ascii="Arial" w:cs="Arial" w:eastAsia="Arial" w:hAnsi="Arial"/>
                <w:sz w:val="25"/>
                <w:szCs w:val="25"/>
                <w:b w:val="1"/>
                <w:bCs w:val="1"/>
                <w:color w:val="auto"/>
                <w:vertAlign w:val="superscript"/>
              </w:rPr>
              <w:t>(2)(3)(4)</w:t>
            </w:r>
          </w:p>
        </w:tc>
        <w:tc>
          <w:tcPr>
            <w:tcW w:w="18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2.04x</w:t>
            </w: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1.86x</w:t>
            </w:r>
          </w:p>
        </w:tc>
        <w:tc>
          <w:tcPr>
            <w:tcW w:w="2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504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18" w:lineRule="exact"/>
        <w:rPr>
          <w:sz w:val="20"/>
          <w:szCs w:val="20"/>
          <w:color w:val="auto"/>
        </w:rPr>
      </w:pPr>
    </w:p>
    <w:p>
      <w:pPr>
        <w:ind w:left="660" w:right="40" w:hanging="652"/>
        <w:spacing w:after="0" w:line="235" w:lineRule="auto"/>
        <w:tabs>
          <w:tab w:leader="none" w:pos="660" w:val="left"/>
        </w:tabs>
        <w:numPr>
          <w:ilvl w:val="0"/>
          <w:numId w:val="95"/>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the ratio of earnings to fixed charges and the ratio of earnings to combined fixed charges and preferred unit distributions,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96" w:lineRule="exact"/>
        <w:rPr>
          <w:rFonts w:ascii="Arial" w:cs="Arial" w:eastAsia="Arial" w:hAnsi="Arial"/>
          <w:sz w:val="25"/>
          <w:szCs w:val="25"/>
          <w:color w:val="auto"/>
          <w:vertAlign w:val="superscript"/>
        </w:rPr>
      </w:pPr>
    </w:p>
    <w:p>
      <w:pPr>
        <w:ind w:left="660" w:right="580" w:hanging="652"/>
        <w:spacing w:after="0" w:line="216" w:lineRule="auto"/>
        <w:tabs>
          <w:tab w:leader="none" w:pos="660" w:val="left"/>
        </w:tabs>
        <w:numPr>
          <w:ilvl w:val="0"/>
          <w:numId w:val="95"/>
        </w:numPr>
        <w:rPr>
          <w:rFonts w:ascii="Arial" w:cs="Arial" w:eastAsia="Arial" w:hAnsi="Arial"/>
          <w:sz w:val="25"/>
          <w:szCs w:val="25"/>
          <w:color w:val="auto"/>
          <w:vertAlign w:val="superscript"/>
        </w:rPr>
      </w:pPr>
      <w:r>
        <w:rPr>
          <w:rFonts w:ascii="Arial" w:cs="Arial" w:eastAsia="Arial" w:hAnsi="Arial"/>
          <w:sz w:val="18"/>
          <w:szCs w:val="18"/>
          <w:color w:val="auto"/>
        </w:rPr>
        <w:t>As no preferred units were outstanding for any of the years ended December 31, 2015, 2014, 2013 and 2012, no historical ratio of earnings to combined fixed charges and preferred unit distributions are presented for those years.</w:t>
      </w:r>
    </w:p>
    <w:p>
      <w:pPr>
        <w:spacing w:after="0" w:line="95" w:lineRule="exact"/>
        <w:rPr>
          <w:rFonts w:ascii="Arial" w:cs="Arial" w:eastAsia="Arial" w:hAnsi="Arial"/>
          <w:sz w:val="25"/>
          <w:szCs w:val="25"/>
          <w:color w:val="auto"/>
          <w:vertAlign w:val="superscript"/>
        </w:rPr>
      </w:pPr>
    </w:p>
    <w:p>
      <w:pPr>
        <w:ind w:left="660" w:right="240" w:hanging="652"/>
        <w:spacing w:after="0" w:line="235" w:lineRule="auto"/>
        <w:tabs>
          <w:tab w:leader="none" w:pos="660" w:val="left"/>
        </w:tabs>
        <w:numPr>
          <w:ilvl w:val="0"/>
          <w:numId w:val="95"/>
        </w:numPr>
        <w:rPr>
          <w:rFonts w:ascii="Arial" w:cs="Arial" w:eastAsia="Arial" w:hAnsi="Arial"/>
          <w:sz w:val="25"/>
          <w:szCs w:val="25"/>
          <w:color w:val="auto"/>
          <w:vertAlign w:val="superscript"/>
        </w:rPr>
      </w:pPr>
      <w:r>
        <w:rPr>
          <w:rFonts w:ascii="Arial" w:cs="Arial" w:eastAsia="Arial" w:hAnsi="Arial"/>
          <w:sz w:val="18"/>
          <w:szCs w:val="18"/>
          <w:color w:val="auto"/>
        </w:rPr>
        <w:t>The distribution requirement of our Series A convertible preferred units (the “Series A Preferred Units”) was paid in additional Series A Preferred Units for the year ended December 31, 2016 and the nine months ended September 30, 2017. We issued 4,019,916 additional Series A Preferred Units in lieu of cash distributions of $105 million for the distributions pertaining to the nine months ended September 30, 2017, and we issued 4,646,499 additional Series A Preferred Units in lieu of cash distributions of $122 million for the distributions pertaining to the year ended December 31, 2016.</w:t>
      </w:r>
    </w:p>
    <w:p>
      <w:pPr>
        <w:spacing w:after="0" w:line="3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95"/>
        </w:numPr>
        <w:rPr>
          <w:rFonts w:ascii="Arial" w:cs="Arial" w:eastAsia="Arial" w:hAnsi="Arial"/>
          <w:sz w:val="25"/>
          <w:szCs w:val="25"/>
          <w:color w:val="auto"/>
          <w:vertAlign w:val="superscript"/>
        </w:rPr>
      </w:pPr>
      <w:r>
        <w:rPr>
          <w:rFonts w:ascii="Arial" w:cs="Arial" w:eastAsia="Arial" w:hAnsi="Arial"/>
          <w:sz w:val="18"/>
          <w:szCs w:val="18"/>
          <w:color w:val="auto"/>
        </w:rPr>
        <w:t>Ratios may not recalculate due to rounding.</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8, 2017</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8,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o"/>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1)"/>
      <w:numFmt w:val="lowerRoman"/>
      <w:start w:val="2"/>
    </w:lvl>
  </w:abstractNum>
  <w:abstractNum w:abstractNumId="5">
    <w:nsid w:val="649BB77C"/>
    <w:multiLevelType w:val="hybridMultilevel"/>
    <w:lvl w:ilvl="0">
      <w:lvlJc w:val="left"/>
      <w:lvlText w:val="(%1)"/>
      <w:numFmt w:val="lowerRoman"/>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1)"/>
      <w:numFmt w:val="decimal"/>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1)"/>
      <w:numFmt w:val="decimal"/>
      <w:start w:val="1"/>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1)"/>
      <w:numFmt w:val="decimal"/>
      <w:start w:val="1"/>
    </w:lvl>
  </w:abstractNum>
  <w:abstractNum w:abstractNumId="13">
    <w:nsid w:val="15B5AF5C"/>
    <w:multiLevelType w:val="hybridMultilevel"/>
    <w:lvl w:ilvl="0">
      <w:lvlJc w:val="left"/>
      <w:lvlText w:val="(%1)"/>
      <w:numFmt w:val="decimal"/>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1)"/>
      <w:numFmt w:val="decimal"/>
      <w:start w:val="1"/>
    </w:lvl>
  </w:abstractNum>
  <w:abstractNum w:abstractNumId="16">
    <w:nsid w:val="10233C99"/>
    <w:multiLevelType w:val="hybridMultilevel"/>
    <w:lvl w:ilvl="0">
      <w:lvlJc w:val="left"/>
      <w:lvlText w:val="(%1)"/>
      <w:numFmt w:val="decimal"/>
      <w:start w:val="1"/>
    </w:lvl>
  </w:abstractNum>
  <w:abstractNum w:abstractNumId="17">
    <w:nsid w:val="3F6AB60F"/>
    <w:multiLevelType w:val="hybridMultilevel"/>
    <w:lvl w:ilvl="0">
      <w:lvlJc w:val="left"/>
      <w:lvlText w:val="(%1)"/>
      <w:numFmt w:val="decimal"/>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1)"/>
      <w:numFmt w:val="decimal"/>
      <w:start w:val="1"/>
    </w:lvl>
  </w:abstractNum>
  <w:abstractNum w:abstractNumId="20">
    <w:nsid w:val="77AE35EB"/>
    <w:multiLevelType w:val="hybridMultilevel"/>
    <w:lvl w:ilvl="0">
      <w:lvlJc w:val="left"/>
      <w:lvlText w:val="(%1)"/>
      <w:numFmt w:val="decimal"/>
      <w:start w:val="6"/>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2"/>
    </w:lvl>
  </w:abstractNum>
  <w:abstractNum w:abstractNumId="32">
    <w:nsid w:val="6590700B"/>
    <w:multiLevelType w:val="hybridMultilevel"/>
    <w:lvl w:ilvl="0">
      <w:lvlJc w:val="left"/>
      <w:lvlText w:val="(%1)"/>
      <w:numFmt w:val="decimal"/>
      <w:start w:val="10"/>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1)"/>
      <w:numFmt w:val="decimal"/>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1)"/>
      <w:numFmt w:val="decimal"/>
      <w:start w:val="1"/>
    </w:lvl>
  </w:abstractNum>
  <w:abstractNum w:abstractNumId="38">
    <w:nsid w:val="42C296BD"/>
    <w:multiLevelType w:val="hybridMultilevel"/>
    <w:lvl w:ilvl="0">
      <w:lvlJc w:val="left"/>
      <w:lvlText w:val="(%1)"/>
      <w:numFmt w:val="decimal"/>
      <w:start w:val="4"/>
    </w:lvl>
    <w:lvl w:ilvl="1">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1)"/>
      <w:numFmt w:val="decimal"/>
      <w:start w:val="2"/>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lowerLetter"/>
      <w:start w:val="2"/>
    </w:lvl>
  </w:abstractNum>
  <w:abstractNum w:abstractNumId="60">
    <w:nsid w:val="1A27709E"/>
    <w:multiLevelType w:val="hybridMultilevel"/>
    <w:lvl w:ilvl="0">
      <w:lvlJc w:val="left"/>
      <w:lvlText w:val="(%1)"/>
      <w:numFmt w:val="lowerLetter"/>
      <w:start w:val="4"/>
    </w:lvl>
  </w:abstractNum>
  <w:abstractNum w:abstractNumId="61">
    <w:nsid w:val="71EA1109"/>
    <w:multiLevelType w:val="hybridMultilevel"/>
    <w:lvl w:ilvl="0">
      <w:lvlJc w:val="left"/>
      <w:lvlText w:val="(%1)"/>
      <w:numFmt w:val="lowerLetter"/>
      <w:start w:val="5"/>
    </w:lvl>
  </w:abstractNum>
  <w:abstractNum w:abstractNumId="62">
    <w:nsid w:val="100F59DC"/>
    <w:multiLevelType w:val="hybridMultilevel"/>
    <w:lvl w:ilvl="0">
      <w:lvlJc w:val="left"/>
      <w:lvlText w:val="(%1)"/>
      <w:numFmt w:val="lowerLetter"/>
      <w:start w:val="6"/>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1)"/>
      <w:numFmt w:val="lowerLetter"/>
      <w:start w:val="1"/>
    </w:lvl>
    <w:lvl w:ilvl="1">
      <w:lvlJc w:val="left"/>
      <w:lvlText w:val="(%2)"/>
      <w:numFmt w:val="lowerRoman"/>
      <w:start w:val="1"/>
    </w:lvl>
  </w:abstractNum>
  <w:abstractNum w:abstractNumId="68">
    <w:nsid w:val="76272110"/>
    <w:multiLevelType w:val="hybridMultilevel"/>
    <w:lvl w:ilvl="0">
      <w:lvlJc w:val="left"/>
      <w:lvlText w:val="%1"/>
      <w:numFmt w:val="lowerLetter"/>
      <w:start w:val="1"/>
    </w:lvl>
    <w:lvl w:ilvl="1">
      <w:lvlJc w:val="left"/>
      <w:lvlText w:val="(%2)"/>
      <w:numFmt w:val="lowerRoman"/>
      <w:start w:val="4"/>
    </w:lvl>
  </w:abstractNum>
  <w:abstractNum w:abstractNumId="69">
    <w:nsid w:val="4C04A8AF"/>
    <w:multiLevelType w:val="hybridMultilevel"/>
    <w:lvl w:ilvl="0">
      <w:lvlJc w:val="left"/>
      <w:lvlText w:val="(%1)"/>
      <w:numFmt w:val="lowerLetter"/>
      <w:start w:val="2"/>
    </w:lvl>
    <w:lvl w:ilvl="1">
      <w:lvlJc w:val="left"/>
      <w:lvlText w:val="%2"/>
      <w:numFmt w:val="lowerRoman"/>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1)"/>
      <w:numFmt w:val="lowerLetter"/>
      <w:start w:val="1"/>
    </w:lvl>
  </w:abstractNum>
  <w:abstractNum w:abstractNumId="77">
    <w:nsid w:val="4A2AC315"/>
    <w:multiLevelType w:val="hybridMultilevel"/>
    <w:lvl w:ilvl="0">
      <w:lvlJc w:val="left"/>
      <w:lvlText w:val="(%1)"/>
      <w:numFmt w:val="lowerLetter"/>
      <w:start w:val="2"/>
    </w:lvl>
  </w:abstractNum>
  <w:abstractNum w:abstractNumId="78">
    <w:nsid w:val="39EE015C"/>
    <w:multiLevelType w:val="hybridMultilevel"/>
    <w:lvl w:ilvl="0">
      <w:lvlJc w:val="left"/>
      <w:lvlText w:val="(%1)"/>
      <w:numFmt w:val="lowerLetter"/>
      <w:start w:val="3"/>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1"/>
      <w:numFmt w:val="upperLetter"/>
      <w:start w:val="1"/>
    </w:lvl>
    <w:lvl w:ilvl="1">
      <w:lvlJc w:val="left"/>
      <w:lvlText w:val="(%2)"/>
      <w:numFmt w:val="lowerLetter"/>
      <w:start w:val="1"/>
    </w:lvl>
  </w:abstractNum>
  <w:abstractNum w:abstractNumId="82">
    <w:nsid w:val="60EF0119"/>
    <w:multiLevelType w:val="hybridMultilevel"/>
    <w:lvl w:ilvl="0">
      <w:lvlJc w:val="left"/>
      <w:lvlText w:val="(%1)"/>
      <w:numFmt w:val="upperLetter"/>
      <w:start w:val="2"/>
    </w:lvl>
    <w:lvl w:ilvl="1">
      <w:lvlJc w:val="left"/>
      <w:lvlText w:val="(%2)"/>
      <w:numFmt w:val="lowerLetter"/>
      <w:start w:val="3"/>
    </w:lvl>
  </w:abstractNum>
  <w:abstractNum w:abstractNumId="83">
    <w:nsid w:val="26F324BA"/>
    <w:multiLevelType w:val="hybridMultilevel"/>
    <w:lvl w:ilvl="0">
      <w:lvlJc w:val="left"/>
      <w:lvlText w:val="(%1)"/>
      <w:numFmt w:val="lowerLetter"/>
      <w:start w:val="5"/>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1)"/>
      <w:numFmt w:val="lowerLetter"/>
      <w:start w:val="1"/>
    </w:lvl>
  </w:abstractNum>
  <w:abstractNum w:abstractNumId="86">
    <w:nsid w:val="7055A5F5"/>
    <w:multiLevelType w:val="hybridMultilevel"/>
    <w:lvl w:ilvl="0">
      <w:lvlJc w:val="left"/>
      <w:lvlText w:val="(%1)"/>
      <w:numFmt w:val="lowerLetter"/>
      <w:start w:val="3"/>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1)"/>
      <w:numFmt w:val="lowerLetter"/>
      <w:start w:val="1"/>
    </w:lvl>
    <w:lvl w:ilvl="1">
      <w:lvlJc w:val="left"/>
      <w:lvlText w:val="(%2)"/>
      <w:numFmt w:val="lowerRoman"/>
      <w:start w:val="1"/>
    </w:lvl>
  </w:abstractNum>
  <w:abstractNum w:abstractNumId="89">
    <w:nsid w:val="488AC1A"/>
    <w:multiLevelType w:val="hybridMultilevel"/>
    <w:lvl w:ilvl="0">
      <w:lvlJc w:val="left"/>
      <w:lvlText w:val="%1"/>
      <w:numFmt w:val="lowerLetter"/>
      <w:start w:val="1"/>
    </w:lvl>
    <w:lvl w:ilvl="1">
      <w:lvlJc w:val="left"/>
      <w:lvlText w:val="(%2)"/>
      <w:numFmt w:val="lowerRoman"/>
      <w:start w:val="6"/>
    </w:lvl>
  </w:abstractNum>
  <w:abstractNum w:abstractNumId="90">
    <w:nsid w:val="5FB8011C"/>
    <w:multiLevelType w:val="hybridMultilevel"/>
    <w:lvl w:ilvl="0">
      <w:lvlJc w:val="left"/>
      <w:lvlText w:val="(%1)"/>
      <w:numFmt w:val="lowerLetter"/>
      <w:start w:val="2"/>
    </w:lvl>
    <w:lvl w:ilvl="1">
      <w:lvlJc w:val="left"/>
      <w:lvlText w:val="%2"/>
      <w:numFmt w:val="lowerRoman"/>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1)"/>
      <w:numFmt w:val="lowerLetter"/>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1."/>
      <w:numFmt w:val="decimal"/>
      <w:start w:val="5"/>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decimal"/>
      <w:start w:val="5"/>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lowerRoman"/>
      <w:start w:val="1"/>
    </w:lvl>
  </w:abstractNum>
  <w:abstractNum w:abstractNumId="104">
    <w:nsid w:val="9DAF6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91" Type="http://schemas.openxmlformats.org/officeDocument/2006/relationships/image" Target="media/image40.png"/><Relationship Id="rId92" Type="http://schemas.openxmlformats.org/officeDocument/2006/relationships/image" Target="media/image41.png"/><Relationship Id="rId93" Type="http://schemas.openxmlformats.org/officeDocument/2006/relationships/image" Target="media/image42.png"/><Relationship Id="rId94" Type="http://schemas.openxmlformats.org/officeDocument/2006/relationships/image" Target="media/image43.png"/><Relationship Id="rId95" Type="http://schemas.openxmlformats.org/officeDocument/2006/relationships/image" Target="media/image44.png"/><Relationship Id="rId96" Type="http://schemas.openxmlformats.org/officeDocument/2006/relationships/image" Target="media/image45.png"/><Relationship Id="rId97" Type="http://schemas.openxmlformats.org/officeDocument/2006/relationships/image" Target="media/image46.png"/><Relationship Id="rId98" Type="http://schemas.openxmlformats.org/officeDocument/2006/relationships/image" Target="media/image47.png"/><Relationship Id="rId99" Type="http://schemas.openxmlformats.org/officeDocument/2006/relationships/image" Target="media/image48.png"/><Relationship Id="rId100" Type="http://schemas.openxmlformats.org/officeDocument/2006/relationships/image" Target="media/image49.png"/><Relationship Id="rId101" Type="http://schemas.openxmlformats.org/officeDocument/2006/relationships/image" Target="media/image50.png"/><Relationship Id="rId102" Type="http://schemas.openxmlformats.org/officeDocument/2006/relationships/image" Target="media/image51.png"/><Relationship Id="rId103" Type="http://schemas.openxmlformats.org/officeDocument/2006/relationships/image" Target="media/image52.png"/><Relationship Id="rId104" Type="http://schemas.openxmlformats.org/officeDocument/2006/relationships/image" Target="media/image53.png"/><Relationship Id="rId105" Type="http://schemas.openxmlformats.org/officeDocument/2006/relationships/image" Target="media/image54.png"/><Relationship Id="rId106" Type="http://schemas.openxmlformats.org/officeDocument/2006/relationships/image" Target="media/image55.png"/><Relationship Id="rId107" Type="http://schemas.openxmlformats.org/officeDocument/2006/relationships/image" Target="media/image56.png"/><Relationship Id="rId108" Type="http://schemas.openxmlformats.org/officeDocument/2006/relationships/image" Target="media/image57.png"/><Relationship Id="rId109" Type="http://schemas.openxmlformats.org/officeDocument/2006/relationships/image" Target="media/image58.png"/><Relationship Id="rId110" Type="http://schemas.openxmlformats.org/officeDocument/2006/relationships/image" Target="media/image59.png"/><Relationship Id="rId111" Type="http://schemas.openxmlformats.org/officeDocument/2006/relationships/image" Target="media/image60.png"/><Relationship Id="rId112" Type="http://schemas.openxmlformats.org/officeDocument/2006/relationships/image" Target="media/image61.png"/><Relationship Id="rId113" Type="http://schemas.openxmlformats.org/officeDocument/2006/relationships/image" Target="media/image62.png"/><Relationship Id="rId114" Type="http://schemas.openxmlformats.org/officeDocument/2006/relationships/image" Target="media/image63.png"/><Relationship Id="rId115" Type="http://schemas.openxmlformats.org/officeDocument/2006/relationships/image" Target="media/image64.png"/><Relationship Id="rId116" Type="http://schemas.openxmlformats.org/officeDocument/2006/relationships/image" Target="media/image65.png"/><Relationship Id="rId117" Type="http://schemas.openxmlformats.org/officeDocument/2006/relationships/image" Target="media/image66.png"/><Relationship Id="rId118" Type="http://schemas.openxmlformats.org/officeDocument/2006/relationships/image" Target="media/image67.png"/><Relationship Id="rId119" Type="http://schemas.openxmlformats.org/officeDocument/2006/relationships/image" Target="media/image68.png"/><Relationship Id="rId120" Type="http://schemas.openxmlformats.org/officeDocument/2006/relationships/image" Target="media/image69.png"/><Relationship Id="rId121" Type="http://schemas.openxmlformats.org/officeDocument/2006/relationships/image" Target="media/image70.png"/><Relationship Id="rId122" Type="http://schemas.openxmlformats.org/officeDocument/2006/relationships/image" Target="media/image71.png"/><Relationship Id="rId123" Type="http://schemas.openxmlformats.org/officeDocument/2006/relationships/image" Target="media/image72.png"/><Relationship Id="rId124" Type="http://schemas.openxmlformats.org/officeDocument/2006/relationships/image" Target="media/image73.png"/><Relationship Id="rId125" Type="http://schemas.openxmlformats.org/officeDocument/2006/relationships/image" Target="media/image74.png"/><Relationship Id="rId126" Type="http://schemas.openxmlformats.org/officeDocument/2006/relationships/image" Target="media/image75.png"/><Relationship Id="rId127" Type="http://schemas.openxmlformats.org/officeDocument/2006/relationships/image" Target="media/image76.png"/><Relationship Id="rId128" Type="http://schemas.openxmlformats.org/officeDocument/2006/relationships/image" Target="media/image77.png"/><Relationship Id="rId129" Type="http://schemas.openxmlformats.org/officeDocument/2006/relationships/image" Target="media/image78.png"/><Relationship Id="rId130"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47" Type="http://schemas.openxmlformats.org/officeDocument/2006/relationships/hyperlink" Target="http://www.sec.gov/Archives/edgar/data/1070423/000107042317000009/paa03312017exhibit21.htm" TargetMode="External"/><Relationship Id="rId48" Type="http://schemas.openxmlformats.org/officeDocument/2006/relationships/hyperlink" Target="http://www.sec.gov/Archives/edgar/data/1070423/000107042317000009/paa03312017exhibit22.htm" TargetMode="External"/><Relationship Id="rId49" Type="http://schemas.openxmlformats.org/officeDocument/2006/relationships/hyperlink" Target="http://www.sec.gov/Archives/edgar/data/1070423/000110465917061889/a17-22685_5ex3d1.htm#Exhibit3_1_122228" TargetMode="External"/><Relationship Id="rId50" Type="http://schemas.openxmlformats.org/officeDocument/2006/relationships/hyperlink" Target="http://www.sec.gov/Archives/edgar/data/1070423/000104746904016502/a2135501zex-3_2.htm" TargetMode="External"/><Relationship Id="rId51" Type="http://schemas.openxmlformats.org/officeDocument/2006/relationships/hyperlink" Target="http://www.sec.gov/Archives/edgar/data/1070423/000110465911010359/a11-2319_1ex3d9.htm" TargetMode="External"/><Relationship Id="rId52" Type="http://schemas.openxmlformats.org/officeDocument/2006/relationships/hyperlink" Target="http://www.sec.gov/Archives/edgar/data/1070423/000110465911010359/a11-2319_1ex3d10.htm" TargetMode="External"/><Relationship Id="rId53" Type="http://schemas.openxmlformats.org/officeDocument/2006/relationships/hyperlink" Target="http://www.sec.gov/Archives/edgar/data/1070423/000110465914014322/a13-25941_1ex3d7.htm" TargetMode="External"/><Relationship Id="rId54" Type="http://schemas.openxmlformats.org/officeDocument/2006/relationships/hyperlink" Target="http://www.sec.gov/Archives/edgar/data/1070423/000110465914014322/a13-25941_1ex3d8.htm" TargetMode="External"/><Relationship Id="rId55" Type="http://schemas.openxmlformats.org/officeDocument/2006/relationships/hyperlink" Target="http://www.sec.gov/Archives/edgar/data/1070423/000104746904016502/a2135501zex-3_3.htm" TargetMode="External"/><Relationship Id="rId56" Type="http://schemas.openxmlformats.org/officeDocument/2006/relationships/hyperlink" Target="http://www.sec.gov/Archives/edgar/data/1070423/000110465914014322/a13-25941_1ex3d10.htm" TargetMode="External"/><Relationship Id="rId57" Type="http://schemas.openxmlformats.org/officeDocument/2006/relationships/hyperlink" Target="http://www.sec.gov/Archives/edgar/data/1070423/000110465916158355/a16-21841_1ex3d3.htm" TargetMode="External"/><Relationship Id="rId58" Type="http://schemas.openxmlformats.org/officeDocument/2006/relationships/hyperlink" Target="http://www.sec.gov/Archives/edgar/data/1070423/000110465916158355/a16-21841_1ex3d4.htm" TargetMode="External"/><Relationship Id="rId59" Type="http://schemas.openxmlformats.org/officeDocument/2006/relationships/hyperlink" Target="http://www.sec.gov/Archives/edgar/data/1070423/000095012907001096/h43224exv3w10.htm" TargetMode="External"/><Relationship Id="rId60" Type="http://schemas.openxmlformats.org/officeDocument/2006/relationships/hyperlink" Target="http://www.sec.gov/Archives/edgar/data/1070423/000095012907001096/h43224exv3w11.htm" TargetMode="External"/><Relationship Id="rId61" Type="http://schemas.openxmlformats.org/officeDocument/2006/relationships/hyperlink" Target="http://www.sec.gov/Archives/edgar/data/1070423/000095012908000071/h52770exv3w3.htm" TargetMode="External"/><Relationship Id="rId62" Type="http://schemas.openxmlformats.org/officeDocument/2006/relationships/hyperlink" Target="http://www.sec.gov/Archives/edgar/data/1581990/000104746913007875/a2216069zex-3_1.htm" TargetMode="External"/><Relationship Id="rId63" Type="http://schemas.openxmlformats.org/officeDocument/2006/relationships/hyperlink" Target="http://www.sec.gov/Archives/edgar/data/1581990/000110465916158356/a16-21845_1ex3d2.htm" TargetMode="External"/><Relationship Id="rId64" Type="http://schemas.openxmlformats.org/officeDocument/2006/relationships/hyperlink" Target="http://www.sec.gov/Archives/edgar/data/1581990/000104746913007875/a2216069zex-3_3.htm" TargetMode="External"/><Relationship Id="rId65" Type="http://schemas.openxmlformats.org/officeDocument/2006/relationships/hyperlink" Target="http://www.sec.gov/Archives/edgar/data/1070423/000110465917010601/a17-6891_1ex3d1.htm" TargetMode="External"/><Relationship Id="rId66" Type="http://schemas.openxmlformats.org/officeDocument/2006/relationships/hyperlink" Target="http://www.sec.gov/Archives/edgar/data/1070423/000089924302002834/dex41.txt" TargetMode="External"/><Relationship Id="rId67" Type="http://schemas.openxmlformats.org/officeDocument/2006/relationships/hyperlink" Target="http://www.sec.gov/Archives/edgar/data/1070423/000110465906034368/a06-11663_1ex4d1.htm" TargetMode="External"/><Relationship Id="rId68" Type="http://schemas.openxmlformats.org/officeDocument/2006/relationships/hyperlink" Target="http://www.sec.gov/Archives/edgar/data/1070423/000095012906009235/h40667exv4w2.htm" TargetMode="External"/><Relationship Id="rId69" Type="http://schemas.openxmlformats.org/officeDocument/2006/relationships/hyperlink" Target="http://www.sec.gov/Archives/edgar/data/1070423/000095012908002385/h55990exv4w1.htm" TargetMode="External"/><Relationship Id="rId70" Type="http://schemas.openxmlformats.org/officeDocument/2006/relationships/hyperlink" Target="http://www.sec.gov/Archives/edgar/data/1070423/000095013409007842/h66460exv4w1.htm" TargetMode="External"/><Relationship Id="rId71" Type="http://schemas.openxmlformats.org/officeDocument/2006/relationships/hyperlink" Target="http://www.sec.gov/Archives/edgar/data/1070423/000095012309041075/h67912exv4w1.htm" TargetMode="External"/><Relationship Id="rId72" Type="http://schemas.openxmlformats.org/officeDocument/2006/relationships/hyperlink" Target="http://www.sec.gov/Archives/edgar/data/1070423/000095012311002051/h78739exv4w1.htm" TargetMode="External"/><Relationship Id="rId73" Type="http://schemas.openxmlformats.org/officeDocument/2006/relationships/hyperlink" Target="http://www.sec.gov/Archives/edgar/data/1070423/000119312512132295/d321017dex41.htm" TargetMode="External"/><Relationship Id="rId74" Type="http://schemas.openxmlformats.org/officeDocument/2006/relationships/hyperlink" Target="http://www.sec.gov/Archives/edgar/data/1070423/000119312512132295/d321017dex43.htm" TargetMode="External"/><Relationship Id="rId75" Type="http://schemas.openxmlformats.org/officeDocument/2006/relationships/hyperlink" Target="http://www.sec.gov/Archives/edgar/data/1070423/000119312512499932/d453762dex41.htm" TargetMode="External"/><Relationship Id="rId76" Type="http://schemas.openxmlformats.org/officeDocument/2006/relationships/hyperlink" Target="http://www.sec.gov/Archives/edgar/data/1070423/000119312512499932/d453762dex43.htm" TargetMode="External"/><Relationship Id="rId77" Type="http://schemas.openxmlformats.org/officeDocument/2006/relationships/hyperlink" Target="http://www.sec.gov/Archives/edgar/data/1070423/000119312513336066/d581734dex41.htm" TargetMode="External"/><Relationship Id="rId78" Type="http://schemas.openxmlformats.org/officeDocument/2006/relationships/hyperlink" Target="http://www.sec.gov/Archives/edgar/data/1070423/000119312514164183/d713938dex41.htm" TargetMode="External"/><Relationship Id="rId79" Type="http://schemas.openxmlformats.org/officeDocument/2006/relationships/hyperlink" Target="http://www.sec.gov/Archives/edgar/data/1070423/000119312514338289/d787160dex41.htm" TargetMode="External"/><Relationship Id="rId80" Type="http://schemas.openxmlformats.org/officeDocument/2006/relationships/hyperlink" Target="http://www.sec.gov/Archives/edgar/data/1070423/000119312514440007/d833885dex41.htm" TargetMode="External"/><Relationship Id="rId81" Type="http://schemas.openxmlformats.org/officeDocument/2006/relationships/hyperlink" Target="http://www.sec.gov/Archives/edgar/data/1070423/000119312514440007/d833885dex43.htm" TargetMode="External"/><Relationship Id="rId82" Type="http://schemas.openxmlformats.org/officeDocument/2006/relationships/hyperlink" Target="http://www.sec.gov/Archives/edgar/data/1070423/000119312515302829/d45393dex41.htm" TargetMode="External"/><Relationship Id="rId83" Type="http://schemas.openxmlformats.org/officeDocument/2006/relationships/hyperlink" Target="http://www.sec.gov/Archives/edgar/data/1070423/000110465916159593/a16-22232_1ex4d1.htm" TargetMode="External"/><Relationship Id="rId84" Type="http://schemas.openxmlformats.org/officeDocument/2006/relationships/hyperlink" Target="http://www.sec.gov/Archives/edgar/data/1070423/000095012309050401/h68193exv4w1.htm" TargetMode="External"/><Relationship Id="rId85" Type="http://schemas.openxmlformats.org/officeDocument/2006/relationships/hyperlink" Target="http://www.sec.gov/Archives/edgar/data/1070423/000110465916093299/a16-3362_1ex4d1.htm" TargetMode="External"/><Relationship Id="rId86" Type="http://schemas.openxmlformats.org/officeDocument/2006/relationships/hyperlink" Target="http://www.sec.gov/Archives/edgar/data/1070423/000110465916158355/a16-21841_1ex10d4.htm" TargetMode="External"/><Relationship Id="rId87" Type="http://schemas.openxmlformats.org/officeDocument/2006/relationships/hyperlink" Target="http://www.sec.gov/Archives/edgar/data/1070423/000107042317000009/paa03312017exhibit101.htm" TargetMode="External"/><Relationship Id="rId88" Type="http://schemas.openxmlformats.org/officeDocument/2006/relationships/hyperlink" Target="http://www.sec.gov/Archives/edgar/data/1070423/000107042317000009/paa03312017exhibit102.htm" TargetMode="External"/><Relationship Id="rId89" Type="http://schemas.openxmlformats.org/officeDocument/2006/relationships/hyperlink" Target="http://www.sec.gov/Archives/edgar/data/1070423/000107042317000009/paa03312017exhibit103.htm" TargetMode="External"/><Relationship Id="rId90" Type="http://schemas.openxmlformats.org/officeDocument/2006/relationships/hyperlink" Target="http://www.sec.gov/Archives/edgar/data/1070423/000107042317000015/paa06302017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2020-01-18T17:53:18Z</dcterms:created>
  <dcterms:modified xsi:type="dcterms:W3CDTF">2020-01-18T17:53:18Z</dcterms:modified>
</cp:coreProperties>
</file>