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3"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-621665</wp:posOffset>
            </wp:positionV>
            <wp:extent cx="57785" cy="635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8580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8580120"/>
                    </a:xfrm>
                    <a:prstGeom prst="rect">
                      <a:avLst/>
                    </a:prstGeom>
                    <a:noFill/>
                  </pic:spPr>
                </pic:pic>
              </a:graphicData>
            </a:graphic>
          </wp:anchor>
        </w:drawing>
      </w:r>
    </w:p>
    <w:p>
      <w:pPr>
        <w:spacing w:after="0" w:line="32" w:lineRule="exact"/>
        <w:rPr>
          <w:sz w:val="24"/>
          <w:szCs w:val="24"/>
          <w:color w:val="auto"/>
        </w:rPr>
      </w:pPr>
    </w:p>
    <w:p>
      <w:pPr>
        <w:sectPr>
          <w:pgSz w:w="11900" w:h="16922" w:orient="portrait"/>
          <w:cols w:equalWidth="0" w:num="2">
            <w:col w:w="2240" w:space="340"/>
            <w:col w:w="8500"/>
          </w:cols>
          <w:pgMar w:left="460" w:top="221"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12"/>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20" w:type="dxa"/>
            <w:vAlign w:val="bottom"/>
            <w:gridSpan w:val="4"/>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KAFU Holdings (QP), L.P.</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13"/>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PLAINS GP HOLDINGS LP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PAGP</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40" w:type="dxa"/>
            <w:vAlign w:val="bottom"/>
          </w:tcPr>
          <w:p>
            <w:pPr>
              <w:spacing w:after="0"/>
              <w:rPr>
                <w:sz w:val="8"/>
                <w:szCs w:val="8"/>
                <w:color w:val="auto"/>
              </w:rPr>
            </w:pPr>
          </w:p>
        </w:tc>
        <w:tc>
          <w:tcPr>
            <w:tcW w:w="15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00" w:type="dxa"/>
            <w:vAlign w:val="bottom"/>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300" w:type="dxa"/>
            <w:vAlign w:val="bottom"/>
            <w:gridSpan w:val="4"/>
            <w:vMerge w:val="restart"/>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13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40" w:type="dxa"/>
            <w:vAlign w:val="bottom"/>
            <w:gridSpan w:val="3"/>
            <w:vMerge w:val="restart"/>
          </w:tcPr>
          <w:p>
            <w:pPr>
              <w:ind w:left="5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8"/>
                <w:szCs w:val="8"/>
                <w:color w:val="auto"/>
              </w:rPr>
            </w:pPr>
          </w:p>
        </w:tc>
        <w:tc>
          <w:tcPr>
            <w:tcW w:w="2920" w:type="dxa"/>
            <w:vAlign w:val="bottom"/>
            <w:gridSpan w:val="12"/>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3"/>
                <w:szCs w:val="13"/>
                <w:color w:val="auto"/>
                <w:w w:val="99"/>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12"/>
            <w:vMerge w:val="continue"/>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1800 AVENUE OF THE STARS, 3RD FLOOR</w:t>
            </w:r>
          </w:p>
        </w:tc>
        <w:tc>
          <w:tcPr>
            <w:tcW w:w="1420" w:type="dxa"/>
            <w:vAlign w:val="bottom"/>
            <w:gridSpan w:val="9"/>
          </w:tcPr>
          <w:p>
            <w:pPr>
              <w:ind w:left="140"/>
              <w:spacing w:after="0"/>
              <w:rPr>
                <w:sz w:val="20"/>
                <w:szCs w:val="20"/>
                <w:color w:val="auto"/>
              </w:rPr>
            </w:pPr>
            <w:r>
              <w:rPr>
                <w:rFonts w:ascii="Arial" w:cs="Arial" w:eastAsia="Arial" w:hAnsi="Arial"/>
                <w:sz w:val="17"/>
                <w:szCs w:val="17"/>
                <w:color w:val="0000FF"/>
              </w:rPr>
              <w:t>06/30/2021</w:t>
            </w: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gridSpan w:val="3"/>
          </w:tcPr>
          <w:p>
            <w:pPr>
              <w:jc w:val="center"/>
              <w:ind w:left="200"/>
              <w:spacing w:after="0"/>
              <w:rPr>
                <w:sz w:val="20"/>
                <w:szCs w:val="20"/>
                <w:color w:val="auto"/>
              </w:rPr>
            </w:pPr>
            <w:r>
              <w:rPr>
                <w:rFonts w:ascii="Arial" w:cs="Arial" w:eastAsia="Arial" w:hAnsi="Arial"/>
                <w:sz w:val="17"/>
                <w:szCs w:val="17"/>
                <w:color w:val="0000FF"/>
                <w:w w:val="82"/>
              </w:rPr>
              <w:t>See remarks</w:t>
            </w: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gridSpan w:val="2"/>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940" w:type="dxa"/>
            <w:vAlign w:val="bottom"/>
            <w:tcBorders>
              <w:bottom w:val="single" w:sz="8" w:color="2C2C2C"/>
            </w:tcBorders>
            <w:gridSpan w:val="5"/>
          </w:tcPr>
          <w:p>
            <w:pPr>
              <w:spacing w:after="0"/>
              <w:rPr>
                <w:sz w:val="16"/>
                <w:szCs w:val="16"/>
                <w:color w:val="auto"/>
              </w:rPr>
            </w:pPr>
          </w:p>
        </w:tc>
        <w:tc>
          <w:tcPr>
            <w:tcW w:w="920" w:type="dxa"/>
            <w:vAlign w:val="bottom"/>
            <w:tcBorders>
              <w:bottom w:val="single" w:sz="8" w:color="2C2C2C"/>
            </w:tcBorders>
            <w:gridSpan w:val="2"/>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160" w:type="dxa"/>
            <w:vAlign w:val="bottom"/>
            <w:tcBorders>
              <w:bottom w:val="single" w:sz="8" w:color="2C2C2C"/>
            </w:tcBorders>
            <w:gridSpan w:val="8"/>
          </w:tcPr>
          <w:p>
            <w:pPr>
              <w:spacing w:after="0"/>
              <w:rPr>
                <w:sz w:val="16"/>
                <w:szCs w:val="16"/>
                <w:color w:val="auto"/>
              </w:rPr>
            </w:pP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680" w:type="dxa"/>
            <w:vAlign w:val="bottom"/>
            <w:shd w:val="clear" w:color="auto" w:fill="EEEEEE"/>
          </w:tcPr>
          <w:p>
            <w:pPr>
              <w:spacing w:after="0" w:line="20" w:lineRule="exact"/>
              <w:rPr>
                <w:sz w:val="1"/>
                <w:szCs w:val="1"/>
                <w:color w:val="auto"/>
              </w:rPr>
            </w:pPr>
          </w:p>
        </w:tc>
        <w:tc>
          <w:tcPr>
            <w:tcW w:w="72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22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440" w:type="dxa"/>
            <w:vAlign w:val="bottom"/>
          </w:tcPr>
          <w:p>
            <w:pPr>
              <w:spacing w:after="0" w:line="20" w:lineRule="exact"/>
              <w:rPr>
                <w:sz w:val="1"/>
                <w:szCs w:val="1"/>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3"/>
            <w:vMerge w:val="continue"/>
          </w:tcPr>
          <w:p>
            <w:pPr>
              <w:spacing w:after="0"/>
              <w:rPr>
                <w:sz w:val="13"/>
                <w:szCs w:val="13"/>
                <w:color w:val="auto"/>
              </w:rPr>
            </w:pPr>
          </w:p>
        </w:tc>
        <w:tc>
          <w:tcPr>
            <w:tcW w:w="440" w:type="dxa"/>
            <w:vAlign w:val="bottom"/>
          </w:tcPr>
          <w:p>
            <w:pPr>
              <w:spacing w:after="0"/>
              <w:rPr>
                <w:sz w:val="13"/>
                <w:szCs w:val="13"/>
                <w:color w:val="auto"/>
              </w:rPr>
            </w:pPr>
          </w:p>
        </w:tc>
        <w:tc>
          <w:tcPr>
            <w:tcW w:w="340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20" w:type="dxa"/>
            <w:vAlign w:val="bottom"/>
            <w:gridSpan w:val="4"/>
            <w:vMerge w:val="restart"/>
          </w:tcPr>
          <w:p>
            <w:pPr>
              <w:spacing w:after="0"/>
              <w:rPr>
                <w:sz w:val="20"/>
                <w:szCs w:val="20"/>
                <w:color w:val="auto"/>
              </w:rPr>
            </w:pPr>
            <w:r>
              <w:rPr>
                <w:rFonts w:ascii="Arial" w:cs="Arial" w:eastAsia="Arial" w:hAnsi="Arial"/>
                <w:sz w:val="17"/>
                <w:szCs w:val="17"/>
                <w:color w:val="0000FF"/>
              </w:rPr>
              <w:t>LOS ANGELES CA</w:t>
            </w:r>
          </w:p>
        </w:tc>
        <w:tc>
          <w:tcPr>
            <w:tcW w:w="1220" w:type="dxa"/>
            <w:vAlign w:val="bottom"/>
            <w:vMerge w:val="restart"/>
          </w:tcPr>
          <w:p>
            <w:pPr>
              <w:ind w:left="20"/>
              <w:spacing w:after="0"/>
              <w:rPr>
                <w:sz w:val="20"/>
                <w:szCs w:val="20"/>
                <w:color w:val="auto"/>
              </w:rPr>
            </w:pPr>
            <w:r>
              <w:rPr>
                <w:rFonts w:ascii="Arial" w:cs="Arial" w:eastAsia="Arial" w:hAnsi="Arial"/>
                <w:sz w:val="17"/>
                <w:szCs w:val="17"/>
                <w:color w:val="0000FF"/>
              </w:rPr>
              <w:t>90067</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4"/>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8"/>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80" w:type="dxa"/>
            <w:vAlign w:val="bottom"/>
            <w:gridSpan w:val="8"/>
          </w:tcPr>
          <w:p>
            <w:pPr>
              <w:ind w:left="18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40" w:type="dxa"/>
            <w:vAlign w:val="bottom"/>
            <w:gridSpan w:val="3"/>
            <w:vMerge w:val="restart"/>
          </w:tcPr>
          <w:p>
            <w:pPr>
              <w:ind w:left="540"/>
              <w:spacing w:after="0"/>
              <w:rPr>
                <w:sz w:val="20"/>
                <w:szCs w:val="20"/>
                <w:color w:val="auto"/>
              </w:rPr>
            </w:pPr>
            <w:r>
              <w:rPr>
                <w:rFonts w:ascii="Arial" w:cs="Arial" w:eastAsia="Arial" w:hAnsi="Arial"/>
                <w:sz w:val="13"/>
                <w:szCs w:val="13"/>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5"/>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720" w:type="dxa"/>
            <w:vAlign w:val="bottom"/>
            <w:tcBorders>
              <w:top w:val="single" w:sz="8" w:color="2C2C2C"/>
            </w:tcBorders>
            <w:gridSpan w:val="23"/>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4"/>
          </w:tcPr>
          <w:p>
            <w:pPr>
              <w:ind w:left="5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6"/>
          </w:tcPr>
          <w:p>
            <w:pPr>
              <w:ind w:left="40"/>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19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w w:val="98"/>
              </w:rPr>
              <w:t>5. Amount of</w:t>
            </w:r>
          </w:p>
        </w:tc>
        <w:tc>
          <w:tcPr>
            <w:tcW w:w="1180" w:type="dxa"/>
            <w:vAlign w:val="bottom"/>
            <w:gridSpan w:val="3"/>
          </w:tcPr>
          <w:p>
            <w:pPr>
              <w:ind w:left="400"/>
              <w:spacing w:after="0"/>
              <w:rPr>
                <w:sz w:val="20"/>
                <w:szCs w:val="20"/>
                <w:color w:val="auto"/>
              </w:rPr>
            </w:pPr>
            <w:r>
              <w:rPr>
                <w:rFonts w:ascii="Arial" w:cs="Arial" w:eastAsia="Arial" w:hAnsi="Arial"/>
                <w:sz w:val="12"/>
                <w:szCs w:val="12"/>
                <w:b w:val="1"/>
                <w:bCs w:val="1"/>
                <w:color w:val="auto"/>
              </w:rPr>
              <w:t>6. Ownership</w:t>
            </w:r>
          </w:p>
        </w:tc>
        <w:tc>
          <w:tcPr>
            <w:tcW w:w="130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ind w:left="54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6"/>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6"/>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Securities</w:t>
            </w:r>
          </w:p>
        </w:tc>
        <w:tc>
          <w:tcPr>
            <w:tcW w:w="1180" w:type="dxa"/>
            <w:vAlign w:val="bottom"/>
            <w:gridSpan w:val="3"/>
          </w:tcPr>
          <w:p>
            <w:pPr>
              <w:ind w:left="400"/>
              <w:spacing w:after="0" w:line="125" w:lineRule="exact"/>
              <w:rPr>
                <w:sz w:val="20"/>
                <w:szCs w:val="20"/>
                <w:color w:val="auto"/>
              </w:rPr>
            </w:pPr>
            <w:r>
              <w:rPr>
                <w:rFonts w:ascii="Arial" w:cs="Arial" w:eastAsia="Arial" w:hAnsi="Arial"/>
                <w:sz w:val="12"/>
                <w:szCs w:val="12"/>
                <w:b w:val="1"/>
                <w:bCs w:val="1"/>
                <w:color w:val="auto"/>
              </w:rPr>
              <w:t>Form: Direct</w:t>
            </w:r>
          </w:p>
        </w:tc>
        <w:tc>
          <w:tcPr>
            <w:tcW w:w="1300" w:type="dxa"/>
            <w:vAlign w:val="bottom"/>
            <w:gridSpan w:val="4"/>
          </w:tcPr>
          <w:p>
            <w:pPr>
              <w:ind w:left="120"/>
              <w:spacing w:after="0" w:line="125"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gridSpan w:val="4"/>
          </w:tcPr>
          <w:p>
            <w:pPr>
              <w:ind w:left="540"/>
              <w:spacing w:after="0" w:line="128"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3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1180" w:type="dxa"/>
            <w:vAlign w:val="bottom"/>
            <w:gridSpan w:val="3"/>
          </w:tcPr>
          <w:p>
            <w:pPr>
              <w:ind w:left="400"/>
              <w:spacing w:after="0" w:line="128" w:lineRule="exact"/>
              <w:rPr>
                <w:sz w:val="20"/>
                <w:szCs w:val="20"/>
                <w:color w:val="auto"/>
              </w:rPr>
            </w:pPr>
            <w:r>
              <w:rPr>
                <w:rFonts w:ascii="Arial" w:cs="Arial" w:eastAsia="Arial" w:hAnsi="Arial"/>
                <w:sz w:val="12"/>
                <w:szCs w:val="12"/>
                <w:b w:val="1"/>
                <w:bCs w:val="1"/>
                <w:color w:val="auto"/>
                <w:w w:val="96"/>
              </w:rPr>
              <w:t>(D) or Indirect</w:t>
            </w:r>
          </w:p>
        </w:tc>
        <w:tc>
          <w:tcPr>
            <w:tcW w:w="130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Owned Following   (I) (Instr. 4)</w:t>
            </w:r>
          </w:p>
        </w:tc>
        <w:tc>
          <w:tcPr>
            <w:tcW w:w="4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restart"/>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380" w:type="dxa"/>
            <w:vAlign w:val="bottom"/>
            <w:vMerge w:val="restart"/>
          </w:tcPr>
          <w:p>
            <w:pPr>
              <w:jc w:val="center"/>
              <w:ind w:right="5"/>
              <w:spacing w:after="0"/>
              <w:rPr>
                <w:sz w:val="20"/>
                <w:szCs w:val="20"/>
                <w:color w:val="auto"/>
              </w:rPr>
            </w:pPr>
            <w:r>
              <w:rPr>
                <w:rFonts w:ascii="Arial" w:cs="Arial" w:eastAsia="Arial" w:hAnsi="Arial"/>
                <w:sz w:val="12"/>
                <w:szCs w:val="12"/>
                <w:b w:val="1"/>
                <w:bCs w:val="1"/>
                <w:color w:val="auto"/>
                <w:w w:val="99"/>
              </w:rPr>
              <w:t>V</w:t>
            </w: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3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4"/>
            <w:vMerge w:val="restart"/>
          </w:tcPr>
          <w:p>
            <w:pPr>
              <w:ind w:left="640"/>
              <w:spacing w:after="0"/>
              <w:rPr>
                <w:sz w:val="20"/>
                <w:szCs w:val="20"/>
                <w:color w:val="auto"/>
              </w:rPr>
            </w:pPr>
            <w:r>
              <w:rPr>
                <w:rFonts w:ascii="Arial" w:cs="Arial" w:eastAsia="Arial" w:hAnsi="Arial"/>
                <w:sz w:val="17"/>
                <w:szCs w:val="17"/>
                <w:color w:val="0000FF"/>
              </w:rPr>
              <w:t>06/30/2021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vMerge w:val="restart"/>
          </w:tcPr>
          <w:p>
            <w:pPr>
              <w:ind w:left="180"/>
              <w:spacing w:after="0"/>
              <w:rPr>
                <w:sz w:val="20"/>
                <w:szCs w:val="20"/>
                <w:color w:val="auto"/>
              </w:rPr>
            </w:pPr>
            <w:r>
              <w:rPr>
                <w:rFonts w:ascii="Arial" w:cs="Arial" w:eastAsia="Arial" w:hAnsi="Arial"/>
                <w:sz w:val="13"/>
                <w:szCs w:val="13"/>
                <w:color w:val="0000FF"/>
              </w:rPr>
              <w:t>J</w:t>
            </w:r>
          </w:p>
        </w:tc>
        <w:tc>
          <w:tcPr>
            <w:tcW w:w="380" w:type="dxa"/>
            <w:vAlign w:val="bottom"/>
          </w:tcPr>
          <w:p>
            <w:pPr>
              <w:spacing w:after="0"/>
              <w:rPr>
                <w:sz w:val="21"/>
                <w:szCs w:val="2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0000FF"/>
              </w:rPr>
              <w:t>25,554</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0000FF"/>
                <w:w w:val="92"/>
              </w:rPr>
              <w:t>25,554</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460" w:type="dxa"/>
            <w:vAlign w:val="bottom"/>
          </w:tcPr>
          <w:p>
            <w:pPr>
              <w:ind w:left="120"/>
              <w:spacing w:after="0"/>
              <w:rPr>
                <w:sz w:val="20"/>
                <w:szCs w:val="20"/>
                <w:color w:val="auto"/>
              </w:rPr>
            </w:pPr>
            <w:r>
              <w:rPr>
                <w:rFonts w:ascii="Arial" w:cs="Arial" w:eastAsia="Arial" w:hAnsi="Arial"/>
                <w:sz w:val="17"/>
                <w:szCs w:val="17"/>
                <w:color w:val="0000FF"/>
              </w:rPr>
              <w:t>See</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1300" w:type="dxa"/>
            <w:vAlign w:val="bottom"/>
            <w:gridSpan w:val="4"/>
            <w:vMerge w:val="restart"/>
          </w:tcPr>
          <w:p>
            <w:pPr>
              <w:ind w:left="120"/>
              <w:spacing w:after="0"/>
              <w:rPr>
                <w:sz w:val="20"/>
                <w:szCs w:val="20"/>
                <w:color w:val="auto"/>
              </w:rPr>
            </w:pPr>
            <w:r>
              <w:rPr>
                <w:rFonts w:ascii="Arial" w:cs="Arial" w:eastAsia="Arial" w:hAnsi="Arial"/>
                <w:sz w:val="17"/>
                <w:szCs w:val="17"/>
                <w:color w:val="0000FF"/>
                <w:w w:val="93"/>
              </w:rPr>
              <w:t>footnotes</w:t>
            </w:r>
            <w:r>
              <w:rPr>
                <w:rFonts w:ascii="Arial" w:cs="Arial" w:eastAsia="Arial" w:hAnsi="Arial"/>
                <w:sz w:val="21"/>
                <w:szCs w:val="21"/>
                <w:color w:val="008000"/>
                <w:w w:val="93"/>
                <w:vertAlign w:val="superscript"/>
              </w:rPr>
              <w:t>(1)(2)(3)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50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580" w:type="dxa"/>
            <w:vAlign w:val="bottom"/>
            <w:tcBorders>
              <w:top w:val="single" w:sz="8" w:color="2C2C2C"/>
            </w:tcBorders>
            <w:gridSpan w:val="4"/>
            <w:vMerge w:val="restart"/>
          </w:tcPr>
          <w:p>
            <w:pPr>
              <w:ind w:left="640"/>
              <w:spacing w:after="0"/>
              <w:rPr>
                <w:sz w:val="20"/>
                <w:szCs w:val="20"/>
                <w:color w:val="auto"/>
              </w:rPr>
            </w:pPr>
            <w:r>
              <w:rPr>
                <w:rFonts w:ascii="Arial" w:cs="Arial" w:eastAsia="Arial" w:hAnsi="Arial"/>
                <w:sz w:val="17"/>
                <w:szCs w:val="17"/>
                <w:color w:val="0000FF"/>
              </w:rPr>
              <w:t>06/30/2021</w:t>
            </w: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J</w:t>
            </w:r>
          </w:p>
        </w:tc>
        <w:tc>
          <w:tcPr>
            <w:tcW w:w="3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gridSpan w:val="2"/>
            <w:vMerge w:val="restart"/>
          </w:tcPr>
          <w:p>
            <w:pPr>
              <w:jc w:val="right"/>
              <w:ind w:right="180"/>
              <w:spacing w:after="0"/>
              <w:rPr>
                <w:sz w:val="20"/>
                <w:szCs w:val="20"/>
                <w:color w:val="auto"/>
              </w:rPr>
            </w:pPr>
            <w:r>
              <w:rPr>
                <w:rFonts w:ascii="Arial" w:cs="Arial" w:eastAsia="Arial" w:hAnsi="Arial"/>
                <w:sz w:val="17"/>
                <w:szCs w:val="17"/>
                <w:color w:val="0000FF"/>
              </w:rPr>
              <w:t>25,554</w:t>
            </w:r>
          </w:p>
        </w:tc>
        <w:tc>
          <w:tcPr>
            <w:tcW w:w="48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D</w:t>
            </w:r>
          </w:p>
        </w:tc>
        <w:tc>
          <w:tcPr>
            <w:tcW w:w="4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right"/>
              <w:ind w:right="132"/>
              <w:spacing w:after="0"/>
              <w:rPr>
                <w:sz w:val="20"/>
                <w:szCs w:val="20"/>
                <w:color w:val="auto"/>
              </w:rPr>
            </w:pPr>
            <w:r>
              <w:rPr>
                <w:rFonts w:ascii="Arial" w:cs="Arial" w:eastAsia="Arial" w:hAnsi="Arial"/>
                <w:sz w:val="17"/>
                <w:szCs w:val="17"/>
                <w:color w:val="0000FF"/>
              </w:rPr>
              <w:t>0</w:t>
            </w:r>
          </w:p>
        </w:tc>
        <w:tc>
          <w:tcPr>
            <w:tcW w:w="6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460" w:type="dxa"/>
            <w:vAlign w:val="bottom"/>
            <w:tcBorders>
              <w:top w:val="single" w:sz="8" w:color="2C2C2C"/>
            </w:tcBorders>
          </w:tcPr>
          <w:p>
            <w:pPr>
              <w:ind w:left="120"/>
              <w:spacing w:after="0"/>
              <w:rPr>
                <w:sz w:val="20"/>
                <w:szCs w:val="20"/>
                <w:color w:val="auto"/>
              </w:rPr>
            </w:pPr>
            <w:r>
              <w:rPr>
                <w:rFonts w:ascii="Arial" w:cs="Arial" w:eastAsia="Arial" w:hAnsi="Arial"/>
                <w:sz w:val="17"/>
                <w:szCs w:val="17"/>
                <w:color w:val="0000FF"/>
              </w:rPr>
              <w:t>See</w:t>
            </w:r>
          </w:p>
        </w:tc>
        <w:tc>
          <w:tcPr>
            <w:tcW w:w="7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1300" w:type="dxa"/>
            <w:vAlign w:val="bottom"/>
            <w:gridSpan w:val="4"/>
            <w:vMerge w:val="restart"/>
          </w:tcPr>
          <w:p>
            <w:pPr>
              <w:ind w:left="120"/>
              <w:spacing w:after="0"/>
              <w:rPr>
                <w:sz w:val="20"/>
                <w:szCs w:val="20"/>
                <w:color w:val="auto"/>
              </w:rPr>
            </w:pPr>
            <w:r>
              <w:rPr>
                <w:rFonts w:ascii="Arial" w:cs="Arial" w:eastAsia="Arial" w:hAnsi="Arial"/>
                <w:sz w:val="17"/>
                <w:szCs w:val="17"/>
                <w:color w:val="0000FF"/>
                <w:w w:val="93"/>
              </w:rPr>
              <w:t>footnotes</w:t>
            </w:r>
            <w:r>
              <w:rPr>
                <w:rFonts w:ascii="Arial" w:cs="Arial" w:eastAsia="Arial" w:hAnsi="Arial"/>
                <w:sz w:val="21"/>
                <w:szCs w:val="21"/>
                <w:color w:val="008000"/>
                <w:w w:val="93"/>
                <w:vertAlign w:val="superscript"/>
              </w:rPr>
              <w:t>(1)(2)(3)</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12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13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60" w:type="dxa"/>
            <w:vAlign w:val="bottom"/>
            <w:gridSpan w:val="20"/>
          </w:tcPr>
          <w:p>
            <w:pPr>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20" w:type="dxa"/>
            <w:vAlign w:val="bottom"/>
            <w:gridSpan w:val="18"/>
          </w:tcPr>
          <w:p>
            <w:pPr>
              <w:ind w:left="70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8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w w:val="95"/>
              </w:rPr>
              <w:t>5. Number</w:t>
            </w:r>
          </w:p>
        </w:tc>
        <w:tc>
          <w:tcPr>
            <w:tcW w:w="1580" w:type="dxa"/>
            <w:vAlign w:val="bottom"/>
            <w:gridSpan w:val="4"/>
          </w:tcPr>
          <w:p>
            <w:pPr>
              <w:ind w:left="2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4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460" w:type="dxa"/>
            <w:vAlign w:val="bottom"/>
          </w:tcPr>
          <w:p>
            <w:pPr>
              <w:spacing w:after="0"/>
              <w:rPr>
                <w:sz w:val="14"/>
                <w:szCs w:val="14"/>
                <w:color w:val="auto"/>
              </w:rPr>
            </w:pPr>
          </w:p>
        </w:tc>
        <w:tc>
          <w:tcPr>
            <w:tcW w:w="8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3"/>
              </w:rPr>
              <w:t>Conversion</w:t>
            </w:r>
          </w:p>
        </w:tc>
        <w:tc>
          <w:tcPr>
            <w:tcW w:w="10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8"/>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200"/>
              <w:spacing w:after="0" w:line="128"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00" w:type="dxa"/>
            <w:vAlign w:val="bottom"/>
            <w:gridSpan w:val="2"/>
          </w:tcPr>
          <w:p>
            <w:pPr>
              <w:ind w:left="200"/>
              <w:spacing w:after="0" w:line="128" w:lineRule="exact"/>
              <w:rPr>
                <w:sz w:val="20"/>
                <w:szCs w:val="20"/>
                <w:color w:val="auto"/>
              </w:rPr>
            </w:pPr>
            <w:r>
              <w:rPr>
                <w:rFonts w:ascii="Arial" w:cs="Arial" w:eastAsia="Arial" w:hAnsi="Arial"/>
                <w:sz w:val="12"/>
                <w:szCs w:val="12"/>
                <w:b w:val="1"/>
                <w:bCs w:val="1"/>
                <w:color w:val="auto"/>
              </w:rPr>
              <w:t>Ownership</w:t>
            </w:r>
          </w:p>
        </w:tc>
        <w:tc>
          <w:tcPr>
            <w:tcW w:w="840" w:type="dxa"/>
            <w:vAlign w:val="bottom"/>
            <w:tcBorders>
              <w:right w:val="single" w:sz="8" w:color="2C2C2C"/>
            </w:tcBorders>
            <w:gridSpan w:val="3"/>
          </w:tcPr>
          <w:p>
            <w:pPr>
              <w:ind w:left="4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Exercise</w:t>
            </w:r>
          </w:p>
        </w:tc>
        <w:tc>
          <w:tcPr>
            <w:tcW w:w="22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8"/>
          </w:tcPr>
          <w:p>
            <w:pPr>
              <w:ind w:left="40"/>
              <w:spacing w:after="0" w:line="128"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4"/>
          </w:tcPr>
          <w:p>
            <w:pPr>
              <w:ind w:left="200"/>
              <w:spacing w:after="0" w:line="12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900" w:type="dxa"/>
            <w:vAlign w:val="bottom"/>
            <w:gridSpan w:val="2"/>
          </w:tcPr>
          <w:p>
            <w:pPr>
              <w:ind w:left="200"/>
              <w:spacing w:after="0" w:line="128"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(Month/Day/Year)</w:t>
            </w:r>
          </w:p>
        </w:tc>
        <w:tc>
          <w:tcPr>
            <w:tcW w:w="1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74"/>
              </w:rPr>
              <w:t>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28"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100" w:type="dxa"/>
            <w:vAlign w:val="bottom"/>
          </w:tcPr>
          <w:p>
            <w:pPr>
              <w:spacing w:after="0"/>
              <w:rPr>
                <w:sz w:val="11"/>
                <w:szCs w:val="11"/>
                <w:color w:val="auto"/>
              </w:rPr>
            </w:pPr>
          </w:p>
        </w:tc>
        <w:tc>
          <w:tcPr>
            <w:tcW w:w="900" w:type="dxa"/>
            <w:vAlign w:val="bottom"/>
            <w:gridSpan w:val="2"/>
          </w:tcPr>
          <w:p>
            <w:pPr>
              <w:ind w:left="200"/>
              <w:spacing w:after="0" w:line="128"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100" w:type="dxa"/>
            <w:vAlign w:val="bottom"/>
          </w:tcPr>
          <w:p>
            <w:pPr>
              <w:spacing w:after="0"/>
              <w:rPr>
                <w:sz w:val="11"/>
                <w:szCs w:val="11"/>
                <w:color w:val="auto"/>
              </w:rPr>
            </w:pPr>
          </w:p>
        </w:tc>
        <w:tc>
          <w:tcPr>
            <w:tcW w:w="900" w:type="dxa"/>
            <w:vAlign w:val="bottom"/>
            <w:gridSpan w:val="2"/>
          </w:tcPr>
          <w:p>
            <w:pPr>
              <w:ind w:left="200"/>
              <w:spacing w:after="0" w:line="128"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(D) (Instr.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w w:val="95"/>
              </w:rPr>
              <w:t>3, 4 and 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200"/>
              <w:spacing w:after="0" w:line="128"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220"/>
              <w:spacing w:after="0" w:line="128"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2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gridSpan w:val="3"/>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gridSpan w:val="5"/>
          </w:tcPr>
          <w:p>
            <w:pPr>
              <w:ind w:left="100"/>
              <w:spacing w:after="0"/>
              <w:rPr>
                <w:sz w:val="20"/>
                <w:szCs w:val="20"/>
                <w:color w:val="auto"/>
              </w:rPr>
            </w:pPr>
            <w:r>
              <w:rPr>
                <w:rFonts w:ascii="Arial" w:cs="Arial" w:eastAsia="Arial" w:hAnsi="Arial"/>
                <w:sz w:val="12"/>
                <w:szCs w:val="12"/>
                <w:b w:val="1"/>
                <w:bCs w:val="1"/>
                <w:color w:val="auto"/>
              </w:rPr>
              <w:t>V</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4"/>
          </w:tcPr>
          <w:p>
            <w:pPr>
              <w:ind w:left="20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vMerge w:val="restart"/>
          </w:tcPr>
          <w:p>
            <w:pPr>
              <w:ind w:left="140"/>
              <w:spacing w:after="0"/>
              <w:rPr>
                <w:sz w:val="20"/>
                <w:szCs w:val="20"/>
                <w:color w:val="auto"/>
              </w:rPr>
            </w:pPr>
            <w:r>
              <w:rPr>
                <w:rFonts w:ascii="Arial" w:cs="Arial" w:eastAsia="Arial" w:hAnsi="Arial"/>
                <w:sz w:val="13"/>
                <w:szCs w:val="13"/>
                <w:color w:val="0000FF"/>
                <w:w w:val="98"/>
              </w:rPr>
              <w:t>Class</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24" w:lineRule="exact"/>
              <w:rPr>
                <w:sz w:val="20"/>
                <w:szCs w:val="20"/>
                <w:color w:val="auto"/>
              </w:rPr>
            </w:pPr>
            <w:r>
              <w:rPr>
                <w:rFonts w:ascii="Arial" w:cs="Arial" w:eastAsia="Arial" w:hAnsi="Arial"/>
                <w:sz w:val="13"/>
                <w:szCs w:val="13"/>
                <w:color w:val="0000FF"/>
                <w:w w:val="90"/>
              </w:rPr>
              <w:t>Shares/Class</w:t>
            </w: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vMerge w:val="restart"/>
          </w:tcPr>
          <w:p>
            <w:pPr>
              <w:jc w:val="right"/>
              <w:ind w:right="45"/>
              <w:spacing w:after="0"/>
              <w:rPr>
                <w:sz w:val="20"/>
                <w:szCs w:val="20"/>
                <w:color w:val="auto"/>
              </w:rPr>
            </w:pPr>
            <w:r>
              <w:rPr>
                <w:rFonts w:ascii="Arial" w:cs="Arial" w:eastAsia="Arial" w:hAnsi="Arial"/>
                <w:sz w:val="11"/>
                <w:szCs w:val="11"/>
                <w:color w:val="008000"/>
                <w:w w:val="96"/>
              </w:rPr>
              <w:t>(1)(2)</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008000"/>
              </w:rPr>
              <w:t>(1)(2)</w:t>
            </w:r>
          </w:p>
        </w:tc>
        <w:tc>
          <w:tcPr>
            <w:tcW w:w="480" w:type="dxa"/>
            <w:vAlign w:val="bottom"/>
            <w:vMerge w:val="continue"/>
          </w:tcPr>
          <w:p>
            <w:pPr>
              <w:spacing w:after="0"/>
              <w:rPr>
                <w:sz w:val="5"/>
                <w:szCs w:val="5"/>
                <w:color w:val="auto"/>
              </w:rPr>
            </w:pPr>
          </w:p>
        </w:tc>
        <w:tc>
          <w:tcPr>
            <w:tcW w:w="5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4"/>
              </w:rPr>
              <w:t>25,554</w:t>
            </w: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gridSpan w:val="2"/>
            <w:vMerge w:val="restart"/>
          </w:tcPr>
          <w:p>
            <w:pPr>
              <w:jc w:val="right"/>
              <w:ind w:right="354"/>
              <w:spacing w:after="0"/>
              <w:rPr>
                <w:sz w:val="20"/>
                <w:szCs w:val="20"/>
                <w:color w:val="auto"/>
              </w:rPr>
            </w:pPr>
            <w:r>
              <w:rPr>
                <w:rFonts w:ascii="Arial" w:cs="Arial" w:eastAsia="Arial" w:hAnsi="Arial"/>
                <w:sz w:val="11"/>
                <w:szCs w:val="11"/>
                <w:color w:val="008000"/>
                <w:w w:val="74"/>
              </w:rPr>
              <w:t>(4)</w:t>
            </w:r>
          </w:p>
        </w:tc>
        <w:tc>
          <w:tcPr>
            <w:tcW w:w="460" w:type="dxa"/>
            <w:vAlign w:val="bottom"/>
          </w:tcPr>
          <w:p>
            <w:pPr>
              <w:spacing w:after="0"/>
              <w:rPr>
                <w:sz w:val="5"/>
                <w:szCs w:val="5"/>
                <w:color w:val="auto"/>
              </w:rPr>
            </w:pPr>
          </w:p>
        </w:tc>
        <w:tc>
          <w:tcPr>
            <w:tcW w:w="8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020" w:type="dxa"/>
            <w:vAlign w:val="bottom"/>
            <w:gridSpan w:val="2"/>
            <w:vMerge w:val="restart"/>
          </w:tcPr>
          <w:p>
            <w:pPr>
              <w:ind w:left="300"/>
              <w:spacing w:after="0" w:line="141" w:lineRule="exact"/>
              <w:rPr>
                <w:sz w:val="20"/>
                <w:szCs w:val="20"/>
                <w:color w:val="auto"/>
              </w:rPr>
            </w:pPr>
            <w:r>
              <w:rPr>
                <w:rFonts w:ascii="Arial" w:cs="Arial" w:eastAsia="Arial" w:hAnsi="Arial"/>
                <w:sz w:val="13"/>
                <w:szCs w:val="13"/>
                <w:color w:val="0000FF"/>
              </w:rPr>
              <w:t>06/30/2021</w:t>
            </w: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gridSpan w:val="2"/>
            <w:vMerge w:val="restart"/>
          </w:tcPr>
          <w:p>
            <w:pPr>
              <w:ind w:left="40"/>
              <w:spacing w:after="0" w:line="141" w:lineRule="exact"/>
              <w:rPr>
                <w:sz w:val="20"/>
                <w:szCs w:val="20"/>
                <w:color w:val="auto"/>
              </w:rPr>
            </w:pPr>
            <w:r>
              <w:rPr>
                <w:rFonts w:ascii="Arial" w:cs="Arial" w:eastAsia="Arial" w:hAnsi="Arial"/>
                <w:sz w:val="13"/>
                <w:szCs w:val="13"/>
                <w:color w:val="0000FF"/>
              </w:rPr>
              <w:t>M</w:t>
            </w: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restart"/>
          </w:tcPr>
          <w:p>
            <w:pPr>
              <w:ind w:left="360"/>
              <w:spacing w:after="0" w:line="141" w:lineRule="exact"/>
              <w:rPr>
                <w:sz w:val="20"/>
                <w:szCs w:val="20"/>
                <w:color w:val="auto"/>
              </w:rPr>
            </w:pPr>
            <w:r>
              <w:rPr>
                <w:rFonts w:ascii="Arial" w:cs="Arial" w:eastAsia="Arial" w:hAnsi="Arial"/>
                <w:sz w:val="13"/>
                <w:szCs w:val="13"/>
                <w:color w:val="0000FF"/>
              </w:rPr>
              <w:t>25,554</w:t>
            </w:r>
          </w:p>
        </w:tc>
        <w:tc>
          <w:tcPr>
            <w:tcW w:w="38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480" w:type="dxa"/>
            <w:vAlign w:val="bottom"/>
            <w:vMerge w:val="restart"/>
          </w:tcPr>
          <w:p>
            <w:pPr>
              <w:ind w:left="240"/>
              <w:spacing w:after="0" w:line="141" w:lineRule="exact"/>
              <w:rPr>
                <w:sz w:val="20"/>
                <w:szCs w:val="20"/>
                <w:color w:val="auto"/>
              </w:rPr>
            </w:pPr>
            <w:r>
              <w:rPr>
                <w:rFonts w:ascii="Arial" w:cs="Arial" w:eastAsia="Arial" w:hAnsi="Arial"/>
                <w:sz w:val="13"/>
                <w:szCs w:val="13"/>
                <w:color w:val="0000FF"/>
              </w:rPr>
              <w:t>A</w:t>
            </w: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w w:val="86"/>
              </w:rPr>
              <w:t>15,273,461</w:t>
            </w:r>
          </w:p>
        </w:tc>
        <w:tc>
          <w:tcPr>
            <w:tcW w:w="540" w:type="dxa"/>
            <w:vAlign w:val="bottom"/>
            <w:gridSpan w:val="2"/>
            <w:vMerge w:val="continue"/>
          </w:tcPr>
          <w:p>
            <w:pPr>
              <w:spacing w:after="0"/>
              <w:rPr>
                <w:sz w:val="5"/>
                <w:szCs w:val="5"/>
                <w:color w:val="auto"/>
              </w:rPr>
            </w:pPr>
          </w:p>
        </w:tc>
        <w:tc>
          <w:tcPr>
            <w:tcW w:w="460" w:type="dxa"/>
            <w:vAlign w:val="bottom"/>
            <w:vMerge w:val="restart"/>
          </w:tcPr>
          <w:p>
            <w:pPr>
              <w:ind w:left="40"/>
              <w:spacing w:after="0" w:line="141" w:lineRule="exact"/>
              <w:rPr>
                <w:sz w:val="20"/>
                <w:szCs w:val="20"/>
                <w:color w:val="auto"/>
              </w:rPr>
            </w:pPr>
            <w:r>
              <w:rPr>
                <w:rFonts w:ascii="Arial" w:cs="Arial" w:eastAsia="Arial" w:hAnsi="Arial"/>
                <w:sz w:val="13"/>
                <w:szCs w:val="13"/>
                <w:color w:val="0000FF"/>
              </w:rPr>
              <w:t>I</w:t>
            </w:r>
          </w:p>
        </w:tc>
        <w:tc>
          <w:tcPr>
            <w:tcW w:w="8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A Units/GP</w:t>
            </w:r>
          </w:p>
        </w:tc>
        <w:tc>
          <w:tcPr>
            <w:tcW w:w="72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840" w:type="dxa"/>
            <w:vAlign w:val="bottom"/>
            <w:tcBorders>
              <w:right w:val="single" w:sz="8" w:color="2C2C2C"/>
            </w:tcBorders>
            <w:gridSpan w:val="3"/>
            <w:vMerge w:val="restart"/>
          </w:tcPr>
          <w:p>
            <w:pPr>
              <w:ind w:left="40"/>
              <w:spacing w:after="0" w:line="157"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(1)(2)</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vMerge w:val="restart"/>
          </w:tcPr>
          <w:p>
            <w:pPr>
              <w:ind w:left="100"/>
              <w:spacing w:after="0"/>
              <w:rPr>
                <w:sz w:val="20"/>
                <w:szCs w:val="20"/>
                <w:color w:val="auto"/>
              </w:rPr>
            </w:pPr>
            <w:r>
              <w:rPr>
                <w:rFonts w:ascii="Arial" w:cs="Arial" w:eastAsia="Arial" w:hAnsi="Arial"/>
                <w:sz w:val="13"/>
                <w:szCs w:val="13"/>
                <w:color w:val="0000FF"/>
                <w:w w:val="87"/>
              </w:rPr>
              <w:t>Shares</w:t>
            </w:r>
          </w:p>
        </w:tc>
        <w:tc>
          <w:tcPr>
            <w:tcW w:w="5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2520" w:type="dxa"/>
            <w:vAlign w:val="bottom"/>
            <w:tcBorders>
              <w:top w:val="single" w:sz="8" w:color="2C2C2C"/>
            </w:tcBorders>
            <w:gridSpan w:val="5"/>
          </w:tcPr>
          <w:p>
            <w:pPr>
              <w:ind w:left="60"/>
              <w:spacing w:after="0" w:line="233"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4"/>
          </w:tcPr>
          <w:p>
            <w:pPr>
              <w:spacing w:after="0" w:line="213" w:lineRule="exact"/>
              <w:rPr>
                <w:rFonts w:ascii="Arial" w:cs="Arial" w:eastAsia="Arial" w:hAnsi="Arial"/>
                <w:sz w:val="20"/>
                <w:szCs w:val="20"/>
                <w:color w:val="0000EE"/>
              </w:rPr>
            </w:pPr>
            <w:hyperlink r:id="rId12">
              <w:r>
                <w:rPr>
                  <w:rFonts w:ascii="Arial" w:cs="Arial" w:eastAsia="Arial" w:hAnsi="Arial"/>
                  <w:sz w:val="20"/>
                  <w:szCs w:val="20"/>
                  <w:color w:val="0000EE"/>
                </w:rPr>
                <w:t>KAFU Holdings (QP), L.P.</w:t>
              </w:r>
            </w:hyperlink>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72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22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1800 AVENUE OF THE STARS, 3RD FLOOR</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020" w:type="dxa"/>
            <w:vAlign w:val="bottom"/>
            <w:gridSpan w:val="2"/>
          </w:tcPr>
          <w:p>
            <w:pPr>
              <w:spacing w:after="0"/>
              <w:rPr>
                <w:sz w:val="20"/>
                <w:szCs w:val="20"/>
                <w:color w:val="auto"/>
              </w:rPr>
            </w:pPr>
            <w:r>
              <w:rPr>
                <w:rFonts w:ascii="Arial" w:cs="Arial" w:eastAsia="Arial" w:hAnsi="Arial"/>
                <w:sz w:val="17"/>
                <w:szCs w:val="17"/>
                <w:color w:val="0000FF"/>
              </w:rPr>
              <w:t>CA</w:t>
            </w:r>
          </w:p>
        </w:tc>
        <w:tc>
          <w:tcPr>
            <w:tcW w:w="1220" w:type="dxa"/>
            <w:vAlign w:val="bottom"/>
          </w:tcPr>
          <w:p>
            <w:pPr>
              <w:ind w:left="360"/>
              <w:spacing w:after="0"/>
              <w:rPr>
                <w:sz w:val="20"/>
                <w:szCs w:val="20"/>
                <w:color w:val="auto"/>
              </w:rPr>
            </w:pPr>
            <w:r>
              <w:rPr>
                <w:rFonts w:ascii="Arial" w:cs="Arial" w:eastAsia="Arial" w:hAnsi="Arial"/>
                <w:sz w:val="17"/>
                <w:szCs w:val="17"/>
                <w:color w:val="0000FF"/>
              </w:rPr>
              <w:t>90067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220" w:type="dxa"/>
            <w:vAlign w:val="bottom"/>
          </w:tcPr>
          <w:p>
            <w:pPr>
              <w:ind w:left="3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20" w:type="dxa"/>
            <w:vAlign w:val="bottom"/>
            <w:gridSpan w:val="13"/>
          </w:tcPr>
          <w:p>
            <w:pPr>
              <w:spacing w:after="0" w:line="213" w:lineRule="exact"/>
              <w:rPr>
                <w:rFonts w:ascii="Arial" w:cs="Arial" w:eastAsia="Arial" w:hAnsi="Arial"/>
                <w:sz w:val="20"/>
                <w:szCs w:val="20"/>
                <w:color w:val="0000EE"/>
              </w:rPr>
            </w:pPr>
            <w:hyperlink r:id="rId14">
              <w:r>
                <w:rPr>
                  <w:rFonts w:ascii="Arial" w:cs="Arial" w:eastAsia="Arial" w:hAnsi="Arial"/>
                  <w:sz w:val="20"/>
                  <w:szCs w:val="20"/>
                  <w:color w:val="0000EE"/>
                </w:rPr>
                <w:t>KAYNE ANDERSON CAPITAL ADVISORS LP</w:t>
              </w:r>
            </w:hyperlink>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72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12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22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w w:val="99"/>
              </w:rPr>
              <w:t>1800 AVENUE OF THE STARS</w:t>
            </w: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020" w:type="dxa"/>
            <w:vAlign w:val="bottom"/>
            <w:gridSpan w:val="2"/>
          </w:tcPr>
          <w:p>
            <w:pPr>
              <w:spacing w:after="0"/>
              <w:rPr>
                <w:sz w:val="20"/>
                <w:szCs w:val="20"/>
                <w:color w:val="auto"/>
              </w:rPr>
            </w:pPr>
            <w:r>
              <w:rPr>
                <w:rFonts w:ascii="Arial" w:cs="Arial" w:eastAsia="Arial" w:hAnsi="Arial"/>
                <w:sz w:val="17"/>
                <w:szCs w:val="17"/>
                <w:color w:val="0000FF"/>
              </w:rPr>
              <w:t>CA</w:t>
            </w:r>
          </w:p>
        </w:tc>
        <w:tc>
          <w:tcPr>
            <w:tcW w:w="1220" w:type="dxa"/>
            <w:vAlign w:val="bottom"/>
          </w:tcPr>
          <w:p>
            <w:pPr>
              <w:ind w:left="360"/>
              <w:spacing w:after="0"/>
              <w:rPr>
                <w:sz w:val="20"/>
                <w:szCs w:val="20"/>
                <w:color w:val="auto"/>
              </w:rPr>
            </w:pPr>
            <w:r>
              <w:rPr>
                <w:rFonts w:ascii="Arial" w:cs="Arial" w:eastAsia="Arial" w:hAnsi="Arial"/>
                <w:sz w:val="17"/>
                <w:szCs w:val="17"/>
                <w:color w:val="0000FF"/>
              </w:rPr>
              <w:t>90067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220" w:type="dxa"/>
            <w:vAlign w:val="bottom"/>
          </w:tcPr>
          <w:p>
            <w:pPr>
              <w:ind w:left="3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-5338445</wp:posOffset>
            </wp:positionV>
            <wp:extent cx="29210" cy="2091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10" cy="2091055"/>
                    </a:xfrm>
                    <a:prstGeom prst="rect">
                      <a:avLst/>
                    </a:prstGeom>
                    <a:noFill/>
                  </pic:spPr>
                </pic:pic>
              </a:graphicData>
            </a:graphic>
          </wp:anchor>
        </w:drawing>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1"/>
        <w:spacing w:after="0" w:line="23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holds Class B shares representing limited partner interests in Plains GP Holdings L.P. (the "Issuer"), an equivalent number of units representing limited liability company interests of the Issuer's general partner ("GP Units"), and an equivalent number of Class A Units representing limited partner interests in Plains AAP, L.P. ("AAP"). The Eighth Amended and Restated Limited Partnership Agreement of AAP provides that each limited partner of AAP, including KAFU, has the right at any time (without expiration) to immediately exchange (the "Exchange Right") its Class A units in AAP together with a like number of Class B shares and GP Units, for a like number of Class A shares of the Issuer. On June 30, 2021, KAFU Holdings (QP), L.P. exercised the Exchange Right with respect to 25,554 Class A Units.</w:t>
      </w:r>
    </w:p>
    <w:p>
      <w:pPr>
        <w:spacing w:after="0" w:line="33" w:lineRule="exact"/>
        <w:rPr>
          <w:rFonts w:ascii="Arial" w:cs="Arial" w:eastAsia="Arial" w:hAnsi="Arial"/>
          <w:sz w:val="13"/>
          <w:szCs w:val="13"/>
          <w:color w:val="008000"/>
        </w:rPr>
      </w:pPr>
    </w:p>
    <w:p>
      <w:pPr>
        <w:ind w:left="40" w:right="320" w:firstLine="1"/>
        <w:spacing w:after="0" w:line="334" w:lineRule="auto"/>
        <w:tabs>
          <w:tab w:leader="none" w:pos="16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Kayne Anderson Capital Advisors, L.P. ("KACALP") is the manager of the general partner of KAFU and may be deemed to beneficially own the Class B shares, Class A Units, and GP Units held by KAFU. The filing of this statement shall not be construed as an admission that either KAFU or KACALP are, for purposes of Section 13(d) of the Exchange Act, as amended, the beneficial owner of any security.</w:t>
      </w:r>
    </w:p>
    <w:p>
      <w:pPr>
        <w:sectPr>
          <w:pgSz w:w="11900" w:h="16922" w:orient="portrait"/>
          <w:cols w:equalWidth="0" w:num="1">
            <w:col w:w="11080"/>
          </w:cols>
          <w:pgMar w:left="460" w:top="221" w:right="359" w:bottom="0" w:gutter="0" w:footer="0" w:header="0"/>
          <w:type w:val="continuous"/>
        </w:sectPr>
      </w:pPr>
    </w:p>
    <w:bookmarkStart w:id="1" w:name="page2"/>
    <w:bookmarkEnd w:id="1"/>
    <w:p>
      <w:pPr>
        <w:ind w:left="120" w:hanging="119"/>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involves an in-kind distribution to redeeming limited partners of KAFU Holdings (QP), L.P.</w:t>
      </w:r>
    </w:p>
    <w:p>
      <w:pPr>
        <w:spacing w:after="0" w:line="42" w:lineRule="exact"/>
        <w:rPr>
          <w:rFonts w:ascii="Arial" w:cs="Arial" w:eastAsia="Arial" w:hAnsi="Arial"/>
          <w:sz w:val="13"/>
          <w:szCs w:val="13"/>
          <w:color w:val="008000"/>
        </w:rPr>
      </w:pPr>
    </w:p>
    <w:p>
      <w:pPr>
        <w:ind w:right="80" w:firstLine="1"/>
        <w:spacing w:after="0" w:line="237"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 simultaneous transaction, KAFU exercised the redemption right provided for in the limited partnership agreement of AAP with respect to 535,009 Class A units. As a result, such Class A units were cancelled and 535,009 Common Units of Plains All American Pipeline, L.P. were distributed by AAP to KAFU. The number of derivative securities owned reflects both the exchange transaction reported herein and the simultaneous redemption transaction.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008000"/>
        </w:rPr>
        <w:t>Kevin McCarthy is a director of the managing general partner of the Issuer. Based on the relationship of Mr. McCarthy and the Reporting Persons, the Reporting Persons may be deemed directors by deputization of the Issuer. KAFU Holdings (QP), L.P., and KACALP, which is the manager of the general partner of KAFU, are referred to herein as the "Reporting Persons". The filing of this Statement shall not be construed as an admission that any Reporting Person is, for purposes of Section 13(d) of the Exchange Act, as amended, the beneficial owner of any security.</w:t>
      </w:r>
    </w:p>
    <w:p>
      <w:pPr>
        <w:spacing w:after="0" w:line="22"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Arial" w:cs="Arial" w:eastAsia="Arial" w:hAnsi="Arial"/>
                <w:sz w:val="17"/>
                <w:szCs w:val="17"/>
                <w:color w:val="0000FF"/>
              </w:rPr>
              <w:t>/s/ Michael O'Neil</w:t>
            </w:r>
          </w:p>
        </w:tc>
        <w:tc>
          <w:tcPr>
            <w:tcW w:w="940" w:type="dxa"/>
            <w:vAlign w:val="bottom"/>
            <w:gridSpan w:val="2"/>
          </w:tcPr>
          <w:p>
            <w:pPr>
              <w:ind w:left="180"/>
              <w:spacing w:after="0"/>
              <w:rPr>
                <w:sz w:val="20"/>
                <w:szCs w:val="20"/>
                <w:color w:val="auto"/>
              </w:rPr>
            </w:pPr>
            <w:r>
              <w:rPr>
                <w:rFonts w:ascii="Arial" w:cs="Arial" w:eastAsia="Arial" w:hAnsi="Arial"/>
                <w:sz w:val="17"/>
                <w:szCs w:val="17"/>
                <w:color w:val="0000FF"/>
                <w:w w:val="86"/>
              </w:rPr>
              <w:t>07/02/2021</w:t>
            </w:r>
          </w:p>
        </w:tc>
      </w:tr>
      <w:tr>
        <w:trPr>
          <w:trHeight w:val="20"/>
        </w:trPr>
        <w:tc>
          <w:tcPr>
            <w:tcW w:w="1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40" w:firstLine="1"/>
        <w:spacing w:after="0" w:line="330"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2021-07-02T10:33:05Z</dcterms:created>
  <dcterms:modified xsi:type="dcterms:W3CDTF">2021-07-02T10:33:05Z</dcterms:modified>
</cp:coreProperties>
</file>