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Plains All American Pipeline, L.P.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ectPr>
          <w:pgSz w:w="11900" w:h="16838" w:orient="portrait"/>
          <w:cols w:equalWidth="0" w:num="1">
            <w:col w:w="11420"/>
          </w:cols>
          <w:pgMar w:left="240" w:top="544" w:right="23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22" w:lineRule="exact"/>
        <w:rPr>
          <w:sz w:val="24"/>
          <w:szCs w:val="24"/>
          <w:color w:val="auto"/>
        </w:rPr>
      </w:pPr>
    </w:p>
    <w:p>
      <w:pPr>
        <w:sectPr>
          <w:pgSz w:w="11900" w:h="16838" w:orient="portrait"/>
          <w:cols w:equalWidth="0" w:num="2">
            <w:col w:w="300" w:space="720"/>
            <w:col w:w="10400"/>
          </w:cols>
          <w:pgMar w:left="240" w:top="544" w:right="239" w:bottom="1440" w:gutter="0" w:footer="0" w:header="0"/>
          <w:type w:val="continuous"/>
        </w:sectPr>
      </w:pPr>
    </w:p>
    <w:p>
      <w:pPr>
        <w:spacing w:after="0" w:line="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Pr>
          <w:p>
            <w:pPr>
              <w:jc w:val="right"/>
              <w:spacing w:after="0"/>
              <w:rPr>
                <w:sz w:val="20"/>
                <w:szCs w:val="20"/>
                <w:color w:val="auto"/>
              </w:rPr>
            </w:pPr>
            <w:r>
              <w:rPr>
                <w:rFonts w:ascii="Arial" w:cs="Arial" w:eastAsia="Arial" w:hAnsi="Arial"/>
                <w:sz w:val="18"/>
                <w:szCs w:val="18"/>
                <w:color w:val="auto"/>
              </w:rPr>
              <w:t>726503105</w:t>
            </w:r>
          </w:p>
        </w:tc>
      </w:tr>
    </w:tbl>
    <w:p>
      <w:pPr>
        <w:jc w:val="both"/>
        <w:ind w:left="8620"/>
        <w:spacing w:after="0"/>
        <w:tabs>
          <w:tab w:leader="none" w:pos="10120" w:val="left"/>
        </w:tabs>
        <w:rPr>
          <w:sz w:val="20"/>
          <w:szCs w:val="20"/>
          <w:color w:val="auto"/>
        </w:rPr>
      </w:pPr>
      <w:r>
        <w:rPr>
          <w:rFonts w:ascii="Arial" w:cs="Arial" w:eastAsia="Arial" w:hAnsi="Arial"/>
          <w:sz w:val="18"/>
          <w:szCs w:val="18"/>
          <w:color w:val="auto"/>
        </w:rPr>
        <w:t>13G</w:t>
      </w:r>
      <w:r>
        <w:rPr>
          <w:sz w:val="20"/>
          <w:szCs w:val="20"/>
          <w:color w:val="auto"/>
        </w:rPr>
        <w:tab/>
      </w: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920" w:right="6900" w:hanging="1079"/>
        <w:spacing w:after="0" w:line="308" w:lineRule="auto"/>
        <w:tabs>
          <w:tab w:leader="none" w:pos="19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NAME OF REPORTING PERSON Tortoise Capital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1920" w:hanging="1079"/>
        <w:spacing w:after="0"/>
        <w:tabs>
          <w:tab w:leader="none" w:pos="19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2180" w:hanging="254"/>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2180" w:hanging="254"/>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920" w:hanging="1079"/>
        <w:spacing w:after="0"/>
        <w:tabs>
          <w:tab w:leader="none" w:pos="19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920" w:right="5820" w:hanging="1079"/>
        <w:spacing w:after="0" w:line="277" w:lineRule="auto"/>
        <w:tabs>
          <w:tab w:leader="none" w:pos="19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5</w:t>
            </w:r>
          </w:p>
        </w:tc>
        <w:tc>
          <w:tcPr>
            <w:tcW w:w="8180" w:type="dxa"/>
            <w:vAlign w:val="bottom"/>
          </w:tcPr>
          <w:p>
            <w:pPr>
              <w:ind w:left="5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7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6</w:t>
            </w:r>
          </w:p>
        </w:tc>
        <w:tc>
          <w:tcPr>
            <w:tcW w:w="8180" w:type="dxa"/>
            <w:vAlign w:val="bottom"/>
          </w:tcPr>
          <w:p>
            <w:pPr>
              <w:ind w:left="5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7"/>
        </w:trPr>
        <w:tc>
          <w:tcPr>
            <w:tcW w:w="176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17,003,497 (see Item 4)</w:t>
            </w:r>
          </w:p>
        </w:tc>
        <w:tc>
          <w:tcPr>
            <w:tcW w:w="0" w:type="dxa"/>
            <w:vAlign w:val="bottom"/>
          </w:tcPr>
          <w:p>
            <w:pPr>
              <w:spacing w:after="0"/>
              <w:rPr>
                <w:sz w:val="1"/>
                <w:szCs w:val="1"/>
                <w:color w:val="auto"/>
              </w:rPr>
            </w:pPr>
          </w:p>
        </w:tc>
      </w:tr>
      <w:tr>
        <w:trPr>
          <w:trHeight w:val="188"/>
        </w:trPr>
        <w:tc>
          <w:tcPr>
            <w:tcW w:w="1760" w:type="dxa"/>
            <w:vAlign w:val="bottom"/>
          </w:tcPr>
          <w:p>
            <w:pPr>
              <w:jc w:val="center"/>
              <w:spacing w:after="0" w:line="189" w:lineRule="exact"/>
              <w:rPr>
                <w:sz w:val="20"/>
                <w:szCs w:val="20"/>
                <w:color w:val="auto"/>
              </w:rPr>
            </w:pPr>
            <w:r>
              <w:rPr>
                <w:rFonts w:ascii="Arial" w:cs="Arial" w:eastAsia="Arial" w:hAnsi="Arial"/>
                <w:sz w:val="18"/>
                <w:szCs w:val="18"/>
                <w:color w:val="auto"/>
              </w:rPr>
              <w:t>BENEFICIALLY</w:t>
            </w:r>
          </w:p>
        </w:tc>
        <w:tc>
          <w:tcPr>
            <w:tcW w:w="148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7"/>
              </w:rPr>
              <w:t>OWNED BY EACH</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7</w:t>
            </w:r>
          </w:p>
        </w:tc>
        <w:tc>
          <w:tcPr>
            <w:tcW w:w="8180" w:type="dxa"/>
            <w:vAlign w:val="bottom"/>
          </w:tcPr>
          <w:p>
            <w:pPr>
              <w:ind w:left="5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2"/>
              </w:rPr>
              <w:t>REPORTING PERSON</w:t>
            </w:r>
          </w:p>
        </w:tc>
        <w:tc>
          <w:tcPr>
            <w:tcW w:w="1480" w:type="dxa"/>
            <w:vAlign w:val="bottom"/>
          </w:tcPr>
          <w:p>
            <w:pPr>
              <w:spacing w:after="0"/>
              <w:rPr>
                <w:sz w:val="18"/>
                <w:szCs w:val="18"/>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148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760" w:type="dxa"/>
            <w:vAlign w:val="bottom"/>
            <w:vMerge w:val="continue"/>
          </w:tcPr>
          <w:p>
            <w:pPr>
              <w:spacing w:after="0"/>
              <w:rPr>
                <w:sz w:val="15"/>
                <w:szCs w:val="15"/>
                <w:color w:val="auto"/>
              </w:rPr>
            </w:pPr>
          </w:p>
        </w:tc>
        <w:tc>
          <w:tcPr>
            <w:tcW w:w="14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8</w:t>
            </w:r>
          </w:p>
        </w:tc>
        <w:tc>
          <w:tcPr>
            <w:tcW w:w="8180" w:type="dxa"/>
            <w:vAlign w:val="bottom"/>
            <w:vMerge w:val="restart"/>
          </w:tcPr>
          <w:p>
            <w:pPr>
              <w:ind w:left="5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8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18,617,985 (see Item 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20" w:right="2940" w:hanging="1079"/>
        <w:spacing w:after="0" w:line="277" w:lineRule="auto"/>
        <w:tabs>
          <w:tab w:leader="none" w:pos="1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18,617,985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980" w:right="1640" w:hanging="1184"/>
        <w:spacing w:after="0" w:line="277" w:lineRule="auto"/>
        <w:tabs>
          <w:tab w:leader="none" w:pos="19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 Not Applicable</w:t>
      </w:r>
    </w:p>
    <w:p>
      <w:pPr>
        <w:spacing w:after="0" w:line="197" w:lineRule="exact"/>
        <w:rPr>
          <w:rFonts w:ascii="Arial" w:cs="Arial" w:eastAsia="Arial" w:hAnsi="Arial"/>
          <w:sz w:val="18"/>
          <w:szCs w:val="18"/>
          <w:b w:val="1"/>
          <w:bCs w:val="1"/>
          <w:color w:val="auto"/>
        </w:rPr>
      </w:pPr>
    </w:p>
    <w:p>
      <w:pPr>
        <w:ind w:left="1920" w:right="4560" w:hanging="1119"/>
        <w:spacing w:after="0" w:line="277" w:lineRule="auto"/>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5.4% (see Item 4)</w:t>
      </w:r>
    </w:p>
    <w:p>
      <w:pPr>
        <w:spacing w:after="0" w:line="197" w:lineRule="exact"/>
        <w:rPr>
          <w:rFonts w:ascii="Arial" w:cs="Arial" w:eastAsia="Arial" w:hAnsi="Arial"/>
          <w:sz w:val="18"/>
          <w:szCs w:val="18"/>
          <w:b w:val="1"/>
          <w:bCs w:val="1"/>
          <w:color w:val="auto"/>
        </w:rPr>
      </w:pPr>
    </w:p>
    <w:p>
      <w:pPr>
        <w:ind w:left="1920" w:right="5160" w:hanging="1124"/>
        <w:spacing w:after="0" w:line="277" w:lineRule="auto"/>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5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2(a)</w:t>
      </w:r>
      <w:r>
        <w:rPr>
          <w:sz w:val="20"/>
          <w:szCs w:val="20"/>
          <w:color w:val="auto"/>
        </w:rPr>
        <w:tab/>
      </w:r>
      <w:r>
        <w:rPr>
          <w:rFonts w:ascii="Arial" w:cs="Arial" w:eastAsia="Arial" w:hAnsi="Arial"/>
          <w:sz w:val="16"/>
          <w:szCs w:val="16"/>
          <w:b w:val="1"/>
          <w:bCs w:val="1"/>
          <w:u w:val="single" w:color="auto"/>
          <w:color w:val="auto"/>
        </w:rPr>
        <w:t>Name of Persons Filing</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726503105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TCA is an investment adviser in accordance with Rule 13d-1(b)(1)(ii)(E) .</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advisor to certain managed accounts. Under contractual agreements with individual account holders, TCA, with respect to the securities held in the managed accounts, shares investment and voting power with certain account holders, and has no voting power but shares investment power with certain other account holders. TCA may be deemed the beneficial owner of the securities covered by this statement under Rule 13d-3 of the Act. None of the securities listed below are owned of record by TCA, and TCA disclaims any beneficial interest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left="10140"/>
        <w:spacing w:after="0"/>
        <w:rPr>
          <w:sz w:val="20"/>
          <w:szCs w:val="20"/>
          <w:color w:val="auto"/>
        </w:rPr>
      </w:pPr>
      <w:r>
        <w:rPr>
          <w:rFonts w:ascii="Arial" w:cs="Arial" w:eastAsia="Arial" w:hAnsi="Arial"/>
          <w:sz w:val="15"/>
          <w:szCs w:val="15"/>
          <w:color w:val="auto"/>
        </w:rPr>
        <w:t>Page 4 of 5 Pages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231"/>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40" w:hanging="26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40" w:hanging="251"/>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Number of shares as to which the person has:</w:t>
      </w:r>
    </w:p>
    <w:p>
      <w:pPr>
        <w:spacing w:after="0" w:line="259" w:lineRule="exact"/>
        <w:rPr>
          <w:rFonts w:ascii="Arial" w:cs="Arial" w:eastAsia="Arial" w:hAnsi="Arial"/>
          <w:sz w:val="15"/>
          <w:szCs w:val="15"/>
          <w:color w:val="auto"/>
        </w:rPr>
      </w:pPr>
    </w:p>
    <w:p>
      <w:pPr>
        <w:ind w:left="980" w:hanging="346"/>
        <w:spacing w:after="0"/>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pacing w:after="0" w:line="248" w:lineRule="exact"/>
        <w:rPr>
          <w:rFonts w:ascii="Arial" w:cs="Arial" w:eastAsia="Arial" w:hAnsi="Arial"/>
          <w:sz w:val="16"/>
          <w:szCs w:val="16"/>
          <w:color w:val="auto"/>
        </w:rPr>
      </w:pPr>
    </w:p>
    <w:p>
      <w:pPr>
        <w:ind w:left="980" w:hanging="346"/>
        <w:spacing w:after="0"/>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vote or direct the vote:</w:t>
      </w:r>
    </w:p>
    <w:p>
      <w:pPr>
        <w:spacing w:after="0" w:line="248" w:lineRule="exact"/>
        <w:rPr>
          <w:rFonts w:ascii="Arial" w:cs="Arial" w:eastAsia="Arial" w:hAnsi="Arial"/>
          <w:sz w:val="16"/>
          <w:szCs w:val="16"/>
          <w:color w:val="auto"/>
        </w:rPr>
      </w:pPr>
    </w:p>
    <w:p>
      <w:pPr>
        <w:ind w:left="940" w:right="240" w:hanging="306"/>
        <w:spacing w:after="0" w:line="182" w:lineRule="auto"/>
        <w:tabs>
          <w:tab w:leader="none" w:pos="985" w:val="left"/>
        </w:tabs>
        <w:numPr>
          <w:ilvl w:val="1"/>
          <w:numId w:val="8"/>
        </w:numPr>
        <w:rPr>
          <w:rFonts w:ascii="Arial" w:cs="Arial" w:eastAsia="Arial" w:hAnsi="Arial"/>
          <w:sz w:val="34"/>
          <w:szCs w:val="34"/>
          <w:color w:val="auto"/>
          <w:vertAlign w:val="subscript"/>
        </w:rPr>
      </w:pPr>
      <w:r>
        <w:rPr>
          <w:rFonts w:ascii="Arial" w:cs="Arial" w:eastAsia="Arial" w:hAnsi="Arial"/>
          <w:sz w:val="17"/>
          <w:szCs w:val="17"/>
          <w:color w:val="auto"/>
        </w:rPr>
        <w:t>Sole power to dispose or to direct the disposition of:</w:t>
      </w:r>
    </w:p>
    <w:p>
      <w:pPr>
        <w:spacing w:after="0" w:line="203" w:lineRule="exact"/>
        <w:rPr>
          <w:rFonts w:ascii="Arial" w:cs="Arial" w:eastAsia="Arial" w:hAnsi="Arial"/>
          <w:sz w:val="34"/>
          <w:szCs w:val="34"/>
          <w:color w:val="auto"/>
          <w:vertAlign w:val="subscript"/>
        </w:rPr>
      </w:pPr>
    </w:p>
    <w:p>
      <w:pPr>
        <w:ind w:left="940" w:right="60" w:hanging="306"/>
        <w:spacing w:after="0" w:line="182" w:lineRule="auto"/>
        <w:tabs>
          <w:tab w:leader="none" w:pos="985" w:val="left"/>
        </w:tabs>
        <w:numPr>
          <w:ilvl w:val="1"/>
          <w:numId w:val="8"/>
        </w:numPr>
        <w:rPr>
          <w:rFonts w:ascii="Arial" w:cs="Arial" w:eastAsia="Arial" w:hAnsi="Arial"/>
          <w:sz w:val="34"/>
          <w:szCs w:val="34"/>
          <w:color w:val="auto"/>
          <w:vertAlign w:val="subscript"/>
        </w:rPr>
      </w:pPr>
      <w:r>
        <w:rPr>
          <w:rFonts w:ascii="Arial" w:cs="Arial" w:eastAsia="Arial" w:hAnsi="Arial"/>
          <w:sz w:val="17"/>
          <w:szCs w:val="17"/>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18,617,985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17,003,497</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18,617,985</w:t>
      </w:r>
    </w:p>
    <w:p>
      <w:pPr>
        <w:spacing w:after="0" w:line="364" w:lineRule="exact"/>
        <w:rPr>
          <w:sz w:val="20"/>
          <w:szCs w:val="20"/>
          <w:color w:val="auto"/>
        </w:rPr>
      </w:pPr>
    </w:p>
    <w:p>
      <w:pPr>
        <w:sectPr>
          <w:pgSz w:w="11900" w:h="16838" w:orient="portrait"/>
          <w:cols w:equalWidth="0" w:num="2">
            <w:col w:w="3900" w:space="280"/>
            <w:col w:w="7240"/>
          </w:cols>
          <w:pgMar w:left="240" w:top="274" w:right="239" w:bottom="1440" w:gutter="0" w:footer="0" w:header="0"/>
          <w:type w:val="continuous"/>
        </w:sectPr>
      </w:pPr>
    </w:p>
    <w:p>
      <w:pPr>
        <w:spacing w:after="0" w:line="2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investment companies and managed accounts discussed in Item 4 above have the right to receive all dividends from, and the proceeds from the sale of, the securities held in their respective accounts. The interest of any one such person does not exceed 5% of the class of securities.</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Reported on By the Parent Holding Company or Control Person</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6"/>
          <w:szCs w:val="16"/>
          <w:b w:val="1"/>
          <w:bCs w:val="1"/>
          <w:u w:val="single" w:color="auto"/>
          <w:color w:val="auto"/>
        </w:rPr>
        <w:t>Certifications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5460" w:val="left"/>
          <w:tab w:leader="none" w:pos="6800" w:val="left"/>
        </w:tabs>
        <w:rPr>
          <w:sz w:val="20"/>
          <w:szCs w:val="20"/>
          <w:color w:val="auto"/>
        </w:rPr>
      </w:pPr>
      <w:r>
        <w:rPr>
          <w:rFonts w:ascii="Arial" w:cs="Arial" w:eastAsia="Arial" w:hAnsi="Arial"/>
          <w:sz w:val="18"/>
          <w:szCs w:val="18"/>
          <w:color w:val="auto"/>
        </w:rPr>
        <w:t>Dated: February 10,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 Matlack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4784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8405" cy="17145"/>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Terry Matlack</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1144270</wp:posOffset>
            </wp:positionV>
            <wp:extent cx="72504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lvl w:ilvl="1">
      <w:lvlJc w:val="left"/>
      <w:lvlText w:val="(%2)"/>
      <w:numFmt w:val="lowerLetter"/>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2020-01-26T00:47:35Z</dcterms:created>
  <dcterms:modified xsi:type="dcterms:W3CDTF">2020-01-26T00:47:35Z</dcterms:modified>
</cp:coreProperties>
</file>