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28,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Plains All American Pipeline, L.P.</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22" w:right="359" w:bottom="1440" w:gutter="0" w:footer="0" w:header="0"/>
        </w:sectPr>
      </w:pPr>
    </w:p>
    <w:p>
      <w:pPr>
        <w:spacing w:after="0" w:line="20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80" w:space="720"/>
            <w:col w:w="2960" w:space="720"/>
            <w:col w:w="2920"/>
          </w:cols>
          <w:pgMar w:left="240" w:top="522"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300"/>
          </w:cols>
          <w:pgMar w:left="240" w:top="522" w:right="359" w:bottom="1440" w:gutter="0" w:footer="0" w:header="0"/>
          <w:type w:val="continuous"/>
        </w:sect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December 28, 2010, PAA Natural Gas Storage, L.P. (“PNG”) entered into a definitive purchase and sale agreement (the “Agreement”) with SGR Holdings, L.L.C. and Southern Pines Energy Investment Co., LLC to acquire SG Resources Mississippi, L.L.C., which entity owns the Southern Pines Energy Center natural gas storage facility (the “Acquisition”). Plains All American Pipeline, L.P. (“PAA”) is also a party to the Agreement for the limited purpose of providing certain indemnity support regarding PNG’s obligation to fund the purchase price at closing. Subject to regulatory approval, the Acquisition is expected to close during the first quarter of 2011. Total consideration for the Acquisition is approximately $750 million, subject to adjustment as provided in the Agreement.</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PNG has arranged financing of $800 million to fund the purchase price, closing costs, and the first 18 months of expected expansion capital. This financing is composed of $600 million of equity, approximately $262 million of which will be provided by a private placement of approximately 12.2 million common units of PNG to funds managed by Kayne Anderson Capital Advisors, Tortoise Capital, ClearBridge Advisors and other investors. PAA will provide the remaining $338 million of equity capital through the purchase of approximately 15 million common units of PNG and a proportionate general partner capital contribution of approximately $12 million. As a result of this transaction, PAA’s aggregate ownership in PNG will decrease to 70% from 77% prior to the transaction. PAA will continue to own 100% of PNG’s general partner and PNG’s incentive distribution rights. PAA will also provide debt financing in the form of a $200 million three-year loan to PNG.</w:t>
      </w:r>
    </w:p>
    <w:p>
      <w:pPr>
        <w:spacing w:after="0" w:line="81"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$538 million of financing to be provided by PAA to PNG will be funded by a combination of proceeds from PAA’s fourth quarter equity offering and initially from borrowings under PAA’s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right="260" w:firstLine="225"/>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3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 December 29, 2010, PNG issued a press release with respect to the Acquisition and related financing described in Item 1.01 above. A copy of the press release is furnished as Exhibit 99.1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Exhibit 2.1 — Purchase and Sale Agreement dated December 28, 2010 by and among SGR Holdings, L.L.C., Southern Pines Energy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ind w:left="20"/>
        <w:spacing w:after="0" w:line="277" w:lineRule="auto"/>
        <w:rPr>
          <w:sz w:val="20"/>
          <w:szCs w:val="20"/>
          <w:color w:val="auto"/>
        </w:rPr>
      </w:pPr>
      <w:r>
        <w:rPr>
          <w:rFonts w:ascii="Arial" w:cs="Arial" w:eastAsia="Arial" w:hAnsi="Arial"/>
          <w:sz w:val="18"/>
          <w:szCs w:val="18"/>
          <w:color w:val="auto"/>
        </w:rPr>
        <w:t>Co., LLC and PAA Natural Gas Storage, L.P. (incorporated by reference to Exhibit 2.1 to the Current Report on Form 8-K of PNG filed on December 30, 2010).</w:t>
      </w:r>
    </w:p>
    <w:p>
      <w:pPr>
        <w:spacing w:after="0" w:line="170" w:lineRule="exact"/>
        <w:rPr>
          <w:sz w:val="20"/>
          <w:szCs w:val="20"/>
          <w:color w:val="auto"/>
        </w:rPr>
      </w:pPr>
    </w:p>
    <w:p>
      <w:pPr>
        <w:ind w:left="20" w:right="280" w:hanging="1215"/>
        <w:spacing w:after="0" w:line="277" w:lineRule="auto"/>
        <w:rPr>
          <w:sz w:val="20"/>
          <w:szCs w:val="20"/>
          <w:color w:val="auto"/>
        </w:rPr>
      </w:pPr>
      <w:r>
        <w:rPr>
          <w:rFonts w:ascii="Arial" w:cs="Arial" w:eastAsia="Arial" w:hAnsi="Arial"/>
          <w:sz w:val="18"/>
          <w:szCs w:val="18"/>
          <w:color w:val="auto"/>
        </w:rPr>
        <w:t>Exhibit 99.1 — Press Release dated December 29, 2010 (incorporated by reference to Exhibit 99.1 to the Current Report on Form 8-K of PNG filed on December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1440" w:top="1152"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6320" w:type="dxa"/>
            <w:vAlign w:val="bottom"/>
            <w:gridSpan w:val="2"/>
          </w:tcPr>
          <w:p>
            <w:pPr>
              <w:ind w:left="1640"/>
              <w:spacing w:after="0"/>
              <w:rPr>
                <w:sz w:val="20"/>
                <w:szCs w:val="20"/>
                <w:color w:val="auto"/>
              </w:rPr>
            </w:pPr>
            <w:r>
              <w:rPr>
                <w:rFonts w:ascii="Arial" w:cs="Arial" w:eastAsia="Arial" w:hAnsi="Arial"/>
                <w:sz w:val="18"/>
                <w:szCs w:val="18"/>
                <w:color w:val="auto"/>
              </w:rPr>
              <w:t>PLAINS ALL AMERICAN PIPELINE, L.P.</w:t>
            </w:r>
          </w:p>
        </w:tc>
        <w:tc>
          <w:tcPr>
            <w:tcW w:w="1600" w:type="dxa"/>
            <w:vAlign w:val="bottom"/>
          </w:tcPr>
          <w:p>
            <w:pPr>
              <w:spacing w:after="0"/>
              <w:rPr>
                <w:sz w:val="20"/>
                <w:szCs w:val="20"/>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Date: December 30, 2010</w:t>
            </w:r>
          </w:p>
        </w:tc>
        <w:tc>
          <w:tcPr>
            <w:tcW w:w="6320" w:type="dxa"/>
            <w:vAlign w:val="bottom"/>
            <w:gridSpan w:val="2"/>
          </w:tcPr>
          <w:p>
            <w:pPr>
              <w:ind w:left="1640"/>
              <w:spacing w:after="0"/>
              <w:rPr>
                <w:sz w:val="20"/>
                <w:szCs w:val="20"/>
                <w:color w:val="auto"/>
              </w:rPr>
            </w:pPr>
            <w:r>
              <w:rPr>
                <w:rFonts w:ascii="Arial" w:cs="Arial" w:eastAsia="Arial" w:hAnsi="Arial"/>
                <w:sz w:val="18"/>
                <w:szCs w:val="18"/>
                <w:color w:val="auto"/>
              </w:rPr>
              <w:t>By: PAA GP LLC, its general partner</w:t>
            </w:r>
          </w:p>
        </w:tc>
        <w:tc>
          <w:tcPr>
            <w:tcW w:w="16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6320" w:type="dxa"/>
            <w:vAlign w:val="bottom"/>
            <w:gridSpan w:val="2"/>
          </w:tcPr>
          <w:p>
            <w:pPr>
              <w:ind w:left="1640"/>
              <w:spacing w:after="0"/>
              <w:rPr>
                <w:sz w:val="20"/>
                <w:szCs w:val="20"/>
                <w:color w:val="auto"/>
              </w:rPr>
            </w:pPr>
            <w:r>
              <w:rPr>
                <w:rFonts w:ascii="Arial" w:cs="Arial" w:eastAsia="Arial" w:hAnsi="Arial"/>
                <w:sz w:val="18"/>
                <w:szCs w:val="18"/>
                <w:color w:val="auto"/>
              </w:rPr>
              <w:t>By: Plains AAP, L.P., its sole member</w:t>
            </w:r>
          </w:p>
        </w:tc>
        <w:tc>
          <w:tcPr>
            <w:tcW w:w="160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6320" w:type="dxa"/>
            <w:vAlign w:val="bottom"/>
            <w:gridSpan w:val="2"/>
          </w:tcPr>
          <w:p>
            <w:pPr>
              <w:ind w:left="1640"/>
              <w:spacing w:after="0"/>
              <w:rPr>
                <w:sz w:val="20"/>
                <w:szCs w:val="20"/>
                <w:color w:val="auto"/>
              </w:rPr>
            </w:pPr>
            <w:r>
              <w:rPr>
                <w:rFonts w:ascii="Arial" w:cs="Arial" w:eastAsia="Arial" w:hAnsi="Arial"/>
                <w:sz w:val="18"/>
                <w:szCs w:val="18"/>
                <w:color w:val="auto"/>
              </w:rPr>
              <w:t>By: Plains All American GP LLC, its general partner</w:t>
            </w:r>
          </w:p>
        </w:tc>
        <w:tc>
          <w:tcPr>
            <w:tcW w:w="160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6320" w:type="dxa"/>
            <w:vAlign w:val="bottom"/>
            <w:gridSpan w:val="2"/>
          </w:tcPr>
          <w:p>
            <w:pPr>
              <w:ind w:left="1640"/>
              <w:spacing w:after="0"/>
              <w:rPr>
                <w:sz w:val="20"/>
                <w:szCs w:val="20"/>
                <w:color w:val="auto"/>
              </w:rPr>
            </w:pPr>
            <w:r>
              <w:rPr>
                <w:rFonts w:ascii="Arial" w:cs="Arial" w:eastAsia="Arial" w:hAnsi="Arial"/>
                <w:sz w:val="18"/>
                <w:szCs w:val="18"/>
                <w:color w:val="auto"/>
              </w:rPr>
              <w:t>By: /s/ Al Swanson</w:t>
            </w:r>
          </w:p>
        </w:tc>
        <w:tc>
          <w:tcPr>
            <w:tcW w:w="160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Al Swanson</w:t>
            </w:r>
          </w:p>
        </w:tc>
        <w:tc>
          <w:tcPr>
            <w:tcW w:w="160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Title:  Senior Vice President and CFO</w:t>
            </w:r>
          </w:p>
        </w:tc>
        <w:tc>
          <w:tcPr>
            <w:tcW w:w="1600" w:type="dxa"/>
            <w:vAlign w:val="bottom"/>
          </w:tcPr>
          <w:p>
            <w:pPr>
              <w:spacing w:after="0"/>
              <w:rPr>
                <w:sz w:val="20"/>
                <w:szCs w:val="20"/>
                <w:color w:val="auto"/>
              </w:rPr>
            </w:pPr>
          </w:p>
        </w:tc>
      </w:tr>
      <w:tr>
        <w:trPr>
          <w:trHeight w:val="632"/>
        </w:trPr>
        <w:tc>
          <w:tcPr>
            <w:tcW w:w="35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Purchase and Sale Agreement dated December 28, 2010 by and among SGR Holdings, L.L.C., Southern Pines Energy Investment Co., LLC</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PAA Natural Gas Storage, L.P. (incorporated by reference to Exhibit 2.1 to the Current Report on Form 8-K of PNG filed on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30, 2010).</w:t>
            </w:r>
          </w:p>
        </w:tc>
        <w:tc>
          <w:tcPr>
            <w:tcW w:w="0" w:type="dxa"/>
            <w:vAlign w:val="bottom"/>
          </w:tcPr>
          <w:p>
            <w:pPr>
              <w:spacing w:after="0"/>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Press Release dated December 29, 2010 (incorporated by reference to Exhibit 99.1 to the Current Report on Form 8-K of PNG filed on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30, 2010).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2020-01-30T08:42:21Z</dcterms:created>
  <dcterms:modified xsi:type="dcterms:W3CDTF">2020-01-30T08:42:21Z</dcterms:modified>
</cp:coreProperties>
</file>