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December 13, 2019</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STATEMENT</w:t>
      </w:r>
    </w:p>
    <w:p>
      <w:pPr>
        <w:jc w:val="center"/>
        <w:ind w:right="-19"/>
        <w:spacing w:after="0" w:line="221" w:lineRule="auto"/>
        <w:rPr>
          <w:sz w:val="20"/>
          <w:szCs w:val="20"/>
          <w:color w:val="auto"/>
        </w:rPr>
      </w:pPr>
      <w:r>
        <w:rPr>
          <w:rFonts w:ascii="Arial" w:cs="Arial" w:eastAsia="Arial" w:hAnsi="Arial"/>
          <w:sz w:val="14"/>
          <w:szCs w:val="14"/>
          <w:b w:val="1"/>
          <w:bCs w:val="1"/>
          <w:color w:val="auto"/>
        </w:rPr>
        <w:t>UNDER</w:t>
      </w:r>
    </w:p>
    <w:p>
      <w:pPr>
        <w:jc w:val="center"/>
        <w:ind w:right="-1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PLAINS GP HOLDINGS, L.P.</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2020" w:type="dxa"/>
            <w:vAlign w:val="bottom"/>
          </w:tcPr>
          <w:p>
            <w:pPr>
              <w:jc w:val="center"/>
              <w:ind w:right="312"/>
              <w:spacing w:after="0"/>
              <w:rPr>
                <w:sz w:val="20"/>
                <w:szCs w:val="20"/>
                <w:color w:val="auto"/>
              </w:rPr>
            </w:pPr>
            <w:r>
              <w:rPr>
                <w:rFonts w:ascii="Arial" w:cs="Arial" w:eastAsia="Arial" w:hAnsi="Arial"/>
                <w:sz w:val="14"/>
                <w:szCs w:val="14"/>
                <w:b w:val="1"/>
                <w:bCs w:val="1"/>
                <w:color w:val="auto"/>
                <w:w w:val="91"/>
              </w:rPr>
              <w:t>Delaware</w:t>
            </w:r>
          </w:p>
        </w:tc>
        <w:tc>
          <w:tcPr>
            <w:tcW w:w="1420" w:type="dxa"/>
            <w:vAlign w:val="bottom"/>
          </w:tcPr>
          <w:p>
            <w:pPr>
              <w:jc w:val="center"/>
              <w:ind w:left="332"/>
              <w:spacing w:after="0"/>
              <w:rPr>
                <w:sz w:val="20"/>
                <w:szCs w:val="20"/>
                <w:color w:val="auto"/>
              </w:rPr>
            </w:pPr>
            <w:r>
              <w:rPr>
                <w:rFonts w:ascii="Arial" w:cs="Arial" w:eastAsia="Arial" w:hAnsi="Arial"/>
                <w:sz w:val="14"/>
                <w:szCs w:val="14"/>
                <w:b w:val="1"/>
                <w:bCs w:val="1"/>
                <w:color w:val="auto"/>
                <w:w w:val="88"/>
              </w:rPr>
              <w:t>90-1005472</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42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020" w:type="dxa"/>
            <w:vAlign w:val="bottom"/>
          </w:tcPr>
          <w:p>
            <w:pPr>
              <w:jc w:val="center"/>
              <w:ind w:right="312"/>
              <w:spacing w:after="0"/>
              <w:rPr>
                <w:sz w:val="20"/>
                <w:szCs w:val="20"/>
                <w:color w:val="auto"/>
              </w:rPr>
            </w:pPr>
            <w:r>
              <w:rPr>
                <w:rFonts w:ascii="Arial" w:cs="Arial" w:eastAsia="Arial" w:hAnsi="Arial"/>
                <w:sz w:val="14"/>
                <w:szCs w:val="14"/>
                <w:color w:val="auto"/>
                <w:w w:val="90"/>
              </w:rPr>
              <w:t>incorporation or organization)</w:t>
            </w:r>
          </w:p>
        </w:tc>
        <w:tc>
          <w:tcPr>
            <w:tcW w:w="1420" w:type="dxa"/>
            <w:vAlign w:val="bottom"/>
          </w:tcPr>
          <w:p>
            <w:pPr>
              <w:jc w:val="center"/>
              <w:ind w:left="332"/>
              <w:spacing w:after="0"/>
              <w:rPr>
                <w:sz w:val="20"/>
                <w:szCs w:val="20"/>
                <w:color w:val="auto"/>
              </w:rPr>
            </w:pPr>
            <w:r>
              <w:rPr>
                <w:rFonts w:ascii="Arial" w:cs="Arial" w:eastAsia="Arial" w:hAnsi="Arial"/>
                <w:sz w:val="14"/>
                <w:szCs w:val="14"/>
                <w:color w:val="auto"/>
                <w:w w:val="93"/>
              </w:rPr>
              <w:t>Identification No.)</w:t>
            </w: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333 Clay Street, Suite 1600</w:t>
      </w:r>
    </w:p>
    <w:p>
      <w:pPr>
        <w:jc w:val="center"/>
        <w:ind w:right="-19"/>
        <w:spacing w:after="0" w:line="223"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line="222" w:lineRule="auto"/>
        <w:rPr>
          <w:sz w:val="20"/>
          <w:szCs w:val="20"/>
          <w:color w:val="auto"/>
        </w:rPr>
      </w:pPr>
      <w:r>
        <w:rPr>
          <w:rFonts w:ascii="Arial" w:cs="Arial" w:eastAsia="Arial" w:hAnsi="Arial"/>
          <w:sz w:val="14"/>
          <w:szCs w:val="14"/>
          <w:b w:val="1"/>
          <w:bCs w:val="1"/>
          <w:color w:val="auto"/>
        </w:rPr>
        <w:t>(713) 646-4100</w:t>
      </w: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Richard McGee</w:t>
      </w:r>
    </w:p>
    <w:p>
      <w:pPr>
        <w:jc w:val="center"/>
        <w:ind w:right="-19"/>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right="-19"/>
        <w:spacing w:after="0" w:line="222" w:lineRule="auto"/>
        <w:rPr>
          <w:sz w:val="20"/>
          <w:szCs w:val="20"/>
          <w:color w:val="auto"/>
        </w:rPr>
      </w:pPr>
      <w:r>
        <w:rPr>
          <w:rFonts w:ascii="Arial" w:cs="Arial" w:eastAsia="Arial" w:hAnsi="Arial"/>
          <w:sz w:val="14"/>
          <w:szCs w:val="14"/>
          <w:b w:val="1"/>
          <w:bCs w:val="1"/>
          <w:color w:val="auto"/>
        </w:rPr>
        <w:t>333 Clay Street, Suite 1600</w:t>
      </w:r>
    </w:p>
    <w:p>
      <w:pPr>
        <w:jc w:val="center"/>
        <w:ind w:right="-19"/>
        <w:spacing w:after="0" w:line="221"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line="222" w:lineRule="auto"/>
        <w:rPr>
          <w:sz w:val="20"/>
          <w:szCs w:val="20"/>
          <w:color w:val="auto"/>
        </w:rPr>
      </w:pPr>
      <w:r>
        <w:rPr>
          <w:rFonts w:ascii="Arial" w:cs="Arial" w:eastAsia="Arial" w:hAnsi="Arial"/>
          <w:sz w:val="14"/>
          <w:szCs w:val="14"/>
          <w:b w:val="1"/>
          <w:bCs w:val="1"/>
          <w:color w:val="auto"/>
        </w:rPr>
        <w:t>(713) 646-4100</w:t>
      </w: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Copies to:</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David P. Oelman</w:t>
      </w:r>
    </w:p>
    <w:p>
      <w:pPr>
        <w:jc w:val="center"/>
        <w:ind w:right="-19"/>
        <w:spacing w:after="0" w:line="223" w:lineRule="auto"/>
        <w:rPr>
          <w:sz w:val="20"/>
          <w:szCs w:val="20"/>
          <w:color w:val="auto"/>
        </w:rPr>
      </w:pPr>
      <w:r>
        <w:rPr>
          <w:rFonts w:ascii="Arial" w:cs="Arial" w:eastAsia="Arial" w:hAnsi="Arial"/>
          <w:sz w:val="14"/>
          <w:szCs w:val="14"/>
          <w:b w:val="1"/>
          <w:bCs w:val="1"/>
          <w:color w:val="auto"/>
        </w:rPr>
        <w:t>Alan Beck</w:t>
      </w:r>
    </w:p>
    <w:p>
      <w:pPr>
        <w:jc w:val="center"/>
        <w:ind w:right="-19"/>
        <w:spacing w:after="0" w:line="222" w:lineRule="auto"/>
        <w:rPr>
          <w:sz w:val="20"/>
          <w:szCs w:val="20"/>
          <w:color w:val="auto"/>
        </w:rPr>
      </w:pPr>
      <w:r>
        <w:rPr>
          <w:rFonts w:ascii="Arial" w:cs="Arial" w:eastAsia="Arial" w:hAnsi="Arial"/>
          <w:sz w:val="14"/>
          <w:szCs w:val="14"/>
          <w:b w:val="1"/>
          <w:bCs w:val="1"/>
          <w:color w:val="auto"/>
        </w:rPr>
        <w:t>Vinson &amp; Elkins L.L.P.</w:t>
      </w:r>
    </w:p>
    <w:p>
      <w:pPr>
        <w:jc w:val="center"/>
        <w:ind w:right="-19"/>
        <w:spacing w:after="0" w:line="221" w:lineRule="auto"/>
        <w:rPr>
          <w:sz w:val="20"/>
          <w:szCs w:val="20"/>
          <w:color w:val="auto"/>
        </w:rPr>
      </w:pPr>
      <w:r>
        <w:rPr>
          <w:rFonts w:ascii="Arial" w:cs="Arial" w:eastAsia="Arial" w:hAnsi="Arial"/>
          <w:sz w:val="14"/>
          <w:szCs w:val="14"/>
          <w:b w:val="1"/>
          <w:bCs w:val="1"/>
          <w:color w:val="auto"/>
        </w:rPr>
        <w:t>1001 Fannin Street, Suite 2500</w:t>
      </w:r>
    </w:p>
    <w:p>
      <w:pPr>
        <w:jc w:val="center"/>
        <w:ind w:right="-19"/>
        <w:spacing w:after="0" w:line="222" w:lineRule="auto"/>
        <w:rPr>
          <w:sz w:val="20"/>
          <w:szCs w:val="20"/>
          <w:color w:val="auto"/>
        </w:rPr>
      </w:pPr>
      <w:r>
        <w:rPr>
          <w:rFonts w:ascii="Arial" w:cs="Arial" w:eastAsia="Arial" w:hAnsi="Arial"/>
          <w:sz w:val="14"/>
          <w:szCs w:val="14"/>
          <w:b w:val="1"/>
          <w:bCs w:val="1"/>
          <w:color w:val="auto"/>
        </w:rPr>
        <w:t>Houston, Texas 77002</w:t>
      </w:r>
    </w:p>
    <w:p>
      <w:pPr>
        <w:jc w:val="center"/>
        <w:ind w:right="-19"/>
        <w:spacing w:after="0"/>
        <w:rPr>
          <w:sz w:val="20"/>
          <w:szCs w:val="20"/>
          <w:color w:val="auto"/>
        </w:rPr>
      </w:pPr>
      <w:r>
        <w:rPr>
          <w:rFonts w:ascii="Arial" w:cs="Arial" w:eastAsia="Arial" w:hAnsi="Arial"/>
          <w:sz w:val="14"/>
          <w:szCs w:val="14"/>
          <w:b w:val="1"/>
          <w:bCs w:val="1"/>
          <w:color w:val="auto"/>
        </w:rPr>
        <w:t>(713) 758-2222</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2" w:lineRule="exact"/>
        <w:rPr>
          <w:sz w:val="24"/>
          <w:szCs w:val="24"/>
          <w:color w:val="auto"/>
        </w:rPr>
      </w:pPr>
    </w:p>
    <w:p>
      <w:pPr>
        <w:ind w:left="380"/>
        <w:spacing w:after="0"/>
        <w:tabs>
          <w:tab w:leader="none" w:pos="874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560" w:firstLine="371"/>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4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20" w:firstLine="371"/>
        <w:spacing w:after="0" w:line="239"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93" w:lineRule="exact"/>
        <w:rPr>
          <w:sz w:val="24"/>
          <w:szCs w:val="24"/>
          <w:color w:val="auto"/>
        </w:rPr>
      </w:pPr>
    </w:p>
    <w:p>
      <w:pPr>
        <w:ind w:right="640" w:firstLine="371"/>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3" w:lineRule="exact"/>
        <w:rPr>
          <w:sz w:val="24"/>
          <w:szCs w:val="24"/>
          <w:color w:val="auto"/>
        </w:rPr>
      </w:pPr>
    </w:p>
    <w:p>
      <w:pPr>
        <w:ind w:right="180" w:firstLine="371"/>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7" w:lineRule="exact"/>
        <w:rPr>
          <w:sz w:val="24"/>
          <w:szCs w:val="24"/>
          <w:color w:val="auto"/>
        </w:rPr>
      </w:pPr>
    </w:p>
    <w:p>
      <w:pPr>
        <w:ind w:left="320"/>
        <w:spacing w:after="0" w:line="162" w:lineRule="exact"/>
        <w:tabs>
          <w:tab w:leader="none" w:pos="3460" w:val="left"/>
          <w:tab w:leader="none" w:pos="6280" w:val="left"/>
          <w:tab w:leader="none" w:pos="94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2"/>
          <w:szCs w:val="12"/>
          <w:color w:val="auto"/>
        </w:rPr>
        <w:t>Smaller reporting company o</w:t>
      </w:r>
    </w:p>
    <w:p>
      <w:pPr>
        <w:spacing w:after="0" w:line="24" w:lineRule="exact"/>
        <w:rPr>
          <w:sz w:val="24"/>
          <w:szCs w:val="24"/>
          <w:color w:val="auto"/>
        </w:rPr>
      </w:pPr>
    </w:p>
    <w:p>
      <w:pPr>
        <w:ind w:left="9460"/>
        <w:spacing w:after="0"/>
        <w:rPr>
          <w:sz w:val="20"/>
          <w:szCs w:val="20"/>
          <w:color w:val="auto"/>
        </w:rPr>
      </w:pPr>
      <w:r>
        <w:rPr>
          <w:rFonts w:ascii="Arial" w:cs="Arial" w:eastAsia="Arial" w:hAnsi="Arial"/>
          <w:sz w:val="14"/>
          <w:szCs w:val="14"/>
          <w:color w:val="auto"/>
        </w:rPr>
        <w:t>Emerging growth company o</w:t>
      </w:r>
    </w:p>
    <w:p>
      <w:pPr>
        <w:spacing w:after="0" w:line="192" w:lineRule="exact"/>
        <w:rPr>
          <w:sz w:val="24"/>
          <w:szCs w:val="24"/>
          <w:color w:val="auto"/>
        </w:rPr>
      </w:pPr>
    </w:p>
    <w:p>
      <w:pPr>
        <w:ind w:right="480" w:firstLine="371"/>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292100</wp:posOffset>
            </wp:positionV>
            <wp:extent cx="5257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5716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309245</wp:posOffset>
            </wp:positionV>
            <wp:extent cx="5257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ectPr>
          <w:pgSz w:w="11900" w:h="16838" w:orient="portrait"/>
          <w:cols w:equalWidth="0" w:num="1">
            <w:col w:w="11420"/>
          </w:cols>
          <w:pgMar w:left="240" w:top="685" w:right="239" w:bottom="0" w:gutter="0" w:footer="0" w:header="0"/>
        </w:sectPr>
      </w:pPr>
    </w:p>
    <w:p>
      <w:pPr>
        <w:spacing w:after="0" w:line="200" w:lineRule="exact"/>
        <w:rPr>
          <w:sz w:val="24"/>
          <w:szCs w:val="24"/>
          <w:color w:val="auto"/>
        </w:rPr>
      </w:pPr>
    </w:p>
    <w:p>
      <w:pPr>
        <w:spacing w:after="0" w:line="287" w:lineRule="exact"/>
        <w:rPr>
          <w:sz w:val="24"/>
          <w:szCs w:val="24"/>
          <w:color w:val="auto"/>
        </w:rPr>
      </w:pPr>
    </w:p>
    <w:p>
      <w:pPr>
        <w:ind w:left="2860"/>
        <w:spacing w:after="0"/>
        <w:tabs>
          <w:tab w:leader="none" w:pos="6540" w:val="left"/>
          <w:tab w:leader="none" w:pos="8680" w:val="left"/>
        </w:tabs>
        <w:rPr>
          <w:sz w:val="20"/>
          <w:szCs w:val="20"/>
          <w:color w:val="auto"/>
        </w:rPr>
      </w:pPr>
      <w:r>
        <w:rPr>
          <w:rFonts w:ascii="Arial" w:cs="Arial" w:eastAsia="Arial" w:hAnsi="Arial"/>
          <w:sz w:val="14"/>
          <w:szCs w:val="14"/>
          <w:b w:val="1"/>
          <w:bCs w:val="1"/>
          <w:color w:val="auto"/>
        </w:rPr>
        <w:t>Title of Securities to be Registered</w:t>
      </w:r>
      <w:r>
        <w:rPr>
          <w:sz w:val="20"/>
          <w:szCs w:val="20"/>
          <w:color w:val="auto"/>
        </w:rPr>
        <w:tab/>
      </w:r>
      <w:r>
        <w:rPr>
          <w:rFonts w:ascii="Arial" w:cs="Arial" w:eastAsia="Arial" w:hAnsi="Arial"/>
          <w:sz w:val="14"/>
          <w:szCs w:val="14"/>
          <w:b w:val="1"/>
          <w:bCs w:val="1"/>
          <w:color w:val="auto"/>
        </w:rPr>
        <w:t>Proposed Maximum</w:t>
      </w:r>
      <w:r>
        <w:rPr>
          <w:sz w:val="20"/>
          <w:szCs w:val="20"/>
          <w:color w:val="auto"/>
        </w:rPr>
        <w:tab/>
      </w:r>
      <w:r>
        <w:rPr>
          <w:rFonts w:ascii="Arial" w:cs="Arial" w:eastAsia="Arial" w:hAnsi="Arial"/>
          <w:sz w:val="12"/>
          <w:szCs w:val="12"/>
          <w:b w:val="1"/>
          <w:bCs w:val="1"/>
          <w:color w:val="auto"/>
        </w:rPr>
        <w:t>Amount of</w:t>
      </w:r>
    </w:p>
    <w:p>
      <w:pPr>
        <w:sectPr>
          <w:pgSz w:w="11900" w:h="16838" w:orient="portrait"/>
          <w:cols w:equalWidth="0" w:num="1">
            <w:col w:w="11420"/>
          </w:cols>
          <w:pgMar w:left="240" w:top="685" w:right="239" w:bottom="0" w:gutter="0" w:footer="0" w:header="0"/>
          <w:type w:val="continuous"/>
        </w:sectPr>
      </w:pPr>
    </w:p>
    <w:bookmarkStart w:id="1" w:name="page2"/>
    <w:bookmarkEnd w:id="1"/>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680" w:type="dxa"/>
            <w:vAlign w:val="bottom"/>
          </w:tcPr>
          <w:p>
            <w:pPr>
              <w:jc w:val="center"/>
              <w:ind w:left="612"/>
              <w:spacing w:after="0"/>
              <w:rPr>
                <w:sz w:val="20"/>
                <w:szCs w:val="20"/>
                <w:color w:val="auto"/>
              </w:rPr>
            </w:pPr>
            <w:r>
              <w:rPr>
                <w:rFonts w:ascii="Arial" w:cs="Arial" w:eastAsia="Arial" w:hAnsi="Arial"/>
                <w:sz w:val="14"/>
                <w:szCs w:val="14"/>
                <w:b w:val="1"/>
                <w:bCs w:val="1"/>
                <w:color w:val="auto"/>
                <w:w w:val="87"/>
              </w:rPr>
              <w:t>Aggregate Offering</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7"/>
              </w:rPr>
              <w:t>Registration Fee</w:t>
            </w:r>
          </w:p>
        </w:tc>
      </w:tr>
      <w:tr>
        <w:trPr>
          <w:trHeight w:val="182"/>
        </w:trPr>
        <w:tc>
          <w:tcPr>
            <w:tcW w:w="20" w:type="dxa"/>
            <w:vAlign w:val="bottom"/>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center"/>
              <w:ind w:left="592"/>
              <w:spacing w:after="0"/>
              <w:rPr>
                <w:sz w:val="20"/>
                <w:szCs w:val="20"/>
                <w:color w:val="auto"/>
              </w:rPr>
            </w:pPr>
            <w:r>
              <w:rPr>
                <w:rFonts w:ascii="Arial" w:cs="Arial" w:eastAsia="Arial" w:hAnsi="Arial"/>
                <w:sz w:val="14"/>
                <w:szCs w:val="14"/>
                <w:b w:val="1"/>
                <w:bCs w:val="1"/>
                <w:color w:val="auto"/>
                <w:w w:val="87"/>
              </w:rPr>
              <w:t>Price</w:t>
            </w:r>
          </w:p>
        </w:tc>
        <w:tc>
          <w:tcPr>
            <w:tcW w:w="1720" w:type="dxa"/>
            <w:vAlign w:val="bottom"/>
            <w:tcBorders>
              <w:bottom w:val="single" w:sz="8" w:color="auto"/>
            </w:tcBorders>
          </w:tcPr>
          <w:p>
            <w:pPr>
              <w:spacing w:after="0"/>
              <w:rPr>
                <w:sz w:val="15"/>
                <w:szCs w:val="15"/>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Class A shares representing limited partner interests</w:t>
            </w:r>
          </w:p>
        </w:tc>
        <w:tc>
          <w:tcPr>
            <w:tcW w:w="2680" w:type="dxa"/>
            <w:vAlign w:val="bottom"/>
            <w:tcBorders>
              <w:bottom w:val="single" w:sz="8" w:color="auto"/>
            </w:tcBorders>
          </w:tcPr>
          <w:p>
            <w:pPr>
              <w:jc w:val="center"/>
              <w:ind w:left="612"/>
              <w:spacing w:after="0"/>
              <w:rPr>
                <w:sz w:val="20"/>
                <w:szCs w:val="20"/>
                <w:color w:val="auto"/>
              </w:rPr>
            </w:pPr>
            <w:r>
              <w:rPr>
                <w:rFonts w:ascii="Arial" w:cs="Arial" w:eastAsia="Arial" w:hAnsi="Arial"/>
                <w:sz w:val="14"/>
                <w:szCs w:val="14"/>
                <w:color w:val="auto"/>
                <w:w w:val="87"/>
              </w:rPr>
              <w:t>$938,900,000(1)(2)(3)</w:t>
            </w:r>
          </w:p>
        </w:tc>
        <w:tc>
          <w:tcPr>
            <w:tcW w:w="17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$0(3)</w:t>
            </w: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line="233"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In no event will the aggregate initial offering price of all Class A shares offered from time to time pursuant to the prospectus included as a part of this Registration Statement exceed $938,900,000. To the extent applicable, the aggregate amount of Class A shares registered is further limited to that which is permissible under Rule 415(a)(4) of the Securities Act.</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There are being registered hereunder a presently indeterminate number of Class A shares.</w:t>
      </w:r>
    </w:p>
    <w:p>
      <w:pPr>
        <w:spacing w:after="0" w:line="122" w:lineRule="exact"/>
        <w:rPr>
          <w:rFonts w:ascii="Arial" w:cs="Arial" w:eastAsia="Arial" w:hAnsi="Arial"/>
          <w:sz w:val="14"/>
          <w:szCs w:val="14"/>
          <w:color w:val="auto"/>
        </w:rPr>
      </w:pPr>
    </w:p>
    <w:p>
      <w:pPr>
        <w:ind w:left="540" w:right="220" w:hanging="532"/>
        <w:spacing w:after="0" w:line="288"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Calculated in accordance with Rule 457(o). This Registration Statement includes Class A shares with an aggregate offering price of $938,900,000 the issuance of which was previously registered pursuant to Registration Statement No. 333-214964 and which remain unsold. Pursuant to Rule 415(a)(6) of the Securities Act, the filing fee previously paid in connection with such unsold Class A shares will continue to be applied to such unsold Class A shares. As a result, no filing fee is being paid herewith in connection with the $938,900,000 of Class A shares registered hereunder.</w:t>
      </w:r>
    </w:p>
    <w:p>
      <w:pPr>
        <w:spacing w:after="0" w:line="163" w:lineRule="exact"/>
        <w:rPr>
          <w:sz w:val="20"/>
          <w:szCs w:val="20"/>
          <w:color w:val="auto"/>
        </w:rPr>
      </w:pPr>
    </w:p>
    <w:p>
      <w:pPr>
        <w:ind w:right="100" w:firstLine="371"/>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487680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EF505F"/>
        </w:rPr>
        <w:t>The information in this prospectus is not complete and may be changed. Securities may not be sold pursuant to this prospectus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F505F"/>
        </w:rPr>
        <w:t>Subject to completion, dated December 13,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152400</wp:posOffset>
            </wp:positionV>
            <wp:extent cx="3679190" cy="823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7919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Class A Shares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4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may offer and sell Class A shares representing limited partner interests in Plains GP Holdings, L.P. from time to time in one or more offerings and in amounts, at prices and on terms to be determined by market conditions and other factors at the time of our offerings. The aggregate offering price of the Class A shares sold by us under this prospectus will not exceed $938,900,000.</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offer and sell the Class A shares to or through one or more underwriters, dealers or agents, or directly to purchasers, on a continuous or delayed basis. This prospectus describes only the general terms of the Class A shares and the general manner in which we will offer the Class A shares. The specific terms of any Class A shares we offer will be included in a supplement to this prospectus. The prospectus supplement will also describe the specific manner in which we will offer the Class A shares.</w:t>
      </w:r>
    </w:p>
    <w:p>
      <w:pPr>
        <w:spacing w:after="0" w:line="197" w:lineRule="exact"/>
        <w:rPr>
          <w:sz w:val="20"/>
          <w:szCs w:val="20"/>
          <w:color w:val="auto"/>
        </w:rPr>
      </w:pPr>
    </w:p>
    <w:p>
      <w:pPr>
        <w:jc w:val="both"/>
        <w:ind w:right="18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shares are listed on the New York Stock Exchange ("NYSE") under the symbol "PAGP."</w:t>
      </w:r>
    </w:p>
    <w:p>
      <w:pPr>
        <w:spacing w:after="0" w:line="206" w:lineRule="exact"/>
        <w:rPr>
          <w:sz w:val="20"/>
          <w:szCs w:val="20"/>
          <w:color w:val="auto"/>
        </w:rPr>
      </w:pPr>
    </w:p>
    <w:p>
      <w:pPr>
        <w:ind w:right="180" w:firstLine="351"/>
        <w:spacing w:after="0" w:line="301" w:lineRule="auto"/>
        <w:rPr>
          <w:sz w:val="20"/>
          <w:szCs w:val="20"/>
          <w:color w:val="auto"/>
        </w:rPr>
      </w:pPr>
      <w:r>
        <w:rPr>
          <w:rFonts w:ascii="Arial" w:cs="Arial" w:eastAsia="Arial" w:hAnsi="Arial"/>
          <w:sz w:val="19"/>
          <w:szCs w:val="19"/>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this prospectus before you make an investment in our Class A shares.</w:t>
      </w:r>
    </w:p>
    <w:p>
      <w:pPr>
        <w:spacing w:after="0" w:line="136" w:lineRule="exact"/>
        <w:rPr>
          <w:sz w:val="20"/>
          <w:szCs w:val="20"/>
          <w:color w:val="auto"/>
        </w:rPr>
      </w:pPr>
    </w:p>
    <w:p>
      <w:pPr>
        <w:ind w:right="40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20" w:type="dxa"/>
            <w:vAlign w:val="bottom"/>
          </w:tcPr>
          <w:p>
            <w:pPr>
              <w:ind w:left="3940"/>
              <w:spacing w:after="0"/>
              <w:rPr>
                <w:sz w:val="20"/>
                <w:szCs w:val="20"/>
                <w:color w:val="auto"/>
              </w:rPr>
            </w:pPr>
            <w:r>
              <w:rPr>
                <w:rFonts w:ascii="Arial" w:cs="Arial" w:eastAsia="Arial" w:hAnsi="Arial"/>
                <w:sz w:val="18"/>
                <w:szCs w:val="18"/>
                <w:color w:val="auto"/>
              </w:rPr>
              <w:t>The date of this prospectus is</w:t>
            </w:r>
          </w:p>
        </w:tc>
        <w:tc>
          <w:tcPr>
            <w:tcW w:w="4900" w:type="dxa"/>
            <w:vAlign w:val="bottom"/>
          </w:tcPr>
          <w:p>
            <w:pPr>
              <w:jc w:val="right"/>
              <w:ind w:right="3852"/>
              <w:spacing w:after="0"/>
              <w:rPr>
                <w:sz w:val="20"/>
                <w:szCs w:val="20"/>
                <w:color w:val="auto"/>
              </w:rPr>
            </w:pPr>
            <w:r>
              <w:rPr>
                <w:rFonts w:ascii="Arial" w:cs="Arial" w:eastAsia="Arial" w:hAnsi="Arial"/>
                <w:sz w:val="18"/>
                <w:szCs w:val="18"/>
                <w:color w:val="auto"/>
              </w:rPr>
              <w:t>, 2019</w:t>
            </w:r>
          </w:p>
        </w:tc>
      </w:tr>
      <w:tr>
        <w:trPr>
          <w:trHeight w:val="228"/>
        </w:trPr>
        <w:tc>
          <w:tcPr>
            <w:tcW w:w="65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6060" w:type="dxa"/>
            <w:vAlign w:val="bottom"/>
            <w:gridSpan w:val="14"/>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2500" w:type="dxa"/>
            <w:vAlign w:val="bottom"/>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6060" w:type="dxa"/>
            <w:vAlign w:val="bottom"/>
            <w:gridSpan w:val="14"/>
            <w:vMerge w:val="continue"/>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rFonts w:ascii="Arial" w:cs="Arial" w:eastAsia="Arial" w:hAnsi="Arial"/>
                <w:sz w:val="15"/>
                <w:szCs w:val="15"/>
                <w:color w:val="0000EE"/>
                <w:w w:val="73"/>
              </w:rPr>
            </w:pPr>
            <w:hyperlink w:anchor="page6">
              <w:r>
                <w:rPr>
                  <w:rFonts w:ascii="Arial" w:cs="Arial" w:eastAsia="Arial" w:hAnsi="Arial"/>
                  <w:sz w:val="15"/>
                  <w:szCs w:val="15"/>
                  <w:color w:val="0000EE"/>
                  <w:w w:val="73"/>
                </w:rPr>
                <w:t>iv</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3260" w:type="dxa"/>
            <w:vAlign w:val="bottom"/>
            <w:gridSpan w:val="4"/>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v</w:t>
              </w:r>
            </w:hyperlink>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About Plains GP Holdings, L.P.</w:t>
              </w:r>
            </w:hyperlink>
          </w:p>
        </w:tc>
        <w:tc>
          <w:tcPr>
            <w:tcW w:w="3780" w:type="dxa"/>
            <w:vAlign w:val="bottom"/>
            <w:gridSpan w:val="5"/>
          </w:tcPr>
          <w:p>
            <w:pPr>
              <w:spacing w:after="0"/>
              <w:rPr>
                <w:sz w:val="17"/>
                <w:szCs w:val="17"/>
                <w:color w:val="auto"/>
              </w:rPr>
            </w:pPr>
          </w:p>
        </w:tc>
        <w:tc>
          <w:tcPr>
            <w:tcW w:w="282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5160" w:type="dxa"/>
            <w:vAlign w:val="bottom"/>
            <w:gridSpan w:val="12"/>
          </w:tcPr>
          <w:p>
            <w:pPr>
              <w:spacing w:after="0"/>
              <w:rPr>
                <w:sz w:val="17"/>
                <w:szCs w:val="17"/>
                <w:color w:val="auto"/>
              </w:rPr>
            </w:pPr>
          </w:p>
        </w:tc>
        <w:tc>
          <w:tcPr>
            <w:tcW w:w="282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Use of Proceeds</w:t>
              </w:r>
            </w:hyperlink>
          </w:p>
        </w:tc>
        <w:tc>
          <w:tcPr>
            <w:tcW w:w="4900" w:type="dxa"/>
            <w:vAlign w:val="bottom"/>
            <w:gridSpan w:val="10"/>
          </w:tcPr>
          <w:p>
            <w:pPr>
              <w:spacing w:after="0"/>
              <w:rPr>
                <w:sz w:val="17"/>
                <w:szCs w:val="17"/>
                <w:color w:val="auto"/>
              </w:rPr>
            </w:pPr>
          </w:p>
        </w:tc>
        <w:tc>
          <w:tcPr>
            <w:tcW w:w="282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6060" w:type="dxa"/>
            <w:vAlign w:val="bottom"/>
            <w:gridSpan w:val="1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Our Shares</w:t>
              </w:r>
            </w:hyperlink>
          </w:p>
        </w:tc>
        <w:tc>
          <w:tcPr>
            <w:tcW w:w="2920" w:type="dxa"/>
            <w:vAlign w:val="bottom"/>
            <w:gridSpan w:val="4"/>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Material U.S. Federal Income Tax Consequences</w:t>
              </w:r>
            </w:hyperlink>
          </w:p>
        </w:tc>
        <w:tc>
          <w:tcPr>
            <w:tcW w:w="2600" w:type="dxa"/>
            <w:vAlign w:val="bottom"/>
            <w:gridSpan w:val="2"/>
          </w:tcPr>
          <w:p>
            <w:pPr>
              <w:spacing w:after="0"/>
              <w:rPr>
                <w:sz w:val="17"/>
                <w:szCs w:val="17"/>
                <w:color w:val="auto"/>
              </w:rPr>
            </w:pPr>
          </w:p>
        </w:tc>
        <w:tc>
          <w:tcPr>
            <w:tcW w:w="282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5</w:t>
              </w:r>
            </w:hyperlink>
          </w:p>
        </w:tc>
        <w:tc>
          <w:tcPr>
            <w:tcW w:w="0" w:type="dxa"/>
            <w:vAlign w:val="bottom"/>
          </w:tcPr>
          <w:p>
            <w:pPr>
              <w:spacing w:after="0"/>
              <w:rPr>
                <w:sz w:val="1"/>
                <w:szCs w:val="1"/>
                <w:color w:val="auto"/>
              </w:rPr>
            </w:pPr>
          </w:p>
        </w:tc>
      </w:tr>
      <w:tr>
        <w:trPr>
          <w:trHeight w:val="196"/>
        </w:trPr>
        <w:tc>
          <w:tcPr>
            <w:tcW w:w="6060" w:type="dxa"/>
            <w:vAlign w:val="bottom"/>
            <w:gridSpan w:val="1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Investment in Plains GP Holdings, L.P. by Employee Benefit Plans</w:t>
              </w:r>
            </w:hyperlink>
          </w:p>
        </w:tc>
        <w:tc>
          <w:tcPr>
            <w:tcW w:w="2920" w:type="dxa"/>
            <w:vAlign w:val="bottom"/>
            <w:gridSpan w:val="4"/>
          </w:tcPr>
          <w:p>
            <w:pPr>
              <w:jc w:val="right"/>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Plan of Distribution</w:t>
              </w:r>
            </w:hyperlink>
          </w:p>
        </w:tc>
        <w:tc>
          <w:tcPr>
            <w:tcW w:w="1340" w:type="dxa"/>
            <w:vAlign w:val="bottom"/>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13</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Legal Matters</w:t>
              </w:r>
            </w:hyperlink>
          </w:p>
        </w:tc>
        <w:tc>
          <w:tcPr>
            <w:tcW w:w="4660" w:type="dxa"/>
            <w:vAlign w:val="bottom"/>
            <w:gridSpan w:val="9"/>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15</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Experts</w:t>
              </w:r>
            </w:hyperlink>
          </w:p>
        </w:tc>
        <w:tc>
          <w:tcPr>
            <w:tcW w:w="5080" w:type="dxa"/>
            <w:vAlign w:val="bottom"/>
            <w:gridSpan w:val="11"/>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15</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into this prospectus. We have not authorized anyone to provide you with additional or different information. If any other person provides you with additional, different or inconsistent information, you should not rely on it. This prospectus and any prospectus supplement is not an offer to sell or the solicitation of an offer to buy any securities other than the securities to which it relates and is not an offer to sell or the solicitation of an offer to buy securities in any jurisdiction where an offer or sale of such securities is not permitted.</w:t>
      </w:r>
    </w:p>
    <w:p>
      <w:pPr>
        <w:spacing w:after="0" w:line="193" w:lineRule="exact"/>
        <w:rPr>
          <w:sz w:val="20"/>
          <w:szCs w:val="20"/>
          <w:color w:val="auto"/>
        </w:rPr>
      </w:pPr>
    </w:p>
    <w:p>
      <w:pPr>
        <w:jc w:val="both"/>
        <w:ind w:right="220" w:firstLine="351"/>
        <w:spacing w:after="0" w:line="262" w:lineRule="auto"/>
        <w:rPr>
          <w:sz w:val="20"/>
          <w:szCs w:val="20"/>
          <w:color w:val="auto"/>
        </w:rPr>
      </w:pPr>
      <w:r>
        <w:rPr>
          <w:rFonts w:ascii="Arial" w:cs="Arial" w:eastAsia="Arial" w:hAnsi="Arial"/>
          <w:sz w:val="18"/>
          <w:szCs w:val="18"/>
          <w:b w:val="1"/>
          <w:bCs w:val="1"/>
          <w:color w:val="auto"/>
        </w:rPr>
        <w:t>The information in this prospectus is not complete.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This prospectus is part of a registration statement on Form S-3 that we filed with the SEC utilizing a "shelf" registration process. Under this shelf registration process, we may, over time, offer and sell up to $938,900,000 in total aggregate offering price of our Class A shares in one or more offerings. This prospectus generally describes Plains GP Holdings, L.P. and the Class A shares. Each time we sell securities with this prospectus, we will provide you with a prospectus supplement that will contain specific information about the terms of that offering. The prospectus supplement may add to,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w:t>
      </w:r>
    </w:p>
    <w:p>
      <w:pPr>
        <w:spacing w:after="0" w:line="17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incorporate by reference the documents listed below and any future filings we make with the SEC under Section 13(a), 13(c), 14 or 15(d) of the Securities Exchange Act of 1934, as amended (the "Exchange Act") (excluding, in each case, any information furnished rather than filed), including all such documents we may file with the SEC after the initial filing date of the registration statement of which this prospectus is a part and prior to the effectiveness of the registration statement and, following the effectiveness of the registration statement, until all offerings under this registration statement are completed:</w:t>
      </w:r>
    </w:p>
    <w:p>
      <w:pPr>
        <w:spacing w:after="0" w:line="180" w:lineRule="exact"/>
        <w:rPr>
          <w:sz w:val="20"/>
          <w:szCs w:val="20"/>
          <w:color w:val="auto"/>
        </w:rPr>
      </w:pPr>
    </w:p>
    <w:p>
      <w:pPr>
        <w:ind w:left="1080" w:right="24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w:t>
      </w:r>
      <w:hyperlink r:id="rId21">
        <w:r>
          <w:rPr>
            <w:rFonts w:ascii="Arial" w:cs="Arial" w:eastAsia="Arial" w:hAnsi="Arial"/>
            <w:sz w:val="18"/>
            <w:szCs w:val="18"/>
            <w:u w:val="single" w:color="auto"/>
            <w:color w:val="0000EE"/>
          </w:rPr>
          <w:t>Annual Report on Form 10-K for the year ended December 31, 2018</w:t>
        </w:r>
      </w:hyperlink>
      <w:r>
        <w:rPr>
          <w:rFonts w:ascii="Arial" w:cs="Arial" w:eastAsia="Arial" w:hAnsi="Arial"/>
          <w:sz w:val="18"/>
          <w:szCs w:val="18"/>
          <w:color w:val="auto"/>
        </w:rPr>
        <w:t>, including information specifically incorporated by reference from our Proxy Statement for our 2019 Annual Meeting;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quarterly periods ended </w:t>
      </w:r>
      <w:hyperlink r:id="rId22">
        <w:r>
          <w:rPr>
            <w:rFonts w:ascii="Arial" w:cs="Arial" w:eastAsia="Arial" w:hAnsi="Arial"/>
            <w:sz w:val="18"/>
            <w:szCs w:val="18"/>
            <w:u w:val="single" w:color="auto"/>
            <w:color w:val="0000EE"/>
          </w:rPr>
          <w:t>March 31, 2019</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June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4">
        <w:r>
          <w:rPr>
            <w:rFonts w:ascii="Arial" w:cs="Arial" w:eastAsia="Arial" w:hAnsi="Arial"/>
            <w:sz w:val="18"/>
            <w:szCs w:val="18"/>
            <w:u w:val="single" w:color="auto"/>
            <w:color w:val="0000EE"/>
          </w:rPr>
          <w:t>September 30, 2019</w:t>
        </w:r>
      </w:hyperlink>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
        </w:numPr>
        <w:rPr>
          <w:rFonts w:ascii="Arial" w:cs="Arial" w:eastAsia="Arial" w:hAnsi="Arial"/>
          <w:sz w:val="18"/>
          <w:szCs w:val="18"/>
          <w:color w:val="0000EE"/>
        </w:rPr>
      </w:pPr>
      <w:hyperlink r:id="rId25">
        <w:r>
          <w:rPr>
            <w:rFonts w:ascii="Arial" w:cs="Arial" w:eastAsia="Arial" w:hAnsi="Arial"/>
            <w:sz w:val="18"/>
            <w:szCs w:val="18"/>
            <w:color w:val="auto"/>
          </w:rPr>
          <w:t xml:space="preserve">our Current Reports on Form 8-K filed on </w:t>
        </w:r>
        <w:r>
          <w:rPr>
            <w:rFonts w:ascii="Arial" w:cs="Arial" w:eastAsia="Arial" w:hAnsi="Arial"/>
            <w:sz w:val="18"/>
            <w:szCs w:val="18"/>
            <w:u w:val="single" w:color="auto"/>
            <w:color w:val="0000EE"/>
          </w:rPr>
          <w:t>January 4,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17,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30,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August 21,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September 11,</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6">
        <w:r>
          <w:rPr>
            <w:rFonts w:ascii="Arial" w:cs="Arial" w:eastAsia="Arial" w:hAnsi="Arial"/>
            <w:sz w:val="18"/>
            <w:szCs w:val="18"/>
            <w:u w:val="single" w:color="auto"/>
            <w:color w:val="0000EE"/>
          </w:rPr>
          <w:t>September 17, 2019</w:t>
        </w:r>
      </w:hyperlink>
      <w:hyperlink r:id="rId25">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7">
        <w:r>
          <w:rPr>
            <w:rFonts w:ascii="Arial" w:cs="Arial" w:eastAsia="Arial" w:hAnsi="Arial"/>
            <w:sz w:val="18"/>
            <w:szCs w:val="18"/>
            <w:u w:val="single" w:color="auto"/>
            <w:color w:val="0000EE"/>
          </w:rPr>
          <w:t xml:space="preserve">September 23, 2019 </w:t>
        </w:r>
      </w:hyperlink>
      <w:hyperlink r:id="rId25">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8">
        <w:r>
          <w:rPr>
            <w:rFonts w:ascii="Arial" w:cs="Arial" w:eastAsia="Arial" w:hAnsi="Arial"/>
            <w:sz w:val="18"/>
            <w:szCs w:val="18"/>
            <w:u w:val="single" w:color="auto"/>
            <w:color w:val="0000EE"/>
          </w:rPr>
          <w:t>November 27, 2019</w:t>
        </w:r>
      </w:hyperlink>
      <w:hyperlink r:id="rId25">
        <w:r>
          <w:rPr>
            <w:rFonts w:ascii="Arial" w:cs="Arial" w:eastAsia="Arial" w:hAnsi="Arial"/>
            <w:sz w:val="18"/>
            <w:szCs w:val="18"/>
            <w:color w:val="000000"/>
          </w:rPr>
          <w:t>; and</w:t>
        </w:r>
      </w:hyperlink>
    </w:p>
    <w:p>
      <w:pPr>
        <w:spacing w:after="0" w:line="199" w:lineRule="exact"/>
        <w:rPr>
          <w:rFonts w:ascii="Arial" w:cs="Arial" w:eastAsia="Arial" w:hAnsi="Arial"/>
          <w:sz w:val="18"/>
          <w:szCs w:val="18"/>
          <w:color w:val="0000EE"/>
        </w:rPr>
      </w:pPr>
    </w:p>
    <w:p>
      <w:pPr>
        <w:ind w:left="1080" w:right="260" w:hanging="532"/>
        <w:spacing w:after="0" w:line="268" w:lineRule="auto"/>
        <w:tabs>
          <w:tab w:leader="none" w:pos="1080" w:val="left"/>
        </w:tabs>
        <w:numPr>
          <w:ilvl w:val="0"/>
          <w:numId w:val="2"/>
        </w:numPr>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the description of our Class A shares contained in our Registration Statement on Form 8-A/A, filed on November 16, 2016, and any subsequent</w:t>
        </w:r>
      </w:hyperlink>
      <w:r>
        <w:rPr>
          <w:rFonts w:ascii="Arial" w:cs="Arial" w:eastAsia="Arial" w:hAnsi="Arial"/>
          <w:sz w:val="18"/>
          <w:szCs w:val="18"/>
          <w:u w:val="single" w:color="auto"/>
          <w:color w:val="0000EE"/>
        </w:rPr>
        <w:t xml:space="preserve"> </w:t>
      </w:r>
      <w:hyperlink r:id="rId29">
        <w:r>
          <w:rPr>
            <w:rFonts w:ascii="Arial" w:cs="Arial" w:eastAsia="Arial" w:hAnsi="Arial"/>
            <w:sz w:val="18"/>
            <w:szCs w:val="18"/>
            <w:u w:val="single" w:color="auto"/>
            <w:color w:val="0000EE"/>
          </w:rPr>
          <w:t>amendment or report filed for the purpose of updating such description.</w:t>
        </w:r>
      </w:hyperlink>
    </w:p>
    <w:p>
      <w:pPr>
        <w:spacing w:after="0" w:line="186" w:lineRule="exact"/>
        <w:rPr>
          <w:rFonts w:ascii="Arial" w:cs="Arial" w:eastAsia="Arial" w:hAnsi="Arial"/>
          <w:sz w:val="18"/>
          <w:szCs w:val="18"/>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Plains GP Holdings, L.P.</w:t>
      </w:r>
    </w:p>
    <w:p>
      <w:pPr>
        <w:spacing w:after="0" w:line="1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(713) 646-4100</w:t>
      </w:r>
    </w:p>
    <w:p>
      <w:pPr>
        <w:spacing w:after="0" w:line="219" w:lineRule="exact"/>
        <w:rPr>
          <w:rFonts w:ascii="Arial" w:cs="Arial" w:eastAsia="Arial" w:hAnsi="Arial"/>
          <w:sz w:val="18"/>
          <w:szCs w:val="18"/>
          <w:color w:val="auto"/>
        </w:rPr>
      </w:pPr>
    </w:p>
    <w:p>
      <w:pPr>
        <w:ind w:right="400" w:firstLine="348"/>
        <w:spacing w:after="0" w:line="268" w:lineRule="auto"/>
        <w:rPr>
          <w:sz w:val="20"/>
          <w:szCs w:val="20"/>
          <w:color w:val="auto"/>
        </w:rPr>
      </w:pPr>
      <w:r>
        <w:rPr>
          <w:rFonts w:ascii="Arial" w:cs="Arial" w:eastAsia="Arial" w:hAnsi="Arial"/>
          <w:sz w:val="18"/>
          <w:szCs w:val="18"/>
          <w:color w:val="auto"/>
        </w:rPr>
        <w:t xml:space="preserve">The SEC maintains a website that contains reports, proxy and information statements, and other information regarding us. The SEC's website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4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ir.pagp.com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 ("AAP");</w:t>
      </w:r>
    </w:p>
    <w:p>
      <w:pPr>
        <w:spacing w:after="0" w:line="238" w:lineRule="exact"/>
        <w:rPr>
          <w:rFonts w:ascii="Arial" w:cs="Arial" w:eastAsia="Arial" w:hAnsi="Arial"/>
          <w:sz w:val="18"/>
          <w:szCs w:val="18"/>
          <w:color w:val="auto"/>
        </w:rPr>
      </w:pPr>
    </w:p>
    <w:p>
      <w:pPr>
        <w:ind w:left="1080" w:right="16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distortions caused by over-commitments to infrastructure projects, which impacts volumes, margins, returns and overall earnings;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99" w:lineRule="exact"/>
        <w:rPr>
          <w:rFonts w:ascii="Arial" w:cs="Arial" w:eastAsia="Arial" w:hAnsi="Arial"/>
          <w:sz w:val="18"/>
          <w:szCs w:val="18"/>
          <w:color w:val="auto"/>
        </w:rPr>
      </w:pPr>
    </w:p>
    <w:p>
      <w:pPr>
        <w:ind w:left="1080" w:right="10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Plains All American Pipeline, L.P.'s ("PAA") credit rating and ability to receive open credit from suppliers and trade counterparties;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75" w:lineRule="exact"/>
        <w:rPr>
          <w:rFonts w:ascii="Arial" w:cs="Arial" w:eastAsia="Arial" w:hAnsi="Arial"/>
          <w:sz w:val="16"/>
          <w:szCs w:val="16"/>
          <w:color w:val="auto"/>
        </w:rPr>
      </w:pPr>
    </w:p>
    <w:p>
      <w:pPr>
        <w:ind w:left="1080" w:right="40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86" w:lineRule="exact"/>
        <w:rPr>
          <w:sz w:val="20"/>
          <w:szCs w:val="20"/>
          <w:color w:val="auto"/>
        </w:rPr>
      </w:pPr>
    </w:p>
    <w:p>
      <w:pPr>
        <w:ind w:firstLine="351"/>
        <w:spacing w:after="0" w:line="294" w:lineRule="auto"/>
        <w:rPr>
          <w:rFonts w:ascii="Arial" w:cs="Arial" w:eastAsia="Arial" w:hAnsi="Arial"/>
          <w:sz w:val="16"/>
          <w:szCs w:val="16"/>
          <w:color w:val="0000EE"/>
        </w:rPr>
      </w:pPr>
      <w:r>
        <w:rPr>
          <w:rFonts w:ascii="Arial" w:cs="Arial" w:eastAsia="Arial" w:hAnsi="Arial"/>
          <w:sz w:val="16"/>
          <w:szCs w:val="16"/>
          <w:color w:val="auto"/>
        </w:rPr>
        <w:t xml:space="preserve">Other factors described or incorporated by reference herein, as well as factors that are unknown or unpredictable, could also have a material adverse effect </w:t>
      </w:r>
      <w:hyperlink r:id="rId21">
        <w:r>
          <w:rPr>
            <w:rFonts w:ascii="Arial" w:cs="Arial" w:eastAsia="Arial" w:hAnsi="Arial"/>
            <w:sz w:val="16"/>
            <w:szCs w:val="16"/>
            <w:color w:val="auto"/>
          </w:rPr>
          <w:t xml:space="preserve">on future results. Please read "Risk Factors" beginning on page 2 of this prospectus and as discussed in Item 1A of our </w:t>
        </w:r>
        <w:r>
          <w:rPr>
            <w:rFonts w:ascii="Arial" w:cs="Arial" w:eastAsia="Arial" w:hAnsi="Arial"/>
            <w:sz w:val="16"/>
            <w:szCs w:val="16"/>
            <w:u w:val="single" w:color="auto"/>
            <w:color w:val="0000EE"/>
          </w:rPr>
          <w:t>Annual Report on Form 10-K for the fiscal</w:t>
        </w:r>
      </w:hyperlink>
      <w:r>
        <w:rPr>
          <w:rFonts w:ascii="Arial" w:cs="Arial" w:eastAsia="Arial" w:hAnsi="Arial"/>
          <w:sz w:val="16"/>
          <w:szCs w:val="16"/>
          <w:color w:val="auto"/>
        </w:rPr>
        <w:t xml:space="preserve"> </w:t>
      </w:r>
      <w:hyperlink r:id="rId21">
        <w:r>
          <w:rPr>
            <w:rFonts w:ascii="Arial" w:cs="Arial" w:eastAsia="Arial" w:hAnsi="Arial"/>
            <w:sz w:val="16"/>
            <w:szCs w:val="16"/>
            <w:u w:val="single" w:color="auto"/>
            <w:color w:val="0000EE"/>
          </w:rPr>
          <w:t>year ended December 31, 2018 (File No. 001-36132)</w:t>
        </w:r>
        <w:r>
          <w:rPr>
            <w:rFonts w:ascii="Arial" w:cs="Arial" w:eastAsia="Arial" w:hAnsi="Arial"/>
            <w:sz w:val="16"/>
            <w:szCs w:val="16"/>
            <w:color w:val="0000EE"/>
          </w:rPr>
          <w:t xml:space="preserve"> </w:t>
        </w:r>
        <w:r>
          <w:rPr>
            <w:rFonts w:ascii="Arial" w:cs="Arial" w:eastAsia="Arial" w:hAnsi="Arial"/>
            <w:sz w:val="16"/>
            <w:szCs w:val="16"/>
            <w:color w:val="000000"/>
          </w:rPr>
          <w:t>and in any subsequent Quarterly Report on Form 10-Q, which are incorporated in this prospectus by</w:t>
        </w:r>
      </w:hyperlink>
      <w:r>
        <w:rPr>
          <w:rFonts w:ascii="Arial" w:cs="Arial" w:eastAsia="Arial" w:hAnsi="Arial"/>
          <w:sz w:val="16"/>
          <w:szCs w:val="16"/>
          <w:color w:val="0000EE"/>
        </w:rPr>
        <w:t xml:space="preserve"> </w:t>
      </w:r>
      <w:r>
        <w:rPr>
          <w:rFonts w:ascii="Arial" w:cs="Arial" w:eastAsia="Arial" w:hAnsi="Arial"/>
          <w:sz w:val="16"/>
          <w:szCs w:val="16"/>
          <w:color w:val="000000"/>
        </w:rPr>
        <w:t>reference, for information regarding risks you should consider before making an investment decision. Except as required by applicable securities laws, we do not intend to update these forward-looking statements and information.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PLAINS GP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a Delaware limited partnership formed in July 2013 that has elected to be taxed as a corporation for U.S. federal income tax purposes. We do not directly own any operating assets; as of September 30, 2019, our principal sources of cash flow are derived from an indirect investment in PAA, a publicly traded Delaware limited partnership. As of September 30, 2019, our sole cash-generating assets consisted of (i) a 100% managing member interest in Plains All American GP LLC ("GP LLC"), an entity that has also elected to be taxed as a corporation for U.S. federal income tax purposes, and (ii) an approximate 73% limited partner interest in AAP through our direct ownership of approximately 181.0 million Class A units of AAP ("AAP Units") and indirect ownership of approximately 1.0 million AAP units through GP LLC. GP LLC is a Delaware limited liability company that also holds the non-economic general partner interest in AAP. AAP is a Delaware limited partnership that, as of September 30, 2019, directly owned a limited partner interest in PAA through its ownership of approximately 252.2 million PAA common units (approximately 32% of PAA's total outstanding common units and Series A preferred units combined). AAP is the sole member of PAA GP LLC ("PAA GP"), a Delaware limited liability company that directly holds the non-economic general partner interest in PAA.</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67" w:lineRule="exact"/>
        <w:rPr>
          <w:sz w:val="20"/>
          <w:szCs w:val="20"/>
          <w:color w:val="auto"/>
        </w:rPr>
      </w:pPr>
    </w:p>
    <w:p>
      <w:pPr>
        <w:ind w:right="180" w:firstLine="351"/>
        <w:spacing w:after="0" w:line="323" w:lineRule="auto"/>
        <w:rPr>
          <w:sz w:val="20"/>
          <w:szCs w:val="20"/>
          <w:color w:val="auto"/>
        </w:rPr>
      </w:pPr>
      <w:r>
        <w:rPr>
          <w:rFonts w:ascii="Arial" w:cs="Arial" w:eastAsia="Arial" w:hAnsi="Arial"/>
          <w:sz w:val="15"/>
          <w:szCs w:val="15"/>
          <w:color w:val="auto"/>
        </w:rPr>
        <w:t>For purposes of this prospectus, unless the context clearly indicates otherwise, "our," "we," "us," "the Partnership" or "Plains GP Holdings, L.P." refer to Plains GP Holdings, L.P., the registrant itself, or to Plains GP Holdings, L.P. and its consolidated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TX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An investment in our Class A shares involves a high degree of risk. Before you invest in our Class A shares, you should carefully consider those risks described in our </w:t>
      </w:r>
      <w:hyperlink r:id="rId21">
        <w:r>
          <w:rPr>
            <w:rFonts w:ascii="Arial" w:cs="Arial" w:eastAsia="Arial" w:hAnsi="Arial"/>
            <w:sz w:val="16"/>
            <w:szCs w:val="16"/>
            <w:u w:val="single" w:color="auto"/>
            <w:color w:val="0000EE"/>
          </w:rPr>
          <w:t>Annual Report on Form 10-K for the year ended December 31, 2018 (File No. 001-36132)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in any subsequent Quarterly Report on Form 10-Q, which are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among other things, investment in the equity of PAA (acting through AAP as provided in the Omnibus Agreement entered into on November 15, 2016 with our general partner, GP LLC, AAP, PAA GP and PAA (the "Omnibus Agreement")), repayment of indebtedness, acquisitions, capital expenditures and additions to working capital.</w:t>
      </w:r>
    </w:p>
    <w:p>
      <w:pPr>
        <w:spacing w:after="0" w:line="197"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Pursuant to the Omnibus Agreement, we have agreed to use the net proceeds from any sale of Class A shares to purchase from AAP a number of AAP Units equal to the number of Class A shares sold at a price equal to the net proceeds from such sale. The Omnibus Agreement also provides that immediately following such purchase and sale, AAP will use the net proceeds it receives from such sale of AAP Units to PAGP to purchase from PAA an equivalent number of common units of PAA.</w:t>
      </w:r>
    </w:p>
    <w:p>
      <w:pPr>
        <w:spacing w:after="0" w:line="197" w:lineRule="exact"/>
        <w:rPr>
          <w:sz w:val="20"/>
          <w:szCs w:val="20"/>
          <w:color w:val="auto"/>
        </w:rPr>
      </w:pPr>
    </w:p>
    <w:p>
      <w:pPr>
        <w:ind w:right="62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SHARES</w:t>
      </w:r>
    </w:p>
    <w:p>
      <w:pPr>
        <w:spacing w:after="0" w:line="231" w:lineRule="exact"/>
        <w:rPr>
          <w:sz w:val="20"/>
          <w:szCs w:val="20"/>
          <w:color w:val="auto"/>
        </w:rPr>
      </w:pPr>
    </w:p>
    <w:p>
      <w:pPr>
        <w:ind w:firstLine="351"/>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Please see our registration statement on </w:t>
      </w:r>
      <w:hyperlink r:id="rId29">
        <w:r>
          <w:rPr>
            <w:rFonts w:ascii="Arial" w:cs="Arial" w:eastAsia="Arial" w:hAnsi="Arial"/>
            <w:sz w:val="18"/>
            <w:szCs w:val="18"/>
            <w:u w:val="single" w:color="auto"/>
            <w:color w:val="0000EE"/>
          </w:rPr>
          <w:t>Form 8-A/A filed on November 16, 2016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(together with any amendments thereto and the other documents incorporated by reference therein), which is incorporated by reference herein, for a description of our shares, our cash distribution policy and the Second Amended and Restated Agreement of Limited Partnership of Plains GP Holdings, L.P., dated as of November 15, 2016, as it may be amended or restated from time to time (our "partnership agreement").</w:t>
      </w:r>
    </w:p>
    <w:p>
      <w:pPr>
        <w:spacing w:after="0" w:line="1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jc w:val="both"/>
        <w:ind w:right="20" w:firstLine="348"/>
        <w:spacing w:after="0" w:line="254" w:lineRule="auto"/>
        <w:rPr>
          <w:sz w:val="20"/>
          <w:szCs w:val="20"/>
          <w:color w:val="auto"/>
        </w:rPr>
      </w:pPr>
      <w:r>
        <w:rPr>
          <w:rFonts w:ascii="Arial" w:cs="Arial" w:eastAsia="Arial" w:hAnsi="Arial"/>
          <w:sz w:val="18"/>
          <w:szCs w:val="18"/>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8"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w:t>
      </w:r>
    </w:p>
    <w:p>
      <w:pPr>
        <w:spacing w:after="0" w:line="180"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qualified foreign pension funds (or any entities all of the interests of which are held by a qualified foreign pension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to avoid U.S. federal income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compensation or through a tax-qualified retirement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 and</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w:t>
      </w:r>
    </w:p>
    <w:p>
      <w:pPr>
        <w:spacing w:after="0" w:line="191"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b w:val="1"/>
          <w:bCs w:val="1"/>
          <w:color w:val="auto"/>
        </w:rPr>
        <w:t>YOU ARE ENCOURAGED TO CONSULT YOUR TAX ADVISOR WITH RESPECT TO THE APPLICATION OF THE U.S. FEDERAL INCOME TAX LAWS TO YOUR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Status</w:t>
      </w:r>
    </w:p>
    <w:p>
      <w:pPr>
        <w:spacing w:after="0" w:line="231"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with respect to distributions received on our Class A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Both AAP and PAA have made elections permitted by Section 754 of the Code. As a result, our acquisition of AAP Class A units in connection with our initial public offering (our "IPO") and in connection with exchanges since the IPO by the owners of AAP immediately prior to our IPO that continue to own an interest in AAP as of the date of this prospectus, together with any additional persons or entities, other than PAGP and GP LLC, that have become owners of AAP since the consummation of the IPO and continue to own an interest in AAP as of the date of this prospectus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w:t>
      </w:r>
    </w:p>
    <w:p>
      <w:pPr>
        <w:spacing w:after="0" w:line="174"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a result of the basis adjustments described above, we may not have sufficient earnings and profits for distributions on our Class A shares to qualify as dividends for U.S. federal income tax purposes. If a 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spacing w:after="0" w:line="197" w:lineRule="exact"/>
        <w:rPr>
          <w:sz w:val="20"/>
          <w:szCs w:val="20"/>
          <w:color w:val="auto"/>
        </w:rPr>
      </w:pPr>
    </w:p>
    <w:p>
      <w:pPr>
        <w:jc w:val="both"/>
        <w:ind w:right="220" w:firstLine="345"/>
        <w:spacing w:after="0" w:line="259" w:lineRule="auto"/>
        <w:rPr>
          <w:sz w:val="20"/>
          <w:szCs w:val="20"/>
          <w:color w:val="auto"/>
        </w:rPr>
      </w:pPr>
      <w:r>
        <w:rPr>
          <w:rFonts w:ascii="Arial" w:cs="Arial" w:eastAsia="Arial" w:hAnsi="Arial"/>
          <w:sz w:val="18"/>
          <w:szCs w:val="18"/>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3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w:t>
      </w:r>
    </w:p>
    <w:p>
      <w:pPr>
        <w:spacing w:after="0" w:line="178"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39"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Subject to the discussion below under "—Backup Withholding and Information Reporting," a non-U.S. holder generally will not be subject to U.S. federal income or withholding tax on any gain realized upon the sale or other disposition of our Class A shares unless:</w:t>
      </w:r>
    </w:p>
    <w:p>
      <w:pPr>
        <w:spacing w:after="0" w:line="199" w:lineRule="exact"/>
        <w:rPr>
          <w:sz w:val="20"/>
          <w:szCs w:val="20"/>
          <w:color w:val="auto"/>
        </w:rPr>
      </w:pPr>
    </w:p>
    <w:p>
      <w:pPr>
        <w:ind w:left="1080" w:right="1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21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52" w:lineRule="exact"/>
        <w:rPr>
          <w:rFonts w:ascii="Arial" w:cs="Arial" w:eastAsia="Arial" w:hAnsi="Arial"/>
          <w:sz w:val="16"/>
          <w:szCs w:val="16"/>
          <w:color w:val="auto"/>
        </w:rPr>
      </w:pPr>
    </w:p>
    <w:p>
      <w:pPr>
        <w:ind w:left="1080" w:right="10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spacing w:after="0" w:line="139"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70"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spacing w:after="0" w:line="17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Any dividends paid to a non-U.S. holder must be reported annually to the IRS and to each non-U.S. holder. Copies of these information returns may be made available to the tax authorities in the country in which the non-U.S. holder resides or is established. Payments of dividends to a non-U.S.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holder generally will not be subject to backup withholding if the non-U.S. holder establishes an exemption by properly certifying its non-U.S. status on an IRS Form W-8BEN or IRS Form W-8BEN-E (or other applicable or successor form).</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99"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Sections 1471 through 1474 of the Code, and the U.S. Treasury regulations and administrative guidance issued thereunder ("FATCA"), impose a 30% withholding tax on any dividends paid on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Class A shares.</w:t>
      </w:r>
    </w:p>
    <w:p>
      <w:pPr>
        <w:spacing w:after="0" w:line="172" w:lineRule="exact"/>
        <w:rPr>
          <w:sz w:val="20"/>
          <w:szCs w:val="20"/>
          <w:color w:val="auto"/>
        </w:rPr>
      </w:pPr>
    </w:p>
    <w:p>
      <w:pPr>
        <w:ind w:right="120" w:firstLine="351"/>
        <w:spacing w:after="0" w:line="258" w:lineRule="auto"/>
        <w:rPr>
          <w:sz w:val="20"/>
          <w:szCs w:val="20"/>
          <w:color w:val="auto"/>
        </w:rPr>
      </w:pPr>
      <w:r>
        <w:rPr>
          <w:rFonts w:ascii="Arial" w:cs="Arial" w:eastAsia="Arial" w:hAnsi="Arial"/>
          <w:sz w:val="18"/>
          <w:szCs w:val="18"/>
          <w:b w:val="1"/>
          <w:bCs w:val="1"/>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INVESTMENT IN PLAINS GP HOLDINGS, L.P. BY EMPLOYEE BENEFIT PLANS</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w:t>
      </w:r>
    </w:p>
    <w:p>
      <w:pPr>
        <w:spacing w:after="0" w:line="16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considering an investment in our Class A shares, the fiduciaries of an ERISA Plan should determine whether such investment is authorized by the documents and instruments governing the ERISA Plan, the applicable provisions of ERISA, the Code or any Similar Laws relating to the fiduciary's duties to the ERISA Plan.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consideration should be given to:</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applicable Similar Laws;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in making the investment, the plan will satisfy the diversification requirements of Section 404(a)(1)(C) of ERISA and applicable Similar Laws;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investment will result in recognition of unrelated business taxable income by the plan and, if so, the potential after-tax investment return;</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acquisition or holding of Class A shares will constitute a "prohibited transaction" under Section 406 of ERISA or Section 4975 of the Code;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the plan will be considered to hold, as plan assets, (i) only our Class A shares or (ii) an undivided interest in our underlying assets.</w:t>
      </w:r>
    </w:p>
    <w:p>
      <w:pPr>
        <w:spacing w:after="0" w:line="248"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Section 406 of ERISA and Section 4975 of the Code prohibit ERISA Plans from engaging in specified transactions involving "plan assets" with parties that are "parties in interest" under ERISA or "disqualified persons" under the Code with respect to the plan,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excise taxes, penalties and liabilities under ERISA and the Code. Therefore, a fiduciary of an employee benefit plan or an IRA accountholder that is considering an investment in our Class A shares should consider whether the entity's purchase or ownership of such Class A shares would or could result in the occurrence of such a non-exempt prohibited transaction.</w:t>
      </w:r>
    </w:p>
    <w:p>
      <w:pPr>
        <w:spacing w:after="0" w:line="201" w:lineRule="exact"/>
        <w:rPr>
          <w:sz w:val="20"/>
          <w:szCs w:val="20"/>
          <w:color w:val="auto"/>
        </w:rPr>
      </w:pPr>
    </w:p>
    <w:p>
      <w:pPr>
        <w:ind w:right="480" w:firstLine="351"/>
        <w:spacing w:after="0" w:line="370" w:lineRule="auto"/>
        <w:rPr>
          <w:sz w:val="20"/>
          <w:szCs w:val="20"/>
          <w:color w:val="auto"/>
        </w:rPr>
      </w:pPr>
      <w:r>
        <w:rPr>
          <w:rFonts w:ascii="Arial" w:cs="Arial" w:eastAsia="Arial" w:hAnsi="Arial"/>
          <w:sz w:val="15"/>
          <w:szCs w:val="15"/>
          <w:color w:val="auto"/>
        </w:rPr>
        <w:t>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332" w:lineRule="auto"/>
        <w:rPr>
          <w:sz w:val="20"/>
          <w:szCs w:val="20"/>
          <w:color w:val="auto"/>
        </w:rPr>
      </w:pPr>
      <w:r>
        <w:rPr>
          <w:rFonts w:ascii="Arial" w:cs="Arial" w:eastAsia="Arial" w:hAnsi="Arial"/>
          <w:sz w:val="16"/>
          <w:szCs w:val="16"/>
          <w:color w:val="auto"/>
        </w:rPr>
        <w:t>general partner also would be a fiduciary of the plan and our operations would be subject to the regulatory restrictions of ERISA, including fiduciary standards and its prohibited transaction rules, as well as the prohibited transaction rules of the Code or other applicable Similar Laws.</w:t>
      </w:r>
    </w:p>
    <w:p>
      <w:pPr>
        <w:spacing w:after="0" w:line="139"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ERISA and the Department of Labor regulations provide guidance with respect to whether the assets of an entity in which employee benefit plans acquire equity interests would be deemed "plan assets" under certain circumstances. Under these rules, an entity's assets generally would not be considered to be "plan assets" if, among other things:</w:t>
      </w:r>
    </w:p>
    <w:p>
      <w:pPr>
        <w:spacing w:after="0" w:line="208" w:lineRule="exact"/>
        <w:rPr>
          <w:sz w:val="20"/>
          <w:szCs w:val="20"/>
          <w:color w:val="auto"/>
        </w:rPr>
      </w:pPr>
    </w:p>
    <w:p>
      <w:pPr>
        <w:ind w:left="1080" w:right="30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equity interests acquired by employee benefit plans are publicly offered securities; i.e., the equity interests are widely held by 100 or more investors independent of the issuer and each other, "freely transferable" (as defined in the applicable Department of Labor regulations) and registered under some provision of the federal securities laws;</w:t>
      </w:r>
    </w:p>
    <w:p>
      <w:pPr>
        <w:spacing w:after="0" w:line="221"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199" w:lineRule="exact"/>
        <w:rPr>
          <w:rFonts w:ascii="Arial" w:cs="Arial" w:eastAsia="Arial" w:hAnsi="Arial"/>
          <w:sz w:val="18"/>
          <w:szCs w:val="18"/>
          <w:color w:val="auto"/>
        </w:rPr>
      </w:pPr>
    </w:p>
    <w:p>
      <w:pPr>
        <w:ind w:left="1080" w:right="60" w:hanging="532"/>
        <w:spacing w:after="0" w:line="255"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is no significant investment by benefit plan investors, which is defined to mean that less than 25% of the value of each class of equity interest, disregarding some interests held by our general partner, its affiliates (which do not include the Legacy Owners), and some other persons, is held by (1)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summary above is based on the provisions of ERISA and the Code (and related regulations and administrative and judicial interpretations) as of the date of this filing. This summary does not purport to be complete, and no assurance can be given that future legislation, court decisions, regulations, rulings or pronouncements will not significantly modify the requirements summarized above.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 The sale of our Class A shares to any plan is in no respect a representation by us or any of our affiliates or representatives that such an investment meets all relevant legal requirements with respect to investments by any such plan or that such investment is appropriate for any such plan.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offer and sell the Class A shares offered by this prospectus by one or more of, or a combination of, the following methods:</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Class A shares as principal and thereafter resell the Class A shares from time to time: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We will determine the offering price per Class A share from time to time in connection with, and at the time of, sale. We will price the Class A shares at:</w:t>
      </w:r>
    </w:p>
    <w:p>
      <w:pPr>
        <w:spacing w:after="0" w:line="275"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prices related to the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Class A shares for whom they may act as agents. If any broker-dealer purchases Class A shares as principal, it may effect resales of such Class A shares from time to time to or through other broker-dealers, and other broker-dealers may receive compensation in the form of concessions or commissions from the purchasers of Class A shares for whom they may act as agents.</w:t>
      </w:r>
    </w:p>
    <w:p>
      <w:pPr>
        <w:spacing w:after="0" w:line="197"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To the extent required, the names of the specific managing underwriter or underwriters, brokers, dealers and agents, if any, as well as other important information, will be set forth in an applicable prospectus supplement. In that event, any underwriting compensation paid to underwriters or agents in connection with the offering of the Class A shares, and any discounts, concessions or commissions allowed by underwriters to participating dealers, will be set forth in, or may be calculated from, the applicable prospectus supplement. Any underwriters, brokers, dealers and agents who participate in any sale of the Class A Shares may also engage in transactions with, or perform services for, us or our affiliates in the ordinary course of their businesses. We may indemnify underwriters, brokers, dealers and agents against specific liabilities, including liabilities under the Securities Act of 1933, as amended (the "Securities Act").</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Offers to purchase Class A Shares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We may offer our Class A shares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39"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Class A shares under this prospectus and the registration statement of which it forms a part will not exceed 8% of the gross proceeds from the sale.</w:t>
      </w:r>
    </w:p>
    <w:p>
      <w:pPr>
        <w:spacing w:after="0" w:line="186"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Any underwriters, brokers, dealers and agents who participate in any sale of the Class A shares may also engage in transactions with, or perform services for, us or our affiliates in the ordinary course of their businesses.</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Because FINRA views our Class A shares as interests in a direct participation program, any offering of Class A shares under the registration statement of which this prospectus forms a part will be made in compliance with Rule 2310 of the FINRA Rules.</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offerings under this shelf registration statement and in compliance with applicable law, underwriters, brokers or dealers may engage in transactions that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Vinson &amp; Elkins L.L.P. will also render an opinion on the material federal income tax consequences regarding the Class A shares.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21">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December 31, 2018</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w:t>
      </w:r>
      <w:r>
        <w:rPr>
          <w:rFonts w:ascii="Arial" w:cs="Arial" w:eastAsia="Arial" w:hAnsi="Arial"/>
          <w:sz w:val="18"/>
          <w:szCs w:val="18"/>
          <w:color w:val="0000EE"/>
        </w:rPr>
        <w:t xml:space="preserve"> </w:t>
      </w:r>
      <w:r>
        <w:rPr>
          <w:rFonts w:ascii="Arial" w:cs="Arial" w:eastAsia="Arial" w:hAnsi="Arial"/>
          <w:sz w:val="18"/>
          <w:szCs w:val="18"/>
          <w:color w:val="000000"/>
        </w:rPr>
        <w:t>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color w:val="auto"/>
        </w:rPr>
        <w:t>Set forth below are the expenses (other than underwriting discounts and commissions) expected to be incurred in connection with the issuance and distribution of the Class A shares registered hereby. With the exception of the SEC registration fee, the amounts set forth below are estimates.</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115,900</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240,000</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120,000</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Listing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8"/>
                <w:szCs w:val="18"/>
                <w:color w:val="auto"/>
              </w:rPr>
            </w:pPr>
          </w:p>
        </w:tc>
      </w:tr>
      <w:tr>
        <w:trPr>
          <w:trHeight w:val="210"/>
        </w:trPr>
        <w:tc>
          <w:tcPr>
            <w:tcW w:w="704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515,900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Section 17-108 of the Delaware Revised Uniform Limited Partnership Act empowers a Delaware limited partnership to indemnify and hold harmless any partner or other persons from and against all claims and demands whatsoever. Under Plains GP Holdings, L.P.'s partnership agreement and subject to specified limitations expressly in its partnership agreement, Plains GP Holdings, L.P. shall indemnify to the fullest extent permitted by Delaware law:</w:t>
      </w:r>
    </w:p>
    <w:p>
      <w:pPr>
        <w:spacing w:after="0" w:line="174"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its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Qualifying Interest Holders (as defined in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person who is or was an affiliate of its general partner, any departing general partner, the Legacy Owners or any Qualifying Interest Holder;</w:t>
      </w:r>
    </w:p>
    <w:p>
      <w:pPr>
        <w:spacing w:after="0" w:line="261" w:lineRule="exact"/>
        <w:rPr>
          <w:rFonts w:ascii="Arial" w:cs="Arial" w:eastAsia="Arial" w:hAnsi="Arial"/>
          <w:sz w:val="16"/>
          <w:szCs w:val="16"/>
          <w:color w:val="auto"/>
        </w:rPr>
      </w:pPr>
    </w:p>
    <w:p>
      <w:pPr>
        <w:ind w:left="1080" w:right="22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its general partner or any departing general partner or any affiliate of its general partner, any departing general partner or the Legacy Owners;</w:t>
      </w:r>
    </w:p>
    <w:p>
      <w:pPr>
        <w:spacing w:after="0" w:line="152"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person designated by its general partner</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and against all losses, claims, damages or similar events arising by reason of such person's above mentioned position with respect to Plains GP Holdings, L.P. Provided, that such person shall not be indemnified and held harmless if there has been a final and non-appealable judgment entered by a court determining that such person acted in bad faith or engaged in fraud, willful misconduct or acted with the knowledge that his or her conduct was unlawful. Any indemnification under Plains GP Holdings, L.P.'s partnership agreement will only be out of its assets. Plains GP Holdings, L.P. is authorized to purchase insurance against liabilities asserted against and expenses incurred by persons from Plains GP Holdings, L.P.'s activities, regardless of whether Plains GP Holdings, L.P. would have the power to indemnify the person against liabilities under Plains GP Holdings, L.P.'s partnership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ectPr>
          <w:pgSz w:w="11900" w:h="16838" w:orient="portrait"/>
          <w:cols w:equalWidth="0" w:num="1">
            <w:col w:w="11400"/>
          </w:cols>
          <w:pgMar w:left="240" w:top="131" w:right="259"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4032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4700"/>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-2265045</wp:posOffset>
            </wp:positionH>
            <wp:positionV relativeFrom="paragraph">
              <wp:posOffset>14605</wp:posOffset>
            </wp:positionV>
            <wp:extent cx="49739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497395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300" w:space="720"/>
            <w:col w:w="5380"/>
          </w:cols>
          <w:pgMar w:left="240" w:top="131" w:right="259" w:bottom="1440" w:gutter="0" w:footer="0" w:header="0"/>
          <w:type w:val="continuous"/>
        </w:sectPr>
      </w:pPr>
    </w:p>
    <w:p>
      <w:pPr>
        <w:ind w:left="1560"/>
        <w:spacing w:after="0"/>
        <w:tabs>
          <w:tab w:leader="none" w:pos="2420" w:val="left"/>
        </w:tabs>
        <w:rPr>
          <w:sz w:val="20"/>
          <w:szCs w:val="20"/>
          <w:color w:val="auto"/>
        </w:rPr>
      </w:pPr>
      <w:r>
        <w:rPr>
          <w:rFonts w:ascii="Arial" w:cs="Arial" w:eastAsia="Arial" w:hAnsi="Arial"/>
          <w:sz w:val="18"/>
          <w:szCs w:val="18"/>
          <w:color w:val="auto"/>
        </w:rPr>
        <w:t>1.1**  —</w:t>
      </w:r>
      <w:r>
        <w:rPr>
          <w:sz w:val="20"/>
          <w:szCs w:val="20"/>
          <w:color w:val="auto"/>
        </w:rPr>
        <w:tab/>
      </w:r>
      <w:r>
        <w:rPr>
          <w:rFonts w:ascii="Arial" w:cs="Arial" w:eastAsia="Arial" w:hAnsi="Arial"/>
          <w:sz w:val="16"/>
          <w:szCs w:val="16"/>
          <w:color w:val="auto"/>
        </w:rPr>
        <w:t>Form of Underwriting Agreement.</w:t>
      </w:r>
    </w:p>
    <w:p>
      <w:pPr>
        <w:spacing w:after="0" w:line="244" w:lineRule="exact"/>
        <w:rPr>
          <w:sz w:val="20"/>
          <w:szCs w:val="20"/>
          <w:color w:val="auto"/>
        </w:rPr>
      </w:pPr>
    </w:p>
    <w:p>
      <w:pPr>
        <w:ind w:left="2080" w:right="1660" w:hanging="880"/>
        <w:spacing w:after="0" w:line="259"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Second Amended and Restated Limited Partnership Agreement of Plains GP Holdings, L.P., dated as of</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November 15, 2016 (incorporated by reference to Exhibit 3.2 to the Current Report on Form 8-K filed</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November 21, 2016).</w:t>
        </w:r>
      </w:hyperlink>
    </w:p>
    <w:p>
      <w:pPr>
        <w:spacing w:after="0" w:line="221" w:lineRule="exact"/>
        <w:rPr>
          <w:rFonts w:ascii="Arial" w:cs="Arial" w:eastAsia="Arial" w:hAnsi="Arial"/>
          <w:sz w:val="18"/>
          <w:szCs w:val="18"/>
          <w:color w:val="auto"/>
        </w:rPr>
      </w:pPr>
    </w:p>
    <w:p>
      <w:pPr>
        <w:ind w:left="2080" w:right="1360" w:hanging="880"/>
        <w:spacing w:after="0" w:line="259"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EE"/>
          </w:rPr>
          <w:t>Third Amended and Restated Limited Liability Company Agreement of PAA GP Holdings LLC, dated as of</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EE"/>
          </w:rPr>
          <w:t>February 16, 2017 (incorporated by reference to Exhibit 3.1 to the Current Report on Form 8-K filed</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February 21, 2017).</w:t>
        </w:r>
      </w:hyperlink>
    </w:p>
    <w:p>
      <w:pPr>
        <w:spacing w:after="0" w:line="221" w:lineRule="exact"/>
        <w:rPr>
          <w:rFonts w:ascii="Arial" w:cs="Arial" w:eastAsia="Arial" w:hAnsi="Arial"/>
          <w:sz w:val="18"/>
          <w:szCs w:val="18"/>
          <w:color w:val="auto"/>
        </w:rPr>
      </w:pPr>
    </w:p>
    <w:p>
      <w:pPr>
        <w:ind w:left="2080" w:right="1240" w:hanging="880"/>
        <w:spacing w:after="0" w:line="259"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Amendment No. 1 to the Third Amended and Restated Limited Liability Company Agreement of PAA GP</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Holdings LLC, dated as of October 1, 2018 (incorporated by reference to Exhibit 3.1 to the Current Report on</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Form 8-K filed August 20, 2018).</w:t>
        </w:r>
      </w:hyperlink>
    </w:p>
    <w:p>
      <w:pPr>
        <w:spacing w:after="0" w:line="221" w:lineRule="exact"/>
        <w:rPr>
          <w:rFonts w:ascii="Arial" w:cs="Arial" w:eastAsia="Arial" w:hAnsi="Arial"/>
          <w:sz w:val="18"/>
          <w:szCs w:val="18"/>
          <w:color w:val="auto"/>
        </w:rPr>
      </w:pPr>
    </w:p>
    <w:p>
      <w:pPr>
        <w:ind w:left="2080" w:right="1220" w:hanging="880"/>
        <w:spacing w:after="0" w:line="259"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Amendment No. 2 to the Third Amended and Restated Limited Liability Company Agreement of PAA GP</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Holdings LLC, dated as of December 10, 2018 (incorporated by reference to Exhibit 3.1 to the Current Report</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on Form 8-K filed December 11, 2018).</w:t>
        </w:r>
      </w:hyperlink>
    </w:p>
    <w:p>
      <w:pPr>
        <w:spacing w:after="0" w:line="221" w:lineRule="exact"/>
        <w:rPr>
          <w:rFonts w:ascii="Arial" w:cs="Arial" w:eastAsia="Arial" w:hAnsi="Arial"/>
          <w:sz w:val="18"/>
          <w:szCs w:val="18"/>
          <w:color w:val="auto"/>
        </w:rPr>
      </w:pPr>
    </w:p>
    <w:p>
      <w:pPr>
        <w:ind w:left="2080" w:right="1200" w:hanging="880"/>
        <w:spacing w:after="0" w:line="259"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Amendment No. 3 to the Third Amended and Restated Limited Liability Company Agreement of PAA GP</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Holdings LLC, dated as of November 21, 2019 (incorporated by reference to Exhibit 3.1 to the Current Report</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on Form 8-K filed November 27, 2019).</w:t>
        </w:r>
      </w:hyperlink>
    </w:p>
    <w:p>
      <w:pPr>
        <w:spacing w:after="0" w:line="221" w:lineRule="exact"/>
        <w:rPr>
          <w:rFonts w:ascii="Arial" w:cs="Arial" w:eastAsia="Arial" w:hAnsi="Arial"/>
          <w:sz w:val="18"/>
          <w:szCs w:val="18"/>
          <w:color w:val="auto"/>
        </w:rPr>
      </w:pPr>
    </w:p>
    <w:p>
      <w:pPr>
        <w:ind w:left="2080" w:right="1280" w:hanging="880"/>
        <w:spacing w:after="0" w:line="268" w:lineRule="auto"/>
        <w:tabs>
          <w:tab w:leader="none" w:pos="20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Specimen certificate representing Class A shares (incorporated by reference to Exhibit 4.1 of the Registration</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Statement on Form S-3 filed December 8, 2016).</w:t>
        </w:r>
      </w:hyperlink>
    </w:p>
    <w:p>
      <w:pPr>
        <w:spacing w:after="0" w:line="186" w:lineRule="exact"/>
        <w:rPr>
          <w:sz w:val="20"/>
          <w:szCs w:val="20"/>
          <w:color w:val="auto"/>
        </w:rPr>
      </w:pPr>
    </w:p>
    <w:p>
      <w:pPr>
        <w:ind w:left="1560"/>
        <w:spacing w:after="0"/>
        <w:tabs>
          <w:tab w:leader="none" w:pos="2060" w:val="left"/>
          <w:tab w:leader="none" w:pos="2420" w:val="left"/>
        </w:tabs>
        <w:rPr>
          <w:sz w:val="20"/>
          <w:szCs w:val="20"/>
          <w:color w:val="auto"/>
        </w:rPr>
      </w:pPr>
      <w:r>
        <w:rPr>
          <w:rFonts w:ascii="Arial" w:cs="Arial" w:eastAsia="Arial" w:hAnsi="Arial"/>
          <w:sz w:val="18"/>
          <w:szCs w:val="18"/>
          <w:color w:val="auto"/>
        </w:rPr>
        <w:t>5.1*</w:t>
        <w:tab/>
        <w:t>—</w:t>
      </w:r>
      <w:r>
        <w:rPr>
          <w:sz w:val="20"/>
          <w:szCs w:val="20"/>
          <w:color w:val="auto"/>
        </w:rPr>
        <w:tab/>
      </w:r>
      <w:r>
        <w:rPr>
          <w:rFonts w:ascii="Arial" w:cs="Arial" w:eastAsia="Arial" w:hAnsi="Arial"/>
          <w:sz w:val="16"/>
          <w:szCs w:val="16"/>
          <w:u w:val="single" w:color="auto"/>
          <w:color w:val="0000EE"/>
        </w:rPr>
        <w:t>Opinion of Vinson &amp; Elkins L.L.P. as to the legality of the securities being registered.</w:t>
      </w:r>
    </w:p>
    <w:p>
      <w:pPr>
        <w:spacing w:after="0" w:line="252" w:lineRule="exact"/>
        <w:rPr>
          <w:sz w:val="20"/>
          <w:szCs w:val="20"/>
          <w:color w:val="auto"/>
        </w:rPr>
      </w:pPr>
    </w:p>
    <w:p>
      <w:pPr>
        <w:ind w:left="1560"/>
        <w:spacing w:after="0"/>
        <w:tabs>
          <w:tab w:leader="none" w:pos="2060" w:val="left"/>
          <w:tab w:leader="none" w:pos="2420" w:val="left"/>
        </w:tabs>
        <w:rPr>
          <w:sz w:val="20"/>
          <w:szCs w:val="20"/>
          <w:color w:val="auto"/>
        </w:rPr>
      </w:pPr>
      <w:r>
        <w:rPr>
          <w:rFonts w:ascii="Arial" w:cs="Arial" w:eastAsia="Arial" w:hAnsi="Arial"/>
          <w:sz w:val="18"/>
          <w:szCs w:val="18"/>
          <w:color w:val="auto"/>
        </w:rPr>
        <w:t>8.1*</w:t>
        <w:tab/>
        <w:t>—</w:t>
      </w:r>
      <w:r>
        <w:rPr>
          <w:sz w:val="20"/>
          <w:szCs w:val="20"/>
          <w:color w:val="auto"/>
        </w:rPr>
        <w:tab/>
      </w:r>
      <w:r>
        <w:rPr>
          <w:rFonts w:ascii="Arial" w:cs="Arial" w:eastAsia="Arial" w:hAnsi="Arial"/>
          <w:sz w:val="16"/>
          <w:szCs w:val="16"/>
          <w:u w:val="single" w:color="auto"/>
          <w:color w:val="0000EE"/>
        </w:rPr>
        <w:t>Opinion of Vinson &amp; Elkins L.L.P. relating to tax matters.</w:t>
      </w:r>
    </w:p>
    <w:p>
      <w:pPr>
        <w:spacing w:after="0" w:line="252" w:lineRule="exact"/>
        <w:rPr>
          <w:sz w:val="20"/>
          <w:szCs w:val="20"/>
          <w:color w:val="auto"/>
        </w:rPr>
      </w:pPr>
    </w:p>
    <w:p>
      <w:pPr>
        <w:ind w:left="1480"/>
        <w:spacing w:after="0"/>
        <w:tabs>
          <w:tab w:leader="none" w:pos="2060" w:val="left"/>
          <w:tab w:leader="none" w:pos="2420" w:val="left"/>
        </w:tabs>
        <w:rPr>
          <w:sz w:val="20"/>
          <w:szCs w:val="20"/>
          <w:color w:val="auto"/>
        </w:rPr>
      </w:pPr>
      <w:r>
        <w:rPr>
          <w:rFonts w:ascii="Arial" w:cs="Arial" w:eastAsia="Arial" w:hAnsi="Arial"/>
          <w:sz w:val="18"/>
          <w:szCs w:val="18"/>
          <w:color w:val="auto"/>
        </w:rPr>
        <w:t>23.1*</w:t>
        <w:tab/>
        <w:t>—</w:t>
      </w:r>
      <w:r>
        <w:rPr>
          <w:sz w:val="20"/>
          <w:szCs w:val="20"/>
          <w:color w:val="auto"/>
        </w:rPr>
        <w:tab/>
      </w:r>
      <w:r>
        <w:rPr>
          <w:rFonts w:ascii="Arial" w:cs="Arial" w:eastAsia="Arial" w:hAnsi="Arial"/>
          <w:sz w:val="15"/>
          <w:szCs w:val="15"/>
          <w:u w:val="single" w:color="auto"/>
          <w:color w:val="0000EE"/>
        </w:rPr>
        <w:t>Consent of PricewaterhouseCoopers LLP.</w:t>
      </w:r>
    </w:p>
    <w:p>
      <w:pPr>
        <w:spacing w:after="0" w:line="252" w:lineRule="exact"/>
        <w:rPr>
          <w:sz w:val="20"/>
          <w:szCs w:val="20"/>
          <w:color w:val="auto"/>
        </w:rPr>
      </w:pPr>
    </w:p>
    <w:p>
      <w:pPr>
        <w:ind w:left="1480"/>
        <w:spacing w:after="0"/>
        <w:tabs>
          <w:tab w:leader="none" w:pos="2060" w:val="left"/>
          <w:tab w:leader="none" w:pos="2420" w:val="left"/>
        </w:tabs>
        <w:rPr>
          <w:sz w:val="20"/>
          <w:szCs w:val="20"/>
          <w:color w:val="auto"/>
        </w:rPr>
      </w:pPr>
      <w:r>
        <w:rPr>
          <w:rFonts w:ascii="Arial" w:cs="Arial" w:eastAsia="Arial" w:hAnsi="Arial"/>
          <w:sz w:val="18"/>
          <w:szCs w:val="18"/>
          <w:color w:val="auto"/>
        </w:rPr>
        <w:t>23.2*</w:t>
        <w:tab/>
        <w:t>—</w:t>
      </w:r>
      <w:r>
        <w:rPr>
          <w:sz w:val="20"/>
          <w:szCs w:val="20"/>
          <w:color w:val="auto"/>
        </w:rPr>
        <w:tab/>
      </w:r>
      <w:r>
        <w:rPr>
          <w:rFonts w:ascii="Arial" w:cs="Arial" w:eastAsia="Arial" w:hAnsi="Arial"/>
          <w:sz w:val="16"/>
          <w:szCs w:val="16"/>
          <w:color w:val="auto"/>
        </w:rPr>
        <w:t xml:space="preserve">Consent of Vinson &amp; Elkins L.L.P. (contained in Exhibits </w:t>
      </w:r>
      <w:r>
        <w:rPr>
          <w:rFonts w:ascii="Arial" w:cs="Arial" w:eastAsia="Arial" w:hAnsi="Arial"/>
          <w:sz w:val="16"/>
          <w:szCs w:val="16"/>
          <w:u w:val="single" w:color="auto"/>
          <w:color w:val="0000EE"/>
        </w:rPr>
        <w:t>5.1</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8.1</w:t>
      </w:r>
      <w:r>
        <w:rPr>
          <w:rFonts w:ascii="Arial" w:cs="Arial" w:eastAsia="Arial" w:hAnsi="Arial"/>
          <w:sz w:val="16"/>
          <w:szCs w:val="16"/>
          <w:color w:val="auto"/>
        </w:rPr>
        <w:t>).</w:t>
      </w:r>
    </w:p>
    <w:p>
      <w:pPr>
        <w:spacing w:after="0" w:line="252" w:lineRule="exact"/>
        <w:rPr>
          <w:sz w:val="20"/>
          <w:szCs w:val="20"/>
          <w:color w:val="auto"/>
        </w:rPr>
      </w:pPr>
    </w:p>
    <w:p>
      <w:pPr>
        <w:ind w:left="1480"/>
        <w:spacing w:after="0"/>
        <w:tabs>
          <w:tab w:leader="none" w:pos="2060" w:val="left"/>
          <w:tab w:leader="none" w:pos="2420" w:val="left"/>
        </w:tabs>
        <w:rPr>
          <w:rFonts w:ascii="Arial" w:cs="Arial" w:eastAsia="Arial" w:hAnsi="Arial"/>
          <w:sz w:val="15"/>
          <w:szCs w:val="15"/>
          <w:u w:val="single" w:color="auto"/>
          <w:color w:val="0000EE"/>
        </w:rPr>
      </w:pPr>
      <w:r>
        <w:rPr>
          <w:rFonts w:ascii="Arial" w:cs="Arial" w:eastAsia="Arial" w:hAnsi="Arial"/>
          <w:sz w:val="18"/>
          <w:szCs w:val="18"/>
          <w:color w:val="auto"/>
        </w:rPr>
        <w:t>24.1*</w:t>
        <w:tab/>
        <w:t>—</w:t>
      </w:r>
      <w:r>
        <w:rPr>
          <w:sz w:val="20"/>
          <w:szCs w:val="20"/>
          <w:color w:val="auto"/>
        </w:rPr>
        <w:tab/>
      </w:r>
      <w:hyperlink w:anchor="page28">
        <w:r>
          <w:rPr>
            <w:rFonts w:ascii="Arial" w:cs="Arial" w:eastAsia="Arial" w:hAnsi="Arial"/>
            <w:sz w:val="15"/>
            <w:szCs w:val="15"/>
            <w:u w:val="single" w:color="auto"/>
            <w:color w:val="0000EE"/>
          </w:rPr>
          <w:t>Power of Attorney (included on signature pages of this registration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97155</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7" w:lineRule="exact"/>
        <w:rPr>
          <w:sz w:val="20"/>
          <w:szCs w:val="20"/>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or a post-effective amendment to this registration statement.</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45"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38" w:lineRule="exact"/>
        <w:rPr>
          <w:rFonts w:ascii="Arial" w:cs="Arial" w:eastAsia="Arial" w:hAnsi="Arial"/>
          <w:sz w:val="18"/>
          <w:szCs w:val="18"/>
          <w:color w:val="auto"/>
        </w:rPr>
      </w:pPr>
    </w:p>
    <w:p>
      <w:pPr>
        <w:ind w:left="1620" w:hanging="532"/>
        <w:spacing w:after="0" w:line="298" w:lineRule="auto"/>
        <w:tabs>
          <w:tab w:leader="none" w:pos="1620" w:val="left"/>
        </w:tabs>
        <w:numPr>
          <w:ilvl w:val="2"/>
          <w:numId w:val="1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620" w:right="100"/>
        <w:spacing w:after="0" w:line="259" w:lineRule="auto"/>
        <w:rPr>
          <w:sz w:val="20"/>
          <w:szCs w:val="20"/>
          <w:color w:val="auto"/>
        </w:rPr>
      </w:pPr>
      <w:r>
        <w:rPr>
          <w:rFonts w:ascii="Arial" w:cs="Arial" w:eastAsia="Arial" w:hAnsi="Arial"/>
          <w:sz w:val="18"/>
          <w:szCs w:val="18"/>
          <w:color w:val="auto"/>
        </w:rPr>
        <w:t>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08" w:lineRule="exact"/>
        <w:rPr>
          <w:sz w:val="20"/>
          <w:szCs w:val="20"/>
          <w:color w:val="auto"/>
        </w:rPr>
      </w:pPr>
    </w:p>
    <w:p>
      <w:pPr>
        <w:ind w:left="1620" w:right="300" w:hanging="532"/>
        <w:spacing w:after="0" w:line="268"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1080" w:right="60"/>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above do not apply if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224" w:lineRule="exact"/>
        <w:rPr>
          <w:sz w:val="20"/>
          <w:szCs w:val="20"/>
          <w:color w:val="auto"/>
        </w:rPr>
      </w:pPr>
    </w:p>
    <w:p>
      <w:pPr>
        <w:ind w:left="1080" w:right="4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7"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40" w:hanging="532"/>
        <w:spacing w:after="0" w:line="268"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99" w:lineRule="exact"/>
        <w:rPr>
          <w:rFonts w:ascii="Arial" w:cs="Arial" w:eastAsia="Arial" w:hAnsi="Arial"/>
          <w:sz w:val="18"/>
          <w:szCs w:val="18"/>
          <w:color w:val="auto"/>
        </w:rPr>
      </w:pPr>
    </w:p>
    <w:p>
      <w:pPr>
        <w:ind w:left="1620" w:right="20" w:hanging="532"/>
        <w:spacing w:after="0" w:line="286"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ind w:left="1620"/>
        <w:spacing w:after="0" w:line="286" w:lineRule="auto"/>
        <w:rPr>
          <w:rFonts w:ascii="Arial" w:cs="Arial" w:eastAsia="Arial" w:hAnsi="Arial"/>
          <w:sz w:val="16"/>
          <w:szCs w:val="16"/>
          <w:color w:val="auto"/>
        </w:rPr>
      </w:pPr>
      <w:r>
        <w:rPr>
          <w:rFonts w:ascii="Arial" w:cs="Arial" w:eastAsia="Arial" w:hAnsi="Arial"/>
          <w:sz w:val="16"/>
          <w:szCs w:val="16"/>
          <w:color w:val="auto"/>
        </w:rPr>
        <w:t>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1080" w:right="20" w:hanging="532"/>
        <w:spacing w:after="0" w:line="256"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following communications, the undersigned registrant will be a seller to the purchaser and will be considered to offer or sell such securities to such purchaser:</w:t>
      </w:r>
    </w:p>
    <w:p>
      <w:pPr>
        <w:spacing w:after="0" w:line="199" w:lineRule="exact"/>
        <w:rPr>
          <w:sz w:val="20"/>
          <w:szCs w:val="20"/>
          <w:color w:val="auto"/>
        </w:rPr>
      </w:pPr>
    </w:p>
    <w:p>
      <w:pPr>
        <w:ind w:left="1620" w:hanging="532"/>
        <w:spacing w:after="0"/>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75" w:lineRule="exact"/>
        <w:rPr>
          <w:rFonts w:ascii="Arial" w:cs="Arial" w:eastAsia="Arial" w:hAnsi="Arial"/>
          <w:sz w:val="16"/>
          <w:szCs w:val="16"/>
          <w:color w:val="auto"/>
        </w:rPr>
      </w:pPr>
    </w:p>
    <w:p>
      <w:pPr>
        <w:ind w:left="1620" w:right="380" w:hanging="532"/>
        <w:spacing w:after="0" w:line="268"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9" w:lineRule="exact"/>
        <w:rPr>
          <w:rFonts w:ascii="Arial" w:cs="Arial" w:eastAsia="Arial" w:hAnsi="Arial"/>
          <w:sz w:val="18"/>
          <w:szCs w:val="18"/>
          <w:color w:val="auto"/>
        </w:rPr>
      </w:pPr>
    </w:p>
    <w:p>
      <w:pPr>
        <w:ind w:left="1620" w:right="20" w:hanging="532"/>
        <w:spacing w:after="0" w:line="268"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540" w:right="80" w:hanging="532"/>
        <w:spacing w:after="0" w:line="256"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Arial" w:cs="Arial" w:eastAsia="Arial" w:hAnsi="Arial"/>
          <w:sz w:val="18"/>
          <w:szCs w:val="18"/>
          <w:color w:val="auto"/>
        </w:rPr>
      </w:pPr>
    </w:p>
    <w:p>
      <w:pPr>
        <w:ind w:left="540" w:right="100" w:hanging="532"/>
        <w:spacing w:after="0" w:line="290"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Houston, State of Texas, on December 12, 2019.</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GP HOLDINGS, L.P.</w:t>
      </w:r>
    </w:p>
    <w:p>
      <w:pPr>
        <w:spacing w:after="0" w:line="231"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148590</wp:posOffset>
            </wp:positionV>
            <wp:extent cx="26930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27"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Name:</w:t>
        <w:tab/>
        <w:t>Willie Chiang</w:t>
      </w:r>
    </w:p>
    <w:p>
      <w:pPr>
        <w:spacing w:after="0" w:line="1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 and Director</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jc w:val="both"/>
        <w:ind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as amended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 below.</w:t>
      </w:r>
    </w:p>
    <w:p>
      <w:pPr>
        <w:sectPr>
          <w:pgSz w:w="11900" w:h="16838" w:orient="portrait"/>
          <w:cols w:equalWidth="0" w:num="1">
            <w:col w:w="11360"/>
          </w:cols>
          <w:pgMar w:left="240" w:top="131" w:right="299" w:bottom="1440" w:gutter="0" w:footer="0" w:header="0"/>
        </w:sectPr>
      </w:pP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PAA GP HOLDINGS LLC, for itself and as the general partner of PLAINS GP HOLDINGS, L.P.</w:t>
      </w:r>
    </w:p>
    <w:p>
      <w:pPr>
        <w:spacing w:after="0" w:line="221" w:lineRule="exact"/>
        <w:rPr>
          <w:sz w:val="20"/>
          <w:szCs w:val="20"/>
          <w:color w:val="auto"/>
        </w:rPr>
      </w:pPr>
    </w:p>
    <w:p>
      <w:pPr>
        <w:ind w:left="2700"/>
        <w:spacing w:after="0"/>
        <w:tabs>
          <w:tab w:leader="none" w:pos="63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3480" w:type="dxa"/>
            <w:vAlign w:val="bottom"/>
          </w:tcPr>
          <w:p>
            <w:pPr>
              <w:jc w:val="center"/>
              <w:spacing w:after="0"/>
              <w:rPr>
                <w:sz w:val="20"/>
                <w:szCs w:val="20"/>
                <w:color w:val="auto"/>
              </w:rPr>
            </w:pPr>
            <w:r>
              <w:rPr>
                <w:rFonts w:ascii="Arial" w:cs="Arial" w:eastAsia="Arial" w:hAnsi="Arial"/>
                <w:sz w:val="18"/>
                <w:szCs w:val="18"/>
                <w:color w:val="auto"/>
                <w:w w:val="97"/>
              </w:rPr>
              <w:t>/s/ WILLIE CHIANG</w:t>
            </w:r>
          </w:p>
        </w:tc>
        <w:tc>
          <w:tcPr>
            <w:tcW w:w="3480" w:type="dxa"/>
            <w:vAlign w:val="bottom"/>
            <w:vMerge w:val="restart"/>
          </w:tcPr>
          <w:p>
            <w:pPr>
              <w:ind w:left="120"/>
              <w:spacing w:after="0"/>
              <w:rPr>
                <w:sz w:val="20"/>
                <w:szCs w:val="20"/>
                <w:color w:val="auto"/>
              </w:rPr>
            </w:pPr>
            <w:r>
              <w:rPr>
                <w:rFonts w:ascii="Arial" w:cs="Arial" w:eastAsia="Arial" w:hAnsi="Arial"/>
                <w:sz w:val="18"/>
                <w:szCs w:val="18"/>
                <w:color w:val="auto"/>
                <w:w w:val="91"/>
              </w:rPr>
              <w:t>Chief Executive Officer and Director (Principal</w:t>
            </w:r>
          </w:p>
        </w:tc>
        <w:tc>
          <w:tcPr>
            <w:tcW w:w="0" w:type="dxa"/>
            <w:vAlign w:val="bottom"/>
          </w:tcPr>
          <w:p>
            <w:pPr>
              <w:spacing w:after="0"/>
              <w:rPr>
                <w:sz w:val="1"/>
                <w:szCs w:val="1"/>
                <w:color w:val="auto"/>
              </w:rPr>
            </w:pPr>
          </w:p>
        </w:tc>
      </w:tr>
      <w:tr>
        <w:trPr>
          <w:trHeight w:val="95"/>
        </w:trPr>
        <w:tc>
          <w:tcPr>
            <w:tcW w:w="3480" w:type="dxa"/>
            <w:vAlign w:val="bottom"/>
            <w:tcBorders>
              <w:bottom w:val="single" w:sz="8" w:color="auto"/>
            </w:tcBorders>
          </w:tcPr>
          <w:p>
            <w:pPr>
              <w:spacing w:after="0"/>
              <w:rPr>
                <w:sz w:val="8"/>
                <w:szCs w:val="8"/>
                <w:color w:val="auto"/>
              </w:rPr>
            </w:pPr>
          </w:p>
        </w:tc>
        <w:tc>
          <w:tcPr>
            <w:tcW w:w="3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3"/>
              </w:rPr>
              <w:t>Willie Chiang</w:t>
            </w:r>
          </w:p>
        </w:tc>
        <w:tc>
          <w:tcPr>
            <w:tcW w:w="3480" w:type="dxa"/>
            <w:vAlign w:val="bottom"/>
          </w:tcPr>
          <w:p>
            <w:pPr>
              <w:ind w:left="120"/>
              <w:spacing w:after="0" w:line="202" w:lineRule="exact"/>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88"/>
        </w:trPr>
        <w:tc>
          <w:tcPr>
            <w:tcW w:w="348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3480" w:type="dxa"/>
            <w:vAlign w:val="bottom"/>
          </w:tcPr>
          <w:p>
            <w:pPr>
              <w:jc w:val="center"/>
              <w:spacing w:after="0"/>
              <w:rPr>
                <w:sz w:val="20"/>
                <w:szCs w:val="20"/>
                <w:color w:val="auto"/>
              </w:rPr>
            </w:pPr>
            <w:r>
              <w:rPr>
                <w:rFonts w:ascii="Arial" w:cs="Arial" w:eastAsia="Arial" w:hAnsi="Arial"/>
                <w:sz w:val="18"/>
                <w:szCs w:val="18"/>
                <w:color w:val="auto"/>
                <w:w w:val="91"/>
              </w:rPr>
              <w:t>/s/ HARRY N. PEFANIS</w:t>
            </w:r>
          </w:p>
        </w:tc>
        <w:tc>
          <w:tcPr>
            <w:tcW w:w="3480" w:type="dxa"/>
            <w:vAlign w:val="bottom"/>
            <w:vMerge w:val="restart"/>
          </w:tcPr>
          <w:p>
            <w:pPr>
              <w:ind w:left="120"/>
              <w:spacing w:after="0"/>
              <w:rPr>
                <w:sz w:val="20"/>
                <w:szCs w:val="20"/>
                <w:color w:val="auto"/>
              </w:rPr>
            </w:pPr>
            <w:r>
              <w:rPr>
                <w:rFonts w:ascii="Arial" w:cs="Arial" w:eastAsia="Arial" w:hAnsi="Arial"/>
                <w:sz w:val="18"/>
                <w:szCs w:val="18"/>
                <w:color w:val="auto"/>
              </w:rPr>
              <w:t>President, Chief Commercial Officer and</w:t>
            </w:r>
          </w:p>
        </w:tc>
        <w:tc>
          <w:tcPr>
            <w:tcW w:w="0" w:type="dxa"/>
            <w:vAlign w:val="bottom"/>
          </w:tcPr>
          <w:p>
            <w:pPr>
              <w:spacing w:after="0"/>
              <w:rPr>
                <w:sz w:val="1"/>
                <w:szCs w:val="1"/>
                <w:color w:val="auto"/>
              </w:rPr>
            </w:pPr>
          </w:p>
        </w:tc>
      </w:tr>
      <w:tr>
        <w:trPr>
          <w:trHeight w:val="95"/>
        </w:trPr>
        <w:tc>
          <w:tcPr>
            <w:tcW w:w="3480" w:type="dxa"/>
            <w:vAlign w:val="bottom"/>
            <w:tcBorders>
              <w:bottom w:val="single" w:sz="8" w:color="auto"/>
            </w:tcBorders>
          </w:tcPr>
          <w:p>
            <w:pPr>
              <w:spacing w:after="0"/>
              <w:rPr>
                <w:sz w:val="8"/>
                <w:szCs w:val="8"/>
                <w:color w:val="auto"/>
              </w:rPr>
            </w:pPr>
          </w:p>
        </w:tc>
        <w:tc>
          <w:tcPr>
            <w:tcW w:w="3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0"/>
              </w:rPr>
              <w:t>Harry N. Pefanis</w:t>
            </w:r>
          </w:p>
        </w:tc>
        <w:tc>
          <w:tcPr>
            <w:tcW w:w="3480" w:type="dxa"/>
            <w:vAlign w:val="bottom"/>
          </w:tcPr>
          <w:p>
            <w:pPr>
              <w:ind w:left="12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8"/>
        </w:trPr>
        <w:tc>
          <w:tcPr>
            <w:tcW w:w="348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3480" w:type="dxa"/>
            <w:vAlign w:val="bottom"/>
          </w:tcPr>
          <w:p>
            <w:pPr>
              <w:jc w:val="center"/>
              <w:spacing w:after="0"/>
              <w:rPr>
                <w:sz w:val="20"/>
                <w:szCs w:val="20"/>
                <w:color w:val="auto"/>
              </w:rPr>
            </w:pPr>
            <w:r>
              <w:rPr>
                <w:rFonts w:ascii="Arial" w:cs="Arial" w:eastAsia="Arial" w:hAnsi="Arial"/>
                <w:sz w:val="18"/>
                <w:szCs w:val="18"/>
                <w:color w:val="auto"/>
                <w:w w:val="91"/>
              </w:rPr>
              <w:t>/s/ AL SWANSON</w:t>
            </w:r>
          </w:p>
        </w:tc>
        <w:tc>
          <w:tcPr>
            <w:tcW w:w="3480" w:type="dxa"/>
            <w:vAlign w:val="bottom"/>
            <w:vMerge w:val="restart"/>
          </w:tcPr>
          <w:p>
            <w:pPr>
              <w:ind w:left="120"/>
              <w:spacing w:after="0"/>
              <w:rPr>
                <w:sz w:val="20"/>
                <w:szCs w:val="20"/>
                <w:color w:val="auto"/>
              </w:rPr>
            </w:pPr>
            <w:r>
              <w:rPr>
                <w:rFonts w:ascii="Arial" w:cs="Arial" w:eastAsia="Arial" w:hAnsi="Arial"/>
                <w:sz w:val="18"/>
                <w:szCs w:val="18"/>
                <w:color w:val="auto"/>
                <w:w w:val="93"/>
              </w:rPr>
              <w:t>Executive Vice President and Chief Financial</w:t>
            </w:r>
          </w:p>
        </w:tc>
        <w:tc>
          <w:tcPr>
            <w:tcW w:w="0" w:type="dxa"/>
            <w:vAlign w:val="bottom"/>
          </w:tcPr>
          <w:p>
            <w:pPr>
              <w:spacing w:after="0"/>
              <w:rPr>
                <w:sz w:val="1"/>
                <w:szCs w:val="1"/>
                <w:color w:val="auto"/>
              </w:rPr>
            </w:pPr>
          </w:p>
        </w:tc>
      </w:tr>
      <w:tr>
        <w:trPr>
          <w:trHeight w:val="95"/>
        </w:trPr>
        <w:tc>
          <w:tcPr>
            <w:tcW w:w="3480" w:type="dxa"/>
            <w:vAlign w:val="bottom"/>
            <w:tcBorders>
              <w:bottom w:val="single" w:sz="8" w:color="auto"/>
            </w:tcBorders>
          </w:tcPr>
          <w:p>
            <w:pPr>
              <w:spacing w:after="0"/>
              <w:rPr>
                <w:sz w:val="8"/>
                <w:szCs w:val="8"/>
                <w:color w:val="auto"/>
              </w:rPr>
            </w:pPr>
          </w:p>
        </w:tc>
        <w:tc>
          <w:tcPr>
            <w:tcW w:w="3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88"/>
              </w:rPr>
              <w:t>Al Swanson</w:t>
            </w:r>
          </w:p>
        </w:tc>
        <w:tc>
          <w:tcPr>
            <w:tcW w:w="3480" w:type="dxa"/>
            <w:vAlign w:val="bottom"/>
          </w:tcPr>
          <w:p>
            <w:pPr>
              <w:ind w:left="120"/>
              <w:spacing w:after="0" w:line="202" w:lineRule="exact"/>
              <w:rPr>
                <w:sz w:val="20"/>
                <w:szCs w:val="20"/>
                <w:color w:val="auto"/>
              </w:rPr>
            </w:pPr>
            <w:r>
              <w:rPr>
                <w:rFonts w:ascii="Arial" w:cs="Arial" w:eastAsia="Arial" w:hAnsi="Arial"/>
                <w:sz w:val="18"/>
                <w:szCs w:val="18"/>
                <w:color w:val="auto"/>
              </w:rPr>
              <w:t>Officer (Principal Financial Officer)</w:t>
            </w:r>
          </w:p>
        </w:tc>
        <w:tc>
          <w:tcPr>
            <w:tcW w:w="0" w:type="dxa"/>
            <w:vAlign w:val="bottom"/>
          </w:tcPr>
          <w:p>
            <w:pPr>
              <w:spacing w:after="0"/>
              <w:rPr>
                <w:sz w:val="1"/>
                <w:szCs w:val="1"/>
                <w:color w:val="auto"/>
              </w:rPr>
            </w:pPr>
          </w:p>
        </w:tc>
      </w:tr>
      <w:tr>
        <w:trPr>
          <w:trHeight w:val="88"/>
        </w:trPr>
        <w:tc>
          <w:tcPr>
            <w:tcW w:w="3480" w:type="dxa"/>
            <w:vAlign w:val="bottom"/>
            <w:vMerge w:val="continue"/>
          </w:tcPr>
          <w:p>
            <w:pPr>
              <w:spacing w:after="0"/>
              <w:rPr>
                <w:sz w:val="7"/>
                <w:szCs w:val="7"/>
                <w:color w:val="auto"/>
              </w:rPr>
            </w:pPr>
          </w:p>
        </w:tc>
        <w:tc>
          <w:tcPr>
            <w:tcW w:w="3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4"/>
                <w:szCs w:val="24"/>
                <w:color w:val="auto"/>
              </w:rPr>
            </w:pPr>
          </w:p>
        </w:tc>
        <w:tc>
          <w:tcPr>
            <w:tcW w:w="3480" w:type="dxa"/>
            <w:vAlign w:val="bottom"/>
          </w:tcPr>
          <w:p>
            <w:pPr>
              <w:ind w:left="940"/>
              <w:spacing w:after="0"/>
              <w:rPr>
                <w:sz w:val="20"/>
                <w:szCs w:val="20"/>
                <w:color w:val="auto"/>
              </w:rPr>
            </w:pPr>
            <w:r>
              <w:rPr>
                <w:rFonts w:ascii="Arial" w:cs="Arial" w:eastAsia="Arial" w:hAnsi="Arial"/>
                <w:sz w:val="18"/>
                <w:szCs w:val="18"/>
                <w:color w:val="auto"/>
              </w:rPr>
              <w:t>II-5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40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ectPr>
          <w:pgSz w:w="11900" w:h="16838" w:orient="portrait"/>
          <w:cols w:equalWidth="0" w:num="2">
            <w:col w:w="8120" w:space="600"/>
            <w:col w:w="2640"/>
          </w:cols>
          <w:pgMar w:left="240" w:top="131" w:right="2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700"/>
        <w:spacing w:after="0"/>
        <w:rPr>
          <w:sz w:val="20"/>
          <w:szCs w:val="20"/>
          <w:color w:val="auto"/>
        </w:rPr>
      </w:pPr>
      <w:r>
        <w:rPr>
          <w:rFonts w:ascii="Arial" w:cs="Arial" w:eastAsia="Arial" w:hAnsi="Arial"/>
          <w:sz w:val="14"/>
          <w:szCs w:val="14"/>
          <w:b w:val="1"/>
          <w:bCs w:val="1"/>
          <w:u w:val="single" w:color="auto"/>
          <w:color w:val="auto"/>
        </w:rPr>
        <w:t>Name</w:t>
      </w:r>
    </w:p>
    <w:p>
      <w:pPr>
        <w:spacing w:after="0" w:line="200" w:lineRule="exact"/>
        <w:rPr>
          <w:sz w:val="20"/>
          <w:szCs w:val="20"/>
          <w:color w:val="auto"/>
        </w:rPr>
      </w:pPr>
    </w:p>
    <w:p>
      <w:pPr>
        <w:spacing w:after="0" w:line="265"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Chris Herbold</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Greg L. Armstrong</w:t>
      </w:r>
    </w:p>
    <w:p>
      <w:pPr>
        <w:spacing w:after="0" w:line="25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Victor Burk</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EVERARDO GOYANES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Everardo Goyanes</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Gary R. Petersen</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ALEXANDRA D. PRUNER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Alexandra D. Pruner</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John T. Raymond</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BOBBY S. SHACKOULS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Bobby S. Shackouls</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ROBERT V. SINNOTT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Robert V. Sinnott</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J. TAFT SYMONDS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J. Taft Symonds</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/s/ CHRISTOPHER M. TEMPLE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2123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Christopher M. Temple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left="-239"/>
        <w:spacing w:after="0"/>
        <w:rPr>
          <w:sz w:val="20"/>
          <w:szCs w:val="20"/>
          <w:color w:val="auto"/>
        </w:rPr>
      </w:pP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359"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Senior Vice President and Chief Accounting Officer (Principal Accounting Officer)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December 12, 2019</w:t>
      </w:r>
    </w:p>
    <w:p>
      <w:pPr>
        <w:sectPr>
          <w:pgSz w:w="11900" w:h="16838" w:orient="portrait"/>
          <w:cols w:equalWidth="0" w:num="3">
            <w:col w:w="4060" w:space="700"/>
            <w:col w:w="3240" w:space="720"/>
            <w:col w:w="1499"/>
          </w:cols>
          <w:pgMar w:left="240" w:top="131" w:right="1440" w:bottom="1440" w:gutter="0" w:footer="0" w:header="0"/>
        </w:sectPr>
      </w:pPr>
    </w:p>
    <w:bookmarkStart w:id="29" w:name="page30"/>
    <w:bookmarkEnd w:id="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spacing w:after="0"/>
        <w:rPr>
          <w:rFonts w:ascii="Arial" w:cs="Arial" w:eastAsia="Arial" w:hAnsi="Arial"/>
          <w:sz w:val="22"/>
          <w:szCs w:val="22"/>
          <w:color w:val="0000EE"/>
        </w:rPr>
      </w:pPr>
      <w:hyperlink w:anchor="page3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62941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16294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acted as counsel to Plains GP Holdings, L.P., a Delaware limited partnership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in connection with the preparation and filing of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on or about the date hereof with the Securities and Exchange Commission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in connection with the registration by the Partnership under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of the offer and sale by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 from time to time, pursuant to Rule 415 under the Securities Act, of Class A shares representing limited partner interests in the Partnership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219"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aggregate initial offering price of the Shares that may be offered and sold by the Partnership pursuant to the Registration Statement will not exceed $938,900,000 or, if applicable, the equivalent thereof in any other security or currency unit.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also participated in the preparation of the Prospectus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contained in the Registration Statement to which this opinion is an exhibit.</w:t>
      </w:r>
    </w:p>
    <w:p>
      <w:pPr>
        <w:spacing w:after="0" w:line="260"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As the basis for the opinion hereinafter expressed, we examined the Delaware Revised Uniform Limited Partnership Act (the "</w:t>
      </w:r>
      <w:r>
        <w:rPr>
          <w:rFonts w:ascii="Arial" w:cs="Arial" w:eastAsia="Arial" w:hAnsi="Arial"/>
          <w:sz w:val="16"/>
          <w:szCs w:val="16"/>
          <w:b w:val="1"/>
          <w:bCs w:val="1"/>
          <w:i w:val="1"/>
          <w:iCs w:val="1"/>
          <w:color w:val="auto"/>
        </w:rPr>
        <w:t>Delaware LP Act</w:t>
      </w:r>
      <w:r>
        <w:rPr>
          <w:rFonts w:ascii="Arial" w:cs="Arial" w:eastAsia="Arial" w:hAnsi="Arial"/>
          <w:sz w:val="16"/>
          <w:szCs w:val="16"/>
          <w:color w:val="auto"/>
        </w:rPr>
        <w:t>"), the Second Amended and Restated Agreement of Limited Partnership of the Partnership, the Certificate of Limited Partnership of the Partnership filed with the Secretary of State of the State of Delaware, resolutions of PAA GP Holdings LLC, a Delaware limited liability company and the general partner of the Partnership, the Partnership's records and documents, certificates of the Partnership and public officials, and such other instruments and documents as we deemed necessary or advisable for the purposes of this opinion. In such examination, we have assumed that (i) all information contained in all documents submitted to us for review is accurate and complete; (ii) the authenticity of all documents submitted to us as originals and the conformity with the original documents of all documents submitted to us as copies; (iii) all signatures on each such document examined by us are genuine and by individuals with legal capacity to execute such document; (iv) each certificate from governmental officials reviewed by us is accurate, complete and authentic, and all official public records are accurate and complete; (v) the Registration Statement, and any amendments thereto (including post-effective amendments), will have become effective; (vi) a prospectus supplement will have been prepared and filed with the Commission describing the Shares offered thereby; (vii) a definitive purchase, underwriting or similar agreement with respect to any Shares offered will have been duly authorized and validly executed and delivered by the Partnership and the other parties thereto; and (viii) all Shares will be issued and sold in compliance with applicable federal and state securities laws and in the manner stated in the Registration Statement and the appropriate prospectus supplement.</w:t>
      </w:r>
    </w:p>
    <w:p>
      <w:pPr>
        <w:spacing w:after="0" w:line="17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Based upon and subject to the foregoing, we are of the opinion that the Shares, when (i) the Partnership has taken all necessary action to approve the issuance of such Shares, the terms of the offering thereof and related matters; and (ii) the Shares have been issued and delivered in accordance with the terms of the applicable definitive purchase, underwriting or similar agreement approved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941070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308610</wp:posOffset>
            </wp:positionV>
            <wp:extent cx="5634355" cy="4972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5634355" cy="49720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1" w:name="page32"/>
    <w:bookmarkEnd w:id="31"/>
    <w:p>
      <w:pPr>
        <w:ind w:right="100"/>
        <w:spacing w:after="0" w:line="259" w:lineRule="auto"/>
        <w:rPr>
          <w:sz w:val="20"/>
          <w:szCs w:val="20"/>
          <w:color w:val="auto"/>
        </w:rPr>
      </w:pPr>
      <w:r>
        <w:rPr>
          <w:rFonts w:ascii="Arial" w:cs="Arial" w:eastAsia="Arial" w:hAnsi="Arial"/>
          <w:sz w:val="18"/>
          <w:szCs w:val="18"/>
          <w:color w:val="auto"/>
        </w:rPr>
        <w:t>Partnership upon payment of the consideration thereof or provided for therein, will be duly authorized, validly issued, fully paid (to the extent required under the Second Amended and Restated Agreement of Limited Partnership of the Partnership) and non-assessable (except as such nonassessability may be affected by Sections 17-303, 17-607 or 17-804 of the Delaware LP Act).</w:t>
      </w:r>
    </w:p>
    <w:p>
      <w:pPr>
        <w:spacing w:after="0" w:line="194"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w:t>
      </w:r>
    </w:p>
    <w:p>
      <w:pPr>
        <w:spacing w:after="0" w:line="139"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foregoing opinion is limited in all respects to the federal laws of the United States of America, the Delaware LP Act and the Constitution of the State of Delaware, each as interpreted by the courts of the State of Delaware, and we are expressing no opinion as to the effect of the laws of any other jurisdiction.</w:t>
      </w:r>
    </w:p>
    <w:p>
      <w:pPr>
        <w:spacing w:after="0" w:line="139"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9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Exhibit 5.1</w:t>
        </w:r>
      </w:hyperlink>
    </w:p>
    <w:p>
      <w:pPr>
        <w:sectPr>
          <w:pgSz w:w="11900" w:h="16838" w:orient="portrait"/>
          <w:cols w:equalWidth="0" w:num="1">
            <w:col w:w="10219"/>
          </w:cols>
          <w:pgMar w:left="240" w:top="820" w:right="1440" w:bottom="1440" w:gutter="0" w:footer="0" w:header="0"/>
        </w:sectPr>
      </w:pPr>
    </w:p>
    <w:bookmarkStart w:id="33" w:name="page34"/>
    <w:bookmarkEnd w:id="33"/>
    <w:p>
      <w:pPr>
        <w:spacing w:after="0"/>
        <w:rPr>
          <w:rFonts w:ascii="Arial" w:cs="Arial" w:eastAsia="Arial" w:hAnsi="Arial"/>
          <w:sz w:val="22"/>
          <w:szCs w:val="22"/>
          <w:color w:val="0000EE"/>
        </w:rPr>
      </w:pPr>
      <w:hyperlink w:anchor="page3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62941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16294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Plains GP Holdings,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60" w:firstLine="348"/>
        <w:spacing w:after="0" w:line="323" w:lineRule="auto"/>
        <w:rPr>
          <w:sz w:val="20"/>
          <w:szCs w:val="20"/>
          <w:color w:val="auto"/>
        </w:rPr>
      </w:pPr>
      <w:r>
        <w:rPr>
          <w:rFonts w:ascii="Arial" w:cs="Arial" w:eastAsia="Arial" w:hAnsi="Arial"/>
          <w:sz w:val="15"/>
          <w:szCs w:val="15"/>
          <w:color w:val="auto"/>
        </w:rPr>
        <w:t>We have acted as counsel for Plains GP Holdings, L.P. ("</w:t>
      </w:r>
      <w:r>
        <w:rPr>
          <w:rFonts w:ascii="Arial" w:cs="Arial" w:eastAsia="Arial" w:hAnsi="Arial"/>
          <w:sz w:val="15"/>
          <w:szCs w:val="15"/>
          <w:b w:val="1"/>
          <w:bCs w:val="1"/>
          <w:i w:val="1"/>
          <w:iCs w:val="1"/>
          <w:color w:val="auto"/>
        </w:rPr>
        <w:t>PAGP</w:t>
      </w:r>
      <w:r>
        <w:rPr>
          <w:rFonts w:ascii="Arial" w:cs="Arial" w:eastAsia="Arial" w:hAnsi="Arial"/>
          <w:sz w:val="15"/>
          <w:szCs w:val="15"/>
          <w:color w:val="auto"/>
        </w:rPr>
        <w:t xml:space="preserve">"), a Delaware limited partnership that has elected to be treated as a corporation for U.S. federal income tax purposes, with respect to certain legal matters in connection with the preparation of a Prospectus dated on or about the date hereof, forming part of the Registration Statement on Form S-3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to which this opinion is an exhibit. The Registration Statement relates to the registration under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of Class A shares representing limited partner interests in PAGP.</w:t>
      </w:r>
    </w:p>
    <w:p>
      <w:pPr>
        <w:spacing w:after="0" w:line="152" w:lineRule="exact"/>
        <w:rPr>
          <w:sz w:val="20"/>
          <w:szCs w:val="20"/>
          <w:color w:val="auto"/>
        </w:rPr>
      </w:pPr>
    </w:p>
    <w:p>
      <w:pPr>
        <w:ind w:right="360" w:firstLine="348"/>
        <w:spacing w:after="0" w:line="256" w:lineRule="auto"/>
        <w:rPr>
          <w:sz w:val="20"/>
          <w:szCs w:val="20"/>
          <w:color w:val="auto"/>
        </w:rPr>
      </w:pPr>
      <w:r>
        <w:rPr>
          <w:rFonts w:ascii="Arial" w:cs="Arial" w:eastAsia="Arial" w:hAnsi="Arial"/>
          <w:sz w:val="18"/>
          <w:szCs w:val="18"/>
          <w:color w:val="auto"/>
        </w:rPr>
        <w:t xml:space="preserve">This opinion is based on various facts and assumptions, and is conditioned upon certain representations made by Plains All American Pipeline, L.P.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a Delaware limited partnership, as to factual matters through a certificate of an officer of the Partnership (the "</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this opinion is based upon the factual representations of PAGP concerning its business, properties and governing documents as set forth in the Registration Statement.</w:t>
      </w:r>
    </w:p>
    <w:p>
      <w:pPr>
        <w:spacing w:after="0" w:line="19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928370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295910</wp:posOffset>
            </wp:positionV>
            <wp:extent cx="5634355" cy="4972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5634355" cy="49720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34" w:name="page35"/>
    <w:bookmarkEnd w:id="34"/>
    <w:p>
      <w:pPr>
        <w:ind w:right="20" w:firstLine="351"/>
        <w:spacing w:after="0" w:line="256" w:lineRule="auto"/>
        <w:rPr>
          <w:sz w:val="20"/>
          <w:szCs w:val="20"/>
          <w:color w:val="auto"/>
        </w:rPr>
      </w:pPr>
      <w:r>
        <w:rPr>
          <w:rFonts w:ascii="Arial" w:cs="Arial" w:eastAsia="Arial" w:hAnsi="Arial"/>
          <w:sz w:val="18"/>
          <w:szCs w:val="18"/>
          <w:color w:val="auto"/>
        </w:rPr>
        <w:t>No opinion is expressed as to any matter not discussed in the Registration Statement under the caption "Material U.S. Federal Income Tax Consequences." We are opining herein only as to the U.S.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Class A shares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70"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hereby consent to the filing of this opinion of counsel as an exhibit to the Registration Statement and the use of our name under the captions "Material U.S. Federal Income Tax Consequences" and "Legal Matters" in the Registration Statement. In giving such consent, we do not admit that we are within the category of persons whose consent is required under Section 7 of the Securities Act.</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Vinson &amp; Elkins L.L.P.</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 8.1</w:t>
        </w:r>
      </w:hyperlink>
    </w:p>
    <w:p>
      <w:pPr>
        <w:sectPr>
          <w:pgSz w:w="11900" w:h="16838" w:orient="portrait"/>
          <w:cols w:equalWidth="0" w:num="1">
            <w:col w:w="10219"/>
          </w:cols>
          <w:pgMar w:left="240" w:top="820" w:right="1440" w:bottom="1440" w:gutter="0" w:footer="0" w:header="0"/>
        </w:sectPr>
      </w:pPr>
    </w:p>
    <w:bookmarkStart w:id="36" w:name="page37"/>
    <w:bookmarkEnd w:id="36"/>
    <w:p>
      <w:pPr>
        <w:spacing w:after="0"/>
        <w:rPr>
          <w:rFonts w:ascii="Arial" w:cs="Arial" w:eastAsia="Arial" w:hAnsi="Arial"/>
          <w:sz w:val="22"/>
          <w:szCs w:val="22"/>
          <w:color w:val="0000EE"/>
        </w:rPr>
      </w:pPr>
      <w:hyperlink w:anchor="page3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We hereby consent to the incorporation by reference in this Registration Statement on Form S-3 of Plains GP Holdings, L.P. of our report dated February 26, 2019 relating to the financial statements, and the effectiveness of internal control over financial reporting, which appears in Plains GP Holdings, L.P.'s Annual Report on Form 10-K for the year ended December 31, 2018. We also consent to the reference to us under the heading "Experts" in such Registration Statement.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7" w:name="page38"/>
    <w:bookmarkEnd w:id="3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lvl w:ilvl="1">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
    <w:nsid w:val="519B500D"/>
    <w:multiLevelType w:val="hybridMultilevel"/>
    <w:lvl w:ilvl="0">
      <w:lvlJc w:val="left"/>
      <w:lvlText w:val="(%1)"/>
      <w:numFmt w:val="lowerRoman"/>
      <w:start w:val="3"/>
    </w:lvl>
  </w:abstractNum>
  <w:abstractNum w:abstractNumId="16">
    <w:nsid w:val="431BD7B7"/>
    <w:multiLevelType w:val="hybridMultilevel"/>
    <w:lvl w:ilvl="0">
      <w:lvlJc w:val="left"/>
      <w:lvlText w:val="(%1)"/>
      <w:numFmt w:val="lowerLetter"/>
      <w:start w:val="2"/>
    </w:lvl>
    <w:lvl w:ilvl="1">
      <w:lvlJc w:val="left"/>
      <w:lvlText w:val="(%2)"/>
      <w:numFmt w:val="lowerRoman"/>
      <w:start w:val="1"/>
    </w:lvl>
  </w:abstractNum>
  <w:abstractNum w:abstractNumId="17">
    <w:nsid w:val="3F2DBA31"/>
    <w:multiLevelType w:val="hybridMultilevel"/>
    <w:lvl w:ilvl="0">
      <w:lvlJc w:val="left"/>
      <w:lvlText w:val="%1"/>
      <w:numFmt w:val="decimal"/>
      <w:start w:val="1"/>
    </w:lvl>
    <w:lvl w:ilvl="1">
      <w:lvlJc w:val="left"/>
      <w:lvlText w:val="(%2)"/>
      <w:numFmt w:val="lowerRoman"/>
      <w:start w:val="1"/>
    </w:lvl>
  </w:abstractNum>
  <w:abstractNum w:abstractNumId="18">
    <w:nsid w:val="7C83E458"/>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jpeg"/><Relationship Id="rId76" Type="http://schemas.openxmlformats.org/officeDocument/2006/relationships/image" Target="media/image54.png"/><Relationship Id="rId77" Type="http://schemas.openxmlformats.org/officeDocument/2006/relationships/image" Target="media/image55.jpeg"/><Relationship Id="rId78" Type="http://schemas.openxmlformats.org/officeDocument/2006/relationships/image" Target="media/image56.png"/><Relationship Id="rId79" Type="http://schemas.openxmlformats.org/officeDocument/2006/relationships/image" Target="media/image57.jpeg"/><Relationship Id="rId80" Type="http://schemas.openxmlformats.org/officeDocument/2006/relationships/image" Target="media/image58.png"/><Relationship Id="rId81" Type="http://schemas.openxmlformats.org/officeDocument/2006/relationships/image" Target="media/image59.jpeg"/><Relationship Id="rId82" Type="http://schemas.openxmlformats.org/officeDocument/2006/relationships/image" Target="media/image60.png"/><Relationship Id="rId83" Type="http://schemas.openxmlformats.org/officeDocument/2006/relationships/image" Target="media/image61.png"/><Relationship Id="rId21" Type="http://schemas.openxmlformats.org/officeDocument/2006/relationships/hyperlink" Target="http://www.sec.gov/Archives/edgar/data/1581990/000158199019000004/pagp201810-k.htm" TargetMode="External"/><Relationship Id="rId22" Type="http://schemas.openxmlformats.org/officeDocument/2006/relationships/hyperlink" Target="http://www.sec.gov/Archives/edgar/data/1581990/000158199019000007/pagpq1201910-q.htm" TargetMode="External"/><Relationship Id="rId23" Type="http://schemas.openxmlformats.org/officeDocument/2006/relationships/hyperlink" Target="http://www.sec.gov/Archives/edgar/data/1581990/000158199019000010/0001581990-19-000010-index.htm" TargetMode="External"/><Relationship Id="rId24" Type="http://schemas.openxmlformats.org/officeDocument/2006/relationships/hyperlink" Target="http://www.sec.gov/Archives/edgar/data/1581990/000158199019000013/0001581990-19-000013-index.htm" TargetMode="External"/><Relationship Id="rId25" Type="http://schemas.openxmlformats.org/officeDocument/2006/relationships/hyperlink" Target="http://www.sec.gov/Archives/edgar/data/1581990/000141057819001184/0001410578-19-001184-index.htm" TargetMode="External"/><Relationship Id="rId26" Type="http://schemas.openxmlformats.org/officeDocument/2006/relationships/hyperlink" Target="http://www.sec.gov/Archives/edgar/data/1581990/000141057819001284/0001410578-19-001284-index.htm" TargetMode="External"/><Relationship Id="rId27" Type="http://schemas.openxmlformats.org/officeDocument/2006/relationships/hyperlink" Target="http://www.sec.gov/Archives/edgar/data/1581990/000141057819001371/0001410578-19-001371-index.htm" TargetMode="External"/><Relationship Id="rId28" Type="http://schemas.openxmlformats.org/officeDocument/2006/relationships/hyperlink" Target="http://www.sec.gov/Archives/edgar/data/1581990/000110465919067784/0001104659-19-067784-index.htm" TargetMode="External"/><Relationship Id="rId29" Type="http://schemas.openxmlformats.org/officeDocument/2006/relationships/hyperlink" Target="http://www.sec.gov/Archives/edgar/data/1581990/000110465916157336/a16-21686_18a12ba.htm" TargetMode="External"/><Relationship Id="rId51" Type="http://schemas.openxmlformats.org/officeDocument/2006/relationships/hyperlink" Target="http://www.sec.gov/Archives/edgar/data/1581990/000110465916158356/a16-21845_1ex3d2.htm" TargetMode="External"/><Relationship Id="rId52" Type="http://schemas.openxmlformats.org/officeDocument/2006/relationships/hyperlink" Target="http://www.sec.gov/Archives/edgar/data/1581990/000110465917010602/a17-6893_1ex3d1.htm" TargetMode="External"/><Relationship Id="rId53" Type="http://schemas.openxmlformats.org/officeDocument/2006/relationships/hyperlink" Target="http://www.sec.gov/Archives/edgar/data/1581990/000110465918052852/a18-18386_2ex3d1.htm" TargetMode="External"/><Relationship Id="rId54" Type="http://schemas.openxmlformats.org/officeDocument/2006/relationships/hyperlink" Target="http://www.sec.gov/Archives/edgar/data/1581990/000110465918072385/a18-41342_1ex3d1.htm" TargetMode="External"/><Relationship Id="rId55" Type="http://schemas.openxmlformats.org/officeDocument/2006/relationships/hyperlink" Target="http://www.sec.gov/Archives/edgar/data/1581990/000110465919067784/tm1923980d1_ex3-1.htm" TargetMode="External"/><Relationship Id="rId56" Type="http://schemas.openxmlformats.org/officeDocument/2006/relationships/hyperlink" Target="http://www.sec.gov/Archives/edgar/data/1581990/000104746916017094/a2230457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2019-12-13T05:05:35Z</dcterms:created>
  <dcterms:modified xsi:type="dcterms:W3CDTF">2019-12-13T05:05:35Z</dcterms:modified>
</cp:coreProperties>
</file>