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 Yes o No</w:t>
      </w:r>
    </w:p>
    <w:p>
      <w:pPr>
        <w:spacing w:after="0" w:line="2" w:lineRule="exact"/>
        <w:rPr>
          <w:sz w:val="24"/>
          <w:szCs w:val="24"/>
          <w:color w:val="auto"/>
        </w:rPr>
      </w:pPr>
    </w:p>
    <w:p>
      <w:pPr>
        <w:ind w:left="40" w:right="220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May 1, 2017, there were 152,280,208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9"/>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2017 and 2016</w:t>
              </w:r>
            </w:hyperlink>
          </w:p>
        </w:tc>
        <w:tc>
          <w:tcPr>
            <w:tcW w:w="238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4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2017 and 2016</w:t>
              </w:r>
            </w:hyperlink>
          </w:p>
        </w:tc>
        <w:tc>
          <w:tcPr>
            <w:tcW w:w="146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Accumulated Other Comprehensive Income/(Loss): For the three</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March 31, 2017 and 2016</w:t>
              </w:r>
            </w:hyperlink>
          </w:p>
        </w:tc>
        <w:tc>
          <w:tcPr>
            <w:tcW w:w="5340" w:type="dxa"/>
            <w:vAlign w:val="bottom"/>
            <w:tcBorders>
              <w:top w:val="single" w:sz="8" w:color="0000EE"/>
            </w:tcBorders>
            <w:gridSpan w:val="12"/>
          </w:tcPr>
          <w:p>
            <w:pPr>
              <w:spacing w:after="0"/>
              <w:rPr>
                <w:sz w:val="17"/>
                <w:szCs w:val="17"/>
                <w:color w:val="auto"/>
              </w:rPr>
            </w:pPr>
          </w:p>
        </w:tc>
        <w:tc>
          <w:tcPr>
            <w:tcW w:w="1600" w:type="dxa"/>
            <w:vAlign w:val="bottom"/>
            <w:gridSpan w:val="4"/>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2017 and 2016</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1"/>
          </w:tcPr>
          <w:p>
            <w:pPr>
              <w:spacing w:after="0"/>
              <w:rPr>
                <w:sz w:val="21"/>
                <w:szCs w:val="21"/>
                <w:color w:val="auto"/>
              </w:rPr>
            </w:pPr>
          </w:p>
        </w:tc>
        <w:tc>
          <w:tcPr>
            <w:tcW w:w="112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2.</w:t>
              </w:r>
            </w:hyperlink>
          </w:p>
        </w:tc>
        <w:tc>
          <w:tcPr>
            <w:tcW w:w="268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Recent Accounting Pronouncements</w:t>
              </w:r>
            </w:hyperlink>
          </w:p>
        </w:tc>
        <w:tc>
          <w:tcPr>
            <w:tcW w:w="6960" w:type="dxa"/>
            <w:vAlign w:val="bottom"/>
            <w:gridSpan w:val="17"/>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3.</w:t>
              </w:r>
            </w:hyperlink>
          </w:p>
        </w:tc>
        <w:tc>
          <w:tcPr>
            <w:tcW w:w="2180" w:type="dxa"/>
            <w:vAlign w:val="bottom"/>
            <w:gridSpan w:val="11"/>
          </w:tcPr>
          <w:p>
            <w:pPr>
              <w:ind w:left="20"/>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Net Income Per Class A Share</w:t>
              </w:r>
            </w:hyperlink>
          </w:p>
        </w:tc>
        <w:tc>
          <w:tcPr>
            <w:tcW w:w="7460" w:type="dxa"/>
            <w:vAlign w:val="bottom"/>
            <w:gridSpan w:val="2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4.</w:t>
              </w:r>
            </w:hyperlink>
          </w:p>
        </w:tc>
        <w:tc>
          <w:tcPr>
            <w:tcW w:w="2180" w:type="dxa"/>
            <w:vAlign w:val="bottom"/>
            <w:gridSpan w:val="11"/>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Accounts Receivable, Net</w:t>
              </w:r>
            </w:hyperlink>
          </w:p>
        </w:tc>
        <w:tc>
          <w:tcPr>
            <w:tcW w:w="7460" w:type="dxa"/>
            <w:vAlign w:val="bottom"/>
            <w:gridSpan w:val="2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5.</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Acquisitions and Dispositions</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7.</w:t>
              </w:r>
            </w:hyperlink>
          </w:p>
        </w:tc>
        <w:tc>
          <w:tcPr>
            <w:tcW w:w="2180" w:type="dxa"/>
            <w:vAlign w:val="bottom"/>
            <w:gridSpan w:val="11"/>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Goodwill</w:t>
              </w:r>
            </w:hyperlink>
          </w:p>
        </w:tc>
        <w:tc>
          <w:tcPr>
            <w:tcW w:w="7460" w:type="dxa"/>
            <w:vAlign w:val="bottom"/>
            <w:gridSpan w:val="2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3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Partners’ Capital and Distributions</w:t>
              </w:r>
            </w:hyperlink>
          </w:p>
        </w:tc>
        <w:tc>
          <w:tcPr>
            <w:tcW w:w="714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10. Derivatives and Risk Management Activities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11. Related Party Transactions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12. Commitments and Contingencies</w:t>
              </w:r>
            </w:hyperlink>
          </w:p>
        </w:tc>
        <w:tc>
          <w:tcPr>
            <w:tcW w:w="714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13. Operating Segments</w:t>
              </w:r>
            </w:hyperlink>
          </w:p>
        </w:tc>
        <w:tc>
          <w:tcPr>
            <w:tcW w:w="714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30"/>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Item 3. QUANTITATIVE AND QUALITATIVE DISCLOSURES ABOUT MARKET RISK</w:t>
              </w:r>
            </w:hyperlink>
          </w:p>
        </w:tc>
        <w:tc>
          <w:tcPr>
            <w:tcW w:w="276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19"/>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Item 4. CONTROLS AND PROCEDURES</w:t>
              </w:r>
            </w:hyperlink>
          </w:p>
        </w:tc>
        <w:tc>
          <w:tcPr>
            <w:tcW w:w="3540" w:type="dxa"/>
            <w:vAlign w:val="bottom"/>
            <w:gridSpan w:val="11"/>
          </w:tcPr>
          <w:p>
            <w:pPr>
              <w:spacing w:after="0"/>
              <w:rPr>
                <w:sz w:val="21"/>
                <w:szCs w:val="21"/>
                <w:color w:val="auto"/>
              </w:rPr>
            </w:pPr>
          </w:p>
        </w:tc>
        <w:tc>
          <w:tcPr>
            <w:tcW w:w="3440" w:type="dxa"/>
            <w:vAlign w:val="bottom"/>
            <w:gridSpan w:val="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520"/>
        </w:trPr>
        <w:tc>
          <w:tcPr>
            <w:tcW w:w="276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3"/>
          </w:tcPr>
          <w:p>
            <w:pPr>
              <w:spacing w:after="0"/>
              <w:rPr>
                <w:sz w:val="24"/>
                <w:szCs w:val="24"/>
                <w:color w:val="auto"/>
              </w:rPr>
            </w:pPr>
          </w:p>
        </w:tc>
        <w:tc>
          <w:tcPr>
            <w:tcW w:w="6980" w:type="dxa"/>
            <w:vAlign w:val="bottom"/>
            <w:gridSpan w:val="18"/>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1A. RISK FACTORS</w:t>
              </w:r>
            </w:hyperlink>
          </w:p>
        </w:tc>
        <w:tc>
          <w:tcPr>
            <w:tcW w:w="7720" w:type="dxa"/>
            <w:vAlign w:val="bottom"/>
            <w:gridSpan w:val="2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2"/>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52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40" w:type="dxa"/>
            <w:vAlign w:val="bottom"/>
            <w:gridSpan w:val="20"/>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4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700" w:type="dxa"/>
            <w:vAlign w:val="bottom"/>
            <w:gridSpan w:val="24"/>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 EXHIBITS</w:t>
              </w:r>
            </w:hyperlink>
          </w:p>
        </w:tc>
        <w:tc>
          <w:tcPr>
            <w:tcW w:w="770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1"/>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r>
      <w:tr>
        <w:trPr>
          <w:trHeight w:val="264"/>
        </w:trPr>
        <w:tc>
          <w:tcPr>
            <w:tcW w:w="8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10,730</w:t>
            </w:r>
          </w:p>
        </w:tc>
      </w:tr>
      <w:tr>
        <w:trPr>
          <w:trHeight w:val="264"/>
        </w:trPr>
        <w:tc>
          <w:tcPr>
            <w:tcW w:w="8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Class A Shareholders (151,779,960 and 101,206,526 shares outstanding, respectively)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8,970</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1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6,395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3,819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5,593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3,348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6,078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3,830</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$6 and $13, respectively)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91"/>
        </w:trPr>
        <w:tc>
          <w:tcPr>
            <w:tcW w:w="8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8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300" w:type="dxa"/>
            <w:vAlign w:val="bottom"/>
            <w:gridSpan w:val="2"/>
          </w:tcPr>
          <w:p>
            <w:pPr>
              <w:ind w:left="216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8340" w:type="dxa"/>
            <w:vAlign w:val="bottom"/>
          </w:tcPr>
          <w:p>
            <w:pPr>
              <w:ind w:left="566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118</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PAA commercial paper program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repayments under PAA senior secured hedged inventory facility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AAP senior secured revolving credit facility</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Class A shares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Series A preferred units by a subsidiary</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1,570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common units by a subsidiary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0"/>
        </w:trPr>
        <w:tc>
          <w:tcPr>
            <w:tcW w:w="8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0" w:right="252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2016,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2017, our sole assets consisted of (i) a 100% managing member interest in Plains All American GP LLC (“GP LLC”) that has also elected to be taxed as a corporation for United States federal income tax purposes and (ii) an approximate 53% limited partner interest in Plains AAP, L.P. (“AAP”) through our direct ownership of approximately 150.8 million Class A units of AAP (“AAP units”) and indirect ownership of approximately 1.0 million AAP units through GP LLC. GP LLC is a Delaware limited liability company that holds the non-economic general partner interest in AAP. AAP is a Delaware limited partnership that, as of March 31, 2017, directly owned an approximate 37% limited partner interest in PAA represented by approximately 288.3 million PAA common units. AAP is the sole member of PAA GP LLC (“PAA GP”), a Delaware limited liability company that directly holds the non-economic general partner interest in PAA.</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that simplified our governance structure and permanently eliminated PAA's incentive distribution rights (“IDRs”) and the economic rights associated with its 2% general partner interest in exchange for the issuance by PAA to AAP of common units and the assumption by PAA of all of AAP’s outstanding debt. As part of the Simplification Transactions, we effected a reverse split of our Class A and Class B shares, in each case, at a ratio of approximately 1-for-2.663. The effect of the reverse split has been retroactively applied to all share and per-share amounts presented in this Form 10-Q. See Note 1 to our Consolidated Financial Statements included in Part IV of our 2016 Annual Report on Form 10-K for additional discussion of the Simplification Transactions.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 statements, but does not include all disclosures required by GAAP. The results of operations for the three months ended March 31, 2017 should not be taken as indicative of results to be expected for the entire year.</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three months ended March 31,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units directly withheld for tax-withholding purposes as a financing activity on our Condensed Consolidated Statement of Cash Flows for all periods presented. Our adoption did not have a material impact on our financial position, results of operations or cash flows for the periods presented.</w:t>
      </w:r>
    </w:p>
    <w:p>
      <w:pPr>
        <w:spacing w:after="0" w:line="1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annual periods beginning after December 15, 2019, and interim periods within those annual periods, with early adoption permitted. We early adopted this ASU in the first quarter of 2017, and the amendments therein will be applied prospectively to all future goodwill impairment tests performed on an interim or annual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becomes effective for fiscal years and interim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40" w:firstLine="8"/>
        <w:spacing w:after="0" w:line="281"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beginning after December 15, 2017, including interim periods within those periods and must be adopted at the same time as ASC 606. We will adopt this guidance on January 1, 2018 and are currently evaluating the impact of the adoption on our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8"/>
        <w:spacing w:after="0" w:line="264"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9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the three months ended March 31, 2017, the possible exchange of any AAP units and certain AAP Management Units would not have had a dilutive effect on basic net income per Class A share. For the three months ended March 31, 2016, the possible exchange of any AAP units and certain AAP Management Units would have had a dilutive effect on basic net income per Class A share. For the three months ended March 31, 2017 and 2016, our PAGP LTIP awards were dilutive; however, there were less than 0.1 million dilutive LTIP awards for each period, which did not change the presentation of weighted average Class A shares outstanding or net income per Class A share. The following table sets forth the computation of basic and diluted net income per Class A share (in millions, except per share data):</w:t>
      </w:r>
    </w:p>
    <w:p>
      <w:pPr>
        <w:spacing w:after="0" w:line="13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Incremental net income attributable to PAGP resulting from assumed exchange of AAP units and AAP Management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8800" w:type="dxa"/>
            <w:vAlign w:val="bottom"/>
          </w:tcPr>
          <w:p>
            <w:pPr>
              <w:ind w:left="180"/>
              <w:spacing w:after="0"/>
              <w:rPr>
                <w:sz w:val="20"/>
                <w:szCs w:val="20"/>
                <w:color w:val="auto"/>
              </w:rPr>
            </w:pPr>
            <w:r>
              <w:rPr>
                <w:rFonts w:ascii="Arial" w:cs="Arial" w:eastAsia="Arial" w:hAnsi="Arial"/>
                <w:sz w:val="18"/>
                <w:szCs w:val="18"/>
                <w:color w:val="auto"/>
                <w:w w:val="94"/>
              </w:rPr>
              <w:t>Net income attributable to PAGP including incremental net income from assumed exchange of AAP units and AAP</w:t>
            </w:r>
          </w:p>
        </w:tc>
        <w:tc>
          <w:tcPr>
            <w:tcW w:w="8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Management Units</w:t>
            </w:r>
          </w:p>
        </w:tc>
        <w:tc>
          <w:tcPr>
            <w:tcW w:w="8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Note 4—Accounts Receivable, Net</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2017 and December 31, 2016, we had received $81 million and $89 million, respectively, of advance cash payments from third parties to mitigate credit risk. We also received $46 million and $66 million as of March 31,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2017 and December 31, 2016, substantially all of our trade accounts receivable (net of allowance for doubtful accounts) were less than 30 days past their scheduled invoice date. Our allowance for doubtful accounts receivable totaled $3 million at both March 31, 2017 and December 31, 2016.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21,710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49.33</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27.95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See Note 9 for additional information.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“Alpha Crude Connector” (the “ACC System”) located in the Northern Delaware Basin in Southeastern New Mexico and West Texas. The ACC System comprises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and include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600" w:type="dxa"/>
            <w:vAlign w:val="bottom"/>
          </w:tcPr>
          <w:p>
            <w:pPr>
              <w:jc w:val="right"/>
              <w:ind w:right="6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(including $4 million of cash acquired)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was approximately $1 million for the period ended March 31, 2017, and the future amortization is estimated as follows for the next five years (in millions):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During the three months ended March 31, 2017, we incurred approximately $5 million of acquisition-related costs associated with the ACC Acquisition. Such costs are reflected as a component of general and administrative expenses in our Condensed Consolidated Statement of Operations.</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as well as the revenues and earnings generated during the period, were not material for disclosure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PAA common units and approximately $26 million in cash.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Noble will serve as operator and will construct a pipeline to deliver crude oil to the Advantage Pipeline from its central gathering facility in the southern Delaware Basin. We will construct a pipeline to connect our Wolfbone Ranch facility to the Advantage Pipeline near Highway 285 in Reeves County, Texas. The connections are estimated to be completed in 2017. The Advantage Pipeline is contractually supported by a third-party acreage dedication and a volume commitment from our wholly-owned marketing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and Divestitures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three months ended March 31, 2017, we sold certain non-core assets for proceeds of approximately $161 million. These sales primarily included (i) a non-core pipeline segment located in the Midwestern United States and (ii) a 40% undivided interest in a segment of our Red River Pipeline extending from Cushing, Oklahoma to the Hewitt Station near Ardmore, Oklahoma (the “Hewitt Segment”) for our net book value. We retained a 60% undivided interest in the Hewitt Segment and a 100% interest in the remaining portion of the Red River Pipeline that extends from Ardmore to Longview, Texas. We recognized a net gain of $36 million related to the sale of the non-core pipeline segment, including the write-off of a portion of the remaining book value, which is included in “Depreciation and amortization” on our Condensed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March 31, 2017, we classified approximately $490 million of assets as held for sale on our Condensed Consolidated Balance Sheet (in “Other current assets”) primarily related to definitive agreements to sell non-core assets, including certain of our West Coast terminal assets and our Bluewater natural gas storage facility located in Michigan. The assets held for sale are primarily property and equipment and are included in our Facilities segment. We expect these transactions to close in the second quarter or early in the third quarter of 2017, subject to customary closing conditions, including the receipt of regulatory approvals. During the three months ended March 31, 2017, we recognized an impairment loss of $31 million related to assets held for sale. This impairment loss is included in “Depreciation and amortization” on our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PAA commercial paper notes, bearing a weighted-average interest rate of 1.9% and 1.6%, respectively </w:t>
            </w:r>
            <w:r>
              <w:rPr>
                <w:rFonts w:ascii="Arial" w:cs="Arial" w:eastAsia="Arial" w:hAnsi="Arial"/>
                <w:sz w:val="25"/>
                <w:szCs w:val="25"/>
                <w:color w:val="auto"/>
                <w:w w:val="98"/>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PAA senior secured hedged inventory facility, bearing a weighted-average interest rate of 2.0% and 1.8%,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 net of unamortized discounts and debt issuance costs of $74 and $76, respectively</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PAA commercial paper notes, bearing a weighted-average interest rate of 1.6%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60" w:hanging="652"/>
        <w:spacing w:after="0" w:line="22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March 31,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2" w:lineRule="exact"/>
        <w:rPr>
          <w:rFonts w:ascii="Arial" w:cs="Arial" w:eastAsia="Arial" w:hAnsi="Arial"/>
          <w:sz w:val="25"/>
          <w:szCs w:val="25"/>
          <w:color w:val="auto"/>
          <w:vertAlign w:val="superscript"/>
        </w:rPr>
      </w:pPr>
    </w:p>
    <w:p>
      <w:pPr>
        <w:ind w:left="660" w:right="120" w:hanging="652"/>
        <w:spacing w:after="0" w:line="209"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 of March 31, 2017 and December 31, 2016, balance includes borrowings of $95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December 31, 2016, we classified a portion of our commercial paper notes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20" w:hanging="652"/>
        <w:spacing w:after="0" w:line="274"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PAA’s fixed-rate senior notes (including current maturities) had a face value of approximately $9.9 billion and $10.3 billion as of March 31, 2017 and December 31, 2016, respectively. We estimated the aggregate fair value of these notes as of March 31, 2017 and December 31, 2016 to be approximately $10.1 billion and $10.4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-2080260</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Total borrowings under the credit facilities and the PAA commercial paper program for the three months ended March 31, 2017 and 2016 were approximately $18.8 billion and $10.8 billion, respectively. Total repayments under the credit facilities and the PAA commercial paper program were approximately $19.2 billion and $12.3 billion for the three months ended March 31,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March 31, 2017 and December 31, 2016, we had outstanding letters of credit of $77 million and $73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PAA's $400 million, 6.13% senior notes were repaid in January 2017. We utilized cash on hand and available capacity under PAA's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276,405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479,298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(3,454,374)</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3,454,374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1,287,773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82,872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151,779,960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134,386,219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500,769,449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B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86,099,037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141,485,588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6,742,383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14,065,812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(14,065,812)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Class A shares under LTIP</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100,172,660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134,162,159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2016 Annual Report on Form 10-K for additional discussion regarding conversions of AAP Management Units, Exchange Rights and Redemption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three months of 2017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2017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6000" w:type="dxa"/>
            <w:vAlign w:val="bottom"/>
          </w:tcPr>
          <w:p>
            <w:pPr>
              <w:jc w:val="right"/>
              <w:ind w:right="2034"/>
              <w:spacing w:after="0"/>
              <w:rPr>
                <w:sz w:val="20"/>
                <w:szCs w:val="20"/>
                <w:color w:val="auto"/>
              </w:rPr>
            </w:pPr>
            <w:r>
              <w:rPr>
                <w:rFonts w:ascii="Arial" w:cs="Arial" w:eastAsia="Arial" w:hAnsi="Arial"/>
                <w:sz w:val="18"/>
                <w:szCs w:val="18"/>
                <w:color w:val="auto"/>
                <w:w w:val="89"/>
              </w:rPr>
              <w:t>___________________________________________</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1420" w:hanging="5612"/>
        <w:spacing w:after="0" w:line="716" w:lineRule="auto"/>
        <w:tabs>
          <w:tab w:leader="none" w:pos="652"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Payable to shareholders of record at the close of business on May 1, 2017 for the period January 1, 2017 through March 31, 2017. 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sales of Class A shares during the three months ended March 31, 2017 (net proceeds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6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three months ended March 31, 2017.</w:t>
      </w:r>
    </w:p>
    <w:p>
      <w:pPr>
        <w:spacing w:after="0" w:line="311" w:lineRule="exact"/>
        <w:rPr>
          <w:sz w:val="20"/>
          <w:szCs w:val="20"/>
          <w:color w:val="auto"/>
        </w:rPr>
      </w:pPr>
    </w:p>
    <w:p>
      <w:pPr>
        <w:ind w:right="20" w:firstLine="716"/>
        <w:spacing w:after="0" w:line="276" w:lineRule="auto"/>
        <w:rPr>
          <w:sz w:val="20"/>
          <w:szCs w:val="20"/>
          <w:color w:val="auto"/>
        </w:rPr>
      </w:pPr>
      <w:r>
        <w:rPr>
          <w:rFonts w:ascii="Arial" w:cs="Arial" w:eastAsia="Arial" w:hAnsi="Arial"/>
          <w:sz w:val="17"/>
          <w:szCs w:val="17"/>
          <w:color w:val="auto"/>
        </w:rPr>
        <w:t>Pursuant to the Omnibus Agreement entered into by the Plains Entities in connection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Common Units" below.</w:t>
      </w:r>
    </w:p>
    <w:p>
      <w:pPr>
        <w:spacing w:after="0" w:line="173" w:lineRule="exact"/>
        <w:rPr>
          <w:sz w:val="20"/>
          <w:szCs w:val="20"/>
          <w:color w:val="auto"/>
        </w:rPr>
      </w:pPr>
    </w:p>
    <w:p>
      <w:pPr>
        <w:ind w:right="20" w:firstLine="716"/>
        <w:spacing w:after="0" w:line="255" w:lineRule="auto"/>
        <w:rPr>
          <w:sz w:val="20"/>
          <w:szCs w:val="20"/>
          <w:color w:val="auto"/>
        </w:rPr>
      </w:pPr>
      <w:r>
        <w:rPr>
          <w:rFonts w:ascii="Arial" w:cs="Arial" w:eastAsia="Arial" w:hAnsi="Arial"/>
          <w:sz w:val="18"/>
          <w:szCs w:val="18"/>
          <w:color w:val="auto"/>
        </w:rPr>
        <w:t>The cash purchase by PAGP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PAGP's Class A shareholders on their increase in ownership of subsidiary entities and a corresponding adjustment is recognized in partners' capital by PAGP's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Condensed Consolidated Statements of Changes in Partners'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March 31, 2017, noncontrolling interests in our subsidiaries consisted of (i) a 63% limited partner interest in PAA, (ii) an approximate 47% limited partner interest in AAP and (iii) a 25% interest in SLC 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Sales of Common Units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Continuous Offering Program. </w:t>
      </w:r>
      <w:r>
        <w:rPr>
          <w:rFonts w:ascii="Arial" w:cs="Arial" w:eastAsia="Arial" w:hAnsi="Arial"/>
          <w:sz w:val="17"/>
          <w:szCs w:val="17"/>
          <w:color w:val="auto"/>
        </w:rPr>
        <w:t>During the three months ended March 31, 2017, PAA issued an aggregate of approximately 4.0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its continuous offering program, generating proceeds of $129 million, net of $1 million of commissions paid to its sales agents.</w:t>
      </w:r>
    </w:p>
    <w:p>
      <w:pPr>
        <w:spacing w:after="0" w:line="147" w:lineRule="exact"/>
        <w:rPr>
          <w:sz w:val="20"/>
          <w:szCs w:val="20"/>
          <w:color w:val="auto"/>
        </w:rPr>
      </w:pPr>
    </w:p>
    <w:p>
      <w:pPr>
        <w:ind w:right="60" w:firstLine="716"/>
        <w:spacing w:after="0" w:line="273" w:lineRule="auto"/>
        <w:rPr>
          <w:sz w:val="20"/>
          <w:szCs w:val="20"/>
          <w:color w:val="auto"/>
        </w:rPr>
      </w:pPr>
      <w:r>
        <w:rPr>
          <w:rFonts w:ascii="Arial" w:cs="Arial" w:eastAsia="Arial" w:hAnsi="Arial"/>
          <w:sz w:val="17"/>
          <w:szCs w:val="17"/>
          <w:color w:val="auto"/>
        </w:rPr>
        <w:t>The proceeds from the issuance of PAA common units were allocated among all of PAA’s common unitholders, including AAP, based on their percentage ownership of common units. Additionally, PAA’s capital attributable to AAP was adjusted based on historical carrying value, in accordance with ASC 810, to reflect the dilution of its interest in PAA as a result of the issuance of additional common units to the public unitholders. These adjustments were recognized by PAGP in proportion to PAGP’s ownership interest in AAP, which resulted in a net increase in partners’ capital attributable to PAGP resulting from the difference between the fair value per unit of the additional units issued and the historical carrying value per unit. Such amounts are reflected in "Sales of common units by a subsidiary" on our Condensed Consolidated Statements of Changes in Partners' Capital.</w:t>
      </w:r>
    </w:p>
    <w:p>
      <w:pPr>
        <w:spacing w:after="0" w:line="17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During the three months ended March 31, 2017, pursuant to the Omnibus Agreement discussed above, PAA sold (i)</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 million common units to AAP in connection with our issuance of Class A shares under our Continuous Offering Program and (ii) 48.3 million common units to AAP in connection with our underwritten offering.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The following table details the distributions to PAA’s partners paid in cash during or pertaining to the first three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2017 for the period January 1, 2017 through March 31, 2017.</w:t>
      </w:r>
    </w:p>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PAA In-Kind Distributions</w:t>
      </w:r>
      <w:r>
        <w:rPr>
          <w:rFonts w:ascii="Arial" w:cs="Arial" w:eastAsia="Arial" w:hAnsi="Arial"/>
          <w:sz w:val="17"/>
          <w:szCs w:val="17"/>
          <w:color w:val="auto"/>
        </w:rPr>
        <w:t>. On February 14, 2017, PAA issued 1,287,773 Series A preferred units in lieu of a cash distribution of $34 million on</w:t>
      </w:r>
      <w:r>
        <w:rPr>
          <w:rFonts w:ascii="Arial" w:cs="Arial" w:eastAsia="Arial" w:hAnsi="Arial"/>
          <w:sz w:val="17"/>
          <w:szCs w:val="17"/>
          <w:i w:val="1"/>
          <w:iCs w:val="1"/>
          <w:color w:val="auto"/>
        </w:rPr>
        <w:t xml:space="preserve"> </w:t>
      </w:r>
      <w:r>
        <w:rPr>
          <w:rFonts w:ascii="Arial" w:cs="Arial" w:eastAsia="Arial" w:hAnsi="Arial"/>
          <w:sz w:val="17"/>
          <w:szCs w:val="17"/>
          <w:color w:val="auto"/>
        </w:rPr>
        <w:t>PAA's Series A preferred units outstanding as of the record date for such distribution. On May 15, 2017, PAA will issue 1,313,527 Series A preferred units in lieu of a cash distribution of $34 million on PAA's Series A preferred units outstanding as of the record date for such distribution.</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three months of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2017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134</w:t>
            </w:r>
          </w:p>
        </w:tc>
      </w:tr>
      <w:tr>
        <w:trPr>
          <w:trHeight w:val="243"/>
        </w:trPr>
        <w:tc>
          <w:tcPr>
            <w:tcW w:w="5260" w:type="dxa"/>
            <w:vAlign w:val="bottom"/>
          </w:tcPr>
          <w:p>
            <w:pPr>
              <w:jc w:val="right"/>
              <w:ind w:right="1294"/>
              <w:spacing w:after="0"/>
              <w:rPr>
                <w:sz w:val="20"/>
                <w:szCs w:val="20"/>
                <w:color w:val="auto"/>
              </w:rPr>
            </w:pPr>
            <w:r>
              <w:rPr>
                <w:rFonts w:ascii="Arial" w:cs="Arial" w:eastAsia="Arial" w:hAnsi="Arial"/>
                <w:sz w:val="18"/>
                <w:szCs w:val="18"/>
                <w:color w:val="auto"/>
                <w:w w:val="89"/>
              </w:rPr>
              <w:t>___________________________________________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2017 for the period January 1, 2017 through March 31, 2017.</w:t>
      </w:r>
    </w:p>
    <w:p>
      <w:pPr>
        <w:spacing w:after="0" w:line="20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three months ended March 31, 2017, distributions of $1 million were paid to noncontrolling interests in SLC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 Impact from the Sale of Subsidiary Units</w:t>
      </w:r>
    </w:p>
    <w:p>
      <w:pPr>
        <w:spacing w:after="0" w:line="225" w:lineRule="exact"/>
        <w:rPr>
          <w:sz w:val="20"/>
          <w:szCs w:val="20"/>
          <w:color w:val="auto"/>
        </w:rPr>
      </w:pPr>
    </w:p>
    <w:p>
      <w:pPr>
        <w:jc w:val="both"/>
        <w:ind w:right="20" w:firstLine="716"/>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PAGP’s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throughout the hedging relationship, we assess whether the derivatives employed are highly effective in offsetting changes in cash flows of anticipated hedged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2017, net derivative positions related to these activities included:</w:t>
      </w:r>
    </w:p>
    <w:p>
      <w:pPr>
        <w:spacing w:after="0" w:line="147" w:lineRule="exact"/>
        <w:rPr>
          <w:sz w:val="20"/>
          <w:szCs w:val="20"/>
          <w:color w:val="auto"/>
        </w:rPr>
      </w:pPr>
    </w:p>
    <w:p>
      <w:pPr>
        <w:ind w:left="980" w:right="5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long position of 2.6 million barrels associated with our crude oil purchases, which was unwound ratably during April 2017 to match monthly average pricing.</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short time spread position of 4.6 million barrels, which hedges a portion of our anticipated crude oil lease gathering purchases through July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crude oil grade basis position of 42.1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short position of 3.5 Bcf through April 2017 related to anticipated sales of natural gas inventory.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net short position of 24.0 million barrels through December 2019 related to anticipated net sales of our crude oil and NGL inventory.</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March 31, 2017, our PLA hedges included a long call option position of 0.8 million barrels through December 2018.</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2017, we had a long natural gas position of 56.7 Bcf which hedges our natural gas processing and operational needs through December 2018. We also had a short propane position of 10.1 million barrels through December 2018, a short butane position of 3.1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2018.</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terms of our outstanding interest derivatives as of March 31, 2017 (notional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6/15/2017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7"/>
        </w:trPr>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tcPr>
          <w:p>
            <w:pPr>
              <w:jc w:val="right"/>
              <w:ind w:right="21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At March 31, 2017, the fair value of this embedded derivative was a liability of approximately $36 million. We recognized a loss of approximately $4 million during the three months ended March 31, 2017. See Note 11 to our Consolidated Financial Statements included in Part IV of our 2016 Annual Report on Form 10-K for additional information regarding the Preferred Distribution Rate Reset 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Three Months Ended March 31, 2017</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242"/>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18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2"/>
              </w:rPr>
              <w:t>Hedging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8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9"/>
              </w:rPr>
              <w:t>Relationships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Relationships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18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Gain/(Loss) on Derivatives</w:t>
            </w:r>
          </w:p>
        </w:tc>
        <w:tc>
          <w:tcPr>
            <w:tcW w:w="1180" w:type="dxa"/>
            <w:vAlign w:val="bottom"/>
            <w:vMerge w:val="restart"/>
            <w:shd w:val="clear" w:color="auto" w:fill="CCEEFF"/>
          </w:tcPr>
          <w:p>
            <w:pPr>
              <w:jc w:val="right"/>
              <w:ind w:right="1002"/>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w w:val="92"/>
              </w:rPr>
              <w:t>Asset Derivatives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2620" w:type="dxa"/>
            <w:vAlign w:val="bottom"/>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620" w:type="dxa"/>
            <w:vAlign w:val="bottom"/>
          </w:tcPr>
          <w:p>
            <w:pPr>
              <w:ind w:left="1280"/>
              <w:spacing w:after="0"/>
              <w:rPr>
                <w:sz w:val="20"/>
                <w:szCs w:val="20"/>
                <w:color w:val="auto"/>
              </w:rPr>
            </w:pPr>
            <w:r>
              <w:rPr>
                <w:rFonts w:ascii="Arial" w:cs="Arial" w:eastAsia="Arial" w:hAnsi="Arial"/>
                <w:sz w:val="14"/>
                <w:szCs w:val="14"/>
                <w:b w:val="1"/>
                <w:bCs w:val="1"/>
                <w:color w:val="auto"/>
              </w:rPr>
              <w:t>Location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2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6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6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620" w:type="dxa"/>
            <w:vAlign w:val="bottom"/>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6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6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2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26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2620" w:type="dxa"/>
            <w:vAlign w:val="bottom"/>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6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6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w w:val="97"/>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5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receivable/(payable)</w:t>
            </w:r>
          </w:p>
        </w:tc>
        <w:tc>
          <w:tcPr>
            <w:tcW w:w="55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March 31,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2017, there was a net loss of $219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2017, we expect to reclassify a net loss of $8 million to earnings in the next twelve months. The remaining deferred loss of $211 million is expected to be reclassified to earnings through 2049. A portion of these amounts is based on market prices as of March 31,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620" w:val="left"/>
          <w:tab w:leader="none" w:pos="9960" w:val="left"/>
          <w:tab w:leader="none" w:pos="1106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w:t>
        <w:tab/>
        <w:t>$</w:t>
      </w:r>
      <w:r>
        <w:rPr>
          <w:sz w:val="20"/>
          <w:szCs w:val="20"/>
          <w:color w:val="auto"/>
        </w:rPr>
        <w:tab/>
      </w:r>
      <w:r>
        <w:rPr>
          <w:rFonts w:ascii="Arial" w:cs="Arial" w:eastAsia="Arial" w:hAnsi="Arial"/>
          <w:sz w:val="16"/>
          <w:szCs w:val="16"/>
          <w:color w:val="auto"/>
        </w:rPr>
        <w:t>(90)</w:t>
      </w:r>
    </w:p>
    <w:p>
      <w:pPr>
        <w:spacing w:after="0" w:line="266" w:lineRule="exact"/>
        <w:rPr>
          <w:sz w:val="20"/>
          <w:szCs w:val="20"/>
          <w:color w:val="auto"/>
        </w:rPr>
      </w:pPr>
    </w:p>
    <w:p>
      <w:pPr>
        <w:ind w:right="120" w:firstLine="594"/>
        <w:spacing w:after="0" w:line="264" w:lineRule="auto"/>
        <w:rPr>
          <w:sz w:val="20"/>
          <w:szCs w:val="20"/>
          <w:color w:val="auto"/>
        </w:rPr>
      </w:pPr>
      <w:r>
        <w:rPr>
          <w:rFonts w:ascii="Arial" w:cs="Arial" w:eastAsia="Arial" w:hAnsi="Arial"/>
          <w:sz w:val="18"/>
          <w:szCs w:val="18"/>
          <w:color w:val="auto"/>
        </w:rPr>
        <w:t>At March 31, 2017 and December 31, 2016,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3"/>
              </w:rPr>
              <w:t>Fair Value as of March 31, 2017</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losses for the period included in earnings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 of the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891"/>
        </w:trPr>
        <w:tc>
          <w:tcPr>
            <w:tcW w:w="8340" w:type="dxa"/>
            <w:vAlign w:val="bottom"/>
          </w:tcPr>
          <w:p>
            <w:pPr>
              <w:ind w:left="562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As of March 31, 2017, Oxy had a representative on the board of directors of our general partner and owned approximately 10% of the limited partner interests in AAP. During the three months ended March 31,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At March 31, 2017, our estimated undiscounted reserve for environmental liabilities (including liabilities related to the Line 901 incident, as discussed further below) totaled $139 million, of which $59 million was classified as short-term and $80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2017, we had recorded receivables totaling $47 million for amounts probable of recovery under insurance and from third parties under indemnification agreements, of which $34 million was reflected in “Trade accounts receivable and other receivables, net” and $13 million was reflected in “Other long-term assets, net” on our Condensed Consolidated Balance Sheet. At December 31, 2016, we had recorded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$56 million of such receivables, of which $39 million was reflected in “Trade accounts receivable and other receivables, net” and $17 million was reflected in “Other long-term assets, net” on our Condensed Consolidated Balance Sheet.</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0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8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of 46 counts, 36 of which were misdemeanor charges relating to wildlife allegedly taken as a result of the accidental release. The remaining 10 counts (currently three felony and seven misdemeanor charges) relate to the release of crude oil or reporting of the release. PAA believes that the criminal charges are unwarranted and that neither PAA nor any of its employees engaged in any criminal behavior at any time in connection with this accident. PAA intends to continue to vigorously defend itself against the charges. On July 28, 2016, at an arraignment hearing held in California Superior Court in Santa Barbara County, PAA pled not guilty to all counts.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retail businesses located in and around Santa Barbara,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may appeal or refile.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two remaining lawsuits claim that PAA suffered unspecified damages as a result of the actions of the various defendants and seek to hold the defendants liable for such damages, in addition to other remedies. The defendants deny the allegations in these lawsuits and have responded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March 31, 2017,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March 31, 2017, we had a remaining undiscounted gross liability of $68 million related to this event, of which approximately $48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2017, we had collected, subject to customary reservations, $156 million out of the approximate $197 million of release costs that we believe are probable of recovery from insurance carriers, net of deductibles. Therefore, as of March 31, 2017, we have recognized a receivable of approximately $41 million for the portion of the release costs that we believe is probable of recovery from insurance, net of deductibles and amounts already collected. Of this amount, approximately $29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Mesa to Basin Pipeline</w:t>
      </w:r>
      <w:r>
        <w:rPr>
          <w:rFonts w:ascii="Arial" w:cs="Arial" w:eastAsia="Arial" w:hAnsi="Arial"/>
          <w:sz w:val="17"/>
          <w:szCs w:val="17"/>
          <w:color w:val="auto"/>
        </w:rPr>
        <w:t>. On January 6, 2016, PHMSA issued a Notice of Probable Violation and Proposed Civil Penalty relating to an approximate</w:t>
      </w:r>
      <w:r>
        <w:rPr>
          <w:rFonts w:ascii="Arial" w:cs="Arial" w:eastAsia="Arial" w:hAnsi="Arial"/>
          <w:sz w:val="17"/>
          <w:szCs w:val="17"/>
          <w:i w:val="1"/>
          <w:iCs w:val="1"/>
          <w:color w:val="auto"/>
        </w:rPr>
        <w:t xml:space="preserve"> </w:t>
      </w:r>
      <w:r>
        <w:rPr>
          <w:rFonts w:ascii="Arial" w:cs="Arial" w:eastAsia="Arial" w:hAnsi="Arial"/>
          <w:sz w:val="17"/>
          <w:szCs w:val="17"/>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9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6,400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62"/>
        </w:trPr>
        <w:tc>
          <w:tcPr>
            <w:tcW w:w="356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62"/>
        </w:trPr>
        <w:tc>
          <w:tcPr>
            <w:tcW w:w="356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7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(3)</w:t>
            </w: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5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5620" w:right="4740" w:hanging="5612"/>
        <w:spacing w:after="0" w:line="591" w:lineRule="auto"/>
        <w:tabs>
          <w:tab w:leader="none" w:pos="652"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 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our proportionate share of the depreciation and amortization of equity method investments.</w:t>
      </w:r>
    </w:p>
    <w:p>
      <w:pPr>
        <w:spacing w:after="0" w:line="98" w:lineRule="exact"/>
        <w:rPr>
          <w:rFonts w:ascii="Arial" w:cs="Arial" w:eastAsia="Arial" w:hAnsi="Arial"/>
          <w:sz w:val="25"/>
          <w:szCs w:val="25"/>
          <w:color w:val="auto"/>
          <w:vertAlign w:val="superscript"/>
        </w:rPr>
      </w:pPr>
    </w:p>
    <w:p>
      <w:pPr>
        <w:ind w:left="660" w:hanging="652"/>
        <w:spacing w:after="0" w:line="238"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180" w:hanging="652"/>
        <w:spacing w:after="0" w:line="271" w:lineRule="auto"/>
        <w:tabs>
          <w:tab w:leader="none" w:pos="66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40" w:hanging="652"/>
        <w:spacing w:after="0" w:line="258"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40" w:hanging="652"/>
        <w:spacing w:after="0" w:line="230"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months ended March 31,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March 31, 2017, our sole assets consisted of (i) a 100% managing member interest in Plains All American GP LLC (“GP LLC”) that has also elected to be taxed as a corporation for United States federal income tax purposes and (ii) an approximate 53% limited partner interest in AAP through our direct ownership of approximately 150.8 million AAP units and indirect ownership of approximately 1.0 million AAP units through GP LLC. GP LLC is a Delaware limited liability company that also holds the non-economic general partner interest in AAP. AAP is a Delaware limited partnership that, as of March 31, 2017, directly owns an approximate 37% limited partner interest in PAA represented by approximately 288.3 million PAA common units. AAP is the sole member of PAA GP LLC (“PAA GP”), a Delaware limited liability company that directly holds the non-economic general partner interest in PAA.</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first three months of 2017, we recognized net income of $402 million as compared to net income of $177 million recognized during the first three months of 2016. Our financial results for the comparative periods were impacted by:</w:t>
      </w:r>
    </w:p>
    <w:p>
      <w:pPr>
        <w:spacing w:after="0" w:line="170" w:lineRule="exact"/>
        <w:rPr>
          <w:sz w:val="20"/>
          <w:szCs w:val="20"/>
          <w:color w:val="auto"/>
        </w:rPr>
      </w:pPr>
    </w:p>
    <w:p>
      <w:pPr>
        <w:ind w:left="1300" w:right="30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gains on certain derivative instruments and contributions from our recently completed acquisitions and capital expansion projects,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6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income tax expense primarily due to higher year-over-year income as impacted by fluctuations in derivative mark-to-market valuations in our Canadian operations.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invested $307 million in midstream infrastructure projects during the three months ended March 31, 2017, with a targeted expansion capital plan for the full year of 2017 of approximately $900 million. Additionally, in February 2017, we acquired a crude oil gathering system located in the Northern Delaware Basin for approximately $1.217 billion and a marine propane terminal for $41 million. To fund such capital activities, we sold PAGP and PAA equity securities for net proceeds of approximately $1.7 billion. We also continued to advance our strategic divestiture program during the first quarter of 2017, completing two non-core asset sales for cash proceeds of approximately $161 million and entering into a definitive sales agreement for approximately $225 million that we expect to close in the second quarter or early in the third quarter of 2017, subject to customary closing conditions, including the receipt of regulatory approvals.</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Subsequent to March 31, 2017, we completed the formation of a 50/50 joint venture, which subsequently acquired a crude oil pipeline located in the Southern Delaware Basin for $133 million, of which $66.5 million represents our 50% share.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paid approximately $372 million of cash distributions to our Class A shareholders and noncontrolling interests during the three months ended March 31, 2017, and we declared a quarterly distribution of $0.55 per Class A share to be paid on May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1,258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370</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1,624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80" w:hanging="652"/>
        <w:spacing w:after="0" w:line="21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three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150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STACK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St. James Terminal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260</w:t>
            </w:r>
          </w:p>
        </w:tc>
      </w:tr>
      <w:tr>
        <w:trPr>
          <w:trHeight w:val="237"/>
        </w:trPr>
        <w:tc>
          <w:tcPr>
            <w:tcW w:w="9820" w:type="dxa"/>
            <w:vAlign w:val="bottom"/>
            <w:gridSpan w:val="2"/>
          </w:tcPr>
          <w:p>
            <w:pPr>
              <w:ind w:left="180"/>
              <w:spacing w:after="0"/>
              <w:rPr>
                <w:sz w:val="20"/>
                <w:szCs w:val="20"/>
                <w:color w:val="auto"/>
              </w:rPr>
            </w:pPr>
            <w:r>
              <w:rPr>
                <w:rFonts w:ascii="Arial" w:cs="Arial" w:eastAsia="Arial" w:hAnsi="Arial"/>
                <w:sz w:val="18"/>
                <w:szCs w:val="18"/>
                <w:color w:val="auto"/>
              </w:rPr>
              <w:t>Total Projected 2017 Expansion Capital Expenditures</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8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78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67"/>
        </w:trPr>
        <w:tc>
          <w:tcPr>
            <w:tcW w:w="584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 per Class A share </w:t>
            </w:r>
            <w:r>
              <w:rPr>
                <w:rFonts w:ascii="Arial" w:cs="Arial" w:eastAsia="Arial" w:hAnsi="Arial"/>
                <w:sz w:val="25"/>
                <w:szCs w:val="25"/>
                <w:color w:val="auto"/>
                <w:vertAlign w:val="superscript"/>
              </w:rPr>
              <w:t>(2)</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0.34</w:t>
            </w:r>
          </w:p>
        </w:tc>
        <w:tc>
          <w:tcPr>
            <w:tcW w:w="120" w:type="dxa"/>
            <w:vAlign w:val="bottom"/>
          </w:tcPr>
          <w:p>
            <w:pPr>
              <w:spacing w:after="0"/>
              <w:rPr>
                <w:sz w:val="23"/>
                <w:szCs w:val="23"/>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0.39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6"/>
              </w:rPr>
              <w:t>0.34</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0.37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weighted average Class A shares outstanding </w:t>
            </w:r>
            <w:r>
              <w:rPr>
                <w:rFonts w:ascii="Arial" w:cs="Arial" w:eastAsia="Arial" w:hAnsi="Arial"/>
                <w:sz w:val="25"/>
                <w:szCs w:val="25"/>
                <w:color w:val="auto"/>
                <w:vertAlign w:val="superscript"/>
              </w:rPr>
              <w:t>(2)</w:t>
            </w:r>
          </w:p>
        </w:tc>
        <w:tc>
          <w:tcPr>
            <w:tcW w:w="78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weighted average Class A shares outstanding </w:t>
            </w:r>
            <w:r>
              <w:rPr>
                <w:rFonts w:ascii="Arial" w:cs="Arial" w:eastAsia="Arial" w:hAnsi="Arial"/>
                <w:sz w:val="25"/>
                <w:szCs w:val="25"/>
                <w:color w:val="auto"/>
                <w:vertAlign w:val="superscript"/>
              </w:rPr>
              <w:t>(2)</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48" w:lineRule="exact"/>
        <w:rPr>
          <w:sz w:val="20"/>
          <w:szCs w:val="20"/>
          <w:color w:val="auto"/>
        </w:rPr>
      </w:pPr>
    </w:p>
    <w:p>
      <w:pPr>
        <w:ind w:left="660" w:right="180" w:hanging="652"/>
        <w:spacing w:after="0" w:line="232"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148"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 share and per-share amounts for the 2016 period have been retroactively adjusted to reflect the effect of the reverse split that was effected as part of the Simplification Transactions. See Note 1 to our Condensed Consolidated Financial Statements for additional discussion of the Simplification Transactions.</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unconsolidated entities) and adjusted for certain selected items impacting comparability (“Adjusted EBITDA”).</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(289)</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122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(267)</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177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(8)</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(262)</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800" w:type="dxa"/>
            <w:vAlign w:val="bottom"/>
            <w:tcBorders>
              <w:bottom w:val="single" w:sz="8" w:color="auto"/>
            </w:tcBorders>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632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60" w:hanging="652"/>
        <w:spacing w:after="0" w:line="223"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Our proportionate share of the depreciation and amortization expense associated with such unconsolidated entities is excluded when reviewing Adjusted EBITDA, similar to our consolidated pipelines.</w:t>
      </w:r>
    </w:p>
    <w:p>
      <w:pPr>
        <w:spacing w:after="0" w:line="148" w:lineRule="exact"/>
        <w:rPr>
          <w:rFonts w:ascii="Arial" w:cs="Arial" w:eastAsia="Arial" w:hAnsi="Arial"/>
          <w:sz w:val="25"/>
          <w:szCs w:val="25"/>
          <w:color w:val="auto"/>
          <w:vertAlign w:val="superscript"/>
        </w:rPr>
      </w:pPr>
    </w:p>
    <w:p>
      <w:pPr>
        <w:ind w:left="660" w:right="40" w:hanging="652"/>
        <w:spacing w:after="0" w:line="257"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right="20" w:hanging="652"/>
        <w:spacing w:after="0" w:line="273"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58"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41"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The compensation expense associated with these awards is considered as a selected item impacting comparability as the dilutive impact of the outstanding awards is included in PAA's diluted net income per unit calculation, as applicable, and the majority of the awards are expected to be settled in PAA common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93" w:lineRule="exact"/>
        <w:rPr>
          <w:rFonts w:ascii="Arial" w:cs="Arial" w:eastAsia="Arial" w:hAnsi="Arial"/>
          <w:sz w:val="25"/>
          <w:szCs w:val="25"/>
          <w:color w:val="auto"/>
          <w:vertAlign w:val="superscript"/>
        </w:rPr>
      </w:pPr>
    </w:p>
    <w:p>
      <w:pPr>
        <w:jc w:val="both"/>
        <w:ind w:left="660" w:right="360" w:hanging="652"/>
        <w:spacing w:after="0" w:line="238"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discussion.</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13 to our Condensed Consolidated Financial Statements for a reconciliation of segment adjusted EBITDA to net income attributable to PAGP.</w:t>
      </w:r>
    </w:p>
    <w:p>
      <w:pPr>
        <w:spacing w:after="0" w:line="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3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30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92"/>
        </w:trPr>
        <w:tc>
          <w:tcPr>
            <w:tcW w:w="6300" w:type="dxa"/>
            <w:vAlign w:val="bottom"/>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Variance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3"/>
          </w:tcPr>
          <w:p>
            <w:pPr>
              <w:ind w:left="200"/>
              <w:spacing w:after="0"/>
              <w:rPr>
                <w:sz w:val="20"/>
                <w:szCs w:val="20"/>
                <w:color w:val="auto"/>
              </w:rPr>
            </w:pPr>
            <w:r>
              <w:rPr>
                <w:rFonts w:ascii="Arial" w:cs="Arial" w:eastAsia="Arial" w:hAnsi="Arial"/>
                <w:sz w:val="18"/>
                <w:szCs w:val="18"/>
                <w:color w:val="auto"/>
              </w:rPr>
              <w:t>Tariff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Total transportation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9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Trucking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300" w:type="dxa"/>
            <w:vAlign w:val="bottom"/>
            <w:gridSpan w:val="3"/>
          </w:tcPr>
          <w:p>
            <w:pPr>
              <w:ind w:left="20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 - 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gridSpan w:val="3"/>
          </w:tcPr>
          <w:p>
            <w:pPr>
              <w:ind w:left="20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 -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300" w:type="dxa"/>
            <w:vAlign w:val="bottom"/>
            <w:gridSpan w:val="3"/>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3"/>
          </w:tcPr>
          <w:p>
            <w:pPr>
              <w:ind w:left="200"/>
              <w:spacing w:after="0"/>
              <w:rPr>
                <w:sz w:val="20"/>
                <w:szCs w:val="20"/>
                <w:color w:val="auto"/>
              </w:rPr>
            </w:pPr>
            <w:r>
              <w:rPr>
                <w:rFonts w:ascii="Arial" w:cs="Arial" w:eastAsia="Arial" w:hAnsi="Arial"/>
                <w:sz w:val="18"/>
                <w:szCs w:val="18"/>
                <w:color w:val="auto"/>
              </w:rPr>
              <w:t>Significant acquisition-related expenses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3"/>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67"/>
        </w:trPr>
        <w:tc>
          <w:tcPr>
            <w:tcW w:w="396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6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3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230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92"/>
        </w:trPr>
        <w:tc>
          <w:tcPr>
            <w:tcW w:w="6300" w:type="dxa"/>
            <w:vAlign w:val="bottom"/>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Variance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3"/>
          </w:tcPr>
          <w:p>
            <w:pPr>
              <w:ind w:left="200"/>
              <w:spacing w:after="0"/>
              <w:rPr>
                <w:sz w:val="20"/>
                <w:szCs w:val="20"/>
                <w:color w:val="auto"/>
              </w:rPr>
            </w:pPr>
            <w:r>
              <w:rPr>
                <w:rFonts w:ascii="Arial" w:cs="Arial" w:eastAsia="Arial" w:hAnsi="Arial"/>
                <w:sz w:val="18"/>
                <w:szCs w:val="18"/>
                <w:color w:val="auto"/>
              </w:rPr>
              <w:t>Crude oil pipelines (by region):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63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63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63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300" w:type="dxa"/>
            <w:vAlign w:val="bottom"/>
            <w:gridSpan w:val="3"/>
          </w:tcPr>
          <w:p>
            <w:pPr>
              <w:ind w:left="200"/>
              <w:spacing w:after="0"/>
              <w:rPr>
                <w:sz w:val="20"/>
                <w:szCs w:val="20"/>
                <w:color w:val="auto"/>
              </w:rPr>
            </w:pPr>
            <w:r>
              <w:rPr>
                <w:rFonts w:ascii="Arial" w:cs="Arial" w:eastAsia="Arial" w:hAnsi="Arial"/>
                <w:sz w:val="18"/>
                <w:szCs w:val="18"/>
                <w:color w:val="auto"/>
              </w:rPr>
              <w:t>Crude oil pipelines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Tariff activities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Transportation segment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20" w:hanging="652"/>
        <w:spacing w:after="0" w:line="25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0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320" w:hanging="312"/>
        <w:spacing w:after="0" w:line="188" w:lineRule="auto"/>
        <w:tabs>
          <w:tab w:leader="none" w:pos="32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4"/>
              </w:rPr>
              <w:t>Favorable/(Unfavorable) Variance</w:t>
            </w:r>
          </w:p>
        </w:tc>
      </w:tr>
      <w:tr>
        <w:trPr>
          <w:trHeight w:val="149"/>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2"/>
              </w:rPr>
              <w:t>2017-2016</w:t>
            </w:r>
          </w:p>
        </w:tc>
      </w:tr>
      <w:tr>
        <w:trPr>
          <w:trHeight w:val="26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Equity Earnings</w:t>
            </w: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0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(including pipeline loss allowance revenue)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000" w:type="dxa"/>
            <w:vAlign w:val="bottom"/>
            <w:gridSpan w:val="2"/>
          </w:tcPr>
          <w:p>
            <w:pPr>
              <w:ind w:left="320"/>
              <w:spacing w:after="0"/>
              <w:rPr>
                <w:sz w:val="20"/>
                <w:szCs w:val="20"/>
                <w:color w:val="auto"/>
              </w:rPr>
            </w:pPr>
            <w:r>
              <w:rPr>
                <w:rFonts w:ascii="Arial" w:cs="Arial" w:eastAsia="Arial" w:hAnsi="Arial"/>
                <w:sz w:val="18"/>
                <w:szCs w:val="18"/>
                <w:color w:val="auto"/>
              </w:rPr>
              <w:t>Total tariff activities variance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right="36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Permian Basin region — The increase in revenues was largely driven by (i) increased production in the Delaware Basin, which favorably impacted our Basin pipeline, (ii) higher volumes on our Cactus pipeline and (iii) results from the Alpha Crude Connector gathering system, which we acquired in February 2017.</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Rocky Mountain region — The decrease in revenues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86" w:lineRule="exact"/>
        <w:rPr>
          <w:rFonts w:ascii="Arial" w:cs="Arial" w:eastAsia="Arial" w:hAnsi="Arial"/>
          <w:sz w:val="18"/>
          <w:szCs w:val="18"/>
          <w:color w:val="auto"/>
        </w:rPr>
      </w:pPr>
    </w:p>
    <w:p>
      <w:pPr>
        <w:ind w:left="980" w:right="160"/>
        <w:spacing w:after="0" w:line="342" w:lineRule="auto"/>
        <w:rPr>
          <w:rFonts w:ascii="Arial" w:cs="Arial" w:eastAsia="Arial" w:hAnsi="Arial"/>
          <w:sz w:val="18"/>
          <w:szCs w:val="18"/>
          <w:color w:val="auto"/>
        </w:rPr>
      </w:pPr>
      <w:r>
        <w:rPr>
          <w:rFonts w:ascii="Arial" w:cs="Arial" w:eastAsia="Arial" w:hAnsi="Arial"/>
          <w:sz w:val="16"/>
          <w:szCs w:val="16"/>
          <w:color w:val="auto"/>
        </w:rPr>
        <w:t>Equity earnings increased primarily due to earnings from (i) our 40% investment in the entity that owns the Saddlehorn Pipeline, a segment of which was placed in service in the third quarter of 2016, and (ii) our 50% investment in Cheyenne Pipeline, as discussed above.</w:t>
      </w:r>
    </w:p>
    <w:p>
      <w:pPr>
        <w:spacing w:after="0" w:line="123"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primarily due to the sale of certain of our Gulf Coast pipelines in March 2016 and July 2016.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20" w:firstLine="648"/>
        <w:spacing w:after="0" w:line="288"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completed over the last several years were underpinned by long-term minimum volume commitment contracts whereby the shipper, based on an expectation of continued production growth, agreed to either: (i) ship and pay for certain stated volumes or</w:t>
      </w:r>
    </w:p>
    <w:p>
      <w:pPr>
        <w:jc w:val="both"/>
        <w:ind w:right="20" w:firstLine="8"/>
        <w:spacing w:after="0" w:line="255"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the agreed upon price for a minimum contract quantity. The activity presented in the table above primarily reflects the amounts billed in the respective quarter under minimum volume commitment contracts. As production increased in the Permian Basin, shippers were able to fulfill the contracts. Accordingly, such amounts were lesser in magnitude for the first quarter of 2017.</w:t>
      </w:r>
    </w:p>
    <w:p>
      <w:pPr>
        <w:spacing w:after="0" w:line="190" w:lineRule="exact"/>
        <w:rPr>
          <w:sz w:val="20"/>
          <w:szCs w:val="20"/>
          <w:color w:val="auto"/>
        </w:rPr>
      </w:pPr>
    </w:p>
    <w:p>
      <w:pPr>
        <w:ind w:right="780" w:firstLine="648"/>
        <w:spacing w:after="0" w:line="264"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(excluding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three months ended March 31, 2017 compared to the three months ended March 31, 2016 was primarily due to costs associated with our acquisition activities.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44"/>
        </w:trPr>
        <w:tc>
          <w:tcPr>
            <w:tcW w:w="7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3"/>
          </w:tcPr>
          <w:p>
            <w:pPr>
              <w:jc w:val="right"/>
              <w:ind w:right="556"/>
              <w:spacing w:after="0" w:line="145"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8"/>
              <w:spacing w:after="0" w:line="13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7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9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Across all segments, equity-indexed compensation expense increased by $8 million for the three months ended March 31, 2017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same period in 2016, primarily due to more probable awards outstanding and a higher average value for those awards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2017 compared to the same period in 2016. See Note 16 to our Consolidated Financial Statements included in Part IV of our 2016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Form 10-K for additional information regarding our equity-indexed compensation plans.</w:t>
      </w:r>
    </w:p>
    <w:p>
      <w:pPr>
        <w:spacing w:after="0" w:line="21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three months ended March 31, 2017 compared to the same period in 2016 was primarily driven by the sale of certain Gulf Coast pipelines in March 2016 and July 2016.</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field operating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 terminalling and storage (average</w:t>
            </w:r>
          </w:p>
        </w:tc>
        <w:tc>
          <w:tcPr>
            <w:tcW w:w="3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monthly capacity in millions of barrels)</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3"/>
              </w:rPr>
              <w:t>Rail load / unload volumes (average volumes in thousands of barrels per day)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8"/>
              </w:rPr>
              <w:t>Natural gas storage (average monthly working capacity in billions of cubic</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feet)</w:t>
            </w:r>
          </w:p>
        </w:tc>
        <w:tc>
          <w:tcPr>
            <w:tcW w:w="3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5"/>
                <w:szCs w:val="25"/>
                <w:color w:val="auto"/>
                <w:vertAlign w:val="superscript"/>
              </w:rPr>
              <w:t>(6)</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14"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Revenues and costs and expenses include intersegment amounts.</w:t>
      </w:r>
    </w:p>
    <w:p>
      <w:pPr>
        <w:spacing w:after="0" w:line="98" w:lineRule="exact"/>
        <w:rPr>
          <w:rFonts w:ascii="Arial" w:cs="Arial" w:eastAsia="Arial" w:hAnsi="Arial"/>
          <w:sz w:val="23"/>
          <w:szCs w:val="23"/>
          <w:color w:val="auto"/>
          <w:vertAlign w:val="superscript"/>
        </w:rPr>
      </w:pPr>
    </w:p>
    <w:p>
      <w:pPr>
        <w:ind w:left="660" w:right="40" w:hanging="652"/>
        <w:spacing w:after="0" w:line="214"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180" w:hanging="652"/>
        <w:spacing w:after="0" w:line="230"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340" w:hanging="4"/>
        <w:spacing w:after="0" w:line="538" w:lineRule="auto"/>
        <w:tabs>
          <w:tab w:leader="none" w:pos="9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NGL fractionation volumes multiplied by the number of days in the period and divided by the number of months in the period. The following is a discussion of items impacting Facilities segment operating results for the periods indicated.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sz w:val="20"/>
          <w:szCs w:val="20"/>
          <w:color w:val="auto"/>
        </w:rPr>
      </w:pPr>
    </w:p>
    <w:p>
      <w:pPr>
        <w:ind w:left="660" w:right="1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NGL Storage, NGL Fractionation and Canadian Natural Gas Processing — Revenues increased by $33 million primarily due to contributions from the Western Canada NGL assets we acquired in August 2016 and also from higher fees at certain of our NGL storage and fractionation facilities, which were largely offset in our Supply and Logistics segment results.</w:t>
      </w:r>
    </w:p>
    <w:p>
      <w:pPr>
        <w:spacing w:after="0" w:line="181"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Rail Terminals — Revenues decreased by $8 million primarily due to lower volumes at our U.S. terminals resulting from less favorable market conditions, partially offset by revenues and volumes from our Fort Saskatchewan rail terminal that came on line in April 2016.</w:t>
      </w:r>
    </w:p>
    <w:p>
      <w:pPr>
        <w:spacing w:after="0" w:line="146" w:lineRule="exact"/>
        <w:rPr>
          <w:rFonts w:ascii="Arial" w:cs="Arial" w:eastAsia="Arial" w:hAnsi="Arial"/>
          <w:sz w:val="17"/>
          <w:szCs w:val="17"/>
          <w:color w:val="auto"/>
        </w:rPr>
      </w:pPr>
    </w:p>
    <w:p>
      <w:pPr>
        <w:jc w:val="both"/>
        <w:ind w:left="660" w:right="10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Crude Oil Storage — Revenues decreased by $3 million primarily due to (i) lower results related to the sale of certain of our East Coast terminals in April 2016 and (ii) decreased utilization at certain of our West Coast terminals. Such decreases were partially offset by increased revenues from our St. James and Cushing terminals due to aggregate capacity expansions of over 2.5 million barrels and higher ancillary fees.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the three months ended March 31, 2016 was primarily due to reduced rail activity and cost reduction efforts. Such decreases were largely offset by an increase in operating costs associated with the Western Canada NGL assets acquired in August 2016.</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increase in maintenance capital for the three months ended March 31, 2017 compared to the same period in 2016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investment in our integrity management program, primarily on assets at our West Coast terminals.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field operating costs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 revaluation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14"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Revenues and costs include intersegment amounts.</w:t>
      </w:r>
    </w:p>
    <w:p>
      <w:pPr>
        <w:spacing w:after="0" w:line="98" w:lineRule="exact"/>
        <w:rPr>
          <w:rFonts w:ascii="Arial" w:cs="Arial" w:eastAsia="Arial" w:hAnsi="Arial"/>
          <w:sz w:val="23"/>
          <w:szCs w:val="23"/>
          <w:color w:val="auto"/>
          <w:vertAlign w:val="superscript"/>
        </w:rPr>
      </w:pPr>
    </w:p>
    <w:p>
      <w:pPr>
        <w:ind w:left="660" w:right="40" w:hanging="652"/>
        <w:spacing w:after="0" w:line="214"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March 31, 2016</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purchases increased for the three months ended March 31, 2017 compared to the same period in 2016 primarily due to higher crude oil prices. Additionally, revenues were impacted by gains from certain derivative activities.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the current extended period of lower crude oil prices, our ability to generate above base-level earnings is challenging, and taking into account the overcapacity of midstream assets and increased competition that currently exists in most crude oil producing regions, generating even baseline-level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Net Revenues and Volumes. </w:t>
      </w:r>
      <w:r>
        <w:rPr>
          <w:rFonts w:ascii="Arial" w:cs="Arial" w:eastAsia="Arial" w:hAnsi="Arial"/>
          <w:sz w:val="16"/>
          <w:szCs w:val="16"/>
          <w:color w:val="auto"/>
        </w:rPr>
        <w:t>Our Supply and Logistics segment revenues, net of purchases and related costs, increased by $286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2017 compared to the three months ended March 31, 2016, as gains from certain derivative activities (as discussed further below) more than offset lower results from less favorable market conditions. The following summarizes the significant items impacting the comparative periods:</w:t>
      </w:r>
    </w:p>
    <w:p>
      <w:pPr>
        <w:spacing w:after="0" w:line="147" w:lineRule="exact"/>
        <w:rPr>
          <w:sz w:val="20"/>
          <w:szCs w:val="20"/>
          <w:color w:val="auto"/>
        </w:rPr>
      </w:pPr>
    </w:p>
    <w:p>
      <w:pPr>
        <w:ind w:left="980" w:right="80" w:hanging="324"/>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40" w:hanging="324"/>
        <w:spacing w:after="0" w:line="279"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Crude Oil Operations — Net revenues from our crude oil supply and logistics activities decreased for the three months ended March 31, 2017 as compared to the same 2016 period, primarily due to continued and intensifying competition, largely due to overbuilt infrastructure underwritten with volume commitments and the effect of such on differentials, as well as volume declines in certain areas, which negatively impacted our unit margins. See the “Outlook” section below for additional discussion of recent market conditions.</w:t>
      </w:r>
    </w:p>
    <w:p>
      <w:pPr>
        <w:spacing w:after="0" w:line="171" w:lineRule="exact"/>
        <w:rPr>
          <w:rFonts w:ascii="Arial" w:cs="Arial" w:eastAsia="Arial" w:hAnsi="Arial"/>
          <w:sz w:val="17"/>
          <w:szCs w:val="17"/>
          <w:color w:val="auto"/>
        </w:rPr>
      </w:pPr>
    </w:p>
    <w:p>
      <w:pPr>
        <w:ind w:left="980" w:right="80" w:hanging="324"/>
        <w:spacing w:after="0" w:line="279"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months ended March 31, 2017 as compared to the three months ended March 31, 2016, largely due to (i) higher supply costs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w:t>
      </w:r>
    </w:p>
    <w:p>
      <w:pPr>
        <w:spacing w:after="0" w:line="171" w:lineRule="exact"/>
        <w:rPr>
          <w:rFonts w:ascii="Arial" w:cs="Arial" w:eastAsia="Arial" w:hAnsi="Arial"/>
          <w:sz w:val="17"/>
          <w:szCs w:val="17"/>
          <w:color w:val="auto"/>
        </w:rPr>
      </w:pPr>
    </w:p>
    <w:p>
      <w:pPr>
        <w:ind w:left="980" w:hanging="324"/>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100" w:hanging="324"/>
        <w:spacing w:after="0" w:line="279"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Foreign Exchange Impacts — Our net revenues are impacted by fluctuations in the value of CAD to USD, resulting in foreign exchange gains and losses on U.S. denominated net assets within our Canadian operations. In addition, the appreciation of CAD relative to USD resulted in higher net USD costs of approximately $4 million for the three months ended March 31, 2017 compared to the same period in 2016. Such costs are primarily associated with intercompany facility fees and are largely offset in our Facilities segment results.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compared to the three months ended March 31, 2016 was primarily due to a combination of lower driver wages, shorter truck hauls and reduced use of third party trucking services as pipeline expansion projects were placed into service.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Depreciation and amortization expense for the three months ended March 31, 2017 and 2016 includes net gains of approximately $4 million and $6 million, respectively, which were primarily associated with non-core asset sales during the periods. Excluding such gains, depreciation and amortization expense increased for the three months ended March 31, 2017 compared to the three months ended March 31, 2016 primarily due to additional depreciation and amortization expense associated with recently acquired assets and the completion of various capital expansion projects, partially offset by the write-off in 2016 of $10 million of costs associated with the discontinuation of certain capital projects.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increase in interest expense for the three months ended March 31, 2017 over the three months ended March 31, 2016 was primarily due to (i) lower capitalized interest driven by fewer capital projects under construction and (ii) a higher weighted average debt balance.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Other income/(expense), net for the three months ended March 31, 2017 was impacted by a loss of $4 million related to the mark-to-market adjustment of the Preferred Distribution Rate Reset Option. See Note 10 to our Condensed Consolidated Financial Statements for additional information. Excluding such loss, Other income/(expense), net for the periods presented was primarily comprised of gains or losses from the revaluation of foreign currency transactions and monetary assets and liabilities.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43"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Income tax expense increased for the three months ended March 31, 2017 compared to the three months ended March 31, 2016 primarily due to (i) higher year-over-year income as impacted by fluctuations in derivative mark-to-market valuations in our Canadian operations, (ii) higher deferred tax expense associated with the amortization of our deferred tax asset, and (iii) higher deferred tax expense recorded in the first quarter of 2017 related to a change in our effective tax rate.</w:t>
      </w:r>
    </w:p>
    <w:p>
      <w:pPr>
        <w:spacing w:after="0" w:line="17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April 26, 2017, the White House issued a one-page outline for proposed changes to the U.S. tax code. In the current proposed tax reform plan, federal corporate income tax rates would be decreased from 35% to 15%. PAGP’s deferred tax balances are calculated based on the tax rates in effect during the period. A change in federal corporate income tax rates for a current or future period is recorded as a component of the income tax provision for the period in which the law is enacted to change current or future tax rates. A reduction in the corporate federal income tax rate to 15%, as currently proposed, would result in a write-off of a portion of the deferred tax asset through income tax expense in the period the change is enacted.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Producer drilling activity has been rising in many of the producing basins where we operate. For example, since early February 2017, Permian Basin rig counts have increased by over 20%, adding approximately 60 rigs over the ensuing three month period. In addition, upstream acreage acquisition activity in the Permian Basin continued throughout the first quarter of 2017, with over $7 billion in acreage transactions announced, which involved meaningful positions located in the Northern Delaware Basin. Current rig counts do not fully reflect the expected increase associated with certain of these transactions.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 to increases in well productivity, we expect a continuation of a time lag between increased drilling activity and increased production as producers shift to multiple well pad operations and delayed scheduling of completion activities.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Taking all of these factors into account, we continue to expect production levels to ramp up in the second half of this year. The increased production levels should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the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Finally, we cannot be certain that our expansion efforts will generate targeted returns or that any recently completed or future acquisition activities will be successful. See “Risk Factors—Risks Related to PAA’s Business” discussed in Item 1A of our 2016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$94 million as of March 31, 2017 and December 31, 2016.</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Developments in the commercial outlook for the Capline system could result in incurring costs associated with retiring certain assets or an impairment of the carrying value of our interest in the Capline system, which was $201 million and $227 million at March 31, 2017 and December 31,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w:t>
      </w:r>
    </w:p>
    <w:p>
      <w:pPr>
        <w:spacing w:after="0" w:line="2" w:lineRule="exact"/>
        <w:rPr>
          <w:sz w:val="20"/>
          <w:szCs w:val="20"/>
          <w:color w:val="auto"/>
        </w:rPr>
      </w:pPr>
    </w:p>
    <w:p>
      <w:pPr>
        <w:ind w:right="60" w:firstLine="8"/>
        <w:spacing w:after="0" w:line="269"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As of March 31, 2017, we had a working capital surplus of $56 million and approximately $2.8 billion of liquidity available to meet our ongoing operating, investing and financing needs, subject to continued covenant compliance, as noted below (in millions):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1,582</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1,091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$77 million, comprised of $18 million under the PAA senior unsecured revolving credit facility and $59 million under the PAA senior secured hedged inventory facility.</w:t>
      </w:r>
    </w:p>
    <w:p>
      <w:pPr>
        <w:spacing w:after="0" w:line="20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PAA credit facilities, which provide the backstop for the PAA commercial paper program, is subject to ongoing compliance with covenants. As of March 31, 2017, PAA was in compliance with all such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operating activities for the first three months of 2017 and 2016 was $815 million and $631 million, respectively, and primarily resulted from earnings from our operations. Net cash provided by operating activities for the 2017 period was also positively impacted by a decrease in margin balances required as part of our hedging activities that were funded by short-term debt. Additionally, as discussed further below, changes in our inventory levels during these periods impacted our cash flow from operating activities.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2017, we decreased the overall volume of inventory that we held, primarily due to the seasonal sale of NGL and natural gas inventory resulting in a favorable impact on our cash provided by operating activities. However, the favorable effects from liquidation of such inventory were partially offset by higher prices for crude oil inventory that was purchased and stored at the end of the quarter due to contango market conditions.</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During the three months ended March 31, 2016, we decreased the overall volume of inventory that we held, primarily due to the seasonal sale of NGL and natural gas inventory. The net proceeds received from liquidation of such inventory were used to repay borrowings under our commercial paper program and favorably impacted cash flow from operating activities during the period. Additionally, lower inventory levels were further impacted by lower prices for such inventory stored at the end of the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deliver, transport or throughput a minimum volume over</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remote. Deferred revenue associated with non-performance under minimum volume contracts could be significant and could adversely affect our profitability and earnings, but generally does not impact our liquidity.</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At March 31, 2017 and December 31, 2016, counterparty deficiencies associated with agreements that include minimum volume commitments totaled $74 million and $66 million, respectively, of which $62 million and $54 million, respectively, was recorded as deferred revenue. The balance of $12 million at each respective date was related to deficiencies for which the counterparties had not met their contractual minimum commitments and were not reflected in our Condensed Consolidated Financial Statements as we had not yet billed or collected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asset sales program, as discussed further below. We have made and will continue to make capital expenditures for acquisitions, expansion capital and maintenance capital.</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Acquisitions</w:t>
      </w:r>
      <w:r>
        <w:rPr>
          <w:rFonts w:ascii="Arial" w:cs="Arial" w:eastAsia="Arial" w:hAnsi="Arial"/>
          <w:sz w:val="17"/>
          <w:szCs w:val="17"/>
          <w:color w:val="auto"/>
        </w:rPr>
        <w:t>. During the three months ended March 31, 2017 and 2016, we paid cash of $1.254 billion (net of cash acquired of $4 million) and $85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for acquisitions. The acquisitions completed during the three months ended March 31, 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completed the acquisition of Advantage Pipeline, L.L.C. for a purchase price of $133 million through a newly formed 50/50 joint venture. For our 50% share ($66.5 million), we contributed approximately 1.3 million PAA common units and approximately $26 million in cash.</w:t>
      </w:r>
    </w:p>
    <w:p>
      <w:pPr>
        <w:spacing w:after="0" w:line="18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2017 Capital Projects. </w:t>
      </w:r>
      <w:r>
        <w:rPr>
          <w:rFonts w:ascii="Arial" w:cs="Arial" w:eastAsia="Arial" w:hAnsi="Arial"/>
          <w:sz w:val="16"/>
          <w:szCs w:val="16"/>
          <w:color w:val="auto"/>
        </w:rPr>
        <w:t>We invested approximately $307 million in midstream infrastructure during the three months ended March 31, 2017, and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invest approximately $900 million during the year ended December 31, 2017. See “—Acquisitions and Capital Projects” for detail of our projected capital expenditures for the year ending December 31, 2017. The majority of funding for our 2017 capital program was provided by proceeds from equity issuances during the first quarter of 2017, with the remaining funding expected to be provided by the sale of various non-core assets throughout the year.</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Our strategic divestiture program includes the evaluation of potential sales of non-core assets and/or sales of partial interests in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joint venture partners to optimize our asset portfolio and strengthen our balance sheet and leverage metrics. We sold certain non-core assets for proceeds of $161 million during the three months ended March 31, 2017, and we expect to close an additional approximately $500 million of sales during the second quarter or early in the third quarter of 2017, subject to customary closing conditions. See Note 6 to our Condensed Consolidated Financial Statements for additional information regarding these asset sales and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Registration Statements. </w:t>
      </w:r>
      <w:r>
        <w:rPr>
          <w:rFonts w:ascii="Arial" w:cs="Arial" w:eastAsia="Arial" w:hAnsi="Arial"/>
          <w:sz w:val="18"/>
          <w:szCs w:val="18"/>
          <w:color w:val="auto"/>
        </w:rPr>
        <w:t>We have filed with the SEC a universal shelf registration statement that, subject to effectiveness at the time of use,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issue up to an aggregate of $1.0 billion of equity securities (the “Traditional Shelf”). Our issuances of equity securities associated with our Continuous Offering Program have been issued pursuant to the Traditional Shelf. At March 31, 2017, we had approximately $939 million of unsold securities available under the Traditional Shelf. Additionally, in February 2017, we filed a universal shelf registration statement (the “WKSI Shelf”), which provides us with the ability to offer and sell an unlimited amount of equity securities, subject to market conditions and capital needs. Our Underwritten Offering, discussed further below, was conducted under our WKSI Shelf.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Sales of Class A Shares</w:t>
      </w:r>
      <w:r>
        <w:rPr>
          <w:rFonts w:ascii="Arial" w:cs="Arial" w:eastAsia="Arial" w:hAnsi="Arial"/>
          <w:sz w:val="18"/>
          <w:szCs w:val="18"/>
          <w:color w:val="auto"/>
        </w:rPr>
        <w:t>. The following table summarizes our sales of Class A shares during the three months ended March 31, 2017 (net proceeds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6"/>
                <w:szCs w:val="16"/>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 (3)</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60" w:type="dxa"/>
            <w:vAlign w:val="bottom"/>
          </w:tcPr>
          <w:p>
            <w:pPr>
              <w:jc w:val="right"/>
              <w:ind w:right="34"/>
              <w:spacing w:after="0"/>
              <w:rPr>
                <w:sz w:val="20"/>
                <w:szCs w:val="20"/>
                <w:color w:val="auto"/>
              </w:rPr>
            </w:pPr>
            <w:r>
              <w:rPr>
                <w:rFonts w:ascii="Arial" w:cs="Arial" w:eastAsia="Arial" w:hAnsi="Arial"/>
                <w:sz w:val="18"/>
                <w:szCs w:val="18"/>
                <w:color w:val="auto"/>
              </w:rPr>
              <w:t>1,474</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three months ended March 31, 2017.</w:t>
      </w:r>
    </w:p>
    <w:p>
      <w:pPr>
        <w:spacing w:after="0" w:line="94" w:lineRule="exact"/>
        <w:rPr>
          <w:rFonts w:ascii="Arial" w:cs="Arial" w:eastAsia="Arial" w:hAnsi="Arial"/>
          <w:sz w:val="25"/>
          <w:szCs w:val="25"/>
          <w:color w:val="auto"/>
          <w:vertAlign w:val="superscript"/>
        </w:rPr>
      </w:pPr>
    </w:p>
    <w:p>
      <w:pPr>
        <w:ind w:left="660" w:right="140" w:hanging="652"/>
        <w:spacing w:after="0" w:line="250"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in conjunction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Common Units" below.</w:t>
      </w:r>
    </w:p>
    <w:p>
      <w:pPr>
        <w:spacing w:after="0" w:line="19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(the “PAA Traditional Shelf”). All issuances of PAA equity securities associated with PAA's Continuous Offering Program have been issued pursuant to the PAA Traditional Shelf. At March 31, 2017, PAA had approximately $1.1 billion of unsold securities available under the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WKSI Shelf during the three months ended March 31, 2017.</w:t>
      </w:r>
    </w:p>
    <w:p>
      <w:pPr>
        <w:spacing w:after="0" w:line="18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PAA Continuous Offering Program. </w:t>
      </w:r>
      <w:r>
        <w:rPr>
          <w:rFonts w:ascii="Arial" w:cs="Arial" w:eastAsia="Arial" w:hAnsi="Arial"/>
          <w:sz w:val="17"/>
          <w:szCs w:val="17"/>
          <w:color w:val="auto"/>
        </w:rPr>
        <w:t>During the three months ended March 31, 2017, PAA issued an aggregate of approximately 4.0 million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under its continuous offering program, generating proceeds of $129 million, net of $1 million of commissions paid to its sales agents.</w:t>
      </w:r>
    </w:p>
    <w:p>
      <w:pPr>
        <w:spacing w:after="0" w:line="14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PAA Unit Issuances Under Omnibus Agreement. </w:t>
      </w:r>
      <w:r>
        <w:rPr>
          <w:rFonts w:ascii="Arial" w:cs="Arial" w:eastAsia="Arial" w:hAnsi="Arial"/>
          <w:sz w:val="18"/>
          <w:szCs w:val="18"/>
          <w:color w:val="auto"/>
        </w:rPr>
        <w:t>During the three months ended March 31, 2017, pursuant to the Omnibus Agreement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PAA sold (i) approximately 1.8 million common units to AAP in connection with our issuance of Class A shares under our Continuous Offering Program and (ii) 48.3 million common units to AAP in connection with our underwritten offering.</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the ability to access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program because they provide the backstop that supports PAA’s short-term credit ratings) and the indentures governing PAA’s senior notes contain cross-default provisions. A default under the credit agreements would permit the lenders to accelerate the maturity of the outstanding debt. As long as PAA is in compliance with the provisions in the credit agreements, its ability to make distributions of available cash is not restricted. As of March 31, 2017, PAA was in compliance with the covenants contained in the credit agreements and indentures.</w:t>
      </w:r>
    </w:p>
    <w:p>
      <w:pPr>
        <w:spacing w:after="0" w:line="17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 consolidated basis, during the three months ended March 31, 2017, we had net repayments under PAA's credit facilities and PAA commercial paper program of $352 million. The net repayments resulted primarily from cash flow from operating activities and cash received from equity activities, which offset borrowings during the period related to funding needs for (i) acquisition and capital investments, (ii) inventory purchases and related margin balances required as part of our hedging activities, (iii) repayment of PAA's $400 million, 6.13% senior notes in January 2017 and (iv) other general partnership purposes.</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three months ended March 31, 2016, we had net repayments under the credit facilities and the PAA commercial paper program of $1.5 billion. These net repayments resulted primarily from cash flow from operating activities, including sales of NGL and natural gas inventory that was liquidated during the period, as well as cash received from equity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all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May 15, 2017, we will pay a quarterly distribution of $0.55 per Class A share, which is unchanged from our prior two quarterly distributions, but represents a year-over-year distribution decrease of approximately 11%. See Note 9 to our Condensed Consolidated Financial Statements for details of distributions paid during or pertaining to the first three months of 2017. Also, see Item 5. “Market for Registrant’s Shares, Related Shareholder Matters and Issuer Purchases of Equity Securities—Cash Distribution Policy” included in our 2016 Annual Report on Form 10-K for additional discussion regarding distributions.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three months ended March 31, 2017 and 2016, we paid distributions of approximately $315 million and $375 million, respectively, to noncontrolling interests.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Crude oil, natural gas, NGL and other purchases </w:t>
            </w:r>
            <w:r>
              <w:rPr>
                <w:rFonts w:ascii="Arial" w:cs="Arial" w:eastAsia="Arial" w:hAnsi="Arial"/>
                <w:sz w:val="25"/>
                <w:szCs w:val="25"/>
                <w:color w:val="auto"/>
                <w:w w:val="93"/>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16,769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80" w:hanging="652"/>
        <w:spacing w:after="0" w:line="245" w:lineRule="auto"/>
        <w:tabs>
          <w:tab w:leader="none" w:pos="66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Includes debt service payments, interest payments due on PAA’s senior notes, the commitment fee on assumed available capacity under the PAA credit facilities.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4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00" w:hanging="652"/>
        <w:spacing w:after="0" w:line="235"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180" w:hanging="652"/>
        <w:spacing w:after="0" w:line="238" w:lineRule="auto"/>
        <w:tabs>
          <w:tab w:leader="none" w:pos="66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March 31, 2017 and December 31, 2016, we had outstanding letters of credit of approximately $77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30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5" w:lineRule="exact"/>
        <w:rPr>
          <w:rFonts w:ascii="Arial" w:cs="Arial" w:eastAsia="Arial" w:hAnsi="Arial"/>
          <w:sz w:val="18"/>
          <w:szCs w:val="18"/>
          <w:i w:val="1"/>
          <w:iCs w:val="1"/>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i w:val="1"/>
          <w:iCs w:val="1"/>
          <w:color w:val="auto"/>
        </w:rPr>
      </w:pPr>
    </w:p>
    <w:p>
      <w:pPr>
        <w:ind w:left="980" w:right="8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derivative portfolio would typically change less than that shown in the table as changes in near-term prices are not typically mirrored in delivery months further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2017, approximately $1.2 billion, was subject to interest rate re-sets that range from less than one week to approximately one month. The average interest rate on variable rate debt that was outstanding during the three months ended March 31, 2017 was 1.8%, based upon rates in effect during such period. The fair value of our interest rate derivatives was a liability of $43 million as of March 31, 2017. A 10% increase in the forward LIBOR curve as of March 31, 2017 would have resulted in an increase of $33 million to the fair value of our interest rate derivatives. A 10% decrease in the forward LIBOR curve as of March 31, 2017 would have resulted in a decrease of $33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$2 million as of March 31, 2017. A 10% increase in the exchange rate (USD-to-CAD) would have resulted in a decrease of $25 million to the fair value of our foreign currency derivatives. A 10% decrease in the exchange rate (USD-to-CAD) would have resulted in an increase of $25 million to the fair value of our foreign currency derivatives. See Note 10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$36 million as of March 31, 2017. A 10% increase in the fair value would have an impact of $4 million. A 10% decrease in the fair value would also have an impact of $4 million. See Note 10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2017, certain Legacy Owners or their permitted transferees exercised the Exchange Right, which resulted in the issuance of 479,298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64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2.1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0"/>
              </w:rPr>
              <w:t>Securities Purchase Agreement dated as of January 19, 2017 by and between COG Operating LLC, as seller, and Plains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L.P., as purchaser (the schedules and exhibits have been omitted pursuant to Item 601(b)(2) of Regulation S-K)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reference to Exhibit 2.1 to PAA's Quarterly Report on Form 10-Q for the quarter ended March 31, 2017).</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2.2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Securities Purchase Agreement dated as of January 19, 2017 by and between Frontier Midstream Solutions, LLC, as seller, and</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Plains Pipeline, L.P., as purchaser (the schedules and exhibits have been omitted pursuant to Item 601(b)(2) of Regulation S-K)</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7"/>
              </w:rPr>
              <w:t>(incorporated by reference to Exhibit 2.2 to PAA's Quarterly Report on Form 10-Q for the quarter ended March 31, 2017).</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8"/>
              </w:rPr>
              <w:t>Certificate of Limited Partnership of Plains GP Holdings, L.P. (incorporated by reference to Exhibit 3.1 to our Registration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Statement on 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Second Amended and Restated Agreement of Limited Partnership of Plains GP Holdings, L.P. dated as of November 15, 2016</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Third Amended and Restated Limited Liability Company Agreement of PAA GP Holdings LLC dated as of February 16, 2017</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3.1 to our Current Report on Form 8-K filed February 21, 2017).</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Sixth Amended and Restated Agreement of Limited Partnership of Plains All American Pipeline, L.P. dated as of November 15,</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2016 (incorporated by reference to Exhibit 3.5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Seventh Amended and Restated Limited Liability Company Agreement of Plains All American GP LLC dated November 15, 2016</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3.3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Eighth Amended and Restated Limited Partnership Agreement of Plains AAP, L.P. dated November 15, 2016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reference to Exhibit 3.4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PAA’s Current Report on Form 8-K filed January 4,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Association, as trustee (incorporated by reference to Exhibit 4.1 to PAA’s Quarterly Report on Form 10-Q for the quarter ended</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September 30, 2002).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as trustee (incorporated by reference to Exhibit 4.1 to PAA’s Current Report on Form 8-K filed May 12, 2006).</w:t>
            </w:r>
          </w:p>
        </w:tc>
      </w:tr>
      <w:tr>
        <w:trPr>
          <w:trHeight w:val="486"/>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ind w:left="394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320"/>
          </w:cols>
          <w:pgMar w:left="240" w:top="108"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660" w:type="dxa"/>
            <w:vAlign w:val="bottom"/>
          </w:tcPr>
          <w:p>
            <w:pPr>
              <w:spacing w:after="0"/>
              <w:rPr>
                <w:sz w:val="17"/>
                <w:szCs w:val="17"/>
                <w:color w:val="auto"/>
              </w:rPr>
            </w:pPr>
          </w:p>
        </w:tc>
      </w:tr>
      <w:tr>
        <w:trPr>
          <w:trHeight w:val="627"/>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PAA’s Current Report on Form 8-K filed April 23,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4.1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4.3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PAA’s Current Report on Form 8-K filed August 15,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Current Report on Form 8-K filed April 29, 2014).</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86"/>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tcPr>
          <w:p>
            <w:pPr>
              <w:ind w:left="394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340"/>
          </w:cols>
          <w:pgMar w:left="240" w:top="108" w:right="3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627"/>
        </w:trPr>
        <w:tc>
          <w:tcPr>
            <w:tcW w:w="360" w:type="dxa"/>
            <w:vAlign w:val="bottom"/>
          </w:tcPr>
          <w:p>
            <w:pPr>
              <w:ind w:left="40"/>
              <w:spacing w:after="0"/>
              <w:rPr>
                <w:sz w:val="20"/>
                <w:szCs w:val="20"/>
                <w:color w:val="auto"/>
              </w:rPr>
            </w:pPr>
            <w:r>
              <w:rPr>
                <w:rFonts w:ascii="Arial" w:cs="Arial" w:eastAsia="Arial" w:hAnsi="Arial"/>
                <w:sz w:val="18"/>
                <w:szCs w:val="18"/>
                <w:color w:val="auto"/>
                <w:w w:val="85"/>
              </w:rPr>
              <w:t>4.15</w:t>
            </w:r>
          </w:p>
        </w:tc>
        <w:tc>
          <w:tcPr>
            <w:tcW w:w="9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4"/>
              </w:rPr>
              <w:t>Twenty-Seventh Supplemental Indenture (2.60% Senior Notes due 2019) dated December 9, 2014, by and among Plains All</w:t>
            </w:r>
          </w:p>
        </w:tc>
      </w:tr>
      <w:tr>
        <w:trPr>
          <w:trHeight w:val="216"/>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526"/>
        </w:trPr>
        <w:tc>
          <w:tcPr>
            <w:tcW w:w="360" w:type="dxa"/>
            <w:vAlign w:val="bottom"/>
          </w:tcPr>
          <w:p>
            <w:pPr>
              <w:ind w:left="40"/>
              <w:spacing w:after="0"/>
              <w:rPr>
                <w:sz w:val="20"/>
                <w:szCs w:val="20"/>
                <w:color w:val="auto"/>
              </w:rPr>
            </w:pPr>
            <w:r>
              <w:rPr>
                <w:rFonts w:ascii="Arial" w:cs="Arial" w:eastAsia="Arial" w:hAnsi="Arial"/>
                <w:sz w:val="18"/>
                <w:szCs w:val="18"/>
                <w:color w:val="auto"/>
                <w:w w:val="85"/>
              </w:rPr>
              <w:t>4.16</w:t>
            </w:r>
          </w:p>
        </w:tc>
        <w:tc>
          <w:tcPr>
            <w:tcW w:w="9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6"/>
              </w:rPr>
              <w:t>Twenty-Eighth Supplemental Indenture (4.90% Senior Notes due 2045) dated December 9, 2014, by and among Plains All</w:t>
            </w:r>
          </w:p>
        </w:tc>
      </w:tr>
      <w:tr>
        <w:trPr>
          <w:trHeight w:val="216"/>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526"/>
        </w:trPr>
        <w:tc>
          <w:tcPr>
            <w:tcW w:w="360" w:type="dxa"/>
            <w:vAlign w:val="bottom"/>
          </w:tcPr>
          <w:p>
            <w:pPr>
              <w:ind w:left="40"/>
              <w:spacing w:after="0"/>
              <w:rPr>
                <w:sz w:val="20"/>
                <w:szCs w:val="20"/>
                <w:color w:val="auto"/>
              </w:rPr>
            </w:pPr>
            <w:r>
              <w:rPr>
                <w:rFonts w:ascii="Arial" w:cs="Arial" w:eastAsia="Arial" w:hAnsi="Arial"/>
                <w:sz w:val="18"/>
                <w:szCs w:val="18"/>
                <w:color w:val="auto"/>
                <w:w w:val="85"/>
              </w:rPr>
              <w:t>4.17</w:t>
            </w:r>
          </w:p>
        </w:tc>
        <w:tc>
          <w:tcPr>
            <w:tcW w:w="9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0"/>
              </w:rPr>
              <w:t>Twenty-Ninth Supplemental Indenture (4.65% Senior Notes due 2025) dated August 24, 2015, by and among Plains All American</w:t>
            </w:r>
          </w:p>
        </w:tc>
      </w:tr>
      <w:tr>
        <w:trPr>
          <w:trHeight w:val="216"/>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PAA’s Current Report on Form 8-K filed August 26, 2015).</w:t>
            </w:r>
          </w:p>
        </w:tc>
      </w:tr>
      <w:tr>
        <w:trPr>
          <w:trHeight w:val="526"/>
        </w:trPr>
        <w:tc>
          <w:tcPr>
            <w:tcW w:w="360" w:type="dxa"/>
            <w:vAlign w:val="bottom"/>
          </w:tcPr>
          <w:p>
            <w:pPr>
              <w:ind w:left="40"/>
              <w:spacing w:after="0"/>
              <w:rPr>
                <w:sz w:val="20"/>
                <w:szCs w:val="20"/>
                <w:color w:val="auto"/>
              </w:rPr>
            </w:pPr>
            <w:r>
              <w:rPr>
                <w:rFonts w:ascii="Arial" w:cs="Arial" w:eastAsia="Arial" w:hAnsi="Arial"/>
                <w:sz w:val="18"/>
                <w:szCs w:val="18"/>
                <w:color w:val="auto"/>
                <w:w w:val="85"/>
              </w:rPr>
              <w:t>4.18</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2"/>
              </w:rPr>
              <w:t>Thirtieth Supplemental Indenture (4.50% Senior Notes due 2026) dated November 22, 2016, by and among Plains All American</w:t>
            </w:r>
          </w:p>
        </w:tc>
      </w:tr>
      <w:tr>
        <w:trPr>
          <w:trHeight w:val="216"/>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PAA’s Current Report on Form 8-K filed November 29, 2016).</w:t>
            </w:r>
          </w:p>
        </w:tc>
      </w:tr>
      <w:tr>
        <w:trPr>
          <w:trHeight w:val="377"/>
        </w:trPr>
        <w:tc>
          <w:tcPr>
            <w:tcW w:w="360" w:type="dxa"/>
            <w:vAlign w:val="bottom"/>
          </w:tcPr>
          <w:p>
            <w:pPr>
              <w:ind w:left="40"/>
              <w:spacing w:after="0"/>
              <w:rPr>
                <w:sz w:val="20"/>
                <w:szCs w:val="20"/>
                <w:color w:val="auto"/>
              </w:rPr>
            </w:pPr>
            <w:r>
              <w:rPr>
                <w:rFonts w:ascii="Arial" w:cs="Arial" w:eastAsia="Arial" w:hAnsi="Arial"/>
                <w:sz w:val="18"/>
                <w:szCs w:val="18"/>
                <w:color w:val="auto"/>
                <w:w w:val="85"/>
              </w:rPr>
              <w:t>4.19</w:t>
            </w:r>
          </w:p>
        </w:tc>
        <w:tc>
          <w:tcPr>
            <w:tcW w:w="9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2"/>
              </w:rPr>
              <w:t>Shareholder and Registration Rights Agreement dated October 21, 2013 by and among Plains GP Holdings, L.P. and the other</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4"/>
              </w:rPr>
              <w:t>parties signatory thereto (incorporated by reference to Exhibit 4.1 to our Current Report on Form 8-K filed October 25, 2013).</w:t>
            </w:r>
          </w:p>
        </w:tc>
      </w:tr>
      <w:tr>
        <w:trPr>
          <w:trHeight w:val="526"/>
        </w:trPr>
        <w:tc>
          <w:tcPr>
            <w:tcW w:w="360" w:type="dxa"/>
            <w:vAlign w:val="bottom"/>
          </w:tcPr>
          <w:p>
            <w:pPr>
              <w:ind w:left="40"/>
              <w:spacing w:after="0"/>
              <w:rPr>
                <w:sz w:val="20"/>
                <w:szCs w:val="20"/>
                <w:color w:val="auto"/>
              </w:rPr>
            </w:pPr>
            <w:r>
              <w:rPr>
                <w:rFonts w:ascii="Arial" w:cs="Arial" w:eastAsia="Arial" w:hAnsi="Arial"/>
                <w:sz w:val="18"/>
                <w:szCs w:val="18"/>
                <w:color w:val="auto"/>
                <w:w w:val="85"/>
              </w:rPr>
              <w:t>10.1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w w:val="96"/>
              </w:rPr>
              <w:t>Form of Director LTIP Grant Letter (February 2017) - Director Grant - Designated Directors and Audit Committee Members</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(PAGP Plan)</w:t>
            </w:r>
          </w:p>
        </w:tc>
      </w:tr>
      <w:tr>
        <w:trPr>
          <w:trHeight w:val="392"/>
        </w:trPr>
        <w:tc>
          <w:tcPr>
            <w:tcW w:w="360" w:type="dxa"/>
            <w:vAlign w:val="bottom"/>
          </w:tcPr>
          <w:p>
            <w:pPr>
              <w:ind w:left="40"/>
              <w:spacing w:after="0"/>
              <w:rPr>
                <w:sz w:val="20"/>
                <w:szCs w:val="20"/>
                <w:color w:val="auto"/>
              </w:rPr>
            </w:pPr>
            <w:r>
              <w:rPr>
                <w:rFonts w:ascii="Arial" w:cs="Arial" w:eastAsia="Arial" w:hAnsi="Arial"/>
                <w:sz w:val="18"/>
                <w:szCs w:val="18"/>
                <w:color w:val="auto"/>
                <w:w w:val="85"/>
              </w:rPr>
              <w:t>10.2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Form of Director LTIP Grant Letter (February 2017) - Audit Committee Supplement (PAGP Plan)</w:t>
            </w:r>
          </w:p>
        </w:tc>
      </w:tr>
      <w:tr>
        <w:trPr>
          <w:trHeight w:val="392"/>
        </w:trPr>
        <w:tc>
          <w:tcPr>
            <w:tcW w:w="360" w:type="dxa"/>
            <w:vAlign w:val="bottom"/>
          </w:tcPr>
          <w:p>
            <w:pPr>
              <w:ind w:left="40"/>
              <w:spacing w:after="0"/>
              <w:rPr>
                <w:sz w:val="20"/>
                <w:szCs w:val="20"/>
                <w:color w:val="auto"/>
              </w:rPr>
            </w:pPr>
            <w:r>
              <w:rPr>
                <w:rFonts w:ascii="Arial" w:cs="Arial" w:eastAsia="Arial" w:hAnsi="Arial"/>
                <w:sz w:val="18"/>
                <w:szCs w:val="18"/>
                <w:color w:val="auto"/>
                <w:w w:val="85"/>
              </w:rPr>
              <w:t>10.3</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Form of Director LTIP Grant Letter (February 2017) - Independent Director Grant (PAGP Plan)</w:t>
            </w:r>
          </w:p>
        </w:tc>
      </w:tr>
      <w:tr>
        <w:trPr>
          <w:trHeight w:val="392"/>
        </w:trPr>
        <w:tc>
          <w:tcPr>
            <w:tcW w:w="360" w:type="dxa"/>
            <w:vAlign w:val="bottom"/>
          </w:tcPr>
          <w:p>
            <w:pPr>
              <w:ind w:left="40"/>
              <w:spacing w:after="0"/>
              <w:rPr>
                <w:sz w:val="20"/>
                <w:szCs w:val="20"/>
                <w:color w:val="auto"/>
              </w:rPr>
            </w:pPr>
            <w:r>
              <w:rPr>
                <w:rFonts w:ascii="Arial" w:cs="Arial" w:eastAsia="Arial" w:hAnsi="Arial"/>
                <w:sz w:val="18"/>
                <w:szCs w:val="18"/>
                <w:color w:val="auto"/>
                <w:w w:val="85"/>
              </w:rPr>
              <w:t>31.1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31.2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32.1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32.2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128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300" w:type="dxa"/>
            <w:vAlign w:val="bottom"/>
          </w:tcPr>
          <w:p>
            <w:pPr>
              <w:spacing w:after="0"/>
              <w:rPr>
                <w:sz w:val="24"/>
                <w:szCs w:val="24"/>
                <w:color w:val="auto"/>
              </w:rPr>
            </w:pPr>
          </w:p>
        </w:tc>
      </w:tr>
      <w:tr>
        <w:trPr>
          <w:trHeight w:val="264"/>
        </w:trPr>
        <w:tc>
          <w:tcPr>
            <w:tcW w:w="184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2120" w:type="dxa"/>
            <w:vAlign w:val="bottom"/>
          </w:tcPr>
          <w:p>
            <w:pPr>
              <w:spacing w:after="0"/>
              <w:rPr>
                <w:sz w:val="22"/>
                <w:szCs w:val="22"/>
                <w:color w:val="auto"/>
              </w:rPr>
            </w:pPr>
          </w:p>
        </w:tc>
        <w:tc>
          <w:tcPr>
            <w:tcW w:w="7300" w:type="dxa"/>
            <w:vAlign w:val="bottom"/>
          </w:tcPr>
          <w:p>
            <w:pPr>
              <w:spacing w:after="0"/>
              <w:rPr>
                <w:sz w:val="22"/>
                <w:szCs w:val="22"/>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spacing w:after="0"/>
              <w:rPr>
                <w:sz w:val="20"/>
                <w:szCs w:val="20"/>
                <w:color w:val="auto"/>
              </w:rPr>
            </w:pPr>
            <w:r>
              <w:rPr>
                <w:rFonts w:ascii="Arial" w:cs="Arial" w:eastAsia="Arial" w:hAnsi="Arial"/>
                <w:sz w:val="18"/>
                <w:szCs w:val="18"/>
                <w:color w:val="auto"/>
                <w:w w:val="92"/>
              </w:rPr>
              <w:t>Furnished herewith.</w:t>
            </w:r>
          </w:p>
        </w:tc>
        <w:tc>
          <w:tcPr>
            <w:tcW w:w="2120" w:type="dxa"/>
            <w:vAlign w:val="bottom"/>
          </w:tcPr>
          <w:p>
            <w:pPr>
              <w:spacing w:after="0"/>
              <w:rPr>
                <w:sz w:val="24"/>
                <w:szCs w:val="24"/>
                <w:color w:val="auto"/>
              </w:rPr>
            </w:pPr>
          </w:p>
        </w:tc>
        <w:tc>
          <w:tcPr>
            <w:tcW w:w="7300" w:type="dxa"/>
            <w:vAlign w:val="bottom"/>
          </w:tcPr>
          <w:p>
            <w:pPr>
              <w:spacing w:after="0"/>
              <w:rPr>
                <w:sz w:val="24"/>
                <w:szCs w:val="24"/>
                <w:color w:val="auto"/>
              </w:rPr>
            </w:pPr>
          </w:p>
        </w:tc>
      </w:tr>
    </w:tbl>
    <w:p>
      <w:pPr>
        <w:spacing w:after="0" w:line="94" w:lineRule="exact"/>
        <w:rPr>
          <w:sz w:val="20"/>
          <w:szCs w:val="20"/>
          <w:color w:val="auto"/>
        </w:rPr>
      </w:pPr>
    </w:p>
    <w:p>
      <w:pPr>
        <w:ind w:left="280" w:right="2980" w:hanging="647"/>
        <w:spacing w:after="0" w:line="277" w:lineRule="auto"/>
        <w:tabs>
          <w:tab w:leader="none" w:pos="260" w:val="left"/>
        </w:tabs>
        <w:rPr>
          <w:sz w:val="20"/>
          <w:szCs w:val="20"/>
          <w:color w:val="auto"/>
        </w:rPr>
      </w:pPr>
      <w:r>
        <w:rPr>
          <w:rFonts w:ascii="Arial" w:cs="Arial" w:eastAsia="Arial" w:hAnsi="Arial"/>
          <w:sz w:val="18"/>
          <w:szCs w:val="18"/>
          <w:color w:val="auto"/>
        </w:rPr>
        <w:t>*</w:t>
        <w:tab/>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ectPr>
          <w:pgSz w:w="11900" w:h="16838" w:orient="portrait"/>
          <w:cols w:equalWidth="0" w:num="1">
            <w:col w:w="11260"/>
          </w:cols>
          <w:pgMar w:left="240" w:top="10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0"/>
          </w:cols>
          <w:pgMar w:left="240" w:top="108" w:right="39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11430</wp:posOffset>
            </wp:positionV>
            <wp:extent cx="1998345" cy="531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983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10,000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hanging="968"/>
        <w:spacing w:after="0" w:line="253" w:lineRule="auto"/>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Class A Shares shall vest (become payable in the form of one Class A Share of PAGP for each Phantom Class A Share) in equal 25% increments (2,500 Phantom Class A Shares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hanging="968"/>
        <w:spacing w:after="0" w:line="250" w:lineRule="auto"/>
        <w:tabs>
          <w:tab w:leader="none" w:pos="6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As of each vesting date, for so long as your service on the Board of Directors has not been terminated, you shall be deemed to have automatically received a grant, evidenced hereby, of 2,500 additional Phantom Class A Shares (and tandem DERs), such that the total outstanding Phantom Class A Shares (and tandem DERs) granted by this letter shall remain 10,000.</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63" w:name="page64"/>
    <w:bookmarkEnd w:id="63"/>
    <w:p>
      <w:pPr>
        <w:ind w:left="1300" w:hanging="968"/>
        <w:spacing w:after="0" w:line="250" w:lineRule="auto"/>
        <w:tabs>
          <w:tab w:leader="none" w:pos="6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28" w:lineRule="exact"/>
        <w:rPr>
          <w:rFonts w:ascii="Arial" w:cs="Arial" w:eastAsia="Arial" w:hAnsi="Arial"/>
          <w:sz w:val="22"/>
          <w:szCs w:val="22"/>
          <w:color w:val="auto"/>
        </w:rPr>
      </w:pPr>
    </w:p>
    <w:p>
      <w:pPr>
        <w:ind w:left="1300" w:hanging="968"/>
        <w:spacing w:after="0" w:line="297" w:lineRule="auto"/>
        <w:tabs>
          <w:tab w:leader="none" w:pos="652"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6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660" w:hanging="328"/>
        <w:spacing w:after="0"/>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145" w:right="239" w:bottom="1440" w:gutter="0" w:footer="0" w:header="0"/>
        </w:sectPr>
      </w:pPr>
    </w:p>
    <w:bookmarkStart w:id="64" w:name="page65"/>
    <w:bookmarkEnd w:id="64"/>
    <w:p>
      <w:pPr>
        <w:jc w:val="both"/>
        <w:ind w:right="20"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514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1144" w:right="21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11430</wp:posOffset>
            </wp:positionV>
            <wp:extent cx="1998345"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983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Audit Committee Supplement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10,000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hanging="968"/>
        <w:spacing w:after="0" w:line="253" w:lineRule="auto"/>
        <w:tabs>
          <w:tab w:leader="none" w:pos="6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Class A Shares shall vest (become payable in the form of one Class A Share of PAGP for each Phantom Class A Share) in equal 25% increments (2,500 Phantom Class A Shares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right="20" w:hanging="968"/>
        <w:spacing w:after="0" w:line="250" w:lineRule="auto"/>
        <w:tabs>
          <w:tab w:leader="none" w:pos="6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As of each vesting date, for so long as you serve on the Audit Committee of the Board of Directors (the “Audit Committee”), you shall be deemed to have automatically received a grant, evidenced hereby, of 2,500 additional Phantom Class A Shares (and tandem DERs), such that the total outstanding Phantom Class A Shares (and tandem DERs) granted by this letter shall remain 10,000.</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66" w:name="page67"/>
    <w:bookmarkEnd w:id="66"/>
    <w:p>
      <w:pPr>
        <w:ind w:left="1300" w:hanging="968"/>
        <w:spacing w:after="0" w:line="250" w:lineRule="auto"/>
        <w:tabs>
          <w:tab w:leader="none" w:pos="6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Audit Committee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28" w:lineRule="exact"/>
        <w:rPr>
          <w:rFonts w:ascii="Arial" w:cs="Arial" w:eastAsia="Arial" w:hAnsi="Arial"/>
          <w:sz w:val="22"/>
          <w:szCs w:val="22"/>
          <w:color w:val="auto"/>
        </w:rPr>
      </w:pPr>
    </w:p>
    <w:p>
      <w:pPr>
        <w:ind w:left="1300" w:hanging="968"/>
        <w:spacing w:after="0" w:line="297" w:lineRule="auto"/>
        <w:tabs>
          <w:tab w:leader="none" w:pos="652"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event your service on the Audit Committee is terminated (i) because of your death or disability (as determined in good faith by the Board), (ii) due to your Retirement, or (iii) for any reason other than as described in clauses (i) and (ii) of paragraph 6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660" w:hanging="328"/>
        <w:spacing w:after="0"/>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144" w:right="239" w:bottom="1440" w:gutter="0" w:footer="0" w:header="0"/>
        </w:sectPr>
      </w:pPr>
    </w:p>
    <w:bookmarkStart w:id="67" w:name="page68"/>
    <w:bookmarkEnd w:id="67"/>
    <w:p>
      <w:pPr>
        <w:jc w:val="both"/>
        <w:ind w:right="20"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514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1144"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11430</wp:posOffset>
            </wp:positionV>
            <wp:extent cx="1998345" cy="531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983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INDEPENDENT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15,000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hanging="968"/>
        <w:spacing w:after="0" w:line="253" w:lineRule="auto"/>
        <w:tabs>
          <w:tab w:leader="none" w:pos="6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Class A Shares shall vest (become payable in the form of one Class A Share of PAGP for each Phantom Class A Share) in equal 25% increments (3,750 Phantom Class A Shares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right="20" w:hanging="968"/>
        <w:spacing w:after="0" w:line="250" w:lineRule="auto"/>
        <w:tabs>
          <w:tab w:leader="none" w:pos="6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As of each vesting date, for so long as you qualify as an Independent Director (as such term is defined in the LLC Agreement), you shall be deemed to have automatically received a grant, evidenced hereby, of 3,750 additional Phantom Class A Shares (and tandem DERs), such that the total outstanding Phantom Class A Shares (and tandem DERs) granted by this letter shall remain 15,000.</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hanging="968"/>
        <w:spacing w:after="0" w:line="302" w:lineRule="auto"/>
        <w:tabs>
          <w:tab w:leader="none" w:pos="65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event that (i) you voluntarily terminate your service on the Board of Directors (other than for Retirement), (ii) your service on the Board of Directors is terminated by the Board (by a majority vote of the remaining Directors) for Cause (as defined in the LLC Agreement), or (iii) you no longer qualify as an Independent Director, all unvested Phantom Class A Shares (and tandem DERs) shall be forfeited as of the date service terminates.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382" w:right="239" w:bottom="1440" w:gutter="0" w:footer="0" w:header="0"/>
        </w:sectPr>
      </w:pPr>
    </w:p>
    <w:bookmarkStart w:id="69" w:name="page70"/>
    <w:bookmarkEnd w:id="69"/>
    <w:p>
      <w:pPr>
        <w:ind w:left="1300" w:hanging="968"/>
        <w:spacing w:after="0" w:line="247" w:lineRule="auto"/>
        <w:tabs>
          <w:tab w:leader="none" w:pos="652"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(ii) and (iii) of paragraph 6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144" w:right="239" w:bottom="1440" w:gutter="0" w:footer="0" w:header="0"/>
        </w:sectPr>
      </w:pPr>
    </w:p>
    <w:bookmarkStart w:id="70" w:name="page71"/>
    <w:bookmarkEnd w:id="70"/>
    <w:p>
      <w:pPr>
        <w:jc w:val="both"/>
        <w:ind w:right="20"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514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888"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lowerRoman"/>
      <w:start w:val="2"/>
    </w:lvl>
  </w:abstractNum>
  <w:abstractNum w:abstractNumId="3">
    <w:nsid w:val="3006C83E"/>
    <w:multiLevelType w:val="hybridMultilevel"/>
    <w:lvl w:ilvl="0">
      <w:lvlJc w:val="left"/>
      <w:lvlText w:val="(%1)"/>
      <w:numFmt w:val="lowerRoman"/>
      <w:start w:val="2"/>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2"/>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4"/>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lowerRoman"/>
      <w:start w:val="2"/>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lowerRoman"/>
      <w:start w:val="4"/>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Roman"/>
      <w:start w:val="2"/>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lowerRoman"/>
      <w:start w:val="2"/>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6"/>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6"/>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7"/>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2020-01-17T07:59:09Z</dcterms:created>
  <dcterms:modified xsi:type="dcterms:W3CDTF">2020-01-17T07:59:09Z</dcterms:modified>
</cp:coreProperties>
</file>