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39156a1sv4za.htm"/>
        <w:bookmarkStart w:id="1" w:name="ksh39156a1sv4za"/>
        <w:bookmarkEnd w:id="0"/>
        <w:bookmarkEnd w:id="1"/>
        <w:r>
          <w:rPr>
            <w:rStyle w:val="InternetLink"/>
          </w:rPr>
          <w:t>Table of Contents</w:t>
        </w:r>
      </w:hyperlink>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As filed with the Securities and Exchange Commission on October 12, 2006</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Registration No. 333-136925</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SECURITIES AND EXCHANGE COMMISSION</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Washington, D.C. 20549</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Amendment No. 1</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to</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Form S-4</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REGISTRATION STATEMENT</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THE SECURITIES ACT OF 1933</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PLAINS ALL AMERICAN PIPELINE, L.P.</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571"/>
        <w:gridCol w:w="101"/>
        <w:gridCol w:w="3165"/>
        <w:gridCol w:w="203"/>
        <w:gridCol w:w="3165"/>
      </w:tblGrid>
      <w:tr>
        <w:trPr/>
        <w:tc>
          <w:tcPr>
            <w:tcW w:w="357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165"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3165" w:type="dxa"/>
            <w:tcBorders/>
            <w:shd w:fill="FFFFFF" w:val="clear"/>
            <w:vAlign w:val="bottom"/>
          </w:tcPr>
          <w:p>
            <w:pPr>
              <w:pStyle w:val="TableContents"/>
              <w:spacing w:before="0" w:after="283"/>
              <w:rPr/>
            </w:pPr>
            <w:r>
              <w:rPr/>
              <w:t> </w:t>
            </w:r>
          </w:p>
        </w:tc>
      </w:tr>
      <w:tr>
        <w:trPr/>
        <w:tc>
          <w:tcPr>
            <w:tcW w:w="3571" w:type="dxa"/>
            <w:tcBorders/>
            <w:shd w:fill="FFFFFF" w:val="clear"/>
          </w:tcPr>
          <w:p>
            <w:pPr>
              <w:pStyle w:val="TableContents"/>
              <w:spacing w:before="0" w:after="283"/>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4610</w:t>
            </w:r>
            <w:r>
              <w:rPr/>
              <w:t xml:space="preserve"> </w:t>
            </w:r>
          </w:p>
        </w:tc>
        <w:tc>
          <w:tcPr>
            <w:tcW w:w="203"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76-0582150</w:t>
            </w:r>
            <w:r>
              <w:rPr/>
              <w:t xml:space="preserve"> </w:t>
            </w:r>
          </w:p>
        </w:tc>
      </w:tr>
      <w:tr>
        <w:trPr/>
        <w:tc>
          <w:tcPr>
            <w:tcW w:w="3571" w:type="dxa"/>
            <w:tcBorders/>
            <w:shd w:fill="FFFFFF" w:val="clear"/>
          </w:tcPr>
          <w:p>
            <w:pPr>
              <w:pStyle w:val="TableContents"/>
              <w:spacing w:before="0" w:after="0"/>
              <w:ind w:left="200" w:right="0" w:hanging="200"/>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4610</w:t>
            </w:r>
            <w:r>
              <w:rPr/>
              <w:t xml:space="preserve"> </w:t>
            </w:r>
          </w:p>
        </w:tc>
        <w:tc>
          <w:tcPr>
            <w:tcW w:w="203"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76-0669671</w:t>
            </w:r>
            <w:r>
              <w:rPr/>
              <w:t xml:space="preserve"> </w:t>
            </w:r>
          </w:p>
        </w:tc>
      </w:tr>
      <w:tr>
        <w:trPr/>
        <w:tc>
          <w:tcPr>
            <w:tcW w:w="3571" w:type="dxa"/>
            <w:tcBorders/>
            <w:shd w:fill="FFFFFF" w:val="clear"/>
          </w:tcPr>
          <w:p>
            <w:pPr>
              <w:pStyle w:val="TableContents"/>
              <w:spacing w:before="0" w:after="283"/>
              <w:jc w:val="center"/>
              <w:rPr/>
            </w:pPr>
            <w:r>
              <w:rPr>
                <w:i/>
                <w:sz w:val="13"/>
              </w:rPr>
              <w:t>(State or Other Jurisdiction of</w:t>
              <w:br/>
              <w:t>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i/>
                <w:sz w:val="13"/>
              </w:rPr>
              <w:t>(Primary Standard Industrial</w:t>
              <w:br/>
              <w:t>Classification Code Number)</w:t>
            </w:r>
            <w:r>
              <w:rPr/>
              <w:t xml:space="preserve"> </w:t>
            </w:r>
          </w:p>
        </w:tc>
        <w:tc>
          <w:tcPr>
            <w:tcW w:w="203"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i/>
                <w:sz w:val="13"/>
              </w:rPr>
            </w:pPr>
            <w:r>
              <w:rPr>
                <w:i/>
                <w:sz w:val="13"/>
              </w:rPr>
              <w:t>(I.R.S. Employer</w:t>
              <w:br/>
              <w:t xml:space="preserve">Identification No.)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5102"/>
        <w:gridCol w:w="102"/>
        <w:gridCol w:w="5001"/>
      </w:tblGrid>
      <w:tr>
        <w:trPr/>
        <w:tc>
          <w:tcPr>
            <w:tcW w:w="5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2" w:type="dxa"/>
            <w:tcBorders/>
            <w:shd w:fill="FFFFFF" w:val="clear"/>
          </w:tcPr>
          <w:p>
            <w:pPr>
              <w:pStyle w:val="TableContents"/>
              <w:spacing w:before="0" w:after="283"/>
              <w:jc w:val="center"/>
              <w:rPr/>
            </w:pPr>
            <w:r>
              <w:rPr/>
              <w:br/>
            </w:r>
            <w:r>
              <w:rPr>
                <w:b/>
                <w:sz w:val="17"/>
              </w:rPr>
              <w:t>333 Clay Street, Suite 1600</w:t>
              <w:br/>
              <w:t>Houston, Texas 77002</w:t>
              <w:br/>
              <w:t>(713) 646-4100</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7"/>
              </w:rPr>
              <w:t>Tim Moore</w:t>
              <w:br/>
              <w:t>333 Clay Street, Suite 1600</w:t>
              <w:br/>
              <w:t>Houston, Texas 77002</w:t>
              <w:br/>
              <w:t>(713) 646-4100</w:t>
            </w:r>
            <w:r>
              <w:rPr/>
              <w:t xml:space="preserve"> </w:t>
            </w:r>
          </w:p>
        </w:tc>
      </w:tr>
      <w:tr>
        <w:trPr/>
        <w:tc>
          <w:tcPr>
            <w:tcW w:w="5102" w:type="dxa"/>
            <w:tcBorders/>
            <w:shd w:fill="FFFFFF" w:val="clear"/>
          </w:tcPr>
          <w:p>
            <w:pPr>
              <w:pStyle w:val="TableContents"/>
              <w:spacing w:before="0" w:after="283"/>
              <w:jc w:val="center"/>
              <w:rPr/>
            </w:pPr>
            <w:r>
              <w:rPr>
                <w:i/>
                <w:sz w:val="13"/>
              </w:rPr>
              <w:t>(Address, Including Zip Code, and Telephone Number,</w:t>
              <w:br/>
              <w:t>Including Area Code, of Registrants Principal Executive Offices)</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(Name, Address, Including Zip Code, and Telephone Number,</w:t>
              <w:br/>
              <w:t xml:space="preserve">Including Area Code, of Agent for Service) </w:t>
            </w:r>
          </w:p>
        </w:tc>
      </w:tr>
    </w:tbl>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i/>
          <w:color w:val="000000"/>
          <w:sz w:val="17"/>
          <w:highlight w:val="white"/>
        </w:rPr>
        <w:t>Copy to:</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Alan Beck</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Vinson &amp; Elkins L.L.P.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First City Tower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1001 Fannin Street, Suite 2300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Houston, Texas 77002-6760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713-758-2222</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Approximate date of commencement of proposed sale to the public:</w:t>
      </w:r>
      <w:r>
        <w:rPr>
          <w:rFonts w:ascii="Times New Roman;Times" w:hAnsi="Times New Roman;Times"/>
          <w:color w:val="000000"/>
          <w:sz w:val="17"/>
          <w:highlight w:val="white"/>
        </w:rPr>
        <w:t xml:space="preserve">  As soon as practicable after the effective date of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the securities being registered on this Form are being offered in connection with the formation of a holding company and there is compliance with General Instruction G, check the following box.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filed to register additional securities for an offering pursuant to Rule 462(b) under the Securities Act, check the following box and list the Securities Act registration number of the earlier effective registration statement for the same offering.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a post 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color w:val="000000"/>
          <w:sz w:val="17"/>
          <w:highlight w:val="white"/>
        </w:rPr>
        <w:t xml:space="preserve">o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03"/>
        <w:gridCol w:w="101"/>
        <w:gridCol w:w="9901"/>
      </w:tblGrid>
      <w:tr>
        <w:trPr/>
        <w:tc>
          <w:tcPr>
            <w:tcW w:w="20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901"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jc w:val="right"/>
              <w:rPr/>
            </w:pPr>
            <w:r>
              <w:rPr/>
              <w:t>* </w:t>
            </w:r>
          </w:p>
        </w:tc>
        <w:tc>
          <w:tcPr>
            <w:tcW w:w="101" w:type="dxa"/>
            <w:tcBorders/>
            <w:shd w:fill="FFFFFF" w:val="clear"/>
            <w:vAlign w:val="center"/>
          </w:tcPr>
          <w:p>
            <w:pPr>
              <w:pStyle w:val="TableContents"/>
              <w:spacing w:before="0" w:after="283"/>
              <w:rPr>
                <w:sz w:val="4"/>
                <w:szCs w:val="4"/>
              </w:rPr>
            </w:pPr>
            <w:r>
              <w:rPr>
                <w:sz w:val="4"/>
                <w:szCs w:val="4"/>
              </w:rPr>
            </w:r>
          </w:p>
        </w:tc>
        <w:tc>
          <w:tcPr>
            <w:tcW w:w="9901" w:type="dxa"/>
            <w:tcBorders/>
            <w:shd w:fill="FFFFFF" w:val="clear"/>
            <w:vAlign w:val="bottom"/>
          </w:tcPr>
          <w:p>
            <w:pPr>
              <w:pStyle w:val="TableContents"/>
              <w:spacing w:before="0" w:after="283"/>
              <w:rPr/>
            </w:pPr>
            <w:r>
              <w:rPr/>
              <w:t>Includes certain subsidiaries of Plains All American Pipeline, L.P. identified on the following pages.</w:t>
            </w:r>
          </w:p>
        </w:tc>
      </w:tr>
    </w:tbl>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2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76-0587115</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Pipeline,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76-0587185</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GP Inc.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76-0684572</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Canada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76-0653735</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Canada,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Canada</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75-2979793</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PMC (Nova Scotia) Company</w:t>
        <w:br/>
      </w:r>
      <w:r>
        <w:rPr>
          <w:rFonts w:ascii="Times New Roman;Times" w:hAnsi="Times New Roman;Times"/>
          <w:i/>
          <w:color w:val="000000"/>
          <w:sz w:val="13"/>
          <w:highlight w:val="white"/>
        </w:rPr>
        <w:t>(Exact Name of Registrant As Specified In Its Charter)</w:t>
      </w:r>
      <w:r>
        <w:rPr>
          <w:rFonts w:ascii="Arial;Helvetica" w:hAnsi="Arial;Helvetica"/>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52-2316677</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Basin Holdings GP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13-4204744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Basin Pipeline Holdings,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13-4204757</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Rancho Holdings GP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13-4204734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Rancho Pipeline Holdings,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13-4204750</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LPG Services GP LLC</w:t>
        <w:br/>
      </w:r>
      <w:r>
        <w:rPr>
          <w:rFonts w:ascii="Times New Roman;Times" w:hAnsi="Times New Roman;Times"/>
          <w:i/>
          <w:color w:val="000000"/>
          <w:sz w:val="13"/>
          <w:highlight w:val="white"/>
        </w:rPr>
        <w:t>(Exact Name of Registrant As Specified In Its Charter)</w:t>
      </w:r>
      <w:r>
        <w:rPr>
          <w:rFonts w:ascii="Arial;Helvetica" w:hAnsi="Arial;Helvetica"/>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20-0046552</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LPG Services,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20-0046584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Lone Star Trucking,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California</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20-4648774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International GP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20-3568639</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International, L.P.</w:t>
        <w:br/>
      </w:r>
      <w:r>
        <w:rPr>
          <w:rFonts w:ascii="Times New Roman;Times" w:hAnsi="Times New Roman;Times"/>
          <w:i/>
          <w:color w:val="000000"/>
          <w:sz w:val="13"/>
          <w:highlight w:val="white"/>
        </w:rPr>
        <w:t>(Exact Name of Registrant As Specified In Its Charter)</w:t>
      </w:r>
      <w:r>
        <w:rPr>
          <w:rFonts w:ascii="Arial;Helvetica" w:hAnsi="Arial;Helvetica"/>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20-3640773</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LPG Marketing,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20-2519036</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12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color w:val="000000"/>
          <w:sz w:val="15"/>
          <w:highlight w:val="white"/>
        </w:rPr>
        <w:t xml:space="preserve">Each Registrant hereby amends this Registration Statement on such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spacing w:before="12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75" w:type="dxa"/>
          <w:left w:w="75" w:type="dxa"/>
          <w:bottom w:w="75" w:type="dxa"/>
          <w:right w:w="75" w:type="dxa"/>
        </w:tblCellMar>
      </w:tblPr>
      <w:tblGrid>
        <w:gridCol w:w="10205"/>
      </w:tblGrid>
      <w:tr>
        <w:trPr/>
        <w:tc>
          <w:tcPr>
            <w:tcW w:w="1020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rFonts w:ascii="Arial;Helvetica" w:hAnsi="Arial;Helvetica"/>
                <w:color w:val="E8112D"/>
                <w:sz w:val="13"/>
              </w:rPr>
            </w:pPr>
            <w:r>
              <w:rPr>
                <w:rFonts w:ascii="Arial;Helvetica" w:hAnsi="Arial;Helvetica"/>
                <w:color w:val="E8112D"/>
                <w:sz w:val="13"/>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tc>
      </w:tr>
    </w:tbl>
    <w:p>
      <w:pPr>
        <w:pStyle w:val="TextBody"/>
        <w:spacing w:before="20" w:after="283"/>
        <w:rPr/>
      </w:pPr>
      <w:r>
        <w:rPr/>
        <w:t> </w:t>
      </w:r>
    </w:p>
    <w:p>
      <w:pPr>
        <w:pStyle w:val="TextBody"/>
        <w:spacing w:before="0" w:after="0"/>
        <w:jc w:val="center"/>
        <w:rPr>
          <w:rFonts w:ascii="Times New Roman;Times" w:hAnsi="Times New Roman;Times"/>
          <w:color w:val="E8112D"/>
          <w:sz w:val="17"/>
          <w:highlight w:val="white"/>
        </w:rPr>
      </w:pPr>
      <w:r>
        <w:rPr>
          <w:rFonts w:ascii="Times New Roman;Times" w:hAnsi="Times New Roman;Times"/>
          <w:color w:val="E8112D"/>
          <w:sz w:val="17"/>
          <w:highlight w:val="white"/>
        </w:rPr>
        <w:t xml:space="preserve">Subject To Completion, Dated October 12, 2006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Prospectus</w:t>
      </w:r>
      <w:r>
        <w:rPr>
          <w:rFonts w:ascii="Times New Roman;Times" w:hAnsi="Times New Roman;Times"/>
          <w:color w:val="000000"/>
          <w:sz w:val="17"/>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20"/>
          <w:highlight w:val="white"/>
        </w:rPr>
        <w:t>Plains All American Pipeline, L.P.</w:t>
        <w:br/>
        <w:t>PAA Finance Corp.</w:t>
        <w:br/>
        <w:br/>
        <w:t>Offer to Exchange up to</w:t>
        <w:br/>
        <w:t>$250,000,000 of 6.70% Senior Notes due 2036</w:t>
        <w:br/>
        <w:br/>
        <w:t>for</w:t>
        <w:br/>
        <w:br/>
        <w:t>$250,000,000 of 6.70% Senior Notes due 2036</w:t>
        <w:br/>
        <w:t>that have been Registered under the Securities Act of 1933</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center"/>
        <w:rPr>
          <w:color w:val="000000"/>
          <w:highlight w:val="white"/>
        </w:rPr>
      </w:pPr>
      <w:r>
        <w:rPr>
          <w:color w:val="000000"/>
          <w:highlight w:val="white"/>
        </w:rPr>
        <w:t>                                </w:t>
      </w:r>
      <w:r>
        <w:rPr>
          <w:rFonts w:ascii="Times New Roman;Times" w:hAnsi="Times New Roman;Times"/>
          <w:b/>
          <w:color w:val="000000"/>
          <w:sz w:val="17"/>
          <w:highlight w:val="white"/>
        </w:rPr>
        <w:t>Terms of the Exchange Offer                                </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5"/>
        <w:gridCol w:w="9538"/>
      </w:tblGrid>
      <w:tr>
        <w:trPr/>
        <w:tc>
          <w:tcPr>
            <w:tcW w:w="40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We are offering to exchange up to $250,000,000 of our outstanding 6.70% Senior Notes due 2036 for new notes with substantially identical terms that have been registered under the Securities Act and are freely tradable.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We will exchange for an equal principal amount of new notes all outstanding notes that you validly tender and do not validly withdraw before the exchange offer expires.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expires at 5:00 p.m., New York City time, on          , 2006 unless extended. We do not currently intend to extend the exchange offer.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Tenders of outstanding notes may be withdrawn at any time prior to the expiration of the exchange offer.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 outstanding notes for new notes will not be a taxable event for U.S. federal income tax purposes. </w:t>
            </w:r>
          </w:p>
        </w:tc>
      </w:tr>
    </w:tbl>
    <w:p>
      <w:pPr>
        <w:pStyle w:val="TextBody"/>
        <w:spacing w:before="360" w:after="283"/>
        <w:rPr/>
      </w:pPr>
      <w:r>
        <w:rPr/>
        <w:t>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6.70% Senior Notes Offered in the Exchange Offer</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Maturity</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6"/>
        <w:gridCol w:w="267"/>
        <w:gridCol w:w="9522"/>
      </w:tblGrid>
      <w:tr>
        <w:trPr/>
        <w:tc>
          <w:tcPr>
            <w:tcW w:w="41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22" w:type="dxa"/>
            <w:tcBorders/>
            <w:shd w:fill="auto" w:val="clear"/>
            <w:vAlign w:val="center"/>
          </w:tcPr>
          <w:p>
            <w:pPr>
              <w:pStyle w:val="TableContents"/>
              <w:spacing w:before="0" w:after="283"/>
              <w:rPr>
                <w:sz w:val="4"/>
                <w:szCs w:val="4"/>
              </w:rPr>
            </w:pPr>
            <w:r>
              <w:rPr>
                <w:sz w:val="4"/>
                <w:szCs w:val="4"/>
              </w:rPr>
            </w:r>
          </w:p>
        </w:tc>
      </w:tr>
      <w:tr>
        <w:trPr/>
        <w:tc>
          <w:tcPr>
            <w:tcW w:w="41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22" w:type="dxa"/>
            <w:tcBorders/>
            <w:shd w:fill="FFFFFF" w:val="clear"/>
          </w:tcPr>
          <w:p>
            <w:pPr>
              <w:pStyle w:val="TableContents"/>
              <w:spacing w:before="0" w:after="283"/>
              <w:jc w:val="left"/>
              <w:rPr/>
            </w:pPr>
            <w:r>
              <w:rPr/>
              <w:t xml:space="preserve">The notes will mature on May 15, 2036. </w:t>
            </w:r>
          </w:p>
        </w:tc>
      </w:tr>
    </w:tbl>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Interest</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67"/>
        <w:gridCol w:w="9537"/>
      </w:tblGrid>
      <w:tr>
        <w:trPr/>
        <w:tc>
          <w:tcPr>
            <w:tcW w:w="40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Interest on the notes is payable on May 15 and November 15 of each year, beginning November 15, 2006.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Interest will accrue from May 12, 2006. </w:t>
            </w:r>
          </w:p>
        </w:tc>
      </w:tr>
    </w:tbl>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Redemption</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notes, in whole or in part, at any time at a price equal to the greater of (1) 100% of the principal amount of the notes to be redeemed or (2) a make-whole amount described in this prospectus plus 25 basis points together with accrued interest, if any, to the redemption date. </w:t>
            </w:r>
          </w:p>
        </w:tc>
      </w:tr>
    </w:tbl>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Ranking</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notes are unsecured. The notes rank equally in right of payment with all of our other existing and future senior unsecured debt and senior in right of payment to all of our future subordinated debt. </w:t>
            </w:r>
          </w:p>
        </w:tc>
      </w:tr>
    </w:tbl>
    <w:p>
      <w:pPr>
        <w:pStyle w:val="TextBody"/>
        <w:spacing w:before="120" w:after="283"/>
        <w:rPr/>
      </w:pPr>
      <w:r>
        <w:rPr/>
        <w:t>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Please read Risk Factors on page 4 for a discussion of factors you should consider before participating in the exchange offer.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The date of this prospectus is October   , 2006.</w:t>
      </w:r>
      <w:r>
        <w:rPr>
          <w:rFonts w:ascii="Times New Roman;Times" w:hAnsi="Times New Roman;Times"/>
          <w:color w:val="000000"/>
          <w:sz w:val="17"/>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bookmarkStart w:id="2" w:name="tocpage"/>
      <w:bookmarkEnd w:id="2"/>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 </w:t>
      </w:r>
    </w:p>
    <w:p>
      <w:pPr>
        <w:pStyle w:val="TextBody"/>
        <w:spacing w:before="120" w:after="283"/>
        <w:rPr/>
      </w:pPr>
      <w:r>
        <w:rPr/>
        <w:t>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633"/>
        <w:gridCol w:w="204"/>
        <w:gridCol w:w="342"/>
        <w:gridCol w:w="26"/>
      </w:tblGrid>
      <w:tr>
        <w:trPr/>
        <w:tc>
          <w:tcPr>
            <w:tcW w:w="963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342" w:type="dxa"/>
            <w:tcBorders/>
            <w:shd w:fill="FFFFFF" w:val="clear"/>
            <w:vAlign w:val="bottom"/>
          </w:tcPr>
          <w:p>
            <w:pPr>
              <w:pStyle w:val="TableContents"/>
              <w:spacing w:before="0" w:after="283"/>
              <w:rPr/>
            </w:pPr>
            <w:r>
              <w:rPr/>
              <w:t>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1">
              <w:r>
                <w:rPr>
                  <w:rStyle w:val="InternetLink"/>
                  <w:sz w:val="17"/>
                </w:rPr>
                <w:t>Prospectus Summary</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3">
              <w:r>
                <w:rPr>
                  <w:rStyle w:val="InternetLink"/>
                  <w:sz w:val="17"/>
                </w:rPr>
                <w:t>Exchange Offer</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7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4">
              <w:r>
                <w:rPr>
                  <w:rStyle w:val="InternetLink"/>
                  <w:sz w:val="17"/>
                </w:rPr>
                <w:t>Ratio of Earnings to Fixed Charges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5">
              <w:r>
                <w:rPr>
                  <w:rStyle w:val="InternetLink"/>
                  <w:sz w:val="17"/>
                </w:rPr>
                <w:t>Use of Proceeds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6">
              <w:r>
                <w:rPr>
                  <w:rStyle w:val="InternetLink"/>
                  <w:sz w:val="17"/>
                </w:rPr>
                <w:t>Description of the Notes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7">
              <w:r>
                <w:rPr>
                  <w:rStyle w:val="InternetLink"/>
                  <w:sz w:val="17"/>
                </w:rPr>
                <w:t>Material U.S. Federal Income Tax Consequences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26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8">
              <w:r>
                <w:rPr>
                  <w:rStyle w:val="InternetLink"/>
                  <w:sz w:val="17"/>
                </w:rPr>
                <w:t>Plan of Distribution</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26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9">
              <w:r>
                <w:rPr>
                  <w:rStyle w:val="InternetLink"/>
                  <w:sz w:val="17"/>
                </w:rPr>
                <w:t>Legal Matters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28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0">
              <w:r>
                <w:rPr>
                  <w:rStyle w:val="InternetLink"/>
                  <w:sz w:val="17"/>
                </w:rPr>
                <w:t>Experts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28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1">
              <w:r>
                <w:rPr>
                  <w:rStyle w:val="InternetLink"/>
                  <w:sz w:val="17"/>
                </w:rPr>
                <w:t>Where You Can Find More Information</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28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2">
              <w:r>
                <w:rPr>
                  <w:rStyle w:val="InternetLink"/>
                  <w:sz w:val="17"/>
                </w:rPr>
                <w:t>Forward-Looking Statements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29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3">
              <w:r>
                <w:rPr>
                  <w:rStyle w:val="InternetLink"/>
                  <w:sz w:val="17"/>
                </w:rPr>
                <w:t>Letter of Transmittal</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A-1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400" w:right="0" w:hanging="200"/>
              <w:jc w:val="left"/>
              <w:rPr/>
            </w:pPr>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pPr>
            <w:r>
              <w:rPr/>
              <w:t xml:space="preserve">  </w:t>
            </w:r>
          </w:p>
        </w:tc>
        <w:tc>
          <w:tcPr>
            <w:tcW w:w="26" w:type="dxa"/>
            <w:tcBorders/>
            <w:shd w:fill="FFFFFF" w:val="clear"/>
          </w:tcPr>
          <w:p>
            <w:pPr>
              <w:pStyle w:val="TableContents"/>
              <w:spacing w:before="0" w:after="283"/>
              <w:rPr>
                <w:sz w:val="4"/>
                <w:szCs w:val="4"/>
              </w:rPr>
            </w:pPr>
            <w:r>
              <w:rPr>
                <w:sz w:val="4"/>
                <w:szCs w:val="4"/>
              </w:rPr>
            </w:r>
          </w:p>
        </w:tc>
      </w:tr>
      <w:tr>
        <w:trPr/>
        <w:tc>
          <w:tcPr>
            <w:tcW w:w="10205" w:type="dxa"/>
            <w:gridSpan w:val="4"/>
            <w:tcBorders/>
            <w:shd w:fill="FFFFFF" w:val="clear"/>
            <w:vAlign w:val="center"/>
          </w:tcPr>
          <w:p>
            <w:pPr>
              <w:pStyle w:val="TableContents"/>
              <w:spacing w:before="0" w:after="283"/>
              <w:rPr/>
            </w:pPr>
            <w:r>
              <w:rPr/>
              <w:t> </w:t>
            </w:r>
            <w:hyperlink w:anchor="h39156a1exv5w1.htm">
              <w:r>
                <w:rPr>
                  <w:rStyle w:val="InternetLink"/>
                  <w:sz w:val="20"/>
                </w:rPr>
                <w:t>Opinion of Vinson &amp; Elkins L.L.P.</w:t>
              </w:r>
            </w:hyperlink>
          </w:p>
        </w:tc>
      </w:tr>
      <w:tr>
        <w:trPr/>
        <w:tc>
          <w:tcPr>
            <w:tcW w:w="10205" w:type="dxa"/>
            <w:gridSpan w:val="4"/>
            <w:tcBorders/>
            <w:shd w:fill="FFFFFF" w:val="clear"/>
            <w:vAlign w:val="center"/>
          </w:tcPr>
          <w:p>
            <w:pPr>
              <w:pStyle w:val="TableContents"/>
              <w:spacing w:before="0" w:after="283"/>
              <w:rPr/>
            </w:pPr>
            <w:r>
              <w:rPr/>
              <w:t> </w:t>
            </w:r>
            <w:hyperlink w:anchor="h39156a1exv23w1.htm">
              <w:r>
                <w:rPr>
                  <w:rStyle w:val="InternetLink"/>
                  <w:sz w:val="20"/>
                </w:rPr>
                <w:t>Consent of PricewaterhouseCoopers LLP</w:t>
              </w:r>
            </w:hyperlink>
          </w:p>
        </w:tc>
      </w:tr>
    </w:tbl>
    <w:p>
      <w:pPr>
        <w:pStyle w:val="TextBody"/>
        <w:spacing w:before="120" w:after="283"/>
        <w:rPr/>
      </w:pPr>
      <w:r>
        <w:rPr/>
        <w:t> </w:t>
      </w:r>
    </w:p>
    <w:p>
      <w:pPr>
        <w:pStyle w:val="TextBody"/>
        <w:spacing w:before="12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bookmarkStart w:id="3" w:name="101"/>
      <w:bookmarkEnd w:id="3"/>
      <w:r>
        <w:rPr>
          <w:rFonts w:ascii="Times New Roman;Times" w:hAnsi="Times New Roman;Times"/>
          <w:b/>
          <w:color w:val="000000"/>
          <w:sz w:val="17"/>
          <w:highlight w:val="white"/>
          <w:bdr w:val="single" w:sz="2" w:space="12" w:color="000000"/>
        </w:rPr>
        <w:t>PROSPECTUS SUMMARY</w:t>
      </w:r>
      <w:r>
        <w:rPr>
          <w:rFonts w:ascii="Arial;Helvetica" w:hAnsi="Arial;Helvetica"/>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 </w:t>
      </w:r>
    </w:p>
    <w:p>
      <w:pPr>
        <w:pStyle w:val="TextBody"/>
        <w:spacing w:before="16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Plains All American Pipeline, L.P.</w:t>
      </w:r>
      <w:r>
        <w:rPr>
          <w:rFonts w:ascii="Arial;Helvetica" w:hAnsi="Arial;Helvetica"/>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We are a Delaware limited partnership formed in September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In addition, through our 50% equity ownership in PAA/Vulcan Gas Storage, LLC, we are engaged in the development and operation of natural gas storage facilities. On June 12, 2006, we announced that we had entered into a definitive agreement to acquire Pacific Energy Partners, L.P. On July 20, 2006, we announced an acquisition that represents our initial entry into the refined products transportation business.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Our executive offices are located at 333 Clay Street, Suite 1600, Houston, Texas 77002 and our telephone number is (713) 646-4100. </w:t>
      </w:r>
    </w:p>
    <w:p>
      <w:pPr>
        <w:pStyle w:val="TextBody"/>
        <w:spacing w:before="240" w:after="283"/>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The Exchange Offer</w:t>
      </w:r>
      <w:r>
        <w:rPr>
          <w:rFonts w:ascii="Arial;Helvetica" w:hAnsi="Arial;Helvetica"/>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On May 12, 2006, we completed a private offering of the outstanding notes. We entered into a registration rights agreement with the initial purchaser in the private offering in which we agreed to deliver to you this prospectus and to use our reasonable best efforts to consummate the exchange offer within 240 days after the date we issued the outstanding notes.</w:t>
      </w:r>
      <w:r>
        <w:rPr>
          <w:rFonts w:ascii="Times New Roman;Times" w:hAnsi="Times New Roman;Times"/>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4"/>
        <w:gridCol w:w="100"/>
        <w:gridCol w:w="6431"/>
      </w:tblGrid>
      <w:tr>
        <w:trPr/>
        <w:tc>
          <w:tcPr>
            <w:tcW w:w="3674"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Exchange Offer</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are offering to exchange new notes for outstanding notes.</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Expiration Date</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exchange offer will expire at 5:00 p.m. New York City time, on          , 2006, unless we decide to extend it.</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Condition to the Exchange Offer</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registration rights agreement does not require us to accept outstanding notes for exchange if the exchange offer or the making of any exchange by a holder of the outstanding notes would violate any applicable law or interpretation of the staff of the SEC. A minimum aggregate principal amount of outstanding notes being tendered is not a condition to the exchange offer.</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0"/>
              <w:rPr/>
            </w:pPr>
            <w:r>
              <w:rPr/>
              <w:t>Procedures for Tendering Outstanding Notes</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To participate in the exchange offer, you must follow the procedures established by The Depository Trust Company, which we call DTC, for tendering notes held in book-entry form. These procedures, which we call ATOP, require that (1) the exchange agent receive, prior to the expiration date of the exchange offer, a computer generated message known as an agents message that is transmitted through DTCs automated tender offer program, and (2) DTC confirms that:</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DTC has received your instructions to exchange your notes, and</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you agree to be bound by the terms of the letter of transmittal.</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For more information on tendering your outstanding notes, please refer to the sections in this prospectus entitled Exchange Offer  Terms of the Exchange Offer and  Procedures for Tendering.</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Guaranteed Delivery Procedures</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None.</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Withdrawal of Tenders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You may withdraw your tender of outstanding notes at any time prior to the expiration date. To withdraw, you must submit a notice of withdrawal to the exchange agent using ATOP procedures before 5:00 p.m. New York City time on the expiration date of the exchange offer. Please read Exchange Offer  Withdrawal of Tenders.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0"/>
              <w:rPr/>
            </w:pPr>
            <w:r>
              <w:rPr/>
              <w:t>Acceptance of Outstanding Notes and Delivery of New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If you fulfill all conditions required for proper acceptance of outstanding notes, we will accept any and all outstanding notes that you properly tender in the exchange offer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 section in this prospectus entitled Exchange Offer  Terms of the Exchange Offer.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Fees and Expenses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bear all expenses related to the exchange offer. Please refer to the section in this prospectus entitled Exchange Offer  Fees and Expenses.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Use of Proceeds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issuance of the new notes will not provide us with any new proceeds. We are making this exchange offer solely to satisfy our obligations under our registration rights agreement.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0"/>
              <w:rPr/>
            </w:pPr>
            <w:r>
              <w:rPr/>
              <w:t>Consequences of Failure to Exchange Outstanding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If you do not exchange your outstanding notes in this exchange offer, you will no longer be able to require us to register the outstanding notes under the Securities Act except in the limited circumstances provided under our registration rights agreement. In addition, you will not be able to resell, offer to resell or otherwise transfer the outstanding notes unless we have registered the outstanding notes under the Securities Act, or unless you resell, offer to resell or otherwise transfer them under an exemption from the registration requirements of, or in a transaction not subject to, the Securities Act.</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4"/>
        <w:gridCol w:w="102"/>
        <w:gridCol w:w="6429"/>
      </w:tblGrid>
      <w:tr>
        <w:trPr/>
        <w:tc>
          <w:tcPr>
            <w:tcW w:w="367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29" w:type="dxa"/>
            <w:tcBorders/>
            <w:shd w:fill="FFFFFF" w:val="clear"/>
            <w:vAlign w:val="cente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0"/>
              <w:rPr/>
            </w:pPr>
            <w:r>
              <w:rPr/>
              <w:t>U.S. Federal Income Tax Considerations</w:t>
            </w:r>
          </w:p>
        </w:tc>
        <w:tc>
          <w:tcPr>
            <w:tcW w:w="102" w:type="dxa"/>
            <w:tcBorders/>
            <w:shd w:fill="FFFFFF" w:val="clear"/>
            <w:vAlign w:val="center"/>
          </w:tcPr>
          <w:p>
            <w:pPr>
              <w:pStyle w:val="TableContents"/>
              <w:spacing w:before="0" w:after="283"/>
              <w:rPr>
                <w:sz w:val="4"/>
                <w:szCs w:val="4"/>
              </w:rPr>
            </w:pPr>
            <w:r>
              <w:rPr>
                <w:sz w:val="4"/>
                <w:szCs w:val="4"/>
              </w:rPr>
            </w:r>
          </w:p>
        </w:tc>
        <w:tc>
          <w:tcPr>
            <w:tcW w:w="6429" w:type="dxa"/>
            <w:tcBorders/>
            <w:shd w:fill="FFFFFF" w:val="clear"/>
            <w:vAlign w:val="bottom"/>
          </w:tcPr>
          <w:p>
            <w:pPr>
              <w:pStyle w:val="TableContents"/>
              <w:spacing w:before="0" w:after="283"/>
              <w:rPr/>
            </w:pPr>
            <w:r>
              <w:rPr/>
              <w:t>The exchange of new notes for outstanding notes in the exchange offer will not be a taxable event for U.S. federal income tax purposes. Please read Material U.S. Federal Income Tax Consequences.</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5"/>
        <w:gridCol w:w="99"/>
        <w:gridCol w:w="6431"/>
      </w:tblGrid>
      <w:tr>
        <w:trPr/>
        <w:tc>
          <w:tcPr>
            <w:tcW w:w="3675" w:type="dxa"/>
            <w:tcBorders/>
            <w:shd w:fill="FFFFFF" w:val="clear"/>
            <w:vAlign w:val="center"/>
          </w:tcPr>
          <w:p>
            <w:pPr>
              <w:pStyle w:val="TableContents"/>
              <w:spacing w:before="0" w:after="283"/>
              <w:rPr>
                <w:sz w:val="4"/>
                <w:szCs w:val="4"/>
              </w:rPr>
            </w:pPr>
            <w:r>
              <w:rPr>
                <w:sz w:val="4"/>
                <w:szCs w:val="4"/>
              </w:rPr>
            </w:r>
          </w:p>
        </w:tc>
        <w:tc>
          <w:tcPr>
            <w:tcW w:w="99"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Exchange Agent</w:t>
            </w:r>
          </w:p>
        </w:tc>
        <w:tc>
          <w:tcPr>
            <w:tcW w:w="99"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have appointed U.S. Bank National Association as exchange agent for the exchange offer. You should direct questions and requests for assistance, requests for additional copies of this prospectus or the letter of transmittal and requests for the notice of guaranteed delivery to the exchange agent addressed as follows: Attn: Brandi Steward, U.S. Bank Corporate Trust Services, Specialized Finance Dept., 60 Livingston Avenue, St. Paul, Minnesota, 55107. Eligible institutions may make requests by facsimile at (651) 495-8138.</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ind w:left="0" w:right="0" w:firstLine="240"/>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Terms of the Notes</w:t>
      </w:r>
      <w:r>
        <w:rPr>
          <w:rFonts w:ascii="Arial;Helvetica" w:hAnsi="Arial;Helvetica"/>
          <w:color w:val="000000"/>
          <w:sz w:val="17"/>
          <w:highlight w:val="white"/>
          <w:bdr w:val="single" w:sz="2" w:space="12" w:color="000000"/>
        </w:rPr>
        <w:t xml:space="preserve"> </w:t>
      </w:r>
    </w:p>
    <w:p>
      <w:pPr>
        <w:pStyle w:val="TextBody"/>
        <w:spacing w:before="4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new notes will be identical to the outstanding notes except that the new notes will be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r>
        <w:rPr>
          <w:rFonts w:ascii="Times New Roman;Times" w:hAnsi="Times New Roman;Times"/>
          <w:color w:val="000000"/>
          <w:sz w:val="17"/>
          <w:highlight w:val="white"/>
          <w:bdr w:val="single" w:sz="2" w:space="12" w:color="000000"/>
        </w:rPr>
        <w:t xml:space="preserve"> </w:t>
      </w:r>
    </w:p>
    <w:p>
      <w:pPr>
        <w:pStyle w:val="TextBody"/>
        <w:spacing w:before="4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following summary contains basic information about the notes and is not intended to be complete. It does not contain all the information that is important to you. For a more complete understanding of the notes, please refer to the section of this prospectus entitled Description of the Notes.</w:t>
      </w:r>
      <w:r>
        <w:rPr>
          <w:rFonts w:ascii="Times New Roman;Times" w:hAnsi="Times New Roman;Times"/>
          <w:color w:val="000000"/>
          <w:sz w:val="17"/>
          <w:highlight w:val="white"/>
          <w:bdr w:val="single" w:sz="2" w:space="12" w:color="000000"/>
        </w:rPr>
        <w:t xml:space="preserve"> </w:t>
      </w:r>
    </w:p>
    <w:p>
      <w:pPr>
        <w:pStyle w:val="TextBody"/>
        <w:spacing w:before="4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Issuers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Plains All American Pipeline, L.P. and PAA Finance Corp.</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PAA Finance Corp., a Delaware corporation, is an indirect wholly owned subsidiary of Plains All American Pipeline, L.P. that has been organized for the purpose of co-issuing our existing notes, the notes offered hereby, and the notes issued in any future offerings. PAA Finance Corp. does not have any operations of any kind and will not have any revenue other than as may be incidental to its activities as a co-issuer of the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Notes Offered</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$250 million in aggregate principal amount of 6.70% senior notes due May 15, 2036.</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Maturity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May 15, 2036.</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Interest Payment Dates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pay interest on the notes on May 15 and November 15 of each year, beginning on November 15, 2006.</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Optional Redemption</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may redeem the notes,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 annual basis at the Adjusted Treasury Rate (as defined herein) plus 25 basis points, together with accrued interest to the date of redemption. Please read the section of this prospectus entitled Description of the Notes  Optional Redemption.</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Initially, all payments with respect to the notes (including principal and interest) are fully and unconditionally guaranteed, jointly and severally, by substantially all of our existing subsidiaries. In the future, our subsidiaries that guarantee other indebtedness of ours or another subsidiary must also guarantee the notes. The guarantees are also subject to release in certain circumstances. The guarantees are general unsecured obligations of the subsidiary guarantors and rank equally with the existing and future senior unsecured indebtedness of the subsidiary guarantors.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Ranking</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notes are general senior unsecured obligations of the issuers and rank equally with the existing and future senior unsecured indebtedness of the issuers.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Certain Covenants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indenture governing the notes contains covenants that limit our ability, with certain exceptions, to:</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incur liens on principal properties to secure debt;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engage in sale-leaseback transactions;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merge or consolidate with another entity or sell, lease or transfer substantially all of our properties or assets to another entity.</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Transfer Restrictions; Absence of a Public Market for the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new notes generally will be freely transferable, but will also be new securities for which there will not initially be a market. There can be no assurance as to the development or liquidity of any market for the new notes.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 addition to the other information set forth elsewhere or incorporated by reference in this prospectus (including the risk factors included in our 2005 Annual Report on Form 10-K and our Quarterly Report on Form 10-Q for the quarter ended June 30, 2006), the following factors relating to our partnership and the exchange offer and the notes should be considered carefully in deciding whether to participate in the exchange offer.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Exchange Offer and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do not properly tender your outstanding notes, you will continue to hold unregistered outstanding notes and your ability to transfer outstanding notes will be adversely affected.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your outstanding notes for new notes pursuant to the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exchange offer is consummated, you may have trouble selling them because there will be fewer notes outstanding.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the guarantees are subject to release under certain circumstances,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leverage may limit our ability to borrow additional funds, comply with the terms of our indebtedness or capitalize on business opportunities.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is significant in relation to our partners capital. As of June 30, 2006, our total outstanding long-term debt, including a portion of our revolving credit facility classified as short-term, was approximately $1.6 billion. We will be prohibited from making cash distributions on our common units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 court may use fraudulent conveyance considerations to avoid or subordinate the subsidiary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Various applicable fraudulent conveyance laws have been enacted for the protection of creditors. A court may use fraudulent conveyance laws to subordinate or avoid the subsidiary guarantees of the notes issued by any of our subsidiary guarantors. It is also possible that under certain circumstances a court could hold that the direct obligations of a subsidiary guaranteeing the notes could be superior to the obligations under that guarantee.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court could avoid or subordinate the guarantee of the notes by any of our subsidiaries in favor of that subsidiarys other debts or liabilities to the extent that the court determined either of the following were true at the time the subsidiary issued the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that subsidiary incurred the guarantee with the intent to hinder, delay or defraud any of its present or future creditors or that subsidiary contemplated insolvency with a design to favor one or more creditors to the total or partial exclusion of others;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that subsidiary did not receive fair consideration or reasonable equivalent value for issuing the guarantee and, at the time it issued the guarantee, that subsidiary: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87"/>
        <w:gridCol w:w="262"/>
        <w:gridCol w:w="9356"/>
      </w:tblGrid>
      <w:tr>
        <w:trPr/>
        <w:tc>
          <w:tcPr>
            <w:tcW w:w="58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356" w:type="dxa"/>
            <w:tcBorders/>
            <w:shd w:fill="auto" w:val="clear"/>
            <w:vAlign w:val="center"/>
          </w:tcPr>
          <w:p>
            <w:pPr>
              <w:pStyle w:val="TableContents"/>
              <w:spacing w:before="0" w:after="283"/>
              <w:rPr>
                <w:sz w:val="4"/>
                <w:szCs w:val="4"/>
              </w:rPr>
            </w:pPr>
            <w:r>
              <w:rPr>
                <w:sz w:val="4"/>
                <w:szCs w:val="4"/>
              </w:rPr>
            </w:r>
          </w:p>
        </w:tc>
      </w:tr>
      <w:tr>
        <w:trPr/>
        <w:tc>
          <w:tcPr>
            <w:tcW w:w="58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56" w:type="dxa"/>
            <w:tcBorders/>
            <w:shd w:fill="FFFFFF" w:val="clear"/>
          </w:tcPr>
          <w:p>
            <w:pPr>
              <w:pStyle w:val="TableContents"/>
              <w:spacing w:before="0" w:after="283"/>
              <w:jc w:val="left"/>
              <w:rPr/>
            </w:pPr>
            <w:r>
              <w:rPr/>
              <w:t xml:space="preserve">was insolvent or rendered insolvent by reason of the issuance of the guarantee; </w:t>
            </w:r>
          </w:p>
        </w:tc>
      </w:tr>
      <w:tr>
        <w:trPr/>
        <w:tc>
          <w:tcPr>
            <w:tcW w:w="587" w:type="dxa"/>
            <w:tcBorders/>
            <w:shd w:fill="auto" w:val="clear"/>
            <w:vAlign w:val="center"/>
          </w:tcPr>
          <w:p>
            <w:pPr>
              <w:pStyle w:val="TableContents"/>
              <w:spacing w:before="0" w:after="283"/>
              <w:rPr/>
            </w:pPr>
            <w:r>
              <w:rPr/>
              <w:t> </w:t>
            </w:r>
          </w:p>
        </w:tc>
        <w:tc>
          <w:tcPr>
            <w:tcW w:w="9618" w:type="dxa"/>
            <w:gridSpan w:val="2"/>
            <w:tcBorders/>
            <w:shd w:fill="auto" w:val="clear"/>
          </w:tcPr>
          <w:p>
            <w:pPr>
              <w:pStyle w:val="TableContents"/>
              <w:spacing w:before="0" w:after="283"/>
              <w:rPr>
                <w:sz w:val="4"/>
                <w:szCs w:val="4"/>
              </w:rPr>
            </w:pPr>
            <w:r>
              <w:rPr>
                <w:sz w:val="4"/>
                <w:szCs w:val="4"/>
              </w:rPr>
            </w:r>
          </w:p>
        </w:tc>
      </w:tr>
      <w:tr>
        <w:trPr/>
        <w:tc>
          <w:tcPr>
            <w:tcW w:w="58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56" w:type="dxa"/>
            <w:tcBorders/>
            <w:shd w:fill="FFFFFF" w:val="clear"/>
          </w:tcPr>
          <w:p>
            <w:pPr>
              <w:pStyle w:val="TableContents"/>
              <w:spacing w:before="0" w:after="283"/>
              <w:jc w:val="left"/>
              <w:rPr/>
            </w:pPr>
            <w:r>
              <w:rPr/>
              <w:t xml:space="preserve">was engaged or about to engage in a business or transaction for which the remaining assets of that subsidiary constituted unreasonably small capital; or </w:t>
            </w:r>
          </w:p>
        </w:tc>
      </w:tr>
      <w:tr>
        <w:trPr/>
        <w:tc>
          <w:tcPr>
            <w:tcW w:w="587" w:type="dxa"/>
            <w:tcBorders/>
            <w:shd w:fill="auto" w:val="clear"/>
            <w:vAlign w:val="center"/>
          </w:tcPr>
          <w:p>
            <w:pPr>
              <w:pStyle w:val="TableContents"/>
              <w:spacing w:before="0" w:after="283"/>
              <w:rPr/>
            </w:pPr>
            <w:r>
              <w:rPr/>
              <w:t> </w:t>
            </w:r>
          </w:p>
        </w:tc>
        <w:tc>
          <w:tcPr>
            <w:tcW w:w="9618" w:type="dxa"/>
            <w:gridSpan w:val="2"/>
            <w:tcBorders/>
            <w:shd w:fill="auto" w:val="clear"/>
          </w:tcPr>
          <w:p>
            <w:pPr>
              <w:pStyle w:val="TableContents"/>
              <w:spacing w:before="0" w:after="283"/>
              <w:rPr>
                <w:sz w:val="4"/>
                <w:szCs w:val="4"/>
              </w:rPr>
            </w:pPr>
            <w:r>
              <w:rPr>
                <w:sz w:val="4"/>
                <w:szCs w:val="4"/>
              </w:rPr>
            </w:r>
          </w:p>
        </w:tc>
      </w:tr>
      <w:tr>
        <w:trPr/>
        <w:tc>
          <w:tcPr>
            <w:tcW w:w="58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56" w:type="dxa"/>
            <w:tcBorders/>
            <w:shd w:fill="FFFFFF" w:val="clear"/>
          </w:tcPr>
          <w:p>
            <w:pPr>
              <w:pStyle w:val="TableContents"/>
              <w:spacing w:before="0" w:after="283"/>
              <w:jc w:val="left"/>
              <w:rPr/>
            </w:pPr>
            <w:r>
              <w:rPr/>
              <w:t xml:space="preserve">intended to incur, or believed that it would incur, debts beyond its ability to pay such debts as they matured.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Among other things, a legal challenge of a subsidiarys guarantee of the notes on fraudulent conveyance grounds may focus on the benefits, if any, realized by that subsidiary as a result of our issuance of the notes. To the extent a subsidiarys guarantee of the notes is avoided as a result of fraudulent conveyance or held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unenforceable for any other reason, the note holders would cease to have any claim in respect of that guarantee.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ability to transfer the notes may be limited by the absence of a trading market.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will be new securities for which currently there is no trading market. We do not currently intend to apply for listing of the notes on any securities exchange or stock market. The liquidity of any market for the notes will depend on the number of holders of those notes, the interest of securities dealers in making a market in those notes and other factors. Accordingly, we cannot assure you as to the development or liquidity of any market for the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have a holding company structure in which our subsidiaries conduct our operations and own our operating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our credit facilities. If we are unable to obtain the funds necessary to pay the principal amount at maturity of the notes or to repurchase the debt securities upon the occurrence of a change of control, we may be required to adopt one or more alternatives, such as a refinancing of the notes. We cannot assure you that we would be able to refinance the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do not have the same flexibility as other types of organizations to accumulate cash, which may limit cash available to service the notes or to repay them at maturity.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4"/>
        <w:gridCol w:w="9525"/>
      </w:tblGrid>
      <w:tr>
        <w:trPr/>
        <w:tc>
          <w:tcPr>
            <w:tcW w:w="40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to provide for the proper conduct of our business and the businesses of our operating partnerships (including reserves for future capital expenditures and for our anticipated future credit needs),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to provide funds for distributions to our unitholders and the general partner for any one or more of the next four calendar quarters,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to comply with applicable law or any of our loan or other agreements.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tax treatment depends on our status as a partnership for federal income tax purposes, as well as our not being subject to a material amount of entity level taxation by individual states. If the IRS were to treat us as a corporation or if we become subject to a material amount of entity level taxation for state tax purposes, it would substantially reduce our ability to pay our debt service obligations.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treated as a corporation for federal income tax purposes, we would pay federal income tax on our income at the corporate tax rate, which is currently a maximum of 35%, and would likely pay state income tax at varying rates. Because a tax would be imposed upon us as a corporation, the cash available to pay our debt service obligations would be substantially reduced.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Current law may change so as to cause us to be treated as a corporation for federal income tax purposes or otherwise subject us to entity level taxation. In addition, because of widespread state budget deficits and other reasons, several states are evaluating ways to subject partnerships to entity level taxation through the imposition of state income, franchise or other forms of taxation. For example, we will be subject to a new entity level tax on the portion of our income that is generated in Texas beginning in our tax year ending in 2007. Specifically, the Texas margin tax will be imposed at a maximum effective rate of 0.7% of our gross income apportioned to Texas. Imposition of such a tax upon us as an entity by Texas or any other state will reduce the cash available to pay our debt service obligations. </w:t>
      </w:r>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EXCHANGE OFFER</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 and Effect of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issuance of the outstanding notes, we entered into a registration rights agreement. Under the registration rights agreement, we agreed to use our reasonable best efforts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within 120 days after the original issuance of the outstanding notes on May 12, 2006, file a registration statement with the SEC with respect to a registered offer to exchange each outstanding note for a new note having terms substantially identical in all material respects to such note except that the new note will not contain terms with respect to transfer restrictions, registration rights or additional interest;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cause the registration statement to be declared effective under the Securities Act within 210 days after the original issuance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consummate the exchange of the outstanding notes for new notes within 240 days after the original issuance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promptly following the effectiveness of the registration statement, offer the new notes in exchange for surrender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keep the exchange offer open for not less than 20 business days (or longer if required by applicable law) after the date notice of the exchange offer is mailed to the holders of the outstanding notes;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exchange new notes for all outstanding notes validly tendered and not withdrawn before the expiration date.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8"/>
        <w:gridCol w:w="9537"/>
      </w:tblGrid>
      <w:tr>
        <w:trPr/>
        <w:tc>
          <w:tcPr>
            <w:tcW w:w="40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change in law or in applicable interpretations thereof by the staff of the SEC do not permit us to effect the exchange offer;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for any other reason the exchange offer is not consummated within 240 days from May 12, 2006, the date of the original issuance of the outstanding notes;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an initial purchaser notifies us following consummation of the exchange offer that outstanding notes held by it are not eligible to be exchanged for new notes in the exchange offer;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any holder other than an initial purchaser is not eligible to participate in the exchange offer.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certain exceptions, we will pay additional cash interest on the applicable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exchange offer registration statement is not filed with the SEC on or before the 120th day after the original issuance of the outstanding notes;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exchange offer registration statement is not declared effective by the SEC on or before the 210th day after the original issuance of the outstanding notes; </w:t>
            </w:r>
          </w:p>
        </w:tc>
      </w:tr>
    </w:tbl>
    <w:p>
      <w:pPr>
        <w:pStyle w:val="TextBody"/>
        <w:spacing w:before="12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4"/>
        <w:gridCol w:w="9538"/>
      </w:tblGrid>
      <w:tr>
        <w:trPr/>
        <w:tc>
          <w:tcPr>
            <w:tcW w:w="40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is not consummated on or before the 240th day after May 12, 2006, the date of the original issuance of the outstanding notes;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being obligated to file a shelf registration statement, we fail to file the shelf registration statement with the SEC on or prior to the 120th day after the date on which the obligation to file a shelf registration statement arises;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being obligated to file a shelf registration statement, the shelf registration statement is not declared effective on or prior to the 210th day after the date on which the obligation to file a shelf registration statement arises;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Such additional interest will be payable from and including the date on which any such registration default occurs to the date on which all registration defaults have been cured.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rate of the additional interest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exchange your outstanding notes for transferable new notes in the exchange offer, you will be required to make the following representations: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9"/>
        <w:gridCol w:w="270"/>
        <w:gridCol w:w="9536"/>
      </w:tblGrid>
      <w:tr>
        <w:trPr/>
        <w:tc>
          <w:tcPr>
            <w:tcW w:w="39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any new notes will be acquired in the ordinary course of your business;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have no arrangement or understanding with any person or entity to participate in the distribution of the new notes;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within the meaning of the Securities Act;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be subject to the civil liability provisions under the Securities Act in connection with such sales and will be bound by the provisions of the registration rights agreement that are applicable to such a holder, including indemnification obligations.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Resale of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no-action letters of the SEC staff issued to third parties, we believe that new notes may be offered for resale, resold and otherwise transferred by you without further compliance with the registration and prospectus delivery provisions of the Securities Act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you are not our affiliate within the meaning of Rule 405 under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such new notes are acquired in the ordinary course of your business;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you do not intend to participate in a distribution of the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however, has not considered the exchange offer for the new notes in the context of a no-action letter, and the SEC may not make a similar determination as in the no-action letters issued to these third parties.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in the exchange offer with the intention of participating in any manner in a distribution of the new notes, you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cannot rely on such interpretations by the SEC staff;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must comply with the registration and prospectus delivery requirements of the Securities Act in connection with a secondary resale transaction.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Terms of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and conditions described in this prospectus and in the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is not conditioned upon any minimum aggregate principal amount of outstanding notes being tendered for exchange.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prospectus, $250 million in aggregate principal amount of the outstanding notes are outstanding. This prospectus is being sent to DTC, the sole registered holder of the outstanding notes, and to all persons that we can identify as beneficial owners of the outstanding notes. There will be no fixed record date for determining registered holders of outstanding notes entitled to participate in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conduct the exchange offer in accordance with the provisions of the registration rights agreement and the applicable requirements of the Securities Act, the Securities Exchange Act of 1934 and the rules and regulations of the SEC. Outstanding notes that the holders thereof do not tender for exchange in the exchange offer will remain outstanding and continue to accrue interest. These outstanding notes will be entitled to the rights and benefits such holders have under the indenture relating to the notes and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 deemed to have accepted for exchange properly tendered outstanding notes when we have given oral or written notice of the acceptance to the exchange agent and complied with the applicable provisions of the registration rights agreement. The exchange agent will act as agent for the tendering holders for the purposes of receiving the new notes from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 Fees and Expenses for more details regarding fees and expenses incurred in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return any outstanding notes that we do not accept for exchange for any reason without expense to their tendering holder as promptly as practicable after the expiration or termination of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Expiration Date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will expire at 5:00 p.m. New York City time on          , 2006, unless, in our sole discretion, we extend it.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Extensions, Delays in Acceptance, Termination or Amendment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at any time or various times, to extend the period of time during which the exchange offer is open. During any such extensions, all outstanding notes previously tendered will remain subject to the exchange offer, and we may accept them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of the conditions described below under  Conditions to the Exchange Offer have not been satisfied, we reserve the right, in our sole discretion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to delay accepting for exchange any outstanding notes,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to extend the exchange offer,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to terminate the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giving oral or written notice of such delay, extension or termination to the exchange agent. Subject to the terms of the registration rights agreement, we also reserve the right to amend the terms of the exchange offer in any manner.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delay in acceptance, extension, termination or amendment will be followed as promptly as practicable by oral or written notice thereof to the registered holders of outstanding notes. If we amend the 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registered holders, we will extend the exchange offer if the exchange offer would otherwise expire during such period.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Conditions to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to accept for exchange, or exchange any new notes for, any outstanding notes if the exchange offer, or the making of any exchange by a holder of outstanding notes, would violate applicable law or any applicable interpretation of the staff of the SEC. Similarly, we may terminate the exchange offer as provided in this prospectus before accepting outstanding notes for exchange in the event of such a potential violation.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not be obligated to accept for exchange the outstanding notes of any holder that has not made to us the representations described under  Purpose and Effect of the Exchange Offer,  Procedures for Tendering and Plan of Distribution and such other representations as may be reasonably necessary under applicable SEC rules, regulations or interpretations to allow us to use an appropriate form to register the new notes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indenture relating to the notes under the Trust Indenture Act of 1939.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to amend or terminate the exchange offer, and to reject for exchange any outstanding notes not previously accepted for exchange, upon the occurrence of any of the conditions to the exchange offer specified above. We will give oral or written notice of any extension, amendment, non-acceptance or termination to the holders of the outstanding notes as promptly as practicable.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Procedures for Tendering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participate in the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have any questions or need help in exchanging your notes, please call the exchange agent, whose address and phone number are set forth in Prospectus Summary  The Exchange Offer  Exchange Agent.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the outstanding notes were issued in book-entry form, and all of the outstanding notes are currently represented by global certificates held for the account of DTC. We have confirmed with DTC that the outstanding notes may be tendered using the ATOP procedures instituted by DTC. The exchange agent will establish an account with DTC for purposes of the exchange offer promptly after the commencement of the exchange offer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the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exchange outstanding notes, you will not be required to deliver a letter of transmittal to the exchange agent. However, you will be bound by its terms just as if you had signed it.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guaranteed late delivery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Determinations Under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the exchange offer, including the instructions in the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When We Will Issue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all cases, we will issue new notes for outstanding notes that we have accepted for exchange under the exchange offer only after the exchange agent timely receives: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4"/>
        <w:gridCol w:w="9525"/>
      </w:tblGrid>
      <w:tr>
        <w:trPr/>
        <w:tc>
          <w:tcPr>
            <w:tcW w:w="40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 book-entry confirmation of such outstanding notes into the exchange agents account at DTC;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 properly transmitted agents message.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Return of Outstanding Notes Not Accepted or Exchanged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Representations to 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agreeing to be bound by the letter of transmittal, you will represent to us that, among other things: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9"/>
        <w:gridCol w:w="270"/>
        <w:gridCol w:w="9536"/>
      </w:tblGrid>
      <w:tr>
        <w:trPr/>
        <w:tc>
          <w:tcPr>
            <w:tcW w:w="39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any new notes that you receive will be acquired in the ordinary course of your business;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have no arrangement or understanding with any person or entity to participate in the distribution of the outstanding notes or the new notes within the meaning of the Securities Act;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of Tenders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number of the account at DTC to be credited with withdrawn outstanding notes and otherwise comply with the procedures of DTC.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 Procedures for Tendering above at any time prior to 5:00 p.m., New York City time, on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Fees and Expenses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bear the expenses of soliciting tenders. The principal solicitation is being made by mail; however, we may make additional solicitation by telegraph, telephone or in person by our officers and regular employees and those of our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retained any dealer 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 of pocket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the cash expenses to be incurred in connection with the exchange offer. They include: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0"/>
        <w:gridCol w:w="266"/>
        <w:gridCol w:w="9529"/>
      </w:tblGrid>
      <w:tr>
        <w:trPr/>
        <w:tc>
          <w:tcPr>
            <w:tcW w:w="41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SEC registration fees; </w:t>
            </w:r>
          </w:p>
        </w:tc>
      </w:tr>
      <w:tr>
        <w:trPr/>
        <w:tc>
          <w:tcPr>
            <w:tcW w:w="410" w:type="dxa"/>
            <w:tcBorders/>
            <w:shd w:fill="auto" w:val="clear"/>
            <w:vAlign w:val="center"/>
          </w:tcPr>
          <w:p>
            <w:pPr>
              <w:pStyle w:val="TableContents"/>
              <w:spacing w:before="0" w:after="283"/>
              <w:rPr/>
            </w:pPr>
            <w:r>
              <w:rPr/>
              <w:t> </w:t>
            </w:r>
          </w:p>
        </w:tc>
        <w:tc>
          <w:tcPr>
            <w:tcW w:w="9795" w:type="dxa"/>
            <w:gridSpan w:val="2"/>
            <w:tcBorders/>
            <w:shd w:fill="auto" w:val="clea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fees and expenses of the exchange agent and trustee; </w:t>
            </w:r>
          </w:p>
        </w:tc>
      </w:tr>
      <w:tr>
        <w:trPr/>
        <w:tc>
          <w:tcPr>
            <w:tcW w:w="410" w:type="dxa"/>
            <w:tcBorders/>
            <w:shd w:fill="auto" w:val="clear"/>
            <w:vAlign w:val="center"/>
          </w:tcPr>
          <w:p>
            <w:pPr>
              <w:pStyle w:val="TableContents"/>
              <w:spacing w:before="0" w:after="283"/>
              <w:rPr/>
            </w:pPr>
            <w:r>
              <w:rPr/>
              <w:t> </w:t>
            </w:r>
          </w:p>
        </w:tc>
        <w:tc>
          <w:tcPr>
            <w:tcW w:w="9795" w:type="dxa"/>
            <w:gridSpan w:val="2"/>
            <w:tcBorders/>
            <w:shd w:fill="auto" w:val="clea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accounting and legal fees and printing costs; and </w:t>
            </w:r>
          </w:p>
        </w:tc>
      </w:tr>
      <w:tr>
        <w:trPr/>
        <w:tc>
          <w:tcPr>
            <w:tcW w:w="410" w:type="dxa"/>
            <w:tcBorders/>
            <w:shd w:fill="auto" w:val="clear"/>
            <w:vAlign w:val="center"/>
          </w:tcPr>
          <w:p>
            <w:pPr>
              <w:pStyle w:val="TableContents"/>
              <w:spacing w:before="0" w:after="283"/>
              <w:rPr/>
            </w:pPr>
            <w:r>
              <w:rPr/>
              <w:t> </w:t>
            </w:r>
          </w:p>
        </w:tc>
        <w:tc>
          <w:tcPr>
            <w:tcW w:w="9795" w:type="dxa"/>
            <w:gridSpan w:val="2"/>
            <w:tcBorders/>
            <w:shd w:fill="auto" w:val="clea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related fees and expenses.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Transfer Taxes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Consequences of Failure to Exchange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new notes for your outstanding notes under the exchange offer, you will remain subject to the existing restrictions on transfer of the outstanding notes. In general, you may not offer or sell the outstanding notes unless the offer or sale is either registered under the Securities Act or exempt from registration under the Securities Act and applicable state securities laws. Except as required by the registration rights agreement, we do not intend to register resales of the outstanding notes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Accounting Treatment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record the new notes in our accounting records at the same carrying value as the outstanding notes. This carrying value is the aggregate principal amount of the outstanding notes less any bond discount, as reflected in our accounting records on the date of exchange. Accordingly, we will not recognize any gain or loss for accounting purposes in connection with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Other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Participation in the exchange offer is voluntary, and you should carefully consider whether to accept. You are urged to consult your financial and tax advisors in making your own decision on what action to take.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 </w:t>
      </w:r>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585"/>
        <w:gridCol w:w="137"/>
        <w:gridCol w:w="315"/>
        <w:gridCol w:w="850"/>
        <w:gridCol w:w="317"/>
        <w:gridCol w:w="177"/>
        <w:gridCol w:w="194"/>
        <w:gridCol w:w="633"/>
        <w:gridCol w:w="194"/>
        <w:gridCol w:w="176"/>
        <w:gridCol w:w="194"/>
        <w:gridCol w:w="633"/>
        <w:gridCol w:w="194"/>
        <w:gridCol w:w="177"/>
        <w:gridCol w:w="194"/>
        <w:gridCol w:w="633"/>
        <w:gridCol w:w="194"/>
        <w:gridCol w:w="177"/>
        <w:gridCol w:w="194"/>
        <w:gridCol w:w="633"/>
        <w:gridCol w:w="193"/>
        <w:gridCol w:w="177"/>
        <w:gridCol w:w="194"/>
        <w:gridCol w:w="633"/>
        <w:gridCol w:w="207"/>
      </w:tblGrid>
      <w:tr>
        <w:trPr/>
        <w:tc>
          <w:tcPr>
            <w:tcW w:w="2585"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315" w:type="dxa"/>
            <w:tcBorders/>
            <w:shd w:fill="FFFFFF" w:val="clear"/>
            <w:vAlign w:val="bottom"/>
          </w:tcPr>
          <w:p>
            <w:pPr>
              <w:pStyle w:val="TableContents"/>
              <w:spacing w:before="0" w:after="283"/>
              <w:jc w:val="right"/>
              <w:rPr/>
            </w:pPr>
            <w:r>
              <w:rPr/>
              <w:t> </w:t>
            </w:r>
          </w:p>
        </w:tc>
        <w:tc>
          <w:tcPr>
            <w:tcW w:w="850" w:type="dxa"/>
            <w:tcBorders/>
            <w:shd w:fill="FFFFFF" w:val="clear"/>
            <w:vAlign w:val="bottom"/>
          </w:tcPr>
          <w:p>
            <w:pPr>
              <w:pStyle w:val="TableContents"/>
              <w:spacing w:before="0" w:after="283"/>
              <w:jc w:val="right"/>
              <w:rPr/>
            </w:pPr>
            <w:r>
              <w:rPr/>
              <w:t> </w:t>
            </w:r>
          </w:p>
        </w:tc>
        <w:tc>
          <w:tcPr>
            <w:tcW w:w="317"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shd w:fill="FFFFFF" w:val="clear"/>
            <w:vAlign w:val="bottom"/>
          </w:tcPr>
          <w:p>
            <w:pPr>
              <w:pStyle w:val="TableContents"/>
              <w:spacing w:before="0" w:after="283"/>
              <w:jc w:val="center"/>
              <w:rPr>
                <w:b/>
              </w:rPr>
            </w:pPr>
            <w:r>
              <w:rPr>
                <w:b/>
              </w:rPr>
              <w:t>Six Months</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0"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34" w:type="dxa"/>
            <w:gridSpan w:val="3"/>
            <w:tcBorders/>
            <w:shd w:fill="FFFFFF" w:val="clear"/>
            <w:vAlign w:val="bottom"/>
          </w:tcPr>
          <w:p>
            <w:pPr>
              <w:pStyle w:val="TableContents"/>
              <w:spacing w:before="0" w:after="283"/>
              <w:jc w:val="center"/>
              <w:rPr/>
            </w:pPr>
            <w:r>
              <w:rPr/>
              <w:t xml:space="preserve">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shd w:fill="FFFFFF" w:val="clear"/>
            <w:vAlign w:val="bottom"/>
          </w:tcPr>
          <w:p>
            <w:pPr>
              <w:pStyle w:val="TableContents"/>
              <w:spacing w:before="0" w:after="283"/>
              <w:jc w:val="center"/>
              <w:rPr>
                <w:b/>
              </w:rPr>
            </w:pPr>
            <w:r>
              <w:rPr>
                <w:b/>
              </w:rPr>
              <w:t>Ended</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0"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34" w:type="dxa"/>
            <w:gridSpan w:val="3"/>
            <w:tcBorders/>
            <w:shd w:fill="FFFFFF" w:val="clear"/>
            <w:vAlign w:val="bottom"/>
          </w:tcPr>
          <w:p>
            <w:pPr>
              <w:pStyle w:val="TableContents"/>
              <w:spacing w:before="0" w:after="283"/>
              <w:jc w:val="center"/>
              <w:rPr/>
            </w:pPr>
            <w:r>
              <w:rPr/>
              <w:t xml:space="preserve">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shd w:fill="FFFFFF" w:val="clear"/>
            <w:vAlign w:val="bottom"/>
          </w:tcPr>
          <w:p>
            <w:pPr>
              <w:pStyle w:val="TableContents"/>
              <w:spacing w:before="0" w:after="283"/>
              <w:jc w:val="center"/>
              <w:rPr>
                <w:b/>
              </w:rPr>
            </w:pPr>
            <w:r>
              <w:rPr>
                <w:b/>
              </w:rPr>
              <w:t>June 30,</w:t>
            </w:r>
          </w:p>
        </w:tc>
        <w:tc>
          <w:tcPr>
            <w:tcW w:w="177" w:type="dxa"/>
            <w:tcBorders/>
            <w:shd w:fill="FFFFFF" w:val="clear"/>
            <w:vAlign w:val="bottom"/>
          </w:tcPr>
          <w:p>
            <w:pPr>
              <w:pStyle w:val="TableContents"/>
              <w:spacing w:before="0" w:after="283"/>
              <w:jc w:val="center"/>
              <w:rPr/>
            </w:pPr>
            <w:r>
              <w:rPr/>
              <w:t xml:space="preserve">  </w:t>
            </w:r>
          </w:p>
        </w:tc>
        <w:tc>
          <w:tcPr>
            <w:tcW w:w="5824" w:type="dxa"/>
            <w:gridSpan w:val="19"/>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10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34"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2001</w:t>
            </w:r>
            <w:r>
              <w:rPr/>
              <w:t xml:space="preserve"> </w:t>
            </w:r>
          </w:p>
        </w:tc>
      </w:tr>
      <w:tr>
        <w:trPr/>
        <w:tc>
          <w:tcPr>
            <w:tcW w:w="2585" w:type="dxa"/>
            <w:tcBorders/>
            <w:shd w:fill="FFFFFF" w:val="clear"/>
            <w:vAlign w:val="center"/>
          </w:tcPr>
          <w:p>
            <w:pPr>
              <w:pStyle w:val="TableContents"/>
              <w:spacing w:before="0" w:after="283"/>
              <w:rPr/>
            </w:pPr>
            <w:r>
              <w:rPr/>
              <w:t xml:space="preserve">  </w:t>
            </w:r>
          </w:p>
        </w:tc>
        <w:tc>
          <w:tcPr>
            <w:tcW w:w="7620" w:type="dxa"/>
            <w:gridSpan w:val="24"/>
            <w:tcBorders/>
            <w:shd w:fill="FFFFFF" w:val="clear"/>
          </w:tcPr>
          <w:p>
            <w:pPr>
              <w:pStyle w:val="TableContents"/>
              <w:spacing w:before="0" w:after="283"/>
              <w:rPr>
                <w:sz w:val="4"/>
                <w:szCs w:val="4"/>
              </w:rPr>
            </w:pPr>
            <w:r>
              <w:rPr>
                <w:sz w:val="4"/>
                <w:szCs w:val="4"/>
              </w:rPr>
            </w:r>
          </w:p>
        </w:tc>
      </w:tr>
      <w:tr>
        <w:trPr/>
        <w:tc>
          <w:tcPr>
            <w:tcW w:w="2585" w:type="dxa"/>
            <w:tcBorders/>
            <w:shd w:fill="CCEEFF" w:val="clear"/>
          </w:tcPr>
          <w:p>
            <w:pPr>
              <w:pStyle w:val="TableContents"/>
              <w:spacing w:before="0" w:after="0"/>
              <w:ind w:left="200" w:right="0" w:hanging="200"/>
              <w:jc w:val="left"/>
              <w:rPr>
                <w:sz w:val="17"/>
              </w:rPr>
            </w:pPr>
            <w:r>
              <w:rPr>
                <w:sz w:val="17"/>
              </w:rPr>
              <w:t xml:space="preserve">RATIO OF EARNINGS TO FIXED CHARGES(1) </w:t>
            </w:r>
          </w:p>
        </w:tc>
        <w:tc>
          <w:tcPr>
            <w:tcW w:w="137" w:type="dxa"/>
            <w:tcBorders/>
            <w:shd w:fill="CCEEFF" w:val="clear"/>
            <w:vAlign w:val="bottom"/>
          </w:tcPr>
          <w:p>
            <w:pPr>
              <w:pStyle w:val="TableContents"/>
              <w:spacing w:before="0" w:after="283"/>
              <w:rPr/>
            </w:pPr>
            <w:r>
              <w:rPr/>
              <w:t xml:space="preserve">  </w:t>
            </w:r>
          </w:p>
        </w:tc>
        <w:tc>
          <w:tcPr>
            <w:tcW w:w="315" w:type="dxa"/>
            <w:tcBorders/>
            <w:shd w:fill="CCEEFF" w:val="clear"/>
            <w:vAlign w:val="bottom"/>
          </w:tcPr>
          <w:p>
            <w:pPr>
              <w:pStyle w:val="TableContents"/>
              <w:spacing w:before="0" w:after="283"/>
              <w:jc w:val="right"/>
              <w:rPr/>
            </w:pPr>
            <w:r>
              <w:rPr/>
              <w:t xml:space="preserve">  </w:t>
            </w:r>
          </w:p>
        </w:tc>
        <w:tc>
          <w:tcPr>
            <w:tcW w:w="850" w:type="dxa"/>
            <w:tcBorders/>
            <w:shd w:fill="CCEEFF" w:val="clear"/>
            <w:vAlign w:val="bottom"/>
          </w:tcPr>
          <w:p>
            <w:pPr>
              <w:pStyle w:val="TableContents"/>
              <w:spacing w:before="0" w:after="283"/>
              <w:jc w:val="right"/>
              <w:rPr/>
            </w:pPr>
            <w:r>
              <w:rPr/>
              <w:t xml:space="preserve">3.33x </w:t>
            </w:r>
          </w:p>
        </w:tc>
        <w:tc>
          <w:tcPr>
            <w:tcW w:w="31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3.34x </w:t>
            </w:r>
          </w:p>
        </w:tc>
        <w:tc>
          <w:tcPr>
            <w:tcW w:w="194" w:type="dxa"/>
            <w:tcBorders/>
            <w:shd w:fill="CCEEFF" w:val="clear"/>
            <w:vAlign w:val="bottom"/>
          </w:tcPr>
          <w:p>
            <w:pPr>
              <w:pStyle w:val="TableContents"/>
              <w:spacing w:before="0" w:after="283"/>
              <w:jc w:val="left"/>
              <w:rPr/>
            </w:pPr>
            <w:r>
              <w:rPr/>
              <w:t xml:space="preserve">  </w:t>
            </w:r>
          </w:p>
        </w:tc>
        <w:tc>
          <w:tcPr>
            <w:tcW w:w="176"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3.37x </w:t>
            </w:r>
          </w:p>
        </w:tc>
        <w:tc>
          <w:tcPr>
            <w:tcW w:w="194"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2.36x </w:t>
            </w:r>
          </w:p>
        </w:tc>
        <w:tc>
          <w:tcPr>
            <w:tcW w:w="194"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2.64x </w:t>
            </w:r>
          </w:p>
        </w:tc>
        <w:tc>
          <w:tcPr>
            <w:tcW w:w="193"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2.13x </w:t>
            </w:r>
          </w:p>
        </w:tc>
        <w:tc>
          <w:tcPr>
            <w:tcW w:w="207" w:type="dxa"/>
            <w:tcBorders/>
            <w:shd w:fill="CCEEFF" w:val="clear"/>
            <w:vAlign w:val="bottom"/>
          </w:tcPr>
          <w:p>
            <w:pPr>
              <w:pStyle w:val="TableContents"/>
              <w:spacing w:before="0" w:after="283"/>
              <w:jc w:val="left"/>
              <w:rPr/>
            </w:pPr>
            <w:r>
              <w:rPr/>
              <w:t xml:space="preserve">  </w:t>
            </w:r>
          </w:p>
        </w:tc>
      </w:tr>
      <w:tr>
        <w:trPr/>
        <w:tc>
          <w:tcPr>
            <w:tcW w:w="2585" w:type="dxa"/>
            <w:tcBorders/>
            <w:shd w:fill="FFFFFF" w:val="cle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rPr/>
            </w:pPr>
            <w:r>
              <w:rPr/>
              <w:t xml:space="preserve">  </w:t>
            </w:r>
          </w:p>
        </w:tc>
        <w:tc>
          <w:tcPr>
            <w:tcW w:w="315" w:type="dxa"/>
            <w:tcBorders/>
            <w:shd w:fill="FFFFFF" w:val="clear"/>
            <w:vAlign w:val="bottom"/>
          </w:tcPr>
          <w:p>
            <w:pPr>
              <w:pStyle w:val="TableContents"/>
              <w:spacing w:before="0" w:after="283"/>
              <w:rPr/>
            </w:pPr>
            <w:r>
              <w:rPr/>
              <w:t xml:space="preserve">  </w:t>
            </w:r>
          </w:p>
        </w:tc>
        <w:tc>
          <w:tcPr>
            <w:tcW w:w="8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24"/>
        <w:gridCol w:w="102"/>
        <w:gridCol w:w="9879"/>
      </w:tblGrid>
      <w:tr>
        <w:trPr/>
        <w:tc>
          <w:tcPr>
            <w:tcW w:w="22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79" w:type="dxa"/>
            <w:tcBorders/>
            <w:shd w:fill="FFFFFF" w:val="clear"/>
            <w:vAlign w:val="center"/>
          </w:tcPr>
          <w:p>
            <w:pPr>
              <w:pStyle w:val="TableContents"/>
              <w:spacing w:before="0" w:after="283"/>
              <w:rPr>
                <w:sz w:val="4"/>
                <w:szCs w:val="4"/>
              </w:rPr>
            </w:pPr>
            <w:r>
              <w:rPr>
                <w:sz w:val="4"/>
                <w:szCs w:val="4"/>
              </w:rPr>
            </w:r>
          </w:p>
        </w:tc>
      </w:tr>
      <w:tr>
        <w:trPr/>
        <w:tc>
          <w:tcPr>
            <w:tcW w:w="224"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879" w:type="dxa"/>
            <w:tcBorders/>
            <w:shd w:fill="FFFFFF" w:val="clear"/>
            <w:vAlign w:val="bottom"/>
          </w:tcPr>
          <w:p>
            <w:pPr>
              <w:pStyle w:val="TableContents"/>
              <w:spacing w:before="0" w:after="283"/>
              <w:rPr/>
            </w:pPr>
            <w:r>
              <w:rPr/>
              <w:t>Includes interest costs attributable to borrowings for inventory stored in a contango market of $21.9 million for the six months ended June 30, 2006 and $23.7 million, $2.0 million, $1.0 million, $3.0 million and $3.9 million for each of the years ended December 31, 2005, 2004, 2003, 2002 and 2001, respectively.</w:t>
            </w:r>
          </w:p>
        </w:tc>
      </w:tr>
    </w:tbl>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 </w:t>
      </w:r>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issue the new notes, and the outstanding notes were issued, under an Indenture (the Base Indenture) dated September 25, 2002, among us, the subsidiary guarantors and Wachovia Bank, National Association, as trustee, and a Supplemental Indenture thereto dated as of May 12, 2006 (the Supplemental Indenture, and together with the Base Indenture, the Indenture). 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As used in this description, the terms we, us and our refer to Plains All American Pipeline, L.P. and PAA Finance Corp. as co-issuers of the notes and not to any of their subsidiaries or affiliates. The definitions of certain capitalized terms used in this Description of the Notes are set forth below under  Optional Redemption and  Definitions. Capitalized terms used but not defined below have the meanings assigned to them in the Indenture. References to the notes in this section of the prospectus include both the outstanding notes and the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summarized some of the material provisions of the notes and the Indenture below. The following description of the notes is not complete and is subject to, and is qualified in its entirety by reference to, all the provisions of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 Description of the Notes and 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72"/>
        <w:gridCol w:w="9535"/>
      </w:tblGrid>
      <w:tr>
        <w:trPr/>
        <w:tc>
          <w:tcPr>
            <w:tcW w:w="39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5"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our senior unsecured indebtedness ranking equally in right of payment with all of our existing and future unsubordinated debt;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unconditionally guaranteed by the subsidiary guarantors;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non-recourse to our general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senior in right of payment to any of our future subordinated debt;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effectively junior to any of our existing and future secured debt to the extent of the security for that debt;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effectively junior to any existing and future debt of our subsidiaries that do not guarantee the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obligations under the notes are jointly and severally guaranteed by all of the subsidiaries of Plains All American Pipeline existing at the time of issuance of the outstanding notes other than PAA Finance Corp., Atchafalaya Pipeline LLC and Andrews Partners, LLC, which we sometimes refer to collectively as the non-guarantor subsidiaries. Each guarantee by a subsidiary guarantor of the notes is: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71"/>
        <w:gridCol w:w="9536"/>
      </w:tblGrid>
      <w:tr>
        <w:trPr/>
        <w:tc>
          <w:tcPr>
            <w:tcW w:w="39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 general unsecured obligation of that subsidiary guarantor;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equal in right of payment with all other existing and future unsubordinated debt of that subsidiary guarantor;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senior in right of payment to any future subordinated debt of that subsidiary guarantor; and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effectively junior to any secured debt of that subsidiary guarantor, to the extent of the security for that debt.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June 30, 2006, on an as-adjusted basis after giving effect to the original issuance of the outstanding notes and the application of the net proceeds therefrom, the notes and the guarantees would have been effectively subordinated to $800.0 million of short-term secured indebtedness. See Risk Factors  Risks Related to the Exchange Offer and the Notes  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does not limit the aggregate principal amount of debt securities that may be issued thereunder and provides that debt securities may be issued thereunder from time to time in one or more additional series. Except to the extent described under  Covenants, the Indenture does not limit our ability or the ability of our subsidiaries to incur additional indebtedness.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Further Issuances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without notice to or the consent of the holders of the notes, create and issue additional notes ranking equally and ratably with the notes offered hereby in all respects (except for the payment of interest accruing prior to the issue date of such additional notes), so that such additional notes form a single series with the notes and have the same terms as to status, redemption or otherwise as the notes. If we issue such additional notes prior to the completion of the exchange offer, the period of the resale restrictions applicable to any notes previously offered and sold in reliance on Rule 144A under the Securities Act will be automatically extended to the last day of the period of any resale restrictions imposed on any such additional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Principal, Maturity And Interest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issued the notes in an initial aggregate principal amount of $250 million. The notes will mature on May 15, 2036 and bear interest at the annual rate of 6.70%. Additional interest may also accrue on the notes in the circumstances described under Exchange Offer. All references to interest in this description of the notes include any such additional interest. Interest on the notes accrues from May 12, 2006 and is payable semi-annually in arrears on May 15 and November 15 of each year, commencing November 15, 2006. We will make each interest payment to the holders of record at the close of business on the May 1 and November 1 preceding such interest payment date. Interest will be computed on the basis of a 360-day year consisting of twelve 30-day months. We will issue the notes in denominations of $1,000 and integral multiples of $1,000.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Liability of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payment obligations under the notes are jointly and severally guaranteed by all existing Subsidiaries of Plains All American Pipeline other than the non-guarantor subsidiaries. The obligations of each 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Provided that no default shall have occurred and shall be continuing under the indenture, a subsidiary guarantor will be unconditionally released and discharged from its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upon any sale or other disposition of all of our direct or indirect equity interests in that subsidiary guarantor to any person that is not our affiliate;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following delivery of a written notice of the release from the guarantee by us to the trustee, upon the release of all guarantees by the subsidiary guarantor of any debt of ours and any Subsidiary of Plains All American Pipeline (other than debt securities issued under the Indenture).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Optional Redemption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redeemable, in whole or in part, at our option at any time and from time to time prior to maturity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25 basis points together with accrued interest to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Adjusted Treasury Rate</w:t>
      </w:r>
      <w:r>
        <w:rPr>
          <w:rFonts w:ascii="Times New Roman;Times" w:hAnsi="Times New Roman;Times"/>
          <w:color w:val="000000"/>
          <w:sz w:val="17"/>
          <w:highlight w:val="white"/>
        </w:rPr>
        <w:t xml:space="preserv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Comparable Treasury Issue</w:t>
      </w:r>
      <w:r>
        <w:rPr>
          <w:rFonts w:ascii="Times New Roman;Times" w:hAnsi="Times New Roman;Times"/>
          <w:color w:val="000000"/>
          <w:sz w:val="17"/>
          <w:highlight w:val="white"/>
        </w:rPr>
        <w:t xml:space="preserve"> means the United States Treasury security selected by the Quotation Agent as having a maturity comparable to the remaining term of the notes to be redeemed that would be utilized, at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time of selection and in accordance with customary financial practice, in pricing new issues of corporate debt securities of comparable maturity to the remaining term of those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Comparable Treasury Price</w:t>
      </w:r>
      <w:r>
        <w:rPr>
          <w:rFonts w:ascii="Times New Roman;Times" w:hAnsi="Times New Roman;Times"/>
          <w:color w:val="000000"/>
          <w:sz w:val="17"/>
          <w:highlight w:val="white"/>
        </w:rPr>
        <w:t xml:space="preserv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Quotation Agent</w:t>
      </w:r>
      <w:r>
        <w:rPr>
          <w:rFonts w:ascii="Times New Roman;Times" w:hAnsi="Times New Roman;Times"/>
          <w:color w:val="000000"/>
          <w:sz w:val="17"/>
          <w:highlight w:val="white"/>
        </w:rPr>
        <w:t xml:space="preserve"> means UBS Securities LLC or another Reference Treasury Dealer appointed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Reference Treasury Dealer</w:t>
      </w:r>
      <w:r>
        <w:rPr>
          <w:rFonts w:ascii="Times New Roman;Times" w:hAnsi="Times New Roman;Times"/>
          <w:color w:val="000000"/>
          <w:sz w:val="17"/>
          <w:highlight w:val="white"/>
        </w:rPr>
        <w:t xml:space="preserve"> means (a) UBS Securities LLC and its successors; provided, however, that if the foregoing shall cease to be a primary U.S. Government securities dealer in the United States (a Primary Treasury Dealer), we shall substitute another Primary Treasury Dealer; and (b) any other Primary Treasury Dealer selected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Reference Treasury Dealer Quotations</w:t>
      </w:r>
      <w:r>
        <w:rPr>
          <w:rFonts w:ascii="Times New Roman;Times" w:hAnsi="Times New Roman;Times"/>
          <w:color w:val="000000"/>
          <w:sz w:val="17"/>
          <w:highlight w:val="white"/>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we default in payment of the redemption price, on and after the date of redemption, interest will cease to accrue on the notes or portions thereof called for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or before a redemption date, we will deposit with a paying agent (or with the trustee) sufficient money to pay the redemption price and accrued interest on the notes to be redeemed.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less than all of the notes are to be redeemed at any time, the trustee will select notes (or any portion of notes in integral multiples of $1,000) for redemption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3"/>
        <w:gridCol w:w="9539"/>
      </w:tblGrid>
      <w:tr>
        <w:trPr/>
        <w:tc>
          <w:tcPr>
            <w:tcW w:w="4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if the notes are listed, in compliance with the requirements of the principal national securities exchange on which the notes are listed;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if the notes are not so listed or there are no such requirements, on a pro rata basis, by lot or by such method as the trustee shall deem fair and appropriate.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no note with a principal amount of $1,000 or less will be redeemed in part. Notice of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of the following constitutes an Event of Default with respect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default in payment when due of the principal of or any premium on any note at maturity, upon redemption or otherwise;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default for 60 days in the payment when due of interest on any note;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failure by us or, so long as the notes are guaranteed by a subsidiary guarantor, by such subsidiary guarantor, for 30 days after receipt of notice from the trustee or the holders to comply with any other term, covenant or warranty in the Indenture or the notes (provided that notice need not be given, and an Event of Default will occur, 30 days after any breach of the covenants described under  Consolidation, Merger or Sale);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specified events in bankruptcy, insolvency or reorganization of us or, so long as the notes are guaranteed by a subsidiary guarantor, by such subsidiary guarantor;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so long as the notes are guaranteed by a subsidiary guarantor: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guarantee by such subsidiary guarantor ceases to be in full force and effect, except as otherwise provided in the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the guarantee by such subsidiary guarantor is declared null and void in a judicial proceeding;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such subsidiary guarantor denies or disaffirms its obligations under the indenture or its guarantee.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our partnership agreement, and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4"/>
        <w:gridCol w:w="274"/>
        <w:gridCol w:w="9517"/>
      </w:tblGrid>
      <w:tr>
        <w:trPr/>
        <w:tc>
          <w:tcPr>
            <w:tcW w:w="41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17" w:type="dxa"/>
            <w:tcBorders/>
            <w:shd w:fill="auto" w:val="clear"/>
            <w:vAlign w:val="center"/>
          </w:tcPr>
          <w:p>
            <w:pPr>
              <w:pStyle w:val="TableContents"/>
              <w:spacing w:before="0" w:after="283"/>
              <w:rPr>
                <w:sz w:val="4"/>
                <w:szCs w:val="4"/>
              </w:rPr>
            </w:pPr>
            <w:r>
              <w:rPr>
                <w:sz w:val="4"/>
                <w:szCs w:val="4"/>
              </w:rPr>
            </w:r>
          </w:p>
        </w:tc>
      </w:tr>
      <w:tr>
        <w:trPr/>
        <w:tc>
          <w:tcPr>
            <w:tcW w:w="414"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17" w:type="dxa"/>
            <w:tcBorders/>
            <w:shd w:fill="FFFFFF" w:val="clear"/>
          </w:tcPr>
          <w:p>
            <w:pPr>
              <w:pStyle w:val="TableContents"/>
              <w:spacing w:before="0" w:after="283"/>
              <w:jc w:val="left"/>
              <w:rPr/>
            </w:pPr>
            <w:r>
              <w:rPr/>
              <w:t xml:space="preserve">we are the surviving Person in the case of a merger, or the surviving Person: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75"/>
        <w:gridCol w:w="262"/>
        <w:gridCol w:w="9368"/>
      </w:tblGrid>
      <w:tr>
        <w:trPr/>
        <w:tc>
          <w:tcPr>
            <w:tcW w:w="57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368"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68" w:type="dxa"/>
            <w:tcBorders/>
            <w:shd w:fill="FFFFFF" w:val="clear"/>
          </w:tcPr>
          <w:p>
            <w:pPr>
              <w:pStyle w:val="TableContents"/>
              <w:spacing w:before="0" w:after="283"/>
              <w:jc w:val="left"/>
              <w:rPr/>
            </w:pPr>
            <w:r>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r>
        <w:trPr/>
        <w:tc>
          <w:tcPr>
            <w:tcW w:w="575" w:type="dxa"/>
            <w:tcBorders/>
            <w:shd w:fill="auto" w:val="clear"/>
            <w:vAlign w:val="center"/>
          </w:tcPr>
          <w:p>
            <w:pPr>
              <w:pStyle w:val="TableContents"/>
              <w:spacing w:before="0" w:after="283"/>
              <w:rPr/>
            </w:pPr>
            <w:r>
              <w:rPr/>
              <w:t> </w:t>
            </w:r>
          </w:p>
        </w:tc>
        <w:tc>
          <w:tcPr>
            <w:tcW w:w="9630" w:type="dxa"/>
            <w:gridSpan w:val="2"/>
            <w:tcBorders/>
            <w:shd w:fill="auto" w:val="clear"/>
          </w:tcPr>
          <w:p>
            <w:pPr>
              <w:pStyle w:val="TableContents"/>
              <w:spacing w:before="0" w:after="283"/>
              <w:rPr>
                <w:sz w:val="4"/>
                <w:szCs w:val="4"/>
              </w:rPr>
            </w:pPr>
            <w:r>
              <w:rPr>
                <w:sz w:val="4"/>
                <w:szCs w:val="4"/>
              </w:rPr>
            </w:r>
          </w:p>
        </w:tc>
      </w:tr>
      <w:tr>
        <w:trPr/>
        <w:tc>
          <w:tcPr>
            <w:tcW w:w="575"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68" w:type="dxa"/>
            <w:tcBorders/>
            <w:shd w:fill="FFFFFF" w:val="clear"/>
          </w:tcPr>
          <w:p>
            <w:pPr>
              <w:pStyle w:val="TableContents"/>
              <w:spacing w:before="0" w:after="283"/>
              <w:jc w:val="left"/>
              <w:rPr/>
            </w:pPr>
            <w:r>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4"/>
        <w:gridCol w:w="9538"/>
      </w:tblGrid>
      <w:tr>
        <w:trPr/>
        <w:tc>
          <w:tcPr>
            <w:tcW w:w="40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immediately after giving effect to the transaction or series of transactions, no Default or Event of Default has occurred and is continuing;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if we are not the surviving Person, then each subsidiary guarantor, unless such subsidiary guarantor is the Person with which we have consummated a transaction under this provision, shall have confirmed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101"/>
        <w:gridCol w:w="9697"/>
      </w:tblGrid>
      <w:tr>
        <w:trPr/>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69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101" w:type="dxa"/>
            <w:tcBorders/>
            <w:shd w:fill="FFFFFF" w:val="clear"/>
          </w:tcPr>
          <w:p>
            <w:pPr>
              <w:pStyle w:val="TableContents"/>
              <w:spacing w:before="0" w:after="283"/>
              <w:rPr>
                <w:sz w:val="4"/>
                <w:szCs w:val="4"/>
              </w:rPr>
            </w:pPr>
            <w:r>
              <w:rPr>
                <w:sz w:val="4"/>
                <w:szCs w:val="4"/>
              </w:rPr>
            </w:r>
          </w:p>
        </w:tc>
        <w:tc>
          <w:tcPr>
            <w:tcW w:w="9697" w:type="dxa"/>
            <w:tcBorders/>
            <w:shd w:fill="FFFFFF" w:val="clear"/>
          </w:tcPr>
          <w:p>
            <w:pPr>
              <w:pStyle w:val="TableContents"/>
              <w:spacing w:before="0" w:after="283"/>
              <w:jc w:val="left"/>
              <w:rPr/>
            </w:pPr>
            <w:r>
              <w:rPr/>
              <w:t xml:space="preserve">that its guarantee of the notes shall continue to apply to the obligations under the notes and the Indenture; and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the Indenture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we, the subsidiary guarantors and the trustee may amend or supplement the Indenture, the guarantees and the notes with the written consent of the holders of at least a majority in principal amount of the then outstanding notes. However, without the consent of each holder affected, an amendment, supplement or waiver may not (with respect to any notes held by a nonconsenting holder):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71"/>
        <w:gridCol w:w="9527"/>
      </w:tblGrid>
      <w:tr>
        <w:trPr/>
        <w:tc>
          <w:tcPr>
            <w:tcW w:w="40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the principal amount of notes whose holders must consent to an amendment, supplement or waiver;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the principal of or change the fixed maturity of any note;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or waive the premium payable upon redemption or alter or waive the provisions with respect to the redemption of any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the rate of or change the time for payment of interest on any note; </w:t>
            </w:r>
          </w:p>
        </w:tc>
      </w:tr>
    </w:tbl>
    <w:p>
      <w:pPr>
        <w:pStyle w:val="TextBody"/>
        <w:spacing w:before="12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71"/>
        <w:gridCol w:w="9527"/>
      </w:tblGrid>
      <w:tr>
        <w:trPr/>
        <w:tc>
          <w:tcPr>
            <w:tcW w:w="40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release any security that may have been granted with respect to the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make any note payable in currency other than that stated in the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notes to receive payments of principal of or premium, if any, or interest on the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waive a redemption payment with respect to any note;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except as otherwise permitted in the Indenture, release any subsidiary guarantor from its obligations under its guarantee or the Indenture or change any guarantee in any manner that would adversely affect the rights of holders;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without the consent of any holder of notes, we and the trustee may amend or supplement the Indenture or the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3"/>
        <w:gridCol w:w="9539"/>
      </w:tblGrid>
      <w:tr>
        <w:trPr/>
        <w:tc>
          <w:tcPr>
            <w:tcW w:w="4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cure any ambiguity, defect or inconsistency;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provide for uncertificated notes in addition to or in place of certificated notes;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provide for the assumption of our or the confirmation of a subsidiary guarantors obligations to holders of notes in the case of a merger or consolidation or sale of all or substantially all of our assets;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add or release subsidiary guarantors as permitted pursuant to the terms of the Indenture (please read  The Guarantees);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5"/>
        <w:gridCol w:w="9538"/>
      </w:tblGrid>
      <w:tr>
        <w:trPr/>
        <w:tc>
          <w:tcPr>
            <w:tcW w:w="40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make any changes that would provide any additional rights or benefits to the holders of notes that do not, taken as a whole, adversely affect the rights under the Indenture of any holder of the notes;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add any additional Events of Default;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secure the notes and/or the guarantees; 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establish the form or terms of any other series of debt securities under the Base Indenture.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Covenants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Liens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60"/>
        <w:gridCol w:w="9547"/>
      </w:tblGrid>
      <w:tr>
        <w:trPr/>
        <w:tc>
          <w:tcPr>
            <w:tcW w:w="39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Permitted Liens;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of our property or assets or the property or assets of any Restricted Subsidiary in existence on the Issue Date or provided for pursuant to agreements existing on the Issue Date;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liens imposed by law or order as a result of any proceeding before any court or regulatory body that is being contested in good faith, and liens which secure a judgment or other court-ordered award or settlement as to which we or the applicable Restricted Subsidiary has not exhausted its appellate rights;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101"/>
        <w:gridCol w:w="9696"/>
      </w:tblGrid>
      <w:tr>
        <w:trPr/>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696"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101" w:type="dxa"/>
            <w:tcBorders/>
            <w:shd w:fill="FFFFFF" w:val="clear"/>
          </w:tcPr>
          <w:p>
            <w:pPr>
              <w:pStyle w:val="TableContents"/>
              <w:spacing w:before="0" w:after="283"/>
              <w:rPr>
                <w:sz w:val="4"/>
                <w:szCs w:val="4"/>
              </w:rPr>
            </w:pPr>
            <w:r>
              <w:rPr>
                <w:sz w:val="4"/>
                <w:szCs w:val="4"/>
              </w:rPr>
            </w:r>
          </w:p>
        </w:tc>
        <w:tc>
          <w:tcPr>
            <w:tcW w:w="9696" w:type="dxa"/>
            <w:tcBorders/>
            <w:shd w:fill="FFFFFF" w:val="clear"/>
          </w:tcPr>
          <w:p>
            <w:pPr>
              <w:pStyle w:val="TableContents"/>
              <w:spacing w:before="0" w:after="283"/>
              <w:jc w:val="left"/>
              <w:rPr/>
            </w:pPr>
            <w:r>
              <w:rPr/>
              <w:t xml:space="preserve">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any lien resulting from the deposit of moneys or evidence of indebtedness in trust for the purpose of defeasing our debt or debt of any Restricted Subsidiary.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Sale-Leasebacks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and will not permit any Subsidiary to, engage in a Sale-leaseback Transaction,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60"/>
        <w:gridCol w:w="9547"/>
      </w:tblGrid>
      <w:tr>
        <w:trPr/>
        <w:tc>
          <w:tcPr>
            <w:tcW w:w="39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Sale-leaseback Transaction involves a lease for a period, including renewals, of not more than three years;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SEC Reports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such filings are not then permitted by the SEC, or such filings are not generally available on the Internet free of charge, we will provide the trustee with, and the trustee will mail to any holder of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requesting in writing to the trustee copies of, such annual, quarterly and other periodic reports specified in Sections 13 and 15(d) of the Exchange Act within 15 days after its Required Filing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Defeasance and Discharge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any time we may terminate all our obligations under the Indenture as they relate to the notes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in respect of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at any time we may terminate our obligations under covenants described in the last paragraph of  The Guarantees, under  Covenants and under  SEC Reports with respect to the notes (covenant defeasance), and thereafter our failure to comply with any of such covenants would not constitute an Event of Default.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exercise our legal defeasance option notwithstanding our prior exercise of our covenant defeasance option. If we exercise our legal defeasance option, each guarantee obligation will be deemed to have been discharged with respect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to the effect that holders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event of any legal defeasance, holders of the notes would be entitled to look only to the trust for payment of principal of and any premium and interest on their notes until maturity.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discharge all our obligations under the Indenture with respect to the notes, other than certain obligations to the trustee and our obligation to register the transfer of and exchange notes, provided that we either: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2"/>
        <w:gridCol w:w="268"/>
        <w:gridCol w:w="9545"/>
      </w:tblGrid>
      <w:tr>
        <w:trPr/>
        <w:tc>
          <w:tcPr>
            <w:tcW w:w="39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45" w:type="dxa"/>
            <w:tcBorders/>
            <w:shd w:fill="auto" w:val="clear"/>
            <w:vAlign w:val="center"/>
          </w:tcPr>
          <w:p>
            <w:pPr>
              <w:pStyle w:val="TableContents"/>
              <w:spacing w:before="0" w:after="283"/>
              <w:rPr>
                <w:sz w:val="4"/>
                <w:szCs w:val="4"/>
              </w:rPr>
            </w:pPr>
            <w:r>
              <w:rPr>
                <w:sz w:val="4"/>
                <w:szCs w:val="4"/>
              </w:rPr>
            </w:r>
          </w:p>
        </w:tc>
      </w:tr>
      <w:tr>
        <w:trPr/>
        <w:tc>
          <w:tcPr>
            <w:tcW w:w="392"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5" w:type="dxa"/>
            <w:tcBorders/>
            <w:shd w:fill="FFFFFF" w:val="clear"/>
          </w:tcPr>
          <w:p>
            <w:pPr>
              <w:pStyle w:val="TableContents"/>
              <w:spacing w:before="0" w:after="283"/>
              <w:jc w:val="left"/>
              <w:rPr/>
            </w:pPr>
            <w:r>
              <w:rPr/>
              <w:t xml:space="preserve">deliver all outstanding notes to the trustee for cancellation; or </w:t>
            </w:r>
          </w:p>
        </w:tc>
      </w:tr>
      <w:tr>
        <w:trPr/>
        <w:tc>
          <w:tcPr>
            <w:tcW w:w="392" w:type="dxa"/>
            <w:tcBorders/>
            <w:shd w:fill="auto" w:val="clear"/>
            <w:vAlign w:val="center"/>
          </w:tcPr>
          <w:p>
            <w:pPr>
              <w:pStyle w:val="TableContents"/>
              <w:spacing w:before="0" w:after="283"/>
              <w:rPr/>
            </w:pPr>
            <w:r>
              <w:rPr/>
              <w:t> </w:t>
            </w:r>
          </w:p>
        </w:tc>
        <w:tc>
          <w:tcPr>
            <w:tcW w:w="9813" w:type="dxa"/>
            <w:gridSpan w:val="2"/>
            <w:tcBorders/>
            <w:shd w:fill="auto" w:val="clear"/>
          </w:tcPr>
          <w:p>
            <w:pPr>
              <w:pStyle w:val="TableContents"/>
              <w:spacing w:before="0" w:after="283"/>
              <w:rPr>
                <w:sz w:val="4"/>
                <w:szCs w:val="4"/>
              </w:rPr>
            </w:pPr>
            <w:r>
              <w:rPr>
                <w:sz w:val="4"/>
                <w:szCs w:val="4"/>
              </w:rPr>
            </w:r>
          </w:p>
        </w:tc>
      </w:tr>
      <w:tr>
        <w:trPr/>
        <w:tc>
          <w:tcPr>
            <w:tcW w:w="392"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5" w:type="dxa"/>
            <w:tcBorders/>
            <w:shd w:fill="FFFFFF" w:val="clear"/>
          </w:tcPr>
          <w:p>
            <w:pPr>
              <w:pStyle w:val="TableContents"/>
              <w:spacing w:before="0" w:after="283"/>
              <w:jc w:val="left"/>
              <w:rPr/>
            </w:pPr>
            <w:r>
              <w:rPr/>
              <w:t xml:space="preserve">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Concerning 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Bank National Association, as successor to Wachovia Bank, National Association, acts as indenture trustee, security registrar and paying agent with respect to the notes. The trustee makes no representation or warranty, express or implied, as to the accuracy or completeness of any information contained in this prospectus, except for such information that specifically pertains to the trustee, or any information incorporated by reference.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and the notes are governed by and will be construed in accordance with the laws of the State of New York.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Definitions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Attributable Indebtedness,</w:t>
      </w:r>
      <w:r>
        <w:rPr>
          <w:rFonts w:ascii="Times New Roman;Times" w:hAnsi="Times New Roman;Times"/>
          <w:color w:val="000000"/>
          <w:sz w:val="17"/>
          <w:highlight w:val="white"/>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Board of Directors</w:t>
      </w:r>
      <w:r>
        <w:rPr>
          <w:rFonts w:ascii="Times New Roman;Times" w:hAnsi="Times New Roman;Times"/>
          <w:color w:val="000000"/>
          <w:sz w:val="17"/>
          <w:highlight w:val="white"/>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Capital Interests</w:t>
      </w:r>
      <w:r>
        <w:rPr>
          <w:rFonts w:ascii="Times New Roman;Times" w:hAnsi="Times New Roman;Times"/>
          <w:color w:val="000000"/>
          <w:sz w:val="17"/>
          <w:highlight w:val="white"/>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Consolidated Net Tangible Assets</w:t>
      </w:r>
      <w:r>
        <w:rPr>
          <w:rFonts w:ascii="Times New Roman;Times" w:hAnsi="Times New Roman;Times"/>
          <w:color w:val="000000"/>
          <w:sz w:val="17"/>
          <w:highlight w:val="white"/>
        </w:rPr>
        <w:t xml:space="preserve"> means, at any date of determination, the total amount of assets after deducting therefrom: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current liabilities excluding: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current maturities of long-term debt;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amount, net of any applicable reserves, of all goodwill, trade names, trademarks, patents and other like intangible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as set forth on the consolidated balance sheet of Plains All American Pipeline for its most recently completed fiscal quarter, prepared in accordance with generally accepted accounting principles.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Exchange Act</w:t>
      </w:r>
      <w:r>
        <w:rPr>
          <w:rFonts w:ascii="Times New Roman;Times" w:hAnsi="Times New Roman;Times"/>
          <w:color w:val="000000"/>
          <w:sz w:val="17"/>
          <w:highlight w:val="white"/>
        </w:rPr>
        <w:t xml:space="preserve"> means the Securities Exchange Act of 1934, as amended.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Funded Debt</w:t>
      </w:r>
      <w:r>
        <w:rPr>
          <w:rFonts w:ascii="Times New Roman;Times" w:hAnsi="Times New Roman;Times"/>
          <w:color w:val="000000"/>
          <w:sz w:val="17"/>
          <w:highlight w:val="white"/>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Issue Date</w:t>
      </w:r>
      <w:r>
        <w:rPr>
          <w:rFonts w:ascii="Times New Roman;Times" w:hAnsi="Times New Roman;Times"/>
          <w:color w:val="000000"/>
          <w:sz w:val="17"/>
          <w:highlight w:val="white"/>
        </w:rPr>
        <w:t xml:space="preserve"> means with respect to the notes, the date on which the notes were initially issued, May 12,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Managing General Partner</w:t>
      </w:r>
      <w:r>
        <w:rPr>
          <w:rFonts w:ascii="Times New Roman;Times" w:hAnsi="Times New Roman;Times"/>
          <w:color w:val="000000"/>
          <w:sz w:val="17"/>
          <w:highlight w:val="white"/>
        </w:rPr>
        <w:t xml:space="preserve"> means Plains All American GP LLC, a Delaware limited liability company, and its successors and 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Pari Passu Debt</w:t>
      </w:r>
      <w:r>
        <w:rPr>
          <w:rFonts w:ascii="Times New Roman;Times" w:hAnsi="Times New Roman;Times"/>
          <w:color w:val="000000"/>
          <w:sz w:val="17"/>
          <w:highlight w:val="white"/>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Permitted Liens</w:t>
      </w:r>
      <w:r>
        <w:rPr>
          <w:rFonts w:ascii="Times New Roman;Times" w:hAnsi="Times New Roman;Times"/>
          <w:color w:val="000000"/>
          <w:sz w:val="17"/>
          <w:highlight w:val="white"/>
        </w:rPr>
        <w:t xml:space="preserve"> means: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liens upon rights-of-way for pipeline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liens of taxes and assessments which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for the then current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not at the time delinquent,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delinquent but the validity of which is being contested at the time by us or any Restricted Subsidiary in good faith;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liens of, or to secure performance of, leases, other than capital leases;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any lien upon, or deposits of, any assets in favor of any surety company or clerk of court for the purpose of obtaining indemnity or stay of judicial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any lien upon property or assets acquired or sold by us or any Restricted Subsidiary resulting from the exercise of any rights arising out of defaults on receivables;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(9) any lien in favor of us or any Restricted Subsidiary;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price of, or the cost of constructing, developing, repairing or improving, the property or assets subject to such lien;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(11) any lien securing industrial development, pollution control or similar revenue bonds;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(14) any lien upon or deposits of any assets to secure performance of bids, trade contracts, leases or statutory obligations;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(18) any obligations or duties to any municipality or public authority with respect to any lease, easement, right-of-way, license, franchise, privilege, permit or grant.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Person</w:t>
      </w:r>
      <w:r>
        <w:rPr>
          <w:rFonts w:ascii="Times New Roman;Times" w:hAnsi="Times New Roman;Times"/>
          <w:color w:val="000000"/>
          <w:sz w:val="17"/>
          <w:highlight w:val="white"/>
        </w:rPr>
        <w:t xml:space="preserve"> means any individual, corporation, partnership, joint venture, limited liability company, association, joint-stock company, trust, other entity, unincorporated organization or government or any agency or political subdivision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Principal Property</w:t>
      </w:r>
      <w:r>
        <w:rPr>
          <w:rFonts w:ascii="Times New Roman;Times" w:hAnsi="Times New Roman;Times"/>
          <w:color w:val="000000"/>
          <w:sz w:val="17"/>
          <w:highlight w:val="white"/>
        </w:rPr>
        <w:t xml:space="preserve"> means, whether owned or leased on the Issue Date or thereafter acquired: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processing or manufacturing plant or terminal owned or leased by Plains All American Pipeline or any Subsidiary of Plains All American Pipeline; except, in either case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such assets consisting of inventories, furniture, office fixtures and equipment, including data processing equipment, vehicles and equipment used on, or useful with, vehicles,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Restricted Subsidiary</w:t>
      </w:r>
      <w:r>
        <w:rPr>
          <w:rFonts w:ascii="Times New Roman;Times" w:hAnsi="Times New Roman;Times"/>
          <w:color w:val="000000"/>
          <w:sz w:val="17"/>
          <w:highlight w:val="white"/>
        </w:rPr>
        <w:t xml:space="preserve"> means any Subsidiary of Plains All American Pipeline owning or leasing, directly or indirectly through ownership in another Subsidiary, any Principal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Sale-leaseback Transaction</w:t>
      </w:r>
      <w:r>
        <w:rPr>
          <w:rFonts w:ascii="Times New Roman;Times" w:hAnsi="Times New Roman;Times"/>
          <w:color w:val="000000"/>
          <w:sz w:val="17"/>
          <w:highlight w:val="white"/>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Securities Act</w:t>
      </w:r>
      <w:r>
        <w:rPr>
          <w:rFonts w:ascii="Times New Roman;Times" w:hAnsi="Times New Roman;Times"/>
          <w:color w:val="000000"/>
          <w:sz w:val="17"/>
          <w:highlight w:val="white"/>
        </w:rPr>
        <w:t xml:space="preserve"> means the Securities Act of 1933, as amended.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Subsidiary</w:t>
      </w:r>
      <w:r>
        <w:rPr>
          <w:rFonts w:ascii="Times New Roman;Times" w:hAnsi="Times New Roman;Times"/>
          <w:color w:val="000000"/>
          <w:sz w:val="17"/>
          <w:highlight w:val="white"/>
        </w:rPr>
        <w:t xml:space="preserve"> means, with respect to any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MATERIAL U.S. FEDERAL INCOME TAX CONSEQUENCES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the material U.S. federal income tax consequences of the exchange of outstanding notes for new notes and is the opinion of Vinson &amp; Elkins L.L.P., counsel to the general partner and us, as it relates to legal conclusions with respect to matters of U.S. federal income tax law. In the opinion of Vinson &amp; Elkins L.L.P., the exchange of outstanding notes for new notes will not be an exchange or otherwise a taxable event to a holder for United States federal income tax purposes. Accordingly, a holder will have the same adjusted issue price, adjusted basis and holding period in the new notes as it had in the outstanding notes immediately before the exchange. The legal conclusions of Vinson &amp; Elkins L.L.P. are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new notes. The legal conclusions of Vinson &amp; Elkins L.L.P. do not consider the effect of any applicable foreign, state, local or other tax laws or estate or gift tax considerations. Each holder is encouraged to consult, and depend on, his own tax advisor in analyzing the particular tax consequences of exchanging such holders outstanding notes for new notes, including the applicability and effect of any federal, state, local and foreign tax laws. </w:t>
      </w:r>
    </w:p>
    <w:p>
      <w:pPr>
        <w:pStyle w:val="TextBody"/>
        <w:spacing w:before="360" w:after="283"/>
        <w:rPr/>
      </w:pPr>
      <w:bookmarkStart w:id="10" w:name="108"/>
      <w:bookmarkEnd w:id="1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interpretations by the staff of the SEC in no-action letters issued to third parties, we believe that you may transfer new notes issued under the exchange offer in exchange for the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5"/>
        <w:gridCol w:w="271"/>
        <w:gridCol w:w="9519"/>
      </w:tblGrid>
      <w:tr>
        <w:trPr/>
        <w:tc>
          <w:tcPr>
            <w:tcW w:w="41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19" w:type="dxa"/>
            <w:tcBorders/>
            <w:shd w:fill="auto" w:val="clear"/>
            <w:vAlign w:val="center"/>
          </w:tcPr>
          <w:p>
            <w:pPr>
              <w:pStyle w:val="TableContents"/>
              <w:spacing w:before="0" w:after="283"/>
              <w:rPr>
                <w:sz w:val="4"/>
                <w:szCs w:val="4"/>
              </w:rPr>
            </w:pPr>
            <w:r>
              <w:rPr>
                <w:sz w:val="4"/>
                <w:szCs w:val="4"/>
              </w:rPr>
            </w:r>
          </w:p>
        </w:tc>
      </w:tr>
      <w:tr>
        <w:trPr/>
        <w:tc>
          <w:tcPr>
            <w:tcW w:w="415"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19" w:type="dxa"/>
            <w:tcBorders/>
            <w:shd w:fill="FFFFFF" w:val="clear"/>
          </w:tcPr>
          <w:p>
            <w:pPr>
              <w:pStyle w:val="TableContents"/>
              <w:spacing w:before="0" w:after="283"/>
              <w:jc w:val="left"/>
              <w:rPr/>
            </w:pPr>
            <w:r>
              <w:rPr/>
              <w:t xml:space="preserve">you acquire the new notes in the ordinary course of your business; and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you are not engaged in, and do not intend to engage in, and have no arrangement or understanding with any person to participate in, a distribution of such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not participate in the exchange offer if you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our affiliate within the meaning of Rule 405 under the Securities Act;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 broker-dealer that acquired outstanding notes directly from us.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new notes for its own account pursuant to the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outstanding notes, with a prospectus contained in a registration statement like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 we will make this prospectus, as amended or supplemented, promptly available to any broker-dealer for use in connection with any such resale.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wish to exchange your outstanding notes for new notes in the exchange offer, you will be required to make representations to us as described in Exchange Offer  Purpose and Effect of the Exchange Offer and  Procedures for Tendering  Your Representations to Us in this prospectus and in the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receive any proceeds from any sale of new notes by broker-dealers. New notes received by broker-dealers for their own account pursuant to the exchange offer may be sold from time to time in one or more transactions: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3"/>
        <w:gridCol w:w="9546"/>
      </w:tblGrid>
      <w:tr>
        <w:trPr/>
        <w:tc>
          <w:tcPr>
            <w:tcW w:w="39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46"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in the over-the-counter market;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in negotiated transactions;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through the writing of options on the new notes or a combination of the preceding methods of resale;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at market prices prevailing at the time of resale;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at prices related to such prevailing market prices or negotiated prices.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 period of one year after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validity of the new notes offered in this exchange offer and the related guarantees will be passed upon for us by Vinson &amp; Elkins L.L.P., Houston, Texas. </w:t>
      </w:r>
    </w:p>
    <w:p>
      <w:pPr>
        <w:pStyle w:val="TextBody"/>
        <w:spacing w:before="360" w:after="283"/>
        <w:rPr/>
      </w:pPr>
      <w:bookmarkStart w:id="12" w:name="110"/>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2005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by reference to Plains All American Pipeline, L.P.s Current Report on Form 8-K filed March 21, 2006 has been so incorporated in reliance on the report of PricewaterhouseCoopers LLP, an independent registered public accounting firm, given on the authority of said firm as experts in auditing and accounting. </w:t>
      </w:r>
    </w:p>
    <w:p>
      <w:pPr>
        <w:pStyle w:val="TextBody"/>
        <w:spacing w:before="360" w:after="283"/>
        <w:rPr/>
      </w:pPr>
      <w:bookmarkStart w:id="13" w:name="111"/>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(Commission File No. 1-14569) with the SEC under Sections 13(a), 13(c), 14 or 15(d) of the Securities Exchange Act of 1934 (excluding any information furnished and not filed with the SEC) until the offering under this registration statement is completed: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Annual Report on Form 10-K for the year ended December 31, 2005;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1"/>
        <w:gridCol w:w="261"/>
        <w:gridCol w:w="9533"/>
      </w:tblGrid>
      <w:tr>
        <w:trPr/>
        <w:tc>
          <w:tcPr>
            <w:tcW w:w="41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11"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Quarterly Report on Form 10-Q for the quarter ended March 31, 2006;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4"/>
        <w:gridCol w:w="275"/>
        <w:gridCol w:w="9516"/>
      </w:tblGrid>
      <w:tr>
        <w:trPr/>
        <w:tc>
          <w:tcPr>
            <w:tcW w:w="41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16" w:type="dxa"/>
            <w:tcBorders/>
            <w:shd w:fill="auto" w:val="clear"/>
            <w:vAlign w:val="center"/>
          </w:tcPr>
          <w:p>
            <w:pPr>
              <w:pStyle w:val="TableContents"/>
              <w:spacing w:before="0" w:after="283"/>
              <w:rPr>
                <w:sz w:val="4"/>
                <w:szCs w:val="4"/>
              </w:rPr>
            </w:pPr>
            <w:r>
              <w:rPr>
                <w:sz w:val="4"/>
                <w:szCs w:val="4"/>
              </w:rPr>
            </w:r>
          </w:p>
        </w:tc>
      </w:tr>
      <w:tr>
        <w:trPr/>
        <w:tc>
          <w:tcPr>
            <w:tcW w:w="414"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16" w:type="dxa"/>
            <w:tcBorders/>
            <w:shd w:fill="FFFFFF" w:val="clear"/>
          </w:tcPr>
          <w:p>
            <w:pPr>
              <w:pStyle w:val="TableContents"/>
              <w:spacing w:before="0" w:after="283"/>
              <w:jc w:val="left"/>
              <w:rPr/>
            </w:pPr>
            <w:r>
              <w:rPr/>
              <w:t xml:space="preserve">Quarterly Report on Form 10-Q for the quarter ended June 30, 2006, as amended;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71"/>
        <w:gridCol w:w="9536"/>
      </w:tblGrid>
      <w:tr>
        <w:trPr/>
        <w:tc>
          <w:tcPr>
            <w:tcW w:w="39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March 16, 2006 (announcement of Andrews acquisition);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(other than Item 7.01, which was furnished) with the Commission on March 21, 2006 (entry into direct placement unit purchase agreement);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March 21, 2006 (audited balance sheet of Plains AAP, L.P. as of December 31, 2005);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May 9, 2006 (announcement of private placement offering of $250 million notes);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(other than Item 7.01, which was furnished) with the Commission on May 12, 2006 (entry into note purchase agreement, registration rights agreement and supplemental indentures);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May 15, 2006 (amendment to PAA/Vulcan limited liability company agreement);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June 12, 2006 (entry into Pacific merger agreement and purchase agreement with LB Pacific);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June 30, 2006 (unaudited balance sheet of Plains AAP, L.P. as of March 31, 2006);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July 14, 2006 (pro forma financial statements);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July 20, 2006 (amendment to Pacific merger agreement);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July 25, 2006 (entry into direct placement unit purchase agreement);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August 4, 2006 (entry into amended and restated credit agreement and bridge loan agreement);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August 23, 2006 (LTIP grants to audit committee members);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August 24, 2006 (pro forma financial statements);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August 25, 2006 (execution of eighth supplemental indenture); and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Current Report on Form 8-K filed with the Commission on August 28, 2006 (unaudited balance sheet of Plains AAP, L.P. as of June 30, 2006).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 </w:t>
      </w:r>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66"/>
        <w:gridCol w:w="9538"/>
      </w:tblGrid>
      <w:tr>
        <w:trPr/>
        <w:tc>
          <w:tcPr>
            <w:tcW w:w="40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success of our risk management activities;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2"/>
        <w:gridCol w:w="9547"/>
      </w:tblGrid>
      <w:tr>
        <w:trPr/>
        <w:tc>
          <w:tcPr>
            <w:tcW w:w="39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declines in volumes shipped on the Basin Pipeline, Capline Pipeline and our other pipelines by us and third party shippers;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demand for natural gas or various grades of crude oil and resulting changes in pricing conditions or transmission throughput requirements;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fluctuations in refinery capacity in areas supplied by our transmission lines;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successful integration and future performance of acquired assets or businesses and the risks associated with operating in lines of business that are distinct and separate from our historical operations;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effects of competition;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continued creditworthiness of, and performance by, our counterparties;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interruptions in service and fluctuations in rates of third party pipelines;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increased costs or lack of availability of insurance;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currency exchange rate of the Canadian dollar;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impact of crude oil and natural gas price fluctuations;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shortages or cost increases of power supplies, materials or labor;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general economic, market or business conditions;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risks related to the development and operation of natural gas storage facilities;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other factors and uncertainties inherent in the marketing, transportation, terminalling, gathering and storage of crude oil and liquefied petroleum gas.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4 of this prospectus, in Item 1A. Risk Factors in our annual report on Form 10-K for the year ended December 31, 2005 and in Item 1a. Risk Factors in our quarterly report on Form 10-Q, as amended, for the quarter ended June 30, 2006.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ANNEX A</w:t>
      </w:r>
      <w:r>
        <w:rPr>
          <w:rFonts w:ascii="Arial;Helvetica" w:hAnsi="Arial;Helvetica"/>
          <w:color w:val="000000"/>
          <w:sz w:val="17"/>
          <w:highlight w:val="white"/>
        </w:rPr>
        <w:t xml:space="preserve"> </w:t>
      </w:r>
    </w:p>
    <w:p>
      <w:pPr>
        <w:pStyle w:val="TextBody"/>
        <w:spacing w:before="80" w:after="283"/>
        <w:rPr/>
      </w:pPr>
      <w:bookmarkStart w:id="15" w:name="113"/>
      <w:bookmarkEnd w:id="15"/>
      <w:r>
        <w:rPr/>
        <w:t> </w:t>
      </w:r>
    </w:p>
    <w:p>
      <w:pPr>
        <w:pStyle w:val="TextBody"/>
        <w:spacing w:before="0" w:after="0"/>
        <w:jc w:val="center"/>
        <w:rPr>
          <w:rFonts w:ascii="Arial;Helvetica" w:hAnsi="Arial;Helvetica"/>
          <w:color w:val="000000"/>
          <w:sz w:val="27"/>
          <w:highlight w:val="white"/>
        </w:rPr>
      </w:pPr>
      <w:r>
        <w:rPr>
          <w:rFonts w:ascii="Times New Roman;Times" w:hAnsi="Times New Roman;Times"/>
          <w:b/>
          <w:color w:val="000000"/>
          <w:sz w:val="27"/>
          <w:highlight w:val="white"/>
        </w:rPr>
        <w:t>LETTER OF TRANSMITTAL</w:t>
      </w:r>
      <w:r>
        <w:rPr>
          <w:rFonts w:ascii="Arial;Helvetica" w:hAnsi="Arial;Helvetica"/>
          <w:color w:val="000000"/>
          <w:sz w:val="2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TO TENDER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OUTSTANDING 6.70% SENIOR NOTES DUE 2036</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OF</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AND</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PURSUANT TO THE EXCHANGE OFFER AND PROSPECTUS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DATED          , 2006</w:t>
      </w:r>
      <w:r>
        <w:rPr>
          <w:rFonts w:ascii="Times New Roman;Times" w:hAnsi="Times New Roman;Times"/>
          <w:color w:val="000000"/>
          <w:sz w:val="17"/>
          <w:highlight w:val="white"/>
        </w:rPr>
        <w:t xml:space="preserve"> </w:t>
      </w:r>
    </w:p>
    <w:p>
      <w:pPr>
        <w:pStyle w:val="TextBody"/>
        <w:spacing w:before="20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 2006 (THE EXPIRATION DATE), UNLESS</w:t>
        <w:br/>
        <w:t>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20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U.S. Bank Corporate Trust Services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6.70% Senior Notes due 2036 (the outstanding notes) for an equal aggregate principal amount at maturity of new 6.70% Senior Notes due 2036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 2006 (the Prospectus), of Plains All American Pipeline, L.P. and PAA Finance Corp. (the Issuers), and this Letter of Transmittal (the Letter of Transmittal), which together describe the Issuers offer (the Exchange Offer) to exchange their 6.70% Senior Notes due 2036 (the New Notes) that have been registered under the Securities Act of 1933, as amended (the Securities Act), for a like principal amount of their issued and outstanding 6.70% Senior Notes due 2036 (the Outstanding Notes). Capitalized terms used but not defined herein have the respective meaning given to them in the Prospectus.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The Exchange Offer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your Outstanding Notes in the Exchange Offer, the Exchange Agent must receive, prior to the Expiration Date, an agents message under the ATOP procedures confirming that: </w:t>
      </w:r>
    </w:p>
    <w:p>
      <w:pPr>
        <w:pStyle w:val="TextBody"/>
        <w:spacing w:before="4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DTC has received your instructions to tender your Outstanding Notes; and </w:t>
      </w:r>
    </w:p>
    <w:p>
      <w:pPr>
        <w:pStyle w:val="TextBody"/>
        <w:spacing w:before="4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You agree to be bound by the terms of this Letter of Transmittal. </w:t>
      </w:r>
    </w:p>
    <w:p>
      <w:pPr>
        <w:pStyle w:val="TextBody"/>
        <w:spacing w:before="4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SIGNATURES MUST BE PROVIDED</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PLEASE READ THE ACCOMPANYING INSTRUCTIONS CAREFULLY.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Ladies and Gentlemen: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May 12,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INSTRUCTIONS</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Arial;Helvetica" w:hAnsi="Arial;Helvetica"/>
          <w:color w:val="000000"/>
          <w:sz w:val="17"/>
          <w:highlight w:val="white"/>
        </w:rPr>
        <w:t xml:space="preserv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  Withdrawal of Tenders.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4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PART II</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INFORMATION NOT REQUIRED IN PROSPECTUS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18"/>
        <w:gridCol w:w="9287"/>
      </w:tblGrid>
      <w:tr>
        <w:trPr/>
        <w:tc>
          <w:tcPr>
            <w:tcW w:w="918" w:type="dxa"/>
            <w:tcBorders/>
            <w:shd w:fill="FFFFFF" w:val="clear"/>
            <w:vAlign w:val="center"/>
          </w:tcPr>
          <w:p>
            <w:pPr>
              <w:pStyle w:val="TableContents"/>
              <w:spacing w:before="0" w:after="283"/>
              <w:rPr>
                <w:sz w:val="4"/>
                <w:szCs w:val="4"/>
              </w:rPr>
            </w:pPr>
            <w:r>
              <w:rPr>
                <w:sz w:val="4"/>
                <w:szCs w:val="4"/>
              </w:rPr>
            </w:r>
          </w:p>
        </w:tc>
        <w:tc>
          <w:tcPr>
            <w:tcW w:w="9287" w:type="dxa"/>
            <w:tcBorders/>
            <w:shd w:fill="FFFFFF" w:val="clear"/>
            <w:vAlign w:val="center"/>
          </w:tcPr>
          <w:p>
            <w:pPr>
              <w:pStyle w:val="TableContents"/>
              <w:spacing w:before="0" w:after="283"/>
              <w:rPr>
                <w:sz w:val="4"/>
                <w:szCs w:val="4"/>
              </w:rPr>
            </w:pPr>
            <w:r>
              <w:rPr>
                <w:sz w:val="4"/>
                <w:szCs w:val="4"/>
              </w:rPr>
            </w:r>
          </w:p>
        </w:tc>
      </w:tr>
      <w:tr>
        <w:trPr/>
        <w:tc>
          <w:tcPr>
            <w:tcW w:w="918" w:type="dxa"/>
            <w:tcBorders/>
            <w:shd w:fill="FFFFFF" w:val="clear"/>
          </w:tcPr>
          <w:p>
            <w:pPr>
              <w:pStyle w:val="TableContents"/>
              <w:spacing w:before="0" w:after="283"/>
              <w:rPr/>
            </w:pPr>
            <w:r>
              <w:rPr>
                <w:rFonts w:ascii="Times New Roman;Times" w:hAnsi="Times New Roman;Times"/>
                <w:b/>
              </w:rPr>
              <w:t>Item 20.  </w:t>
            </w:r>
            <w:r>
              <w:rPr/>
              <w:t xml:space="preserve"> </w:t>
            </w:r>
          </w:p>
        </w:tc>
        <w:tc>
          <w:tcPr>
            <w:tcW w:w="9287" w:type="dxa"/>
            <w:tcBorders/>
            <w:shd w:fill="FFFFFF" w:val="clear"/>
          </w:tcPr>
          <w:p>
            <w:pPr>
              <w:pStyle w:val="TableContents"/>
              <w:spacing w:before="0" w:after="283"/>
              <w:rPr/>
            </w:pPr>
            <w:r>
              <w:rPr>
                <w:rFonts w:ascii="Times New Roman;Times" w:hAnsi="Times New Roman;Times"/>
                <w:b/>
                <w:i/>
              </w:rPr>
              <w:t>Indemnification of Officers and Directors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815"/>
        <w:gridCol w:w="9390"/>
      </w:tblGrid>
      <w:tr>
        <w:trPr/>
        <w:tc>
          <w:tcPr>
            <w:tcW w:w="815" w:type="dxa"/>
            <w:tcBorders/>
            <w:shd w:fill="FFFFFF" w:val="clear"/>
            <w:vAlign w:val="center"/>
          </w:tcPr>
          <w:p>
            <w:pPr>
              <w:pStyle w:val="TableContents"/>
              <w:spacing w:before="0" w:after="283"/>
              <w:rPr>
                <w:sz w:val="4"/>
                <w:szCs w:val="4"/>
              </w:rPr>
            </w:pPr>
            <w:r>
              <w:rPr>
                <w:sz w:val="4"/>
                <w:szCs w:val="4"/>
              </w:rPr>
            </w:r>
          </w:p>
        </w:tc>
        <w:tc>
          <w:tcPr>
            <w:tcW w:w="9390" w:type="dxa"/>
            <w:tcBorders/>
            <w:shd w:fill="FFFFFF" w:val="clear"/>
            <w:vAlign w:val="center"/>
          </w:tcPr>
          <w:p>
            <w:pPr>
              <w:pStyle w:val="TableContents"/>
              <w:spacing w:before="0" w:after="283"/>
              <w:rPr>
                <w:sz w:val="4"/>
                <w:szCs w:val="4"/>
              </w:rPr>
            </w:pPr>
            <w:r>
              <w:rPr>
                <w:sz w:val="4"/>
                <w:szCs w:val="4"/>
              </w:rPr>
            </w:r>
          </w:p>
        </w:tc>
      </w:tr>
      <w:tr>
        <w:trPr/>
        <w:tc>
          <w:tcPr>
            <w:tcW w:w="815" w:type="dxa"/>
            <w:tcBorders/>
            <w:shd w:fill="FFFFFF" w:val="clear"/>
          </w:tcPr>
          <w:p>
            <w:pPr>
              <w:pStyle w:val="TableContents"/>
              <w:spacing w:before="0" w:after="283"/>
              <w:rPr/>
            </w:pPr>
            <w:r>
              <w:rPr>
                <w:rFonts w:ascii="Times New Roman;Times" w:hAnsi="Times New Roman;Times"/>
                <w:b/>
              </w:rPr>
              <w:t>Item 21.  </w:t>
            </w:r>
            <w:r>
              <w:rPr/>
              <w:t xml:space="preserve"> </w:t>
            </w:r>
          </w:p>
        </w:tc>
        <w:tc>
          <w:tcPr>
            <w:tcW w:w="9390" w:type="dxa"/>
            <w:tcBorders/>
            <w:shd w:fill="FFFFFF" w:val="clear"/>
          </w:tcPr>
          <w:p>
            <w:pPr>
              <w:pStyle w:val="TableContents"/>
              <w:spacing w:before="0" w:after="283"/>
              <w:rPr/>
            </w:pPr>
            <w:r>
              <w:rPr>
                <w:rFonts w:ascii="Times New Roman;Times" w:hAnsi="Times New Roman;Times"/>
                <w:b/>
                <w:i/>
              </w:rPr>
              <w:t>Exhibits and Financial Statement Schedules</w:t>
            </w:r>
            <w:r>
              <w:rPr/>
              <w:t xml:space="preserve"> </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51"/>
        <w:gridCol w:w="328"/>
        <w:gridCol w:w="466"/>
        <w:gridCol w:w="126"/>
        <w:gridCol w:w="394"/>
        <w:gridCol w:w="126"/>
        <w:gridCol w:w="8514"/>
      </w:tblGrid>
      <w:tr>
        <w:trPr/>
        <w:tc>
          <w:tcPr>
            <w:tcW w:w="251" w:type="dxa"/>
            <w:tcBorders/>
            <w:shd w:fill="FFFFFF" w:val="clear"/>
            <w:vAlign w:val="bottom"/>
          </w:tcPr>
          <w:p>
            <w:pPr>
              <w:pStyle w:val="TableContents"/>
              <w:spacing w:before="0" w:after="283"/>
              <w:jc w:val="right"/>
              <w:rPr/>
            </w:pPr>
            <w:r>
              <w:rPr/>
              <w:t> </w:t>
            </w:r>
          </w:p>
        </w:tc>
        <w:tc>
          <w:tcPr>
            <w:tcW w:w="328" w:type="dxa"/>
            <w:tcBorders/>
            <w:shd w:fill="FFFFFF" w:val="clear"/>
            <w:vAlign w:val="bottom"/>
          </w:tcPr>
          <w:p>
            <w:pPr>
              <w:pStyle w:val="TableContents"/>
              <w:spacing w:before="0" w:after="283"/>
              <w:jc w:val="right"/>
              <w:rPr/>
            </w:pPr>
            <w:r>
              <w:rPr/>
              <w:t> </w:t>
            </w:r>
          </w:p>
        </w:tc>
        <w:tc>
          <w:tcPr>
            <w:tcW w:w="46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9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8514" w:type="dxa"/>
            <w:tcBorders/>
            <w:shd w:fill="FFFFFF" w:val="clear"/>
            <w:vAlign w:val="bottom"/>
          </w:tcPr>
          <w:p>
            <w:pPr>
              <w:pStyle w:val="TableContents"/>
              <w:spacing w:before="0" w:after="283"/>
              <w:rPr/>
            </w:pPr>
            <w:r>
              <w:rPr/>
              <w:t>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  </w:t>
            </w:r>
          </w:p>
        </w:tc>
        <w:tc>
          <w:tcPr>
            <w:tcW w:w="466"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pPr>
            <w:r>
              <w:rPr/>
              <w:t xml:space="preserve">  </w:t>
            </w:r>
          </w:p>
        </w:tc>
      </w:tr>
      <w:tr>
        <w:trPr/>
        <w:tc>
          <w:tcPr>
            <w:tcW w:w="251" w:type="dxa"/>
            <w:tcBorders/>
            <w:shd w:fill="FFFFFF" w:val="clear"/>
            <w:vAlign w:val="bottom"/>
          </w:tcPr>
          <w:p>
            <w:pPr>
              <w:pStyle w:val="TableContents"/>
              <w:spacing w:before="0" w:after="283"/>
              <w:rPr/>
            </w:pPr>
            <w:r>
              <w:rPr/>
              <w:t xml:space="preserve">  </w:t>
            </w:r>
          </w:p>
        </w:tc>
        <w:tc>
          <w:tcPr>
            <w:tcW w:w="328" w:type="dxa"/>
            <w:tcBorders/>
            <w:shd w:fill="FFFFFF" w:val="clear"/>
            <w:vAlign w:val="bottom"/>
          </w:tcPr>
          <w:p>
            <w:pPr>
              <w:pStyle w:val="TableContents"/>
              <w:spacing w:before="0" w:after="283"/>
              <w:rPr>
                <w:sz w:val="4"/>
                <w:szCs w:val="4"/>
              </w:rPr>
            </w:pPr>
            <w:r>
              <w:rPr>
                <w:sz w:val="4"/>
                <w:szCs w:val="4"/>
              </w:rPr>
            </w:r>
          </w:p>
        </w:tc>
        <w:tc>
          <w:tcPr>
            <w:tcW w:w="466" w:type="dxa"/>
            <w:tcBorders/>
            <w:shd w:fill="FFFFFF" w:val="clear"/>
            <w:vAlign w:val="bottom"/>
          </w:tcPr>
          <w:p>
            <w:pPr>
              <w:pStyle w:val="TableContents"/>
              <w:spacing w:before="0" w:after="283"/>
              <w:rPr>
                <w:sz w:val="4"/>
                <w:szCs w:val="4"/>
              </w:rPr>
            </w:pPr>
            <w:r>
              <w:rPr>
                <w:sz w:val="4"/>
                <w:szCs w:val="4"/>
              </w:rPr>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vAlign w:val="bottom"/>
          </w:tcPr>
          <w:p>
            <w:pPr>
              <w:pStyle w:val="TableContents"/>
              <w:spacing w:before="0" w:after="283"/>
              <w:rPr/>
            </w:pPr>
            <w:r>
              <w:rPr/>
              <w:t xml:space="preserv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.3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.4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.5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.6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.7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.8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.9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.10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5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8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Opinion of Vinson &amp; Elkins L.L.P. relating to tax matters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12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Ratio of Earnings to Fixed Charges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66"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Consent of Vinson &amp; Elkins L.L.P.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24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Powers of Attorney (included on the signature page of prior filing)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25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Form T-1 Statement of Eligibility and Qualification under the Trust Indenture Act of 1939 of the trustee under the Senior Indenture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63"/>
        <w:gridCol w:w="106"/>
        <w:gridCol w:w="9936"/>
      </w:tblGrid>
      <w:tr>
        <w:trPr/>
        <w:tc>
          <w:tcPr>
            <w:tcW w:w="163"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36" w:type="dxa"/>
            <w:tcBorders/>
            <w:shd w:fill="FFFFFF" w:val="clear"/>
            <w:vAlign w:val="center"/>
          </w:tcPr>
          <w:p>
            <w:pPr>
              <w:pStyle w:val="TableContents"/>
              <w:spacing w:before="0" w:after="283"/>
              <w:rPr>
                <w:sz w:val="4"/>
                <w:szCs w:val="4"/>
              </w:rPr>
            </w:pPr>
            <w:r>
              <w:rPr>
                <w:sz w:val="4"/>
                <w:szCs w:val="4"/>
              </w:rPr>
            </w:r>
          </w:p>
        </w:tc>
      </w:tr>
      <w:tr>
        <w:trPr/>
        <w:tc>
          <w:tcPr>
            <w:tcW w:w="163" w:type="dxa"/>
            <w:tcBorders/>
            <w:shd w:fill="FFFFFF" w:val="clear"/>
          </w:tcPr>
          <w:p>
            <w:pPr>
              <w:pStyle w:val="TableContents"/>
              <w:spacing w:before="0" w:after="283"/>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36" w:type="dxa"/>
            <w:tcBorders/>
            <w:shd w:fill="FFFFFF" w:val="clear"/>
            <w:vAlign w:val="bottom"/>
          </w:tcPr>
          <w:p>
            <w:pPr>
              <w:pStyle w:val="TableContents"/>
              <w:spacing w:before="0" w:after="283"/>
              <w:rPr/>
            </w:pPr>
            <w:r>
              <w:rPr/>
              <w:t>Previously filed.</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22.  </w:t>
            </w:r>
            <w:r>
              <w:rPr/>
              <w:t xml:space="preserve"> </w:t>
            </w:r>
          </w:p>
        </w:tc>
        <w:tc>
          <w:tcPr>
            <w:tcW w:w="9288" w:type="dxa"/>
            <w:tcBorders/>
            <w:shd w:fill="FFFFFF" w:val="clear"/>
          </w:tcPr>
          <w:p>
            <w:pPr>
              <w:pStyle w:val="TableContents"/>
              <w:spacing w:before="0" w:after="283"/>
              <w:rPr/>
            </w:pPr>
            <w:r>
              <w:rPr>
                <w:rFonts w:ascii="Times New Roman;Times" w:hAnsi="Times New Roman;Times"/>
                <w:b/>
                <w:i/>
              </w:rPr>
              <w:t>Undertakings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Insofar as indemnification for liabilities arising under the Securities Act of 1933 may be permitted to directors, officers and controlling persons of any Registrant, we have been advised that in the opinion of the Securities and Exchange Commission such indemnification is against public policy and is, therefore, unenforceable. In the event that a claim for indemnification against such liabilities (other than the payment by any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registrant hereby undertakes: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file, during any period in which offers or sales are being made, a post-effective amendment to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to include any prospectus required by section 10(a)(3) of the Securities Act of 1933;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to include any material information with respect to the plan of distribution not previously disclosed in the registration statement or any material change to such information in the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remove from registration by means of a post-effective amendment any of the securities being registered which remain unsold at the termination of the offering.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under the Securities Act of 1933 to any purchaser, if the registrants are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of the registrants under the Securities Act of 1933 to any purchaser in the initial distribution of the securities, in a primary offering of securities of the undersigned registrants pursuant to this registration statement, regardless of the underwriting method used to sell the securities to the purchaser, if the securities are offered or sold to such purchaser by means of any of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following communications, the undersigned registrants will be a seller to the purchaser and will be considered to offer or sell such securities to such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preliminary prospectus or prospectus of the undersigned registrants relating to the offering required to be filed pursuant to Rule 424;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free writing prospectus relating to the offering prepared by or on behalf of the undersigned registrants or used or referred to by the undersigned registrants;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the portion of any other free writing prospectus relating to the offering containing material information about the undersigned registrants or their securities provided by or on behalf of the undersigned registrants;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any other communication that is an offer in the offering made by the undersigned registrants to the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purposes of determining any liability under the Securities Act of 1933, each filing of a registrant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Act of 1933, each Registrant has duly caused this Registration Statement to be signed on its behalf by the undersigned, thereunto duly authorized, in the City of Houston, State of Texas on October 12, 2006.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AAP, L.P.,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All American GP LLC,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Chairman of the Board and</w:t>
              <w:b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PAA FINANCE CORP.</w:t>
      </w:r>
      <w:r>
        <w:rPr>
          <w:rFonts w:ascii="Times New Roman;Times" w:hAnsi="Times New Roman;Times"/>
          <w:color w:val="000000"/>
          <w:sz w:val="17"/>
          <w:highlight w:val="white"/>
        </w:rPr>
        <w:t xml:space="preserve">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8"/>
        <w:gridCol w:w="714"/>
        <w:gridCol w:w="4083"/>
      </w:tblGrid>
      <w:tr>
        <w:trPr/>
        <w:tc>
          <w:tcPr>
            <w:tcW w:w="540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8" w:type="dxa"/>
            <w:tcBorders/>
            <w:shd w:fill="FFFFFF" w:val="clear"/>
          </w:tcPr>
          <w:p>
            <w:pPr>
              <w:pStyle w:val="TableContents"/>
              <w:spacing w:before="0" w:after="283"/>
              <w:rPr/>
            </w:pPr>
            <w:r>
              <w:rPr/>
              <w:t> </w:t>
            </w:r>
          </w:p>
        </w:tc>
        <w:tc>
          <w:tcPr>
            <w:tcW w:w="714"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83"/>
        <w:gridCol w:w="312"/>
        <w:gridCol w:w="4910"/>
      </w:tblGrid>
      <w:tr>
        <w:trPr/>
        <w:tc>
          <w:tcPr>
            <w:tcW w:w="498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910" w:type="dxa"/>
            <w:tcBorders/>
            <w:shd w:fill="auto" w:val="clear"/>
            <w:vAlign w:val="center"/>
          </w:tcPr>
          <w:p>
            <w:pPr>
              <w:pStyle w:val="TableContents"/>
              <w:spacing w:before="0" w:after="283"/>
              <w:rPr>
                <w:sz w:val="4"/>
                <w:szCs w:val="4"/>
              </w:rPr>
            </w:pPr>
            <w:r>
              <w:rPr>
                <w:sz w:val="4"/>
                <w:szCs w:val="4"/>
              </w:rPr>
            </w:r>
          </w:p>
        </w:tc>
      </w:tr>
      <w:tr>
        <w:trPr/>
        <w:tc>
          <w:tcPr>
            <w:tcW w:w="4983" w:type="dxa"/>
            <w:tcBorders/>
            <w:shd w:fill="FFFFFF" w:val="clear"/>
          </w:tcPr>
          <w:p>
            <w:pPr>
              <w:pStyle w:val="TableContents"/>
              <w:spacing w:before="0" w:after="283"/>
              <w:rPr/>
            </w:pPr>
            <w:r>
              <w:rPr/>
              <w:t> </w:t>
            </w:r>
          </w:p>
        </w:tc>
        <w:tc>
          <w:tcPr>
            <w:tcW w:w="312" w:type="dxa"/>
            <w:tcBorders/>
            <w:shd w:fill="FFFFFF" w:val="clear"/>
          </w:tcPr>
          <w:p>
            <w:pPr>
              <w:pStyle w:val="TableContents"/>
              <w:spacing w:before="0" w:after="283"/>
              <w:rPr/>
            </w:pPr>
            <w:r>
              <w:rPr/>
              <w:t xml:space="preserve">By:  </w:t>
            </w:r>
          </w:p>
        </w:tc>
        <w:tc>
          <w:tcPr>
            <w:tcW w:w="4910" w:type="dxa"/>
            <w:tcBorders/>
            <w:shd w:fill="FFFFFF" w:val="clear"/>
          </w:tcPr>
          <w:p>
            <w:pPr>
              <w:pStyle w:val="TableContents"/>
              <w:spacing w:before="0" w:after="283"/>
              <w:jc w:val="left"/>
              <w:rPr/>
            </w:pPr>
            <w:r>
              <w:rPr/>
              <w:t xml:space="preserve">Plains Marketing GP Inc., its general partner </w:t>
            </w:r>
          </w:p>
        </w:tc>
      </w:tr>
    </w:tbl>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PIPELINE,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GP INC.</w:t>
      </w:r>
      <w:r>
        <w:rPr>
          <w:rFonts w:ascii="Times New Roman;Times" w:hAnsi="Times New Roman;Times"/>
          <w:color w:val="000000"/>
          <w:sz w:val="17"/>
          <w:highlight w:val="white"/>
        </w:rPr>
        <w:t xml:space="preserve">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CANADA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CANADA,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8"/>
        <w:gridCol w:w="328"/>
        <w:gridCol w:w="4919"/>
      </w:tblGrid>
      <w:tr>
        <w:trPr/>
        <w:tc>
          <w:tcPr>
            <w:tcW w:w="495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4919" w:type="dxa"/>
            <w:tcBorders/>
            <w:shd w:fill="auto" w:val="clear"/>
            <w:vAlign w:val="center"/>
          </w:tcPr>
          <w:p>
            <w:pPr>
              <w:pStyle w:val="TableContents"/>
              <w:spacing w:before="0" w:after="283"/>
              <w:rPr>
                <w:sz w:val="4"/>
                <w:szCs w:val="4"/>
              </w:rPr>
            </w:pPr>
            <w:r>
              <w:rPr>
                <w:sz w:val="4"/>
                <w:szCs w:val="4"/>
              </w:rPr>
            </w:r>
          </w:p>
        </w:tc>
      </w:tr>
      <w:tr>
        <w:trPr/>
        <w:tc>
          <w:tcPr>
            <w:tcW w:w="4958" w:type="dxa"/>
            <w:tcBorders/>
            <w:shd w:fill="FFFFFF" w:val="clear"/>
          </w:tcPr>
          <w:p>
            <w:pPr>
              <w:pStyle w:val="TableContents"/>
              <w:spacing w:before="0" w:after="283"/>
              <w:rPr/>
            </w:pPr>
            <w:r>
              <w:rPr/>
              <w:t> </w:t>
            </w:r>
          </w:p>
        </w:tc>
        <w:tc>
          <w:tcPr>
            <w:tcW w:w="328" w:type="dxa"/>
            <w:tcBorders/>
            <w:shd w:fill="FFFFFF" w:val="clear"/>
          </w:tcPr>
          <w:p>
            <w:pPr>
              <w:pStyle w:val="TableContents"/>
              <w:spacing w:before="0" w:after="283"/>
              <w:rPr/>
            </w:pPr>
            <w:r>
              <w:rPr/>
              <w:t xml:space="preserve">By:  </w:t>
            </w:r>
          </w:p>
        </w:tc>
        <w:tc>
          <w:tcPr>
            <w:tcW w:w="4919" w:type="dxa"/>
            <w:tcBorders/>
            <w:shd w:fill="FFFFFF" w:val="clear"/>
          </w:tcPr>
          <w:p>
            <w:pPr>
              <w:pStyle w:val="TableContents"/>
              <w:spacing w:before="0" w:after="283"/>
              <w:jc w:val="left"/>
              <w:rPr/>
            </w:pPr>
            <w:r>
              <w:rPr/>
              <w:t xml:space="preserve">PMC (Nova Scotia) Company, its general partner </w:t>
            </w:r>
          </w:p>
        </w:tc>
      </w:tr>
      <w:tr>
        <w:trPr/>
        <w:tc>
          <w:tcPr>
            <w:tcW w:w="4958" w:type="dxa"/>
            <w:tcBorders/>
            <w:shd w:fill="auto" w:val="clear"/>
            <w:vAlign w:val="center"/>
          </w:tcPr>
          <w:p>
            <w:pPr>
              <w:pStyle w:val="TableContents"/>
              <w:spacing w:before="0" w:after="283"/>
              <w:rPr/>
            </w:pPr>
            <w:r>
              <w:rPr/>
              <w:t> </w:t>
            </w:r>
          </w:p>
        </w:tc>
        <w:tc>
          <w:tcPr>
            <w:tcW w:w="5247" w:type="dxa"/>
            <w:gridSpan w:val="2"/>
            <w:tcBorders/>
            <w:shd w:fill="auto" w:val="clear"/>
          </w:tcPr>
          <w:p>
            <w:pPr>
              <w:pStyle w:val="TableContents"/>
              <w:spacing w:before="0" w:after="283"/>
              <w:rPr>
                <w:sz w:val="4"/>
                <w:szCs w:val="4"/>
              </w:rPr>
            </w:pPr>
            <w:r>
              <w:rPr>
                <w:sz w:val="4"/>
                <w:szCs w:val="4"/>
              </w:rPr>
            </w:r>
          </w:p>
        </w:tc>
      </w:tr>
      <w:tr>
        <w:trPr/>
        <w:tc>
          <w:tcPr>
            <w:tcW w:w="4958" w:type="dxa"/>
            <w:tcBorders/>
            <w:shd w:fill="FFFFFF" w:val="clear"/>
          </w:tcPr>
          <w:p>
            <w:pPr>
              <w:pStyle w:val="TableContents"/>
              <w:spacing w:before="0" w:after="283"/>
              <w:rPr/>
            </w:pPr>
            <w:r>
              <w:rPr/>
              <w:t> </w:t>
            </w:r>
          </w:p>
        </w:tc>
        <w:tc>
          <w:tcPr>
            <w:tcW w:w="328" w:type="dxa"/>
            <w:tcBorders/>
            <w:shd w:fill="FFFFFF" w:val="clear"/>
          </w:tcPr>
          <w:p>
            <w:pPr>
              <w:pStyle w:val="TableContents"/>
              <w:spacing w:before="0" w:after="283"/>
              <w:rPr/>
            </w:pPr>
            <w:r>
              <w:rPr/>
              <w:t xml:space="preserve">By:  </w:t>
            </w:r>
          </w:p>
        </w:tc>
        <w:tc>
          <w:tcPr>
            <w:tcW w:w="491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PMC (NOVA SCOTIA) COMPANY</w:t>
      </w:r>
      <w:r>
        <w:rPr>
          <w:rFonts w:ascii="Times New Roman;Times" w:hAnsi="Times New Roman;Times"/>
          <w:color w:val="000000"/>
          <w:sz w:val="17"/>
          <w:highlight w:val="white"/>
        </w:rPr>
        <w:t xml:space="preserve">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958"/>
        <w:gridCol w:w="328"/>
        <w:gridCol w:w="4919"/>
      </w:tblGrid>
      <w:tr>
        <w:trPr/>
        <w:tc>
          <w:tcPr>
            <w:tcW w:w="495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4919" w:type="dxa"/>
            <w:tcBorders/>
            <w:shd w:fill="auto" w:val="clear"/>
            <w:vAlign w:val="center"/>
          </w:tcPr>
          <w:p>
            <w:pPr>
              <w:pStyle w:val="TableContents"/>
              <w:spacing w:before="0" w:after="283"/>
              <w:rPr>
                <w:sz w:val="4"/>
                <w:szCs w:val="4"/>
              </w:rPr>
            </w:pPr>
            <w:r>
              <w:rPr>
                <w:sz w:val="4"/>
                <w:szCs w:val="4"/>
              </w:rPr>
            </w:r>
          </w:p>
        </w:tc>
      </w:tr>
      <w:tr>
        <w:trPr/>
        <w:tc>
          <w:tcPr>
            <w:tcW w:w="4958" w:type="dxa"/>
            <w:tcBorders/>
            <w:shd w:fill="FFFFFF" w:val="clear"/>
          </w:tcPr>
          <w:p>
            <w:pPr>
              <w:pStyle w:val="TableContents"/>
              <w:spacing w:before="0" w:after="283"/>
              <w:rPr/>
            </w:pPr>
            <w:r>
              <w:rPr/>
              <w:t> </w:t>
            </w:r>
          </w:p>
        </w:tc>
        <w:tc>
          <w:tcPr>
            <w:tcW w:w="328" w:type="dxa"/>
            <w:tcBorders/>
            <w:shd w:fill="FFFFFF" w:val="clear"/>
          </w:tcPr>
          <w:p>
            <w:pPr>
              <w:pStyle w:val="TableContents"/>
              <w:spacing w:before="0" w:after="283"/>
              <w:rPr/>
            </w:pPr>
            <w:r>
              <w:rPr/>
              <w:t xml:space="preserve">By:  </w:t>
            </w:r>
          </w:p>
        </w:tc>
        <w:tc>
          <w:tcPr>
            <w:tcW w:w="491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BASIN HOLDINGS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Pipeline, L.P., its sole member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BASIN PIPELINE HOLDINGS,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Basin Holdings GP LLC,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Pipeline, L.P., its sole member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RANCHO HOLDINGS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Pipeline, L.P., its sole member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RANCHO PIPELINE HOLDINGS,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77"/>
        <w:gridCol w:w="312"/>
        <w:gridCol w:w="5316"/>
      </w:tblGrid>
      <w:tr>
        <w:trPr/>
        <w:tc>
          <w:tcPr>
            <w:tcW w:w="457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16" w:type="dxa"/>
            <w:tcBorders/>
            <w:shd w:fill="auto" w:val="clear"/>
            <w:vAlign w:val="center"/>
          </w:tcPr>
          <w:p>
            <w:pPr>
              <w:pStyle w:val="TableContents"/>
              <w:spacing w:before="0" w:after="283"/>
              <w:rPr>
                <w:sz w:val="4"/>
                <w:szCs w:val="4"/>
              </w:rPr>
            </w:pPr>
            <w:r>
              <w:rPr>
                <w:sz w:val="4"/>
                <w:szCs w:val="4"/>
              </w:rPr>
            </w:r>
          </w:p>
        </w:tc>
      </w:tr>
      <w:tr>
        <w:trPr/>
        <w:tc>
          <w:tcPr>
            <w:tcW w:w="4577" w:type="dxa"/>
            <w:tcBorders/>
            <w:shd w:fill="FFFFFF" w:val="clear"/>
          </w:tcPr>
          <w:p>
            <w:pPr>
              <w:pStyle w:val="TableContents"/>
              <w:spacing w:before="0" w:after="283"/>
              <w:rPr/>
            </w:pPr>
            <w:r>
              <w:rPr/>
              <w:t> </w:t>
            </w:r>
          </w:p>
        </w:tc>
        <w:tc>
          <w:tcPr>
            <w:tcW w:w="312" w:type="dxa"/>
            <w:tcBorders/>
            <w:shd w:fill="FFFFFF" w:val="clear"/>
          </w:tcPr>
          <w:p>
            <w:pPr>
              <w:pStyle w:val="TableContents"/>
              <w:spacing w:before="0" w:after="283"/>
              <w:rPr/>
            </w:pPr>
            <w:r>
              <w:rPr/>
              <w:t xml:space="preserve">By:  </w:t>
            </w:r>
          </w:p>
        </w:tc>
        <w:tc>
          <w:tcPr>
            <w:tcW w:w="5316" w:type="dxa"/>
            <w:tcBorders/>
            <w:shd w:fill="FFFFFF" w:val="clear"/>
          </w:tcPr>
          <w:p>
            <w:pPr>
              <w:pStyle w:val="TableContents"/>
              <w:spacing w:before="0" w:after="283"/>
              <w:jc w:val="left"/>
              <w:rPr/>
            </w:pPr>
            <w:r>
              <w:rPr/>
              <w:t xml:space="preserve">Rancho Holdings GP LLC, its general partner </w:t>
            </w:r>
          </w:p>
        </w:tc>
      </w:tr>
    </w:tbl>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51"/>
        <w:gridCol w:w="327"/>
        <w:gridCol w:w="5327"/>
      </w:tblGrid>
      <w:tr>
        <w:trPr/>
        <w:tc>
          <w:tcPr>
            <w:tcW w:w="455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327" w:type="dxa"/>
            <w:tcBorders/>
            <w:shd w:fill="auto" w:val="clear"/>
            <w:vAlign w:val="center"/>
          </w:tcPr>
          <w:p>
            <w:pPr>
              <w:pStyle w:val="TableContents"/>
              <w:spacing w:before="0" w:after="283"/>
              <w:rPr>
                <w:sz w:val="4"/>
                <w:szCs w:val="4"/>
              </w:rPr>
            </w:pPr>
            <w:r>
              <w:rPr>
                <w:sz w:val="4"/>
                <w:szCs w:val="4"/>
              </w:rPr>
            </w:r>
          </w:p>
        </w:tc>
      </w:tr>
      <w:tr>
        <w:trPr/>
        <w:tc>
          <w:tcPr>
            <w:tcW w:w="4551" w:type="dxa"/>
            <w:tcBorders/>
            <w:shd w:fill="FFFFFF" w:val="clear"/>
          </w:tcPr>
          <w:p>
            <w:pPr>
              <w:pStyle w:val="TableContents"/>
              <w:spacing w:before="0" w:after="283"/>
              <w:rPr/>
            </w:pPr>
            <w:r>
              <w:rPr/>
              <w:t> </w:t>
            </w:r>
          </w:p>
        </w:tc>
        <w:tc>
          <w:tcPr>
            <w:tcW w:w="327" w:type="dxa"/>
            <w:tcBorders/>
            <w:shd w:fill="FFFFFF" w:val="clear"/>
          </w:tcPr>
          <w:p>
            <w:pPr>
              <w:pStyle w:val="TableContents"/>
              <w:spacing w:before="0" w:after="283"/>
              <w:rPr/>
            </w:pPr>
            <w:r>
              <w:rPr/>
              <w:t xml:space="preserve">By:  </w:t>
            </w:r>
          </w:p>
        </w:tc>
        <w:tc>
          <w:tcPr>
            <w:tcW w:w="5327" w:type="dxa"/>
            <w:tcBorders/>
            <w:shd w:fill="FFFFFF" w:val="clear"/>
          </w:tcPr>
          <w:p>
            <w:pPr>
              <w:pStyle w:val="TableContents"/>
              <w:spacing w:before="0" w:after="283"/>
              <w:jc w:val="left"/>
              <w:rPr/>
            </w:pPr>
            <w:r>
              <w:rPr/>
              <w:t xml:space="preserve">Plains Pipeline, L.P., its sole member </w:t>
            </w:r>
          </w:p>
        </w:tc>
      </w:tr>
    </w:tbl>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54"/>
        <w:gridCol w:w="322"/>
        <w:gridCol w:w="5329"/>
      </w:tblGrid>
      <w:tr>
        <w:trPr/>
        <w:tc>
          <w:tcPr>
            <w:tcW w:w="455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329" w:type="dxa"/>
            <w:tcBorders/>
            <w:shd w:fill="auto" w:val="clear"/>
            <w:vAlign w:val="cente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5329" w:type="dxa"/>
            <w:tcBorders/>
            <w:shd w:fill="FFFFFF" w:val="clear"/>
          </w:tcPr>
          <w:p>
            <w:pPr>
              <w:pStyle w:val="TableContents"/>
              <w:spacing w:before="0" w:after="283"/>
              <w:jc w:val="left"/>
              <w:rPr/>
            </w:pPr>
            <w:r>
              <w:rPr/>
              <w:t xml:space="preserve">Plains Marketing GP Inc., its general partner </w:t>
            </w:r>
          </w:p>
        </w:tc>
      </w:tr>
      <w:tr>
        <w:trPr/>
        <w:tc>
          <w:tcPr>
            <w:tcW w:w="4554" w:type="dxa"/>
            <w:tcBorders/>
            <w:shd w:fill="auto" w:val="clear"/>
            <w:vAlign w:val="center"/>
          </w:tcPr>
          <w:p>
            <w:pPr>
              <w:pStyle w:val="TableContents"/>
              <w:spacing w:before="0" w:after="283"/>
              <w:rPr/>
            </w:pPr>
            <w:r>
              <w:rPr/>
              <w:t> </w:t>
            </w:r>
          </w:p>
        </w:tc>
        <w:tc>
          <w:tcPr>
            <w:tcW w:w="5651" w:type="dxa"/>
            <w:gridSpan w:val="2"/>
            <w:tcBorders/>
            <w:shd w:fill="auto" w:val="clea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5329"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4898"/>
        <w:gridCol w:w="611"/>
        <w:gridCol w:w="4696"/>
      </w:tblGrid>
      <w:tr>
        <w:trPr/>
        <w:tc>
          <w:tcPr>
            <w:tcW w:w="489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Title:  </w:t>
            </w:r>
          </w:p>
        </w:tc>
        <w:tc>
          <w:tcPr>
            <w:tcW w:w="4696"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LPG SERVICES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47"/>
        <w:gridCol w:w="325"/>
        <w:gridCol w:w="5333"/>
      </w:tblGrid>
      <w:tr>
        <w:trPr/>
        <w:tc>
          <w:tcPr>
            <w:tcW w:w="454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5333" w:type="dxa"/>
            <w:tcBorders/>
            <w:shd w:fill="auto" w:val="clear"/>
            <w:vAlign w:val="cente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283"/>
              <w:jc w:val="left"/>
              <w:rPr/>
            </w:pPr>
            <w:r>
              <w:rPr/>
              <w:t xml:space="preserve">Plains Marketing, L.P., its sole member </w:t>
            </w:r>
          </w:p>
        </w:tc>
      </w:tr>
      <w:tr>
        <w:trPr/>
        <w:tc>
          <w:tcPr>
            <w:tcW w:w="4547" w:type="dxa"/>
            <w:tcBorders/>
            <w:shd w:fill="auto" w:val="clear"/>
            <w:vAlign w:val="center"/>
          </w:tcPr>
          <w:p>
            <w:pPr>
              <w:pStyle w:val="TableContents"/>
              <w:spacing w:before="0" w:after="283"/>
              <w:rPr/>
            </w:pPr>
            <w:r>
              <w:rPr/>
              <w:t> </w:t>
            </w:r>
          </w:p>
        </w:tc>
        <w:tc>
          <w:tcPr>
            <w:tcW w:w="5658" w:type="dxa"/>
            <w:gridSpan w:val="2"/>
            <w:tcBorders/>
            <w:shd w:fill="auto" w:val="clea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283"/>
              <w:jc w:val="left"/>
              <w:rPr/>
            </w:pPr>
            <w:r>
              <w:rPr/>
              <w:t xml:space="preserve">Plains Marketing GP Inc., its general partner </w:t>
            </w:r>
          </w:p>
        </w:tc>
      </w:tr>
      <w:tr>
        <w:trPr/>
        <w:tc>
          <w:tcPr>
            <w:tcW w:w="4547" w:type="dxa"/>
            <w:tcBorders/>
            <w:shd w:fill="auto" w:val="clear"/>
            <w:vAlign w:val="center"/>
          </w:tcPr>
          <w:p>
            <w:pPr>
              <w:pStyle w:val="TableContents"/>
              <w:spacing w:before="0" w:after="283"/>
              <w:rPr/>
            </w:pPr>
            <w:r>
              <w:rPr/>
              <w:t> </w:t>
            </w:r>
          </w:p>
        </w:tc>
        <w:tc>
          <w:tcPr>
            <w:tcW w:w="5658" w:type="dxa"/>
            <w:gridSpan w:val="2"/>
            <w:tcBorders/>
            <w:shd w:fill="auto" w:val="clea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4898"/>
        <w:gridCol w:w="611"/>
        <w:gridCol w:w="4696"/>
      </w:tblGrid>
      <w:tr>
        <w:trPr/>
        <w:tc>
          <w:tcPr>
            <w:tcW w:w="489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Title:  </w:t>
            </w:r>
          </w:p>
        </w:tc>
        <w:tc>
          <w:tcPr>
            <w:tcW w:w="4696"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LPG SERVICES,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47"/>
        <w:gridCol w:w="325"/>
        <w:gridCol w:w="5333"/>
      </w:tblGrid>
      <w:tr>
        <w:trPr/>
        <w:tc>
          <w:tcPr>
            <w:tcW w:w="454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5333" w:type="dxa"/>
            <w:tcBorders/>
            <w:shd w:fill="auto" w:val="clear"/>
            <w:vAlign w:val="cente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283"/>
              <w:jc w:val="left"/>
              <w:rPr/>
            </w:pPr>
            <w:r>
              <w:rPr/>
              <w:t xml:space="preserve">Plains LPG Services GP LLC, its general partner </w:t>
            </w:r>
          </w:p>
        </w:tc>
      </w:tr>
      <w:tr>
        <w:trPr/>
        <w:tc>
          <w:tcPr>
            <w:tcW w:w="4547" w:type="dxa"/>
            <w:tcBorders/>
            <w:shd w:fill="auto" w:val="clear"/>
            <w:vAlign w:val="center"/>
          </w:tcPr>
          <w:p>
            <w:pPr>
              <w:pStyle w:val="TableContents"/>
              <w:spacing w:before="0" w:after="283"/>
              <w:rPr/>
            </w:pPr>
            <w:r>
              <w:rPr/>
              <w:t> </w:t>
            </w:r>
          </w:p>
        </w:tc>
        <w:tc>
          <w:tcPr>
            <w:tcW w:w="5658" w:type="dxa"/>
            <w:gridSpan w:val="2"/>
            <w:tcBorders/>
            <w:shd w:fill="auto" w:val="clea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283"/>
              <w:jc w:val="left"/>
              <w:rPr/>
            </w:pPr>
            <w:r>
              <w:rPr/>
              <w:t xml:space="preserve">Plains Marketing, L.P., its sole member </w:t>
            </w:r>
          </w:p>
        </w:tc>
      </w:tr>
      <w:tr>
        <w:trPr/>
        <w:tc>
          <w:tcPr>
            <w:tcW w:w="4547" w:type="dxa"/>
            <w:tcBorders/>
            <w:shd w:fill="auto" w:val="clear"/>
            <w:vAlign w:val="center"/>
          </w:tcPr>
          <w:p>
            <w:pPr>
              <w:pStyle w:val="TableContents"/>
              <w:spacing w:before="0" w:after="283"/>
              <w:rPr/>
            </w:pPr>
            <w:r>
              <w:rPr/>
              <w:t> </w:t>
            </w:r>
          </w:p>
        </w:tc>
        <w:tc>
          <w:tcPr>
            <w:tcW w:w="5658" w:type="dxa"/>
            <w:gridSpan w:val="2"/>
            <w:tcBorders/>
            <w:shd w:fill="auto" w:val="clea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283"/>
              <w:jc w:val="left"/>
              <w:rPr/>
            </w:pPr>
            <w:r>
              <w:rPr/>
              <w:t xml:space="preserve">Plains Marketing GP Inc., its general partner </w:t>
            </w:r>
          </w:p>
        </w:tc>
      </w:tr>
      <w:tr>
        <w:trPr/>
        <w:tc>
          <w:tcPr>
            <w:tcW w:w="4547" w:type="dxa"/>
            <w:tcBorders/>
            <w:shd w:fill="auto" w:val="clear"/>
            <w:vAlign w:val="center"/>
          </w:tcPr>
          <w:p>
            <w:pPr>
              <w:pStyle w:val="TableContents"/>
              <w:spacing w:before="0" w:after="283"/>
              <w:rPr/>
            </w:pPr>
            <w:r>
              <w:rPr/>
              <w:t> </w:t>
            </w:r>
          </w:p>
        </w:tc>
        <w:tc>
          <w:tcPr>
            <w:tcW w:w="5658" w:type="dxa"/>
            <w:gridSpan w:val="2"/>
            <w:tcBorders/>
            <w:shd w:fill="auto" w:val="clea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4898"/>
        <w:gridCol w:w="611"/>
        <w:gridCol w:w="4696"/>
      </w:tblGrid>
      <w:tr>
        <w:trPr/>
        <w:tc>
          <w:tcPr>
            <w:tcW w:w="489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Title:  </w:t>
            </w:r>
          </w:p>
        </w:tc>
        <w:tc>
          <w:tcPr>
            <w:tcW w:w="4696"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LONE STAR TRUCKING,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LPG Services,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LPG Services GP LLC,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INTERNATIONAL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INTERNATIONAL,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78"/>
        <w:gridCol w:w="313"/>
        <w:gridCol w:w="4914"/>
      </w:tblGrid>
      <w:tr>
        <w:trPr/>
        <w:tc>
          <w:tcPr>
            <w:tcW w:w="497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4914" w:type="dxa"/>
            <w:tcBorders/>
            <w:shd w:fill="auto" w:val="clear"/>
            <w:vAlign w:val="cente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283"/>
              <w:jc w:val="left"/>
              <w:rPr/>
            </w:pPr>
            <w:r>
              <w:rPr/>
              <w:t xml:space="preserve">Plains Marketing International GP LLC, its general partner </w:t>
            </w:r>
          </w:p>
        </w:tc>
      </w:tr>
      <w:tr>
        <w:trPr/>
        <w:tc>
          <w:tcPr>
            <w:tcW w:w="4978" w:type="dxa"/>
            <w:tcBorders/>
            <w:shd w:fill="auto" w:val="clear"/>
            <w:vAlign w:val="center"/>
          </w:tcPr>
          <w:p>
            <w:pPr>
              <w:pStyle w:val="TableContents"/>
              <w:spacing w:before="0" w:after="283"/>
              <w:rPr/>
            </w:pPr>
            <w:r>
              <w:rPr/>
              <w:t> </w:t>
            </w:r>
          </w:p>
        </w:tc>
        <w:tc>
          <w:tcPr>
            <w:tcW w:w="5227" w:type="dxa"/>
            <w:gridSpan w:val="2"/>
            <w:tcBorders/>
            <w:shd w:fill="auto" w:val="clea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283"/>
              <w:jc w:val="left"/>
              <w:rPr/>
            </w:pPr>
            <w:r>
              <w:rPr/>
              <w:t xml:space="preserve">Plains Marketing, L.P., its sole member </w:t>
            </w:r>
          </w:p>
        </w:tc>
      </w:tr>
      <w:tr>
        <w:trPr/>
        <w:tc>
          <w:tcPr>
            <w:tcW w:w="4978" w:type="dxa"/>
            <w:tcBorders/>
            <w:shd w:fill="auto" w:val="clear"/>
            <w:vAlign w:val="center"/>
          </w:tcPr>
          <w:p>
            <w:pPr>
              <w:pStyle w:val="TableContents"/>
              <w:spacing w:before="0" w:after="283"/>
              <w:rPr/>
            </w:pPr>
            <w:r>
              <w:rPr/>
              <w:t> </w:t>
            </w:r>
          </w:p>
        </w:tc>
        <w:tc>
          <w:tcPr>
            <w:tcW w:w="5227" w:type="dxa"/>
            <w:gridSpan w:val="2"/>
            <w:tcBorders/>
            <w:shd w:fill="auto" w:val="clea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283"/>
              <w:jc w:val="left"/>
              <w:rPr/>
            </w:pPr>
            <w:r>
              <w:rPr/>
              <w:t xml:space="preserve">Plains Marketing GP Inc., its general partner </w:t>
            </w:r>
          </w:p>
        </w:tc>
      </w:tr>
      <w:tr>
        <w:trPr/>
        <w:tc>
          <w:tcPr>
            <w:tcW w:w="4978" w:type="dxa"/>
            <w:tcBorders/>
            <w:shd w:fill="auto" w:val="clear"/>
            <w:vAlign w:val="center"/>
          </w:tcPr>
          <w:p>
            <w:pPr>
              <w:pStyle w:val="TableContents"/>
              <w:spacing w:before="0" w:after="283"/>
              <w:rPr/>
            </w:pPr>
            <w:r>
              <w:rPr/>
              <w:t> </w:t>
            </w:r>
          </w:p>
        </w:tc>
        <w:tc>
          <w:tcPr>
            <w:tcW w:w="5227" w:type="dxa"/>
            <w:gridSpan w:val="2"/>
            <w:tcBorders/>
            <w:shd w:fill="auto" w:val="clea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LPG MARKETING,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LPG Services GP LLC,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Act of 1933, as amended, this registration statement has been signed below by the following persons in the capacities and on the dates indicated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GP LLC., as the general partner of PLAINS AAP, L.P., as the general partner of PLAINS ALL AMERICAN PIPELINE,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06"/>
        <w:gridCol w:w="101"/>
        <w:gridCol w:w="3879"/>
        <w:gridCol w:w="306"/>
        <w:gridCol w:w="3776"/>
        <w:gridCol w:w="306"/>
        <w:gridCol w:w="1531"/>
      </w:tblGrid>
      <w:tr>
        <w:trPr/>
        <w:tc>
          <w:tcPr>
            <w:tcW w:w="306"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3776"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531" w:type="dxa"/>
            <w:tcBorders/>
            <w:shd w:fill="FFFFFF" w:val="clear"/>
            <w:vAlign w:val="bottom"/>
          </w:tcPr>
          <w:p>
            <w:pPr>
              <w:pStyle w:val="TableContents"/>
              <w:spacing w:before="0" w:after="283"/>
              <w:rPr/>
            </w:pPr>
            <w:r>
              <w:rPr/>
              <w:t> </w:t>
            </w:r>
          </w:p>
        </w:tc>
      </w:tr>
      <w:tr>
        <w:trPr/>
        <w:tc>
          <w:tcPr>
            <w:tcW w:w="4286"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306" w:type="dxa"/>
            <w:tcBorders/>
            <w:shd w:fill="FFFFFF" w:val="clear"/>
            <w:vAlign w:val="bottom"/>
          </w:tcPr>
          <w:p>
            <w:pPr>
              <w:pStyle w:val="TableContents"/>
              <w:spacing w:before="0" w:after="283"/>
              <w:jc w:val="center"/>
              <w:rPr/>
            </w:pPr>
            <w:r>
              <w:rPr/>
              <w:t xml:space="preserve">  </w:t>
            </w:r>
          </w:p>
        </w:tc>
        <w:tc>
          <w:tcPr>
            <w:tcW w:w="3776"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306" w:type="dxa"/>
            <w:tcBorders/>
            <w:shd w:fill="FFFFFF" w:val="clear"/>
            <w:vAlign w:val="bottom"/>
          </w:tcPr>
          <w:p>
            <w:pPr>
              <w:pStyle w:val="TableContents"/>
              <w:spacing w:before="0" w:after="283"/>
              <w:jc w:val="center"/>
              <w:rPr/>
            </w:pPr>
            <w:r>
              <w:rPr/>
              <w:t xml:space="preserve">  </w:t>
            </w:r>
          </w:p>
        </w:tc>
        <w:tc>
          <w:tcPr>
            <w:tcW w:w="1531"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306" w:type="dxa"/>
            <w:tcBorders/>
            <w:shd w:fill="FFFFFF" w:val="clear"/>
            <w:vAlign w:val="center"/>
          </w:tcPr>
          <w:p>
            <w:pPr>
              <w:pStyle w:val="TableContents"/>
              <w:spacing w:before="0" w:after="283"/>
              <w:rPr/>
            </w:pPr>
            <w:r>
              <w:rPr/>
              <w:t xml:space="preserve">  </w:t>
            </w:r>
          </w:p>
        </w:tc>
        <w:tc>
          <w:tcPr>
            <w:tcW w:w="9899" w:type="dxa"/>
            <w:gridSpan w:val="6"/>
            <w:tcBorders/>
            <w:shd w:fill="FFFFFF" w:val="clear"/>
          </w:tcPr>
          <w:p>
            <w:pPr>
              <w:pStyle w:val="TableContents"/>
              <w:spacing w:before="0" w:after="283"/>
              <w:rPr>
                <w:sz w:val="4"/>
                <w:szCs w:val="4"/>
              </w:rPr>
            </w:pPr>
            <w:r>
              <w:rPr>
                <w:sz w:val="4"/>
                <w:szCs w:val="4"/>
              </w:rPr>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Chairman of the Board, Chief Executive Officer and Director </w:t>
              <w:br/>
              <w:t xml:space="preserve">(Principal Executive Officer)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Executive Vice President and</w:t>
              <w:br/>
              <w:t xml:space="preserve">Chief Financial Officer </w:t>
              <w:br/>
              <w:t xml:space="preserve">(Principal Financial Officer)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Vice President  Accounting and</w:t>
              <w:br/>
              <w:t>Chief Accounting Officer</w:t>
              <w:br/>
              <w:t xml:space="preserve">(Principal Accounting Officer)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David N. Capobianco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Everardo Goyanes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Gary R. Petersen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Robert V. Sinnott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Arthur L. Smith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J. Taft Symonds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306"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306" w:type="dxa"/>
            <w:tcBorders/>
            <w:shd w:fill="FFFFFF" w:val="clear"/>
          </w:tcPr>
          <w:p>
            <w:pPr>
              <w:pStyle w:val="TableContents"/>
              <w:spacing w:before="0" w:after="283"/>
              <w:jc w:val="left"/>
              <w:rPr>
                <w:sz w:val="17"/>
              </w:rPr>
            </w:pPr>
            <w:r>
              <w:rPr>
                <w:sz w:val="17"/>
              </w:rPr>
              <w:t xml:space="preserve">* </w:t>
            </w:r>
          </w:p>
        </w:tc>
        <w:tc>
          <w:tcPr>
            <w:tcW w:w="101"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Tim Moore</w:t>
              <w:br/>
            </w:r>
            <w:r>
              <w:rPr>
                <w:i/>
                <w:sz w:val="17"/>
              </w:rPr>
              <w:t>Attorney-in-Fact</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GP INC., for itself and as the general partner of (1) PLAINS MARKETING, L.P., which is the sole member of each of PLAINS MARKETING CANADA LLC; PLAINS LPG SERVICES GP LLC, the general partner of each of PLAINS LPG MARKETING, L.P. and PLAINS LPG SERVICES, L.P., the sole member of LONE STAR TRUCKING, LLC; and PLAINS MARKETING INTERNATIONAL GP LLC, the general partner of PLAINS MARKETING INTERNATIONAL, L.P., and (2) PLAINS PIPELINE, L.P., which is the sole member of each of BASIN HOLDINGS GP LLC, the general partner of BASIN PIPELINE HOLDINGS, L.P. and RANCHO HOLDINGS GP LLC, the general partner of RANCHO PIPELINE HOLDINGS,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94"/>
        <w:gridCol w:w="360"/>
        <w:gridCol w:w="2802"/>
        <w:gridCol w:w="252"/>
        <w:gridCol w:w="3960"/>
        <w:gridCol w:w="252"/>
        <w:gridCol w:w="2085"/>
      </w:tblGrid>
      <w:tr>
        <w:trPr/>
        <w:tc>
          <w:tcPr>
            <w:tcW w:w="494"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283"/>
              <w:rPr/>
            </w:pPr>
            <w:r>
              <w:rPr/>
              <w:t> </w:t>
            </w:r>
          </w:p>
        </w:tc>
        <w:tc>
          <w:tcPr>
            <w:tcW w:w="2802"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rPr/>
            </w:pPr>
            <w:r>
              <w:rPr/>
              <w:t> </w:t>
            </w:r>
          </w:p>
        </w:tc>
        <w:tc>
          <w:tcPr>
            <w:tcW w:w="3960"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rPr/>
            </w:pPr>
            <w:r>
              <w:rPr/>
              <w:t> </w:t>
            </w:r>
          </w:p>
        </w:tc>
        <w:tc>
          <w:tcPr>
            <w:tcW w:w="2085" w:type="dxa"/>
            <w:tcBorders/>
            <w:shd w:fill="FFFFFF" w:val="clear"/>
            <w:vAlign w:val="bottom"/>
          </w:tcPr>
          <w:p>
            <w:pPr>
              <w:pStyle w:val="TableContents"/>
              <w:spacing w:before="0" w:after="283"/>
              <w:rPr/>
            </w:pPr>
            <w:r>
              <w:rPr/>
              <w:t> </w:t>
            </w:r>
          </w:p>
        </w:tc>
      </w:tr>
      <w:tr>
        <w:trPr/>
        <w:tc>
          <w:tcPr>
            <w:tcW w:w="3656"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252" w:type="dxa"/>
            <w:tcBorders/>
            <w:shd w:fill="FFFFFF" w:val="clear"/>
            <w:vAlign w:val="bottom"/>
          </w:tcPr>
          <w:p>
            <w:pPr>
              <w:pStyle w:val="TableContents"/>
              <w:spacing w:before="0" w:after="283"/>
              <w:jc w:val="center"/>
              <w:rPr/>
            </w:pPr>
            <w:r>
              <w:rPr/>
              <w:t xml:space="preserve">  </w:t>
            </w:r>
          </w:p>
        </w:tc>
        <w:tc>
          <w:tcPr>
            <w:tcW w:w="3960"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52" w:type="dxa"/>
            <w:tcBorders/>
            <w:shd w:fill="FFFFFF" w:val="clear"/>
            <w:vAlign w:val="bottom"/>
          </w:tcPr>
          <w:p>
            <w:pPr>
              <w:pStyle w:val="TableContents"/>
              <w:spacing w:before="0" w:after="283"/>
              <w:jc w:val="center"/>
              <w:rPr/>
            </w:pPr>
            <w:r>
              <w:rPr/>
              <w:t xml:space="preserve">  </w:t>
            </w:r>
          </w:p>
        </w:tc>
        <w:tc>
          <w:tcPr>
            <w:tcW w:w="2085"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494" w:type="dxa"/>
            <w:tcBorders/>
            <w:shd w:fill="FFFFFF" w:val="clear"/>
            <w:vAlign w:val="center"/>
          </w:tcPr>
          <w:p>
            <w:pPr>
              <w:pStyle w:val="TableContents"/>
              <w:spacing w:before="0" w:after="283"/>
              <w:rPr/>
            </w:pPr>
            <w:r>
              <w:rPr/>
              <w:t xml:space="preserve">  </w:t>
            </w:r>
          </w:p>
        </w:tc>
        <w:tc>
          <w:tcPr>
            <w:tcW w:w="9711" w:type="dxa"/>
            <w:gridSpan w:val="6"/>
            <w:tcBorders/>
            <w:shd w:fill="FFFFFF" w:val="clear"/>
          </w:tcPr>
          <w:p>
            <w:pPr>
              <w:pStyle w:val="TableContents"/>
              <w:spacing w:before="0" w:after="283"/>
              <w:rPr>
                <w:sz w:val="4"/>
                <w:szCs w:val="4"/>
              </w:rPr>
            </w:pPr>
            <w:r>
              <w:rPr>
                <w:sz w:val="4"/>
                <w:szCs w:val="4"/>
              </w:rPr>
            </w:r>
          </w:p>
        </w:tc>
      </w:tr>
      <w:tr>
        <w:trPr/>
        <w:tc>
          <w:tcPr>
            <w:tcW w:w="365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tcPr>
          <w:p>
            <w:pPr>
              <w:pStyle w:val="TableContents"/>
              <w:spacing w:before="0" w:after="283"/>
              <w:jc w:val="center"/>
              <w:rPr>
                <w:sz w:val="17"/>
              </w:rPr>
            </w:pPr>
            <w:r>
              <w:rPr>
                <w:sz w:val="17"/>
              </w:rPr>
              <w:t xml:space="preserve">Chief Executive Officer and Director (Principal Executive Officer)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tcPr>
          <w:p>
            <w:pPr>
              <w:pStyle w:val="TableContents"/>
              <w:spacing w:before="0" w:after="283"/>
              <w:jc w:val="center"/>
              <w:rPr>
                <w:sz w:val="17"/>
              </w:rPr>
            </w:pPr>
            <w:r>
              <w:rPr>
                <w:sz w:val="17"/>
              </w:rPr>
              <w:t xml:space="preserve">October 12, 2006 </w:t>
            </w:r>
          </w:p>
        </w:tc>
      </w:tr>
      <w:tr>
        <w:trPr/>
        <w:tc>
          <w:tcPr>
            <w:tcW w:w="3656" w:type="dxa"/>
            <w:gridSpan w:val="3"/>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vAlign w:val="bottom"/>
          </w:tcPr>
          <w:p>
            <w:pPr>
              <w:pStyle w:val="TableContents"/>
              <w:spacing w:before="0" w:after="283"/>
              <w:rPr/>
            </w:pPr>
            <w:r>
              <w:rPr/>
              <w:t xml:space="preserve">  </w:t>
            </w:r>
          </w:p>
        </w:tc>
      </w:tr>
      <w:tr>
        <w:trPr/>
        <w:tc>
          <w:tcPr>
            <w:tcW w:w="365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N. Pefanis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tcPr>
          <w:p>
            <w:pPr>
              <w:pStyle w:val="TableContents"/>
              <w:spacing w:before="0" w:after="283"/>
              <w:jc w:val="center"/>
              <w:rPr>
                <w:sz w:val="17"/>
              </w:rPr>
            </w:pPr>
            <w:r>
              <w:rPr>
                <w:sz w:val="17"/>
              </w:rPr>
              <w:t xml:space="preserve">President, Chief Operating Officer and Director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tcPr>
          <w:p>
            <w:pPr>
              <w:pStyle w:val="TableContents"/>
              <w:spacing w:before="0" w:after="283"/>
              <w:jc w:val="center"/>
              <w:rPr>
                <w:sz w:val="17"/>
              </w:rPr>
            </w:pPr>
            <w:r>
              <w:rPr>
                <w:sz w:val="17"/>
              </w:rPr>
              <w:t xml:space="preserve">October 12, 2006 </w:t>
            </w:r>
          </w:p>
        </w:tc>
      </w:tr>
      <w:tr>
        <w:trPr/>
        <w:tc>
          <w:tcPr>
            <w:tcW w:w="3656" w:type="dxa"/>
            <w:gridSpan w:val="3"/>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vAlign w:val="bottom"/>
          </w:tcPr>
          <w:p>
            <w:pPr>
              <w:pStyle w:val="TableContents"/>
              <w:spacing w:before="0" w:after="283"/>
              <w:rPr/>
            </w:pPr>
            <w:r>
              <w:rPr/>
              <w:t xml:space="preserve">  </w:t>
            </w:r>
          </w:p>
        </w:tc>
      </w:tr>
      <w:tr>
        <w:trPr/>
        <w:tc>
          <w:tcPr>
            <w:tcW w:w="365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tcPr>
          <w:p>
            <w:pPr>
              <w:pStyle w:val="TableContents"/>
              <w:spacing w:before="0" w:after="283"/>
              <w:jc w:val="center"/>
              <w:rPr>
                <w:sz w:val="17"/>
              </w:rPr>
            </w:pPr>
            <w:r>
              <w:rPr>
                <w:sz w:val="17"/>
              </w:rPr>
              <w:t>Executive Vice President and</w:t>
              <w:br/>
              <w:t>Chief Financial Officer</w:t>
              <w:br/>
              <w:t xml:space="preserve">(Principal Financial Officer)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tcPr>
          <w:p>
            <w:pPr>
              <w:pStyle w:val="TableContents"/>
              <w:spacing w:before="0" w:after="283"/>
              <w:jc w:val="center"/>
              <w:rPr>
                <w:sz w:val="17"/>
              </w:rPr>
            </w:pPr>
            <w:r>
              <w:rPr>
                <w:sz w:val="17"/>
              </w:rPr>
              <w:t xml:space="preserve">October 12, 2006 </w:t>
            </w:r>
          </w:p>
        </w:tc>
      </w:tr>
      <w:tr>
        <w:trPr/>
        <w:tc>
          <w:tcPr>
            <w:tcW w:w="3656" w:type="dxa"/>
            <w:gridSpan w:val="3"/>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vAlign w:val="bottom"/>
          </w:tcPr>
          <w:p>
            <w:pPr>
              <w:pStyle w:val="TableContents"/>
              <w:spacing w:before="0" w:after="283"/>
              <w:rPr/>
            </w:pPr>
            <w:r>
              <w:rPr/>
              <w:t xml:space="preserve">  </w:t>
            </w:r>
          </w:p>
        </w:tc>
      </w:tr>
      <w:tr>
        <w:trPr/>
        <w:tc>
          <w:tcPr>
            <w:tcW w:w="365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tcPr>
          <w:p>
            <w:pPr>
              <w:pStyle w:val="TableContents"/>
              <w:spacing w:before="0" w:after="283"/>
              <w:jc w:val="center"/>
              <w:rPr>
                <w:sz w:val="17"/>
              </w:rPr>
            </w:pPr>
            <w:r>
              <w:rPr>
                <w:sz w:val="17"/>
              </w:rPr>
              <w:t>Vice President  Accounting and</w:t>
              <w:br/>
              <w:t>Chief Accounting Officer</w:t>
              <w:br/>
              <w:t xml:space="preserve">(Principal Accounting Officer)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tcPr>
          <w:p>
            <w:pPr>
              <w:pStyle w:val="TableContents"/>
              <w:spacing w:before="0" w:after="283"/>
              <w:jc w:val="center"/>
              <w:rPr>
                <w:sz w:val="17"/>
              </w:rPr>
            </w:pPr>
            <w:r>
              <w:rPr>
                <w:sz w:val="17"/>
              </w:rPr>
              <w:t xml:space="preserve">October 12, 2006 </w:t>
            </w:r>
          </w:p>
        </w:tc>
      </w:tr>
      <w:tr>
        <w:trPr/>
        <w:tc>
          <w:tcPr>
            <w:tcW w:w="3656" w:type="dxa"/>
            <w:gridSpan w:val="3"/>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vAlign w:val="bottom"/>
          </w:tcPr>
          <w:p>
            <w:pPr>
              <w:pStyle w:val="TableContents"/>
              <w:spacing w:before="0" w:after="283"/>
              <w:rPr/>
            </w:pPr>
            <w:r>
              <w:rPr/>
              <w:t xml:space="preserve">  </w:t>
            </w:r>
          </w:p>
        </w:tc>
      </w:tr>
      <w:tr>
        <w:trPr/>
        <w:tc>
          <w:tcPr>
            <w:tcW w:w="3656"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52" w:type="dxa"/>
            <w:tcBorders/>
            <w:shd w:fill="FFFFFF" w:val="clear"/>
            <w:vAlign w:val="bottom"/>
          </w:tcPr>
          <w:p>
            <w:pPr>
              <w:pStyle w:val="TableContents"/>
              <w:spacing w:before="0" w:after="283"/>
              <w:rPr/>
            </w:pPr>
            <w:r>
              <w:rPr/>
              <w:t xml:space="preserve">  </w:t>
            </w:r>
          </w:p>
        </w:tc>
        <w:tc>
          <w:tcPr>
            <w:tcW w:w="3960" w:type="dxa"/>
            <w:tcBorders/>
            <w:shd w:fill="FFFFFF" w:val="clear"/>
          </w:tcPr>
          <w:p>
            <w:pPr>
              <w:pStyle w:val="TableContents"/>
              <w:spacing w:before="0" w:after="283"/>
              <w:jc w:val="center"/>
              <w:rPr>
                <w:sz w:val="17"/>
              </w:rPr>
            </w:pPr>
            <w:r>
              <w:rPr>
                <w:sz w:val="17"/>
              </w:rPr>
              <w:t>Vice President, General Counsel,</w:t>
              <w:br/>
              <w:t xml:space="preserve">Secretary and Director </w:t>
            </w:r>
          </w:p>
        </w:tc>
        <w:tc>
          <w:tcPr>
            <w:tcW w:w="252" w:type="dxa"/>
            <w:tcBorders/>
            <w:shd w:fill="FFFFFF" w:val="clear"/>
            <w:vAlign w:val="bottom"/>
          </w:tcPr>
          <w:p>
            <w:pPr>
              <w:pStyle w:val="TableContents"/>
              <w:spacing w:before="0" w:after="283"/>
              <w:rPr/>
            </w:pPr>
            <w:r>
              <w:rPr/>
              <w:t xml:space="preserve">  </w:t>
            </w:r>
          </w:p>
        </w:tc>
        <w:tc>
          <w:tcPr>
            <w:tcW w:w="2085" w:type="dxa"/>
            <w:tcBorders/>
            <w:shd w:fill="FFFFFF" w:val="clear"/>
          </w:tcPr>
          <w:p>
            <w:pPr>
              <w:pStyle w:val="TableContents"/>
              <w:spacing w:before="0" w:after="283"/>
              <w:jc w:val="center"/>
              <w:rPr>
                <w:sz w:val="17"/>
              </w:rPr>
            </w:pPr>
            <w:r>
              <w:rPr>
                <w:sz w:val="17"/>
              </w:rPr>
              <w:t xml:space="preserve">October 12, 2006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PAA FINANCE CORP.</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06"/>
        <w:gridCol w:w="101"/>
        <w:gridCol w:w="3879"/>
        <w:gridCol w:w="306"/>
        <w:gridCol w:w="3776"/>
        <w:gridCol w:w="306"/>
        <w:gridCol w:w="1531"/>
      </w:tblGrid>
      <w:tr>
        <w:trPr/>
        <w:tc>
          <w:tcPr>
            <w:tcW w:w="306"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3776"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531" w:type="dxa"/>
            <w:tcBorders/>
            <w:shd w:fill="FFFFFF" w:val="clear"/>
            <w:vAlign w:val="bottom"/>
          </w:tcPr>
          <w:p>
            <w:pPr>
              <w:pStyle w:val="TableContents"/>
              <w:spacing w:before="0" w:after="283"/>
              <w:rPr/>
            </w:pPr>
            <w:r>
              <w:rPr/>
              <w:t>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President and Director </w:t>
              <w:br/>
              <w:t xml:space="preserve">(Principal Executive Officer)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Executive Vice President, Chief Financial Officer and Director</w:t>
              <w:br/>
              <w:t xml:space="preserve">(Principal Financial Officer)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Vice President  Accounting and</w:t>
              <w:br/>
              <w:t xml:space="preserve">Chief Accounting Officer </w:t>
              <w:br/>
              <w:t xml:space="preserve">(Principal Accounting Officer)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4286"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4286"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N. Pefanis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sz w:val="17"/>
              </w:rPr>
            </w:pPr>
            <w:r>
              <w:rPr>
                <w:sz w:val="17"/>
              </w:rPr>
              <w:t xml:space="preserve">Vice President and Director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sz w:val="17"/>
              </w:rPr>
            </w:pPr>
            <w:r>
              <w:rPr>
                <w:sz w:val="17"/>
              </w:rPr>
              <w:t xml:space="preserve">October 12, 2006 </w:t>
            </w:r>
          </w:p>
        </w:tc>
      </w:tr>
      <w:tr>
        <w:trPr/>
        <w:tc>
          <w:tcPr>
            <w:tcW w:w="306"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vAlign w:val="bottom"/>
          </w:tcPr>
          <w:p>
            <w:pPr>
              <w:pStyle w:val="TableContents"/>
              <w:spacing w:before="0" w:after="283"/>
              <w:rPr/>
            </w:pPr>
            <w:r>
              <w:rPr/>
              <w:t xml:space="preserve">  </w:t>
            </w:r>
          </w:p>
        </w:tc>
      </w:tr>
      <w:tr>
        <w:trPr/>
        <w:tc>
          <w:tcPr>
            <w:tcW w:w="306" w:type="dxa"/>
            <w:tcBorders/>
            <w:shd w:fill="FFFFFF" w:val="clear"/>
          </w:tcPr>
          <w:p>
            <w:pPr>
              <w:pStyle w:val="TableContents"/>
              <w:spacing w:before="0" w:after="283"/>
              <w:jc w:val="left"/>
              <w:rPr>
                <w:sz w:val="17"/>
              </w:rPr>
            </w:pPr>
            <w:r>
              <w:rPr>
                <w:sz w:val="17"/>
              </w:rPr>
              <w:t xml:space="preserve">* </w:t>
            </w:r>
          </w:p>
        </w:tc>
        <w:tc>
          <w:tcPr>
            <w:tcW w:w="101"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Tim Moore</w:t>
              <w:br/>
            </w:r>
            <w:r>
              <w:rPr>
                <w:i/>
                <w:sz w:val="17"/>
              </w:rPr>
              <w:t>Attorney-in-Fact</w:t>
            </w:r>
          </w:p>
        </w:tc>
        <w:tc>
          <w:tcPr>
            <w:tcW w:w="306" w:type="dxa"/>
            <w:tcBorders/>
            <w:shd w:fill="FFFFFF" w:val="clear"/>
            <w:vAlign w:val="bottom"/>
          </w:tcPr>
          <w:p>
            <w:pPr>
              <w:pStyle w:val="TableContents"/>
              <w:spacing w:before="0" w:after="283"/>
              <w:rPr/>
            </w:pPr>
            <w:r>
              <w:rPr/>
              <w:t xml:space="preserve">  </w:t>
            </w:r>
          </w:p>
        </w:tc>
        <w:tc>
          <w:tcPr>
            <w:tcW w:w="3776"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531" w:type="dxa"/>
            <w:tcBorders/>
            <w:shd w:fill="FFFFFF" w:val="clear"/>
          </w:tcPr>
          <w:p>
            <w:pPr>
              <w:pStyle w:val="TableContents"/>
              <w:spacing w:before="0" w:after="283"/>
              <w:jc w:val="center"/>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PMC (NOVA SCOTIA) COMPANY, for itself and as the general partner of PLAINS MARKETING CANADA,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05"/>
        <w:gridCol w:w="101"/>
        <w:gridCol w:w="3879"/>
        <w:gridCol w:w="306"/>
        <w:gridCol w:w="3777"/>
        <w:gridCol w:w="305"/>
        <w:gridCol w:w="1532"/>
      </w:tblGrid>
      <w:tr>
        <w:trPr/>
        <w:tc>
          <w:tcPr>
            <w:tcW w:w="305"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3777"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532" w:type="dxa"/>
            <w:tcBorders/>
            <w:shd w:fill="FFFFFF" w:val="clear"/>
            <w:vAlign w:val="bottom"/>
          </w:tcPr>
          <w:p>
            <w:pPr>
              <w:pStyle w:val="TableContents"/>
              <w:spacing w:before="0" w:after="283"/>
              <w:rPr/>
            </w:pPr>
            <w:r>
              <w:rPr/>
              <w:t> </w:t>
            </w:r>
          </w:p>
        </w:tc>
      </w:tr>
      <w:tr>
        <w:trPr/>
        <w:tc>
          <w:tcPr>
            <w:tcW w:w="4285"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306" w:type="dxa"/>
            <w:tcBorders/>
            <w:shd w:fill="FFFFFF" w:val="clear"/>
            <w:vAlign w:val="bottom"/>
          </w:tcPr>
          <w:p>
            <w:pPr>
              <w:pStyle w:val="TableContents"/>
              <w:spacing w:before="0" w:after="283"/>
              <w:jc w:val="center"/>
              <w:rPr/>
            </w:pPr>
            <w:r>
              <w:rPr/>
              <w:t xml:space="preserve">  </w:t>
            </w:r>
          </w:p>
        </w:tc>
        <w:tc>
          <w:tcPr>
            <w:tcW w:w="3777"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305" w:type="dxa"/>
            <w:tcBorders/>
            <w:shd w:fill="FFFFFF" w:val="clear"/>
            <w:vAlign w:val="bottom"/>
          </w:tcPr>
          <w:p>
            <w:pPr>
              <w:pStyle w:val="TableContents"/>
              <w:spacing w:before="0" w:after="283"/>
              <w:jc w:val="center"/>
              <w:rPr/>
            </w:pPr>
            <w:r>
              <w:rPr/>
              <w:t xml:space="preserve">  </w:t>
            </w:r>
          </w:p>
        </w:tc>
        <w:tc>
          <w:tcPr>
            <w:tcW w:w="1532"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305" w:type="dxa"/>
            <w:tcBorders/>
            <w:shd w:fill="FFFFFF" w:val="clear"/>
            <w:vAlign w:val="center"/>
          </w:tcPr>
          <w:p>
            <w:pPr>
              <w:pStyle w:val="TableContents"/>
              <w:spacing w:before="0" w:after="283"/>
              <w:rPr/>
            </w:pPr>
            <w:r>
              <w:rPr/>
              <w:t xml:space="preserve">  </w:t>
            </w:r>
          </w:p>
        </w:tc>
        <w:tc>
          <w:tcPr>
            <w:tcW w:w="9900" w:type="dxa"/>
            <w:gridSpan w:val="6"/>
            <w:tcBorders/>
            <w:shd w:fill="FFFFFF" w:val="clear"/>
          </w:tcPr>
          <w:p>
            <w:pPr>
              <w:pStyle w:val="TableContents"/>
              <w:spacing w:before="0" w:after="283"/>
              <w:rPr>
                <w:sz w:val="4"/>
                <w:szCs w:val="4"/>
              </w:rPr>
            </w:pPr>
            <w:r>
              <w:rPr>
                <w:sz w:val="4"/>
                <w:szCs w:val="4"/>
              </w:rPr>
            </w:r>
          </w:p>
        </w:tc>
      </w:tr>
      <w:tr>
        <w:trPr/>
        <w:tc>
          <w:tcPr>
            <w:tcW w:w="4285"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W. David Duckett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tcPr>
          <w:p>
            <w:pPr>
              <w:pStyle w:val="TableContents"/>
              <w:spacing w:before="0" w:after="283"/>
              <w:jc w:val="center"/>
              <w:rPr>
                <w:sz w:val="17"/>
              </w:rPr>
            </w:pPr>
            <w:r>
              <w:rPr>
                <w:sz w:val="17"/>
              </w:rPr>
              <w:t>President</w:t>
              <w:br/>
              <w:t xml:space="preserve">(Principal Executive Officer)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tcPr>
          <w:p>
            <w:pPr>
              <w:pStyle w:val="TableContents"/>
              <w:spacing w:before="0" w:after="283"/>
              <w:jc w:val="center"/>
              <w:rPr>
                <w:sz w:val="17"/>
              </w:rPr>
            </w:pPr>
            <w:r>
              <w:rPr>
                <w:sz w:val="17"/>
              </w:rPr>
              <w:t xml:space="preserve">October 12, 2006 </w:t>
            </w:r>
          </w:p>
        </w:tc>
      </w:tr>
      <w:tr>
        <w:trPr/>
        <w:tc>
          <w:tcPr>
            <w:tcW w:w="4285"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vAlign w:val="bottom"/>
          </w:tcPr>
          <w:p>
            <w:pPr>
              <w:pStyle w:val="TableContents"/>
              <w:spacing w:before="0" w:after="283"/>
              <w:rPr/>
            </w:pPr>
            <w:r>
              <w:rPr/>
              <w:t xml:space="preserve">  </w:t>
            </w:r>
          </w:p>
        </w:tc>
      </w:tr>
      <w:tr>
        <w:trPr/>
        <w:tc>
          <w:tcPr>
            <w:tcW w:w="4285"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D. Mark Alenius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tcPr>
          <w:p>
            <w:pPr>
              <w:pStyle w:val="TableContents"/>
              <w:spacing w:before="0" w:after="283"/>
              <w:jc w:val="center"/>
              <w:rPr>
                <w:sz w:val="17"/>
              </w:rPr>
            </w:pPr>
            <w:r>
              <w:rPr>
                <w:sz w:val="17"/>
              </w:rPr>
              <w:t>Vice President and Chief Financial Officer (Principal Financial and</w:t>
              <w:br/>
              <w:t xml:space="preserve">Accounting Officer)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tcPr>
          <w:p>
            <w:pPr>
              <w:pStyle w:val="TableContents"/>
              <w:spacing w:before="0" w:after="283"/>
              <w:jc w:val="center"/>
              <w:rPr>
                <w:sz w:val="17"/>
              </w:rPr>
            </w:pPr>
            <w:r>
              <w:rPr>
                <w:sz w:val="17"/>
              </w:rPr>
              <w:t xml:space="preserve">October 12, 2006 </w:t>
            </w:r>
          </w:p>
        </w:tc>
      </w:tr>
      <w:tr>
        <w:trPr/>
        <w:tc>
          <w:tcPr>
            <w:tcW w:w="4285"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vAlign w:val="bottom"/>
          </w:tcPr>
          <w:p>
            <w:pPr>
              <w:pStyle w:val="TableContents"/>
              <w:spacing w:before="0" w:after="283"/>
              <w:rPr/>
            </w:pPr>
            <w:r>
              <w:rPr/>
              <w:t xml:space="preserve">  </w:t>
            </w:r>
          </w:p>
        </w:tc>
      </w:tr>
      <w:tr>
        <w:trPr/>
        <w:tc>
          <w:tcPr>
            <w:tcW w:w="4285"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tcPr>
          <w:p>
            <w:pPr>
              <w:pStyle w:val="TableContents"/>
              <w:spacing w:before="0" w:after="283"/>
              <w:jc w:val="center"/>
              <w:rPr>
                <w:sz w:val="17"/>
              </w:rPr>
            </w:pPr>
            <w:r>
              <w:rPr>
                <w:sz w:val="17"/>
              </w:rPr>
              <w:t xml:space="preserve">Vice President and Director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tcPr>
          <w:p>
            <w:pPr>
              <w:pStyle w:val="TableContents"/>
              <w:spacing w:before="0" w:after="283"/>
              <w:jc w:val="center"/>
              <w:rPr>
                <w:sz w:val="17"/>
              </w:rPr>
            </w:pPr>
            <w:r>
              <w:rPr>
                <w:sz w:val="17"/>
              </w:rPr>
              <w:t xml:space="preserve">October 12, 2006 </w:t>
            </w:r>
          </w:p>
        </w:tc>
      </w:tr>
      <w:tr>
        <w:trPr/>
        <w:tc>
          <w:tcPr>
            <w:tcW w:w="4285"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vAlign w:val="bottom"/>
          </w:tcPr>
          <w:p>
            <w:pPr>
              <w:pStyle w:val="TableContents"/>
              <w:spacing w:before="0" w:after="283"/>
              <w:rPr/>
            </w:pPr>
            <w:r>
              <w:rPr/>
              <w:t xml:space="preserve">  </w:t>
            </w:r>
          </w:p>
        </w:tc>
      </w:tr>
      <w:tr>
        <w:trPr/>
        <w:tc>
          <w:tcPr>
            <w:tcW w:w="4285"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tcPr>
          <w:p>
            <w:pPr>
              <w:pStyle w:val="TableContents"/>
              <w:spacing w:before="0" w:after="283"/>
              <w:jc w:val="center"/>
              <w:rPr>
                <w:sz w:val="17"/>
              </w:rPr>
            </w:pPr>
            <w:r>
              <w:rPr>
                <w:sz w:val="17"/>
              </w:rPr>
              <w:t xml:space="preserve">Director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tcPr>
          <w:p>
            <w:pPr>
              <w:pStyle w:val="TableContents"/>
              <w:spacing w:before="0" w:after="283"/>
              <w:jc w:val="center"/>
              <w:rPr>
                <w:sz w:val="17"/>
              </w:rPr>
            </w:pPr>
            <w:r>
              <w:rPr>
                <w:sz w:val="17"/>
              </w:rPr>
              <w:t xml:space="preserve">October 12, 2006 </w:t>
            </w:r>
          </w:p>
        </w:tc>
      </w:tr>
      <w:tr>
        <w:trPr/>
        <w:tc>
          <w:tcPr>
            <w:tcW w:w="4285"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vAlign w:val="bottom"/>
          </w:tcPr>
          <w:p>
            <w:pPr>
              <w:pStyle w:val="TableContents"/>
              <w:spacing w:before="0" w:after="283"/>
              <w:rPr/>
            </w:pPr>
            <w:r>
              <w:rPr/>
              <w:t xml:space="preserve">  </w:t>
            </w:r>
          </w:p>
        </w:tc>
      </w:tr>
      <w:tr>
        <w:trPr/>
        <w:tc>
          <w:tcPr>
            <w:tcW w:w="4285" w:type="dxa"/>
            <w:gridSpan w:val="3"/>
            <w:tcBorders/>
            <w:shd w:fill="FFFFFF" w:val="clear"/>
          </w:tcPr>
          <w:p>
            <w:pPr>
              <w:pStyle w:val="TableContents"/>
              <w:spacing w:before="0" w:after="0"/>
              <w:jc w:val="left"/>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N. Pefanis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tcPr>
          <w:p>
            <w:pPr>
              <w:pStyle w:val="TableContents"/>
              <w:spacing w:before="0" w:after="283"/>
              <w:jc w:val="center"/>
              <w:rPr>
                <w:sz w:val="17"/>
              </w:rPr>
            </w:pPr>
            <w:r>
              <w:rPr>
                <w:sz w:val="17"/>
              </w:rPr>
              <w:t xml:space="preserve">Director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tcPr>
          <w:p>
            <w:pPr>
              <w:pStyle w:val="TableContents"/>
              <w:spacing w:before="0" w:after="283"/>
              <w:jc w:val="center"/>
              <w:rPr>
                <w:sz w:val="17"/>
              </w:rPr>
            </w:pPr>
            <w:r>
              <w:rPr>
                <w:sz w:val="17"/>
              </w:rPr>
              <w:t xml:space="preserve">October 12, 2006 </w:t>
            </w:r>
          </w:p>
        </w:tc>
      </w:tr>
      <w:tr>
        <w:trPr/>
        <w:tc>
          <w:tcPr>
            <w:tcW w:w="305"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vAlign w:val="bottom"/>
          </w:tcPr>
          <w:p>
            <w:pPr>
              <w:pStyle w:val="TableContents"/>
              <w:spacing w:before="0" w:after="283"/>
              <w:rPr/>
            </w:pPr>
            <w:r>
              <w:rPr/>
              <w:t xml:space="preserve">  </w:t>
            </w:r>
          </w:p>
        </w:tc>
      </w:tr>
      <w:tr>
        <w:trPr/>
        <w:tc>
          <w:tcPr>
            <w:tcW w:w="305" w:type="dxa"/>
            <w:tcBorders/>
            <w:shd w:fill="FFFFFF" w:val="clear"/>
          </w:tcPr>
          <w:p>
            <w:pPr>
              <w:pStyle w:val="TableContents"/>
              <w:spacing w:before="0" w:after="283"/>
              <w:jc w:val="left"/>
              <w:rPr>
                <w:sz w:val="17"/>
              </w:rPr>
            </w:pPr>
            <w:r>
              <w:rPr>
                <w:sz w:val="17"/>
              </w:rPr>
              <w:t xml:space="preserve">* </w:t>
            </w:r>
          </w:p>
        </w:tc>
        <w:tc>
          <w:tcPr>
            <w:tcW w:w="101"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Tim Moore</w:t>
              <w:br/>
            </w:r>
            <w:r>
              <w:rPr>
                <w:i/>
                <w:sz w:val="17"/>
              </w:rPr>
              <w:t>Attorney-in-Fact</w:t>
            </w:r>
          </w:p>
        </w:tc>
        <w:tc>
          <w:tcPr>
            <w:tcW w:w="306" w:type="dxa"/>
            <w:tcBorders/>
            <w:shd w:fill="FFFFFF" w:val="clear"/>
            <w:vAlign w:val="bottom"/>
          </w:tcPr>
          <w:p>
            <w:pPr>
              <w:pStyle w:val="TableContents"/>
              <w:spacing w:before="0" w:after="283"/>
              <w:rPr/>
            </w:pPr>
            <w:r>
              <w:rPr/>
              <w:t xml:space="preserve">  </w:t>
            </w:r>
          </w:p>
        </w:tc>
        <w:tc>
          <w:tcPr>
            <w:tcW w:w="3777" w:type="dxa"/>
            <w:tcBorders/>
            <w:shd w:fill="FFFFFF" w:val="clear"/>
          </w:tcPr>
          <w:p>
            <w:pPr>
              <w:pStyle w:val="TableContents"/>
              <w:spacing w:before="0" w:after="283"/>
              <w:jc w:val="center"/>
              <w:rPr/>
            </w:pPr>
            <w:r>
              <w:rPr/>
              <w:t xml:space="preserve">  </w:t>
            </w:r>
          </w:p>
        </w:tc>
        <w:tc>
          <w:tcPr>
            <w:tcW w:w="305" w:type="dxa"/>
            <w:tcBorders/>
            <w:shd w:fill="FFFFFF" w:val="clear"/>
            <w:vAlign w:val="bottom"/>
          </w:tcPr>
          <w:p>
            <w:pPr>
              <w:pStyle w:val="TableContents"/>
              <w:spacing w:before="0" w:after="283"/>
              <w:rPr/>
            </w:pPr>
            <w:r>
              <w:rPr/>
              <w:t xml:space="preserve">  </w:t>
            </w:r>
          </w:p>
        </w:tc>
        <w:tc>
          <w:tcPr>
            <w:tcW w:w="1532" w:type="dxa"/>
            <w:tcBorders/>
            <w:shd w:fill="FFFFFF" w:val="clear"/>
          </w:tcPr>
          <w:p>
            <w:pPr>
              <w:pStyle w:val="TableContents"/>
              <w:spacing w:before="0" w:after="283"/>
              <w:jc w:val="center"/>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INDEX TO EXHIBITS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51"/>
        <w:gridCol w:w="328"/>
        <w:gridCol w:w="466"/>
        <w:gridCol w:w="126"/>
        <w:gridCol w:w="394"/>
        <w:gridCol w:w="126"/>
        <w:gridCol w:w="8514"/>
      </w:tblGrid>
      <w:tr>
        <w:trPr/>
        <w:tc>
          <w:tcPr>
            <w:tcW w:w="251" w:type="dxa"/>
            <w:tcBorders/>
            <w:shd w:fill="FFFFFF" w:val="clear"/>
            <w:vAlign w:val="bottom"/>
          </w:tcPr>
          <w:p>
            <w:pPr>
              <w:pStyle w:val="TableContents"/>
              <w:spacing w:before="0" w:after="283"/>
              <w:jc w:val="right"/>
              <w:rPr/>
            </w:pPr>
            <w:r>
              <w:rPr/>
              <w:t> </w:t>
            </w:r>
          </w:p>
        </w:tc>
        <w:tc>
          <w:tcPr>
            <w:tcW w:w="328" w:type="dxa"/>
            <w:tcBorders/>
            <w:shd w:fill="FFFFFF" w:val="clear"/>
            <w:vAlign w:val="bottom"/>
          </w:tcPr>
          <w:p>
            <w:pPr>
              <w:pStyle w:val="TableContents"/>
              <w:spacing w:before="0" w:after="283"/>
              <w:jc w:val="right"/>
              <w:rPr/>
            </w:pPr>
            <w:r>
              <w:rPr/>
              <w:t> </w:t>
            </w:r>
          </w:p>
        </w:tc>
        <w:tc>
          <w:tcPr>
            <w:tcW w:w="46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9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8514" w:type="dxa"/>
            <w:tcBorders/>
            <w:shd w:fill="FFFFFF" w:val="clear"/>
            <w:vAlign w:val="bottom"/>
          </w:tcPr>
          <w:p>
            <w:pPr>
              <w:pStyle w:val="TableContents"/>
              <w:spacing w:before="0" w:after="283"/>
              <w:rPr/>
            </w:pPr>
            <w:r>
              <w:rPr/>
              <w:t>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  </w:t>
            </w:r>
          </w:p>
        </w:tc>
        <w:tc>
          <w:tcPr>
            <w:tcW w:w="466"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pPr>
            <w:r>
              <w:rPr/>
              <w:t xml:space="preserve">  </w:t>
            </w:r>
          </w:p>
        </w:tc>
      </w:tr>
      <w:tr>
        <w:trPr/>
        <w:tc>
          <w:tcPr>
            <w:tcW w:w="251" w:type="dxa"/>
            <w:tcBorders/>
            <w:shd w:fill="FFFFFF" w:val="clear"/>
            <w:vAlign w:val="bottom"/>
          </w:tcPr>
          <w:p>
            <w:pPr>
              <w:pStyle w:val="TableContents"/>
              <w:spacing w:before="0" w:after="283"/>
              <w:rPr/>
            </w:pPr>
            <w:r>
              <w:rPr/>
              <w:t xml:space="preserve">  </w:t>
            </w:r>
          </w:p>
        </w:tc>
        <w:tc>
          <w:tcPr>
            <w:tcW w:w="328" w:type="dxa"/>
            <w:tcBorders/>
            <w:shd w:fill="FFFFFF" w:val="clear"/>
            <w:vAlign w:val="bottom"/>
          </w:tcPr>
          <w:p>
            <w:pPr>
              <w:pStyle w:val="TableContents"/>
              <w:spacing w:before="0" w:after="283"/>
              <w:rPr>
                <w:sz w:val="4"/>
                <w:szCs w:val="4"/>
              </w:rPr>
            </w:pPr>
            <w:r>
              <w:rPr>
                <w:sz w:val="4"/>
                <w:szCs w:val="4"/>
              </w:rPr>
            </w:r>
          </w:p>
        </w:tc>
        <w:tc>
          <w:tcPr>
            <w:tcW w:w="466" w:type="dxa"/>
            <w:tcBorders/>
            <w:shd w:fill="FFFFFF" w:val="clear"/>
            <w:vAlign w:val="bottom"/>
          </w:tcPr>
          <w:p>
            <w:pPr>
              <w:pStyle w:val="TableContents"/>
              <w:spacing w:before="0" w:after="283"/>
              <w:rPr>
                <w:sz w:val="4"/>
                <w:szCs w:val="4"/>
              </w:rPr>
            </w:pPr>
            <w:r>
              <w:rPr>
                <w:sz w:val="4"/>
                <w:szCs w:val="4"/>
              </w:rPr>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vAlign w:val="bottom"/>
          </w:tcPr>
          <w:p>
            <w:pPr>
              <w:pStyle w:val="TableContents"/>
              <w:spacing w:before="0" w:after="283"/>
              <w:rPr/>
            </w:pPr>
            <w:r>
              <w:rPr/>
              <w:t xml:space="preserv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.3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.4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.5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.6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.7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.8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.9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66" w:type="dxa"/>
            <w:tcBorders/>
            <w:shd w:fill="FFFFFF" w:val="clear"/>
          </w:tcPr>
          <w:p>
            <w:pPr>
              <w:pStyle w:val="TableContents"/>
              <w:spacing w:before="0" w:after="283"/>
              <w:jc w:val="left"/>
              <w:rPr/>
            </w:pPr>
            <w:r>
              <w:rPr/>
              <w:t xml:space="preserve">.10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5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8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Opinion of Vinson &amp; Elkins L.L.P. relating to tax matters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12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Ratio of Earnings to Fixed Charges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66"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Consent of Vinson &amp; Elkins L.L.P.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24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Powers of Attorney (included on the signature page of prior filing)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25 </w:t>
            </w:r>
          </w:p>
        </w:tc>
        <w:tc>
          <w:tcPr>
            <w:tcW w:w="466"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14" w:type="dxa"/>
            <w:tcBorders/>
            <w:shd w:fill="FFFFFF" w:val="clear"/>
          </w:tcPr>
          <w:p>
            <w:pPr>
              <w:pStyle w:val="TableContents"/>
              <w:spacing w:before="0" w:after="283"/>
              <w:jc w:val="left"/>
              <w:rPr>
                <w:sz w:val="17"/>
              </w:rPr>
            </w:pPr>
            <w:r>
              <w:rPr>
                <w:sz w:val="17"/>
              </w:rPr>
              <w:t xml:space="preserve">Form T-1 Statement of Eligibility and Qualification under the Trust Indenture Act of 1939 of the trustee under the Senior Indenture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p>
      <w:pPr>
        <w:pStyle w:val="TextBody"/>
        <w:spacing w:before="120" w:after="283"/>
        <w:rPr/>
      </w:pPr>
      <w:r>
        <w:rPr/>
        <w:t> </w:t>
      </w:r>
    </w:p>
    <w:tbl>
      <w:tblPr>
        <w:tblW w:w="5000" w:type="pct"/>
        <w:jc w:val="left"/>
        <w:tblInd w:w="0" w:type="dxa"/>
        <w:shd w:fill="FFFFFF" w:val="clear"/>
        <w:tblCellMar>
          <w:top w:w="0" w:type="dxa"/>
          <w:left w:w="0" w:type="dxa"/>
          <w:bottom w:w="0" w:type="dxa"/>
          <w:right w:w="0" w:type="dxa"/>
        </w:tblCellMar>
      </w:tblPr>
      <w:tblGrid>
        <w:gridCol w:w="163"/>
        <w:gridCol w:w="106"/>
        <w:gridCol w:w="9936"/>
      </w:tblGrid>
      <w:tr>
        <w:trPr/>
        <w:tc>
          <w:tcPr>
            <w:tcW w:w="163"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36" w:type="dxa"/>
            <w:tcBorders/>
            <w:shd w:fill="FFFFFF" w:val="clear"/>
            <w:vAlign w:val="center"/>
          </w:tcPr>
          <w:p>
            <w:pPr>
              <w:pStyle w:val="TableContents"/>
              <w:spacing w:before="0" w:after="283"/>
              <w:rPr>
                <w:sz w:val="4"/>
                <w:szCs w:val="4"/>
              </w:rPr>
            </w:pPr>
            <w:r>
              <w:rPr>
                <w:sz w:val="4"/>
                <w:szCs w:val="4"/>
              </w:rPr>
            </w:r>
          </w:p>
        </w:tc>
      </w:tr>
      <w:tr>
        <w:trPr/>
        <w:tc>
          <w:tcPr>
            <w:tcW w:w="163" w:type="dxa"/>
            <w:tcBorders/>
            <w:shd w:fill="FFFFFF" w:val="clear"/>
          </w:tcPr>
          <w:p>
            <w:pPr>
              <w:pStyle w:val="TableContents"/>
              <w:spacing w:before="0" w:after="283"/>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36" w:type="dxa"/>
            <w:tcBorders/>
            <w:shd w:fill="FFFFFF" w:val="clear"/>
            <w:vAlign w:val="bottom"/>
          </w:tcPr>
          <w:p>
            <w:pPr>
              <w:pStyle w:val="TableContents"/>
              <w:spacing w:before="0" w:after="283"/>
              <w:rPr/>
            </w:pPr>
            <w:r>
              <w:rPr/>
              <w:t>Previously filed.</w:t>
            </w:r>
          </w:p>
        </w:tc>
      </w:tr>
    </w:tbl>
    <w:p>
      <w:pPr>
        <w:pStyle w:val="Heading5"/>
        <w:jc w:val="left"/>
        <w:rPr/>
      </w:pPr>
      <w:r>
        <w:br w:type="page"/>
      </w:r>
      <w:bookmarkStart w:id="16" w:name="h39156a1exv5w1.htm"/>
      <w:bookmarkStart w:id="17" w:name="ksh39156a1exv5w1"/>
      <w:bookmarkEnd w:id="16"/>
      <w:bookmarkEnd w:id="17"/>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5.1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Tel </w:t>
      </w:r>
      <w:r>
        <w:rPr>
          <w:rFonts w:ascii="Times New Roman;Times;serif" w:hAnsi="Times New Roman;Times;serif"/>
          <w:sz w:val="17"/>
        </w:rPr>
        <w:t xml:space="preserve">713.758.2222 </w:t>
      </w:r>
      <w:r>
        <w:rPr>
          <w:rFonts w:ascii="Times New Roman;Times;serif" w:hAnsi="Times New Roman;Times;serif"/>
          <w:b/>
          <w:sz w:val="17"/>
        </w:rPr>
        <w:t xml:space="preserve">Fax </w:t>
      </w:r>
      <w:r>
        <w:rPr>
          <w:rFonts w:ascii="Times New Roman;Times;serif" w:hAnsi="Times New Roman;Times;serif"/>
          <w:sz w:val="17"/>
        </w:rPr>
        <w:t xml:space="preserve">713.758.2346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October 12,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PAA Finance Corp. (PAA Finance and collectively with the Partnership, the Issuers) and certain of the Partnerships other subsidiaries with respect to with the preparation of the Registration Statement on Form S-4 (the Registration Statement) filed with the Securities and Exchange Commission (the Commission) in connection with the registration by the Issuers under the Securities Act of 1933, as amended (the Securities Act) of (i) the offer and exchange by the Issuers (the Exchange Offer) of $250,000,000 aggregate principal amount of their 6.70% Senior Notes due 2036 (the Initial Notes), for a new series of notes bearing substantially identical terms and in like principal amount (the Exchange Notes) and (ii) the guarantees (the Guarantees) of certain subsidiaries of the Partnership listed in the Registration Statement as guarantors (the Subsidiary Guarantors) of the Initial Notes and the Exchange Notes. The Initial Notes and the Exchange Notes are collectively referred to herein as the Notes. The Initial Notes were issued, and the Exchange Notes will be issued, under an Indenture dated as of September 25, 2002 and supplemented by the Sixth Supplemental Indenture dated May 12, 2006, and the Eighth Supplemental Indenture dated August 25, 2006, each among the Issuers, the Subsidiary Guarantors and Wachovia Bank, National Association, as Trustee (collectively, the Indenture). The Exchange Offer will be conducted on such terms and conditions as are set forth in the prospectus contained in the Registration Statement to which this opinion is an exhibit. </w:t>
      </w:r>
    </w:p>
    <w:p>
      <w:pPr>
        <w:pStyle w:val="TextBody"/>
        <w:spacing w:before="120" w:after="283"/>
        <w:jc w:val="left"/>
        <w:rPr/>
      </w:pPr>
      <w:r>
        <w:rPr/>
        <w:t>     </w:t>
      </w:r>
      <w:r>
        <w:rPr>
          <w:rFonts w:ascii="Times New Roman;Times;serif" w:hAnsi="Times New Roman;Times;serif"/>
          <w:sz w:val="17"/>
        </w:rPr>
        <w:t xml:space="preserve">We have examined originals or copies, certified or otherwise identified to our satisfaction, of (i) the Registration Statement, (ii) the Indenture and (iii) such other certificates, statutes and other instruments and documents as we considered appropriate for purposes of the opinions hereafter expressed. In connection with this opinion, we have assumed that the Registration Statement, and any amendments thereto (including post-effective amendments), will have become effective and the Exchange Notes will be issued and sold in compliance with applicable federal and state securities laws and in the manner described in the Registration Statement. </w:t>
      </w:r>
    </w:p>
    <w:p>
      <w:pPr>
        <w:pStyle w:val="TextBody"/>
        <w:spacing w:before="120" w:after="283"/>
        <w:jc w:val="left"/>
        <w:rPr/>
      </w:pPr>
      <w:r>
        <w:rPr/>
        <w:t>     </w:t>
      </w:r>
      <w:r>
        <w:rPr>
          <w:rFonts w:ascii="Times New Roman;Times;serif" w:hAnsi="Times New Roman;Times;serif"/>
          <w:sz w:val="17"/>
        </w:rPr>
        <w:t xml:space="preserve">Based on the foregoing, we are of the opinion that: </w:t>
      </w:r>
    </w:p>
    <w:p>
      <w:pPr>
        <w:pStyle w:val="TextBody"/>
        <w:spacing w:before="120" w:after="283"/>
        <w:jc w:val="left"/>
        <w:rPr/>
      </w:pPr>
      <w:r>
        <w:rPr/>
        <w:t>     </w:t>
      </w:r>
      <w:r>
        <w:rPr>
          <w:rFonts w:ascii="Times New Roman;Times;serif" w:hAnsi="Times New Roman;Times;serif"/>
          <w:sz w:val="17"/>
        </w:rPr>
        <w:t xml:space="preserve">(a) When the Exchange Notes have been duly executed, authenticated, issued and delivered in accordance with the provisions of the Indenture, (i) such Exchange Notes will be legally issued and will constitute valid and binding obligations of the Issuers enforceable against the Issuers in accordance with their terms, and (ii) the Guarantees of the Subsidiary Guarantors remain valid and binding obligations of such subsidiaries, enforceable against the Issuers and each such Subsidiary Guarantor in accordance with their terms, except in each case as such enforcement is subject to any applicable bankruptcy, insolvency, reorganization or other law relating to or affecting creditors rights generally and general principles of equity. </w:t>
      </w:r>
    </w:p>
    <w:p>
      <w:pPr>
        <w:pStyle w:val="TextBody"/>
        <w:spacing w:before="120" w:after="283"/>
        <w:jc w:val="left"/>
        <w:rPr/>
      </w:pPr>
      <w:r>
        <w:rPr/>
        <w:t>     </w:t>
      </w:r>
      <w:r>
        <w:rPr>
          <w:rFonts w:ascii="Times New Roman;Times;serif" w:hAnsi="Times New Roman;Times;serif"/>
          <w:sz w:val="17"/>
        </w:rPr>
        <w:t xml:space="preserve">(b) We hereby confirm that the discussion and the legal conclusions set forth in the Registration Statement under the heading Material U.S. Federal Income Tax Consequences are accurate and complete in all material respects and constitute our opinion, which is subject to the assumptions and qualifications set forth therein, as to the material tax consequences of the exchange of the Initial Notes for Exchange Notes. </w:t>
      </w:r>
    </w:p>
    <w:p>
      <w:pPr>
        <w:pStyle w:val="TextBody"/>
        <w:spacing w:before="120" w:after="283"/>
        <w:jc w:val="left"/>
        <w:rPr/>
      </w:pPr>
      <w:r>
        <w:rPr/>
        <w:t>     </w:t>
      </w:r>
      <w:r>
        <w:rPr>
          <w:rFonts w:ascii="Times New Roman;Times;serif" w:hAnsi="Times New Roman;Times;serif"/>
          <w:sz w:val="17"/>
        </w:rPr>
        <w:t xml:space="preserve">We express no opinions concerning (a) the validity or enforceability of any provisions contained in the Indenture that purport to waive or not give effect to rights to notices, defenses, subrogation or other rights or benefits that cannot be effectively waived under applicable law; or (b) the enforceability of indemnification provisions to the </w:t>
      </w:r>
    </w:p>
    <w:tbl>
      <w:tblPr>
        <w:tblW w:w="15115" w:type="dxa"/>
        <w:jc w:val="center"/>
        <w:tblInd w:w="0" w:type="dxa"/>
        <w:tblCellMar>
          <w:top w:w="0" w:type="dxa"/>
          <w:left w:w="0" w:type="dxa"/>
          <w:bottom w:w="0" w:type="dxa"/>
          <w:right w:w="0" w:type="dxa"/>
        </w:tblCellMar>
      </w:tblPr>
      <w:tblGrid>
        <w:gridCol w:w="7805"/>
        <w:gridCol w:w="60"/>
        <w:gridCol w:w="7250"/>
      </w:tblGrid>
      <w:tr>
        <w:trPr/>
        <w:tc>
          <w:tcPr>
            <w:tcW w:w="78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0" w:type="dxa"/>
            <w:tcBorders/>
            <w:shd w:fill="auto" w:val="clear"/>
            <w:vAlign w:val="bottom"/>
          </w:tcPr>
          <w:p>
            <w:pPr>
              <w:pStyle w:val="TableContents"/>
              <w:spacing w:before="0" w:after="283"/>
              <w:rPr/>
            </w:pPr>
            <w:r>
              <w:rPr/>
              <w:t> </w:t>
            </w:r>
          </w:p>
        </w:tc>
      </w:tr>
      <w:tr>
        <w:trPr/>
        <w:tc>
          <w:tcPr>
            <w:tcW w:w="7805" w:type="dxa"/>
            <w:tcBorders/>
            <w:shd w:fill="auto" w:val="clear"/>
          </w:tcPr>
          <w:p>
            <w:pPr>
              <w:pStyle w:val="TableContents"/>
              <w:spacing w:before="0" w:after="0"/>
              <w:ind w:left="0" w:right="0" w:hanging="0"/>
              <w:rPr/>
            </w:pPr>
            <w:r>
              <w:rPr>
                <w:b/>
              </w:rPr>
              <w:t>Vinson &amp; Elkins LLP Attorneys at Law</w:t>
            </w:r>
            <w:r>
              <w:rPr/>
              <w:t xml:space="preserve"> Austin Beijing</w:t>
            </w:r>
          </w:p>
        </w:tc>
        <w:tc>
          <w:tcPr>
            <w:tcW w:w="60" w:type="dxa"/>
            <w:tcBorders/>
            <w:shd w:fill="auto" w:val="clear"/>
            <w:vAlign w:val="bottom"/>
          </w:tcPr>
          <w:p>
            <w:pPr>
              <w:pStyle w:val="TableContents"/>
              <w:spacing w:before="0" w:after="283"/>
              <w:rPr/>
            </w:pPr>
            <w:r>
              <w:rPr/>
              <w:t> </w:t>
            </w:r>
          </w:p>
        </w:tc>
        <w:tc>
          <w:tcPr>
            <w:tcW w:w="7250" w:type="dxa"/>
            <w:tcBorders/>
            <w:shd w:fill="auto" w:val="clear"/>
          </w:tcPr>
          <w:p>
            <w:pPr>
              <w:pStyle w:val="TableContents"/>
              <w:spacing w:before="0" w:after="283"/>
              <w:jc w:val="left"/>
              <w:rPr/>
            </w:pPr>
            <w:r>
              <w:rPr/>
              <w:t>First City Tower, 1001 Fannin Street, Suite 2300, Houston, TX 77002-6760</w:t>
            </w:r>
          </w:p>
        </w:tc>
      </w:tr>
      <w:tr>
        <w:trPr/>
        <w:tc>
          <w:tcPr>
            <w:tcW w:w="7805" w:type="dxa"/>
            <w:tcBorders/>
            <w:shd w:fill="auto" w:val="clear"/>
          </w:tcPr>
          <w:p>
            <w:pPr>
              <w:pStyle w:val="TableContents"/>
              <w:spacing w:before="0" w:after="0"/>
              <w:ind w:left="0" w:right="0" w:hanging="0"/>
              <w:rPr/>
            </w:pPr>
            <w:r>
              <w:rPr/>
              <w:t xml:space="preserve">Dallas Dubai Houston London Moscow New York Shanghai Tokyo Washington </w:t>
            </w:r>
          </w:p>
        </w:tc>
        <w:tc>
          <w:tcPr>
            <w:tcW w:w="60" w:type="dxa"/>
            <w:tcBorders/>
            <w:shd w:fill="auto" w:val="clear"/>
            <w:vAlign w:val="bottom"/>
          </w:tcPr>
          <w:p>
            <w:pPr>
              <w:pStyle w:val="TableContents"/>
              <w:spacing w:before="0" w:after="283"/>
              <w:rPr/>
            </w:pPr>
            <w:r>
              <w:rPr/>
              <w:t> </w:t>
            </w:r>
          </w:p>
        </w:tc>
        <w:tc>
          <w:tcPr>
            <w:tcW w:w="7250" w:type="dxa"/>
            <w:tcBorders/>
            <w:shd w:fill="auto" w:val="clear"/>
          </w:tcPr>
          <w:p>
            <w:pPr>
              <w:pStyle w:val="TableContents"/>
              <w:spacing w:before="0" w:after="283"/>
              <w:jc w:val="left"/>
              <w:rPr/>
            </w:pPr>
            <w:r>
              <w:rPr>
                <w:b/>
              </w:rPr>
              <w:t xml:space="preserve">Tel </w:t>
            </w:r>
            <w:r>
              <w:rPr/>
              <w:t xml:space="preserve">713.758.2222 </w:t>
            </w:r>
            <w:r>
              <w:rPr>
                <w:b/>
              </w:rPr>
              <w:t xml:space="preserve">Fax </w:t>
            </w:r>
            <w:r>
              <w:rPr/>
              <w:t xml:space="preserve">713.758.2346 </w:t>
            </w:r>
            <w:r>
              <w:rPr>
                <w:b/>
              </w:rPr>
              <w:t>www.velaw.com</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extent they purport to relate to liabilities resulting from or based upon negligence or any violation of federal or state securities or blue sky laws.</w:t>
      </w:r>
    </w:p>
    <w:p>
      <w:pPr>
        <w:pStyle w:val="TextBody"/>
        <w:spacing w:before="120" w:after="283"/>
        <w:jc w:val="left"/>
        <w:rPr/>
      </w:pPr>
      <w:r>
        <w:rPr/>
        <w:t>     </w:t>
      </w:r>
      <w:r>
        <w:rPr>
          <w:rFonts w:ascii="Times New Roman;Times;serif" w:hAnsi="Times New Roman;Times;serif"/>
          <w:sz w:val="17"/>
        </w:rPr>
        <w:t xml:space="preserve">We hereby consent to the filing of this opinion as an exhibit to the Registration Statement and to the use of our firm name in the prospectus forming a part of the Registration Statement under the captions Legal Matters and Material U.S. Federal Income Tax Consequences. By giving such consent, we do not admit that we are within the category of persons whose consent is required under Section 7 of the Securities Act or the rules and regulations of the Commission issued thereunder. </w:t>
      </w:r>
    </w:p>
    <w:tbl>
      <w:tblPr>
        <w:tblW w:w="5000" w:type="pct"/>
        <w:jc w:val="center"/>
        <w:tblInd w:w="0" w:type="dxa"/>
        <w:tblCellMar>
          <w:top w:w="0" w:type="dxa"/>
          <w:left w:w="0" w:type="dxa"/>
          <w:bottom w:w="0" w:type="dxa"/>
          <w:right w:w="0" w:type="dxa"/>
        </w:tblCellMar>
      </w:tblPr>
      <w:tblGrid>
        <w:gridCol w:w="4998"/>
        <w:gridCol w:w="208"/>
        <w:gridCol w:w="4999"/>
      </w:tblGrid>
      <w:tr>
        <w:trPr/>
        <w:tc>
          <w:tcPr>
            <w:tcW w:w="49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999" w:type="dxa"/>
            <w:tcBorders/>
            <w:shd w:fill="auto" w:val="clear"/>
            <w:vAlign w:val="bottom"/>
          </w:tcPr>
          <w:p>
            <w:pPr>
              <w:pStyle w:val="TableContents"/>
              <w:spacing w:before="0" w:after="283"/>
              <w:rPr/>
            </w:pPr>
            <w:r>
              <w:rPr/>
              <w:t> </w:t>
            </w:r>
          </w:p>
        </w:tc>
      </w:tr>
      <w:tr>
        <w:trPr/>
        <w:tc>
          <w:tcPr>
            <w:tcW w:w="4998"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Very truly yours,</w:t>
            </w:r>
          </w:p>
        </w:tc>
      </w:tr>
      <w:tr>
        <w:trPr/>
        <w:tc>
          <w:tcPr>
            <w:tcW w:w="4998"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 </w:t>
            </w:r>
          </w:p>
        </w:tc>
      </w:tr>
      <w:tr>
        <w:trPr/>
        <w:tc>
          <w:tcPr>
            <w:tcW w:w="4998"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/s/ Vinson &amp; Elkins L.L.P.</w:t>
            </w:r>
          </w:p>
        </w:tc>
      </w:tr>
    </w:tbl>
    <w:p>
      <w:pPr>
        <w:pStyle w:val="TextBody"/>
        <w:jc w:val="center"/>
        <w:rPr/>
      </w:pPr>
      <w:r>
        <w:rPr/>
        <w:t xml:space="preserve">  </w:t>
      </w:r>
      <w:r>
        <w:br w:type="page"/>
      </w:r>
    </w:p>
    <w:p>
      <w:pPr>
        <w:pStyle w:val="Heading5"/>
        <w:jc w:val="left"/>
        <w:rPr/>
      </w:pPr>
      <w:bookmarkStart w:id="18" w:name="h39156a1exv23w1.htm"/>
      <w:bookmarkStart w:id="19" w:name="ksh39156a1exv23w1"/>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this Registration Statement on Amendment No. 1 to Form S-4 of Plains All American Pipeline, L.P. and PAA Finance Corp. of our report dated March 2, 2006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2005 and our report dated March 21, 2006 relating to the balance sheet of Plains AAP, L.P., which appears in Plains All American Pipeline, L.P.s Current Report on Form 8-K filed on March 21, 2006. We also consent to the references to us under the heading Experts in such Registration Statement.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PricewaterhouseCoopers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Houston, Texas</w:t>
        <w:br/>
        <w:t xml:space="preserve">October 10, 2006 </w:t>
      </w:r>
      <w:r>
        <w:br w:type="page"/>
      </w:r>
    </w:p>
    <w:p>
      <w:pPr>
        <w:pStyle w:val="Heading5"/>
        <w:jc w:val="left"/>
        <w:rPr/>
      </w:pPr>
      <w:bookmarkStart w:id="20" w:name="filename4.htm"/>
      <w:bookmarkStart w:id="21" w:name="ksfilename4"/>
      <w:bookmarkEnd w:id="20"/>
      <w:bookmarkEnd w:id="21"/>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[Letterhead of Plains All American Pipeline,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October 12, 2006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Via EDGAR and Facsimile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Securities and Exchange Commission</w:t>
        <w:br/>
        <w:t>Division of Corporation Finance</w:t>
        <w:br/>
        <w:t>100 F Street, N.E.</w:t>
        <w:br/>
        <w:t>Mail Stop 7010</w:t>
        <w:br/>
        <w:t>Washington, D.C. 20549-7010</w:t>
        <w:br/>
        <w:t xml:space="preserve">Attention: Carmen Moncada-Terry </w:t>
      </w:r>
    </w:p>
    <w:tbl>
      <w:tblPr>
        <w:tblW w:w="4750" w:type="pct"/>
        <w:jc w:val="center"/>
        <w:tblInd w:w="0" w:type="dxa"/>
        <w:tblCellMar>
          <w:top w:w="0" w:type="dxa"/>
          <w:left w:w="0" w:type="dxa"/>
          <w:bottom w:w="0" w:type="dxa"/>
          <w:right w:w="0" w:type="dxa"/>
        </w:tblCellMar>
      </w:tblPr>
      <w:tblGrid>
        <w:gridCol w:w="300"/>
        <w:gridCol w:w="98"/>
        <w:gridCol w:w="9296"/>
      </w:tblGrid>
      <w:tr>
        <w:trPr/>
        <w:tc>
          <w:tcPr>
            <w:tcW w:w="30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9296" w:type="dxa"/>
            <w:tcBorders/>
            <w:shd w:fill="auto" w:val="clear"/>
            <w:vAlign w:val="bottom"/>
          </w:tcPr>
          <w:p>
            <w:pPr>
              <w:pStyle w:val="TableContents"/>
              <w:spacing w:before="0" w:after="283"/>
              <w:rPr/>
            </w:pPr>
            <w:r>
              <w:rPr/>
              <w:t> </w:t>
            </w:r>
          </w:p>
        </w:tc>
      </w:tr>
      <w:tr>
        <w:trPr/>
        <w:tc>
          <w:tcPr>
            <w:tcW w:w="300" w:type="dxa"/>
            <w:tcBorders/>
            <w:shd w:fill="auto" w:val="clear"/>
          </w:tcPr>
          <w:p>
            <w:pPr>
              <w:pStyle w:val="TableContents"/>
              <w:spacing w:before="0" w:after="0"/>
              <w:ind w:left="0" w:right="0" w:hanging="0"/>
              <w:rPr/>
            </w:pPr>
            <w:r>
              <w:rPr/>
              <w:t xml:space="preserve">Re: </w:t>
            </w:r>
          </w:p>
        </w:tc>
        <w:tc>
          <w:tcPr>
            <w:tcW w:w="98" w:type="dxa"/>
            <w:tcBorders/>
            <w:shd w:fill="auto" w:val="clear"/>
            <w:vAlign w:val="bottom"/>
          </w:tcPr>
          <w:p>
            <w:pPr>
              <w:pStyle w:val="TableContents"/>
              <w:spacing w:before="0" w:after="283"/>
              <w:rPr/>
            </w:pPr>
            <w:r>
              <w:rPr/>
              <w:t> </w:t>
            </w:r>
          </w:p>
        </w:tc>
        <w:tc>
          <w:tcPr>
            <w:tcW w:w="9296" w:type="dxa"/>
            <w:tcBorders/>
            <w:shd w:fill="auto" w:val="clear"/>
          </w:tcPr>
          <w:p>
            <w:pPr>
              <w:pStyle w:val="TableContents"/>
              <w:spacing w:before="0" w:after="283"/>
              <w:jc w:val="left"/>
              <w:rPr/>
            </w:pPr>
            <w:r>
              <w:rPr>
                <w:b/>
              </w:rPr>
              <w:t>Plains All American Pipeline, L.P.</w:t>
              <w:br/>
            </w:r>
            <w:r>
              <w:rPr/>
              <w:t>Registration Statement on Form S-4</w:t>
            </w:r>
            <w:r>
              <w:rPr>
                <w:b/>
              </w:rPr>
              <w:br/>
            </w:r>
            <w:r>
              <w:rPr/>
              <w:t>Filed August 28, 2006</w:t>
            </w:r>
            <w:r>
              <w:rPr>
                <w:b/>
              </w:rPr>
              <w:br/>
            </w:r>
            <w:r>
              <w:rPr/>
              <w:t>File No. 333-136925</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Dear Ms. Moncada-Terry: </w:t>
      </w:r>
    </w:p>
    <w:p>
      <w:pPr>
        <w:pStyle w:val="TextBody"/>
        <w:spacing w:before="120" w:after="283"/>
        <w:jc w:val="left"/>
        <w:rPr/>
      </w:pPr>
      <w:r>
        <w:rPr/>
        <w:t>     </w:t>
      </w:r>
      <w:r>
        <w:rPr>
          <w:rFonts w:ascii="Times New Roman;Times;serif" w:hAnsi="Times New Roman;Times;serif"/>
          <w:sz w:val="17"/>
        </w:rPr>
        <w:t>Set forth below are the responses of Plains All American Pipeline, L.P., a Delaware limited partnership (</w:t>
      </w:r>
      <w:r>
        <w:rPr>
          <w:rFonts w:ascii="Times New Roman;Times;serif" w:hAnsi="Times New Roman;Times;serif"/>
          <w:i/>
          <w:sz w:val="17"/>
        </w:rPr>
        <w:t>Plains</w:t>
      </w:r>
      <w:r>
        <w:rPr>
          <w:rFonts w:ascii="Times New Roman;Times;serif" w:hAnsi="Times New Roman;Times;serif"/>
          <w:sz w:val="17"/>
        </w:rPr>
        <w:t> or the </w:t>
      </w:r>
      <w:r>
        <w:rPr>
          <w:rFonts w:ascii="Times New Roman;Times;serif" w:hAnsi="Times New Roman;Times;serif"/>
          <w:i/>
          <w:sz w:val="17"/>
        </w:rPr>
        <w:t>Company</w:t>
      </w:r>
      <w:r>
        <w:rPr>
          <w:rFonts w:ascii="Times New Roman;Times;serif" w:hAnsi="Times New Roman;Times;serif"/>
          <w:sz w:val="17"/>
        </w:rPr>
        <w:t>), to comments received from the staff of the Division of Corporation Finance (the </w:t>
      </w:r>
      <w:r>
        <w:rPr>
          <w:rFonts w:ascii="Times New Roman;Times;serif" w:hAnsi="Times New Roman;Times;serif"/>
          <w:i/>
          <w:sz w:val="17"/>
        </w:rPr>
        <w:t>Staff</w:t>
      </w:r>
      <w:r>
        <w:rPr>
          <w:rFonts w:ascii="Times New Roman;Times;serif" w:hAnsi="Times New Roman;Times;serif"/>
          <w:sz w:val="17"/>
        </w:rPr>
        <w:t>) of the Securities and Exchange Commission (the </w:t>
      </w:r>
      <w:r>
        <w:rPr>
          <w:rFonts w:ascii="Times New Roman;Times;serif" w:hAnsi="Times New Roman;Times;serif"/>
          <w:i/>
          <w:sz w:val="17"/>
        </w:rPr>
        <w:t>Commission</w:t>
      </w:r>
      <w:r>
        <w:rPr>
          <w:rFonts w:ascii="Times New Roman;Times;serif" w:hAnsi="Times New Roman;Times;serif"/>
          <w:sz w:val="17"/>
        </w:rPr>
        <w:t>) by letter dated September 22, 2006, with respect to Plains Form S-4 filed with the Commission on August 28, 2006, File No. 333-136925 (the </w:t>
      </w:r>
      <w:r>
        <w:rPr>
          <w:rFonts w:ascii="Times New Roman;Times;serif" w:hAnsi="Times New Roman;Times;serif"/>
          <w:i/>
          <w:sz w:val="17"/>
        </w:rPr>
        <w:t>Registration Statement</w:t>
      </w:r>
      <w:r>
        <w:rPr>
          <w:rFonts w:ascii="Times New Roman;Times;serif" w:hAnsi="Times New Roman;Times;serif"/>
          <w:sz w:val="17"/>
        </w:rPr>
        <w:t xml:space="preserve">). For your convenience, each response is prefaced by the exact text of the Staffs corresponding comment in italicized text. The references to page numbers in the response to the Staffs comments correspond to the pages in Amendment No. 1 to the Registration Statement, which the Company has filed today via EDGAR.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General</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i/>
              </w:rPr>
            </w:pPr>
            <w:r>
              <w:rPr>
                <w:i/>
              </w:rPr>
              <w:t>1.</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i/>
              </w:rPr>
              <w:t xml:space="preserve">Your disclosure on page 9 suggests that you may be registering the notes in reliance on the staffs position enunciated in </w:t>
            </w:r>
            <w:r>
              <w:rPr>
                <w:i/>
                <w:u w:val="single"/>
              </w:rPr>
              <w:t>Exxon Capital Holdings Corporation</w:t>
            </w:r>
            <w:r>
              <w:rPr/>
              <w:t xml:space="preserve"> </w:t>
            </w:r>
            <w:r>
              <w:rPr>
                <w:i/>
              </w:rPr>
              <w:t xml:space="preserve">(available April 13, 1989), </w:t>
            </w:r>
            <w:r>
              <w:rPr>
                <w:i/>
                <w:u w:val="single"/>
              </w:rPr>
              <w:t>Morgan Stanley &amp; Co. Incorporated</w:t>
            </w:r>
            <w:r>
              <w:rPr/>
              <w:t xml:space="preserve"> </w:t>
            </w:r>
            <w:r>
              <w:rPr>
                <w:i/>
              </w:rPr>
              <w:t xml:space="preserve">(available June 5, 1991) regarding resales, and </w:t>
            </w:r>
            <w:r>
              <w:rPr>
                <w:i/>
                <w:u w:val="single"/>
              </w:rPr>
              <w:t>Shearman &amp; Sterling</w:t>
            </w:r>
            <w:r>
              <w:rPr/>
              <w:t xml:space="preserve"> </w:t>
            </w:r>
            <w:r>
              <w:rPr>
                <w:i/>
              </w:rPr>
              <w:t xml:space="preserve">(available July 2, 1993) with respect to the participation of broker-dealers. If so, please provide us with a letter stating that the issuer is registering the exchange offer in reliance on the staffs position in such letters and including the statements and representations substantially in the form set forth in the </w:t>
            </w:r>
            <w:r>
              <w:rPr>
                <w:i/>
                <w:u w:val="single"/>
              </w:rPr>
              <w:t>Morgan Stanley</w:t>
            </w:r>
            <w:r>
              <w:rPr/>
              <w:t xml:space="preserve"> </w:t>
            </w:r>
            <w:r>
              <w:rPr>
                <w:i/>
              </w:rPr>
              <w:t xml:space="preserve">and </w:t>
            </w:r>
            <w:r>
              <w:rPr>
                <w:i/>
                <w:u w:val="single"/>
              </w:rPr>
              <w:t>Shearman &amp; Sterling</w:t>
            </w:r>
            <w:r>
              <w:rPr/>
              <w:t xml:space="preserve"> </w:t>
            </w:r>
            <w:r>
              <w:rPr>
                <w:i/>
              </w:rPr>
              <w:t>letters. We may comment further upon reviewing your response.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b/>
                <w:u w:val="single"/>
              </w:rPr>
              <w:t>Response</w:t>
            </w:r>
            <w:r>
              <w:rPr/>
              <w:t>: Attached hereto as Annex A is a supplemental letter of the Company stating that it is registering the notes to be issued in the exchange offer in reliance on the Staffs position in the Exxon Capital Holdings Corporation, Morgan Stanley &amp; Co. Incorporated and Shearman &amp; Sterling no action letters. This supplemental letter contains the statements and representations contained in such no action letters.</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October 12, 2006</w:t>
        <w:br/>
        <w:t xml:space="preserve">Page 2 </w:t>
      </w:r>
    </w:p>
    <w:p>
      <w:pPr>
        <w:pStyle w:val="TextBody"/>
        <w:spacing w:before="360" w:after="283"/>
        <w:jc w:val="left"/>
        <w:rPr>
          <w:rFonts w:ascii="Times New Roman;Times;serif" w:hAnsi="Times New Roman;Times;serif"/>
          <w:sz w:val="17"/>
        </w:rPr>
      </w:pPr>
      <w:r>
        <w:rPr>
          <w:rFonts w:ascii="Times New Roman;Times;serif" w:hAnsi="Times New Roman;Times;serif"/>
          <w:b/>
          <w:sz w:val="17"/>
          <w:u w:val="single"/>
        </w:rPr>
        <w:t>U.S. Federal Income Tax Considerations, page 26</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i/>
              </w:rPr>
            </w:pPr>
            <w:r>
              <w:rPr>
                <w:i/>
              </w:rPr>
              <w:t>2.</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i/>
              </w:rPr>
            </w:pPr>
            <w:r>
              <w:rPr>
                <w:i/>
              </w:rPr>
              <w:t>Please revise the introductory paragraph to make clear that the disclosure in this section constitutes the opinion of your counsel, as represented in Exhibit 5.1. For example, it is inadequate to refer to counsels opinion as a summary of certain U.S. federal income tax considerations relevant to the exchange of outstanding notes for new notes...</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b/>
                <w:u w:val="single"/>
              </w:rPr>
              <w:t>Response</w:t>
            </w:r>
            <w:r>
              <w:rPr/>
              <w:t>: We have revised the Registration Statement to clarify that the disclosure constitutes the opinion of our counsel. Please see page 26 of Amendment No. 1 to the Registration Statement.</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i/>
              </w:rPr>
            </w:pPr>
            <w:r>
              <w:rPr>
                <w:i/>
              </w:rPr>
              <w:t>3.</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i/>
              </w:rPr>
            </w:pPr>
            <w:r>
              <w:rPr>
                <w:i/>
              </w:rPr>
              <w:t>Revise the caption and text to refer to the material tax consequences, and make clear that the disclosure addresses all such material U.S. federal income tax consequences.</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b/>
                <w:u w:val="single"/>
              </w:rPr>
              <w:t>Response</w:t>
            </w:r>
            <w:r>
              <w:rPr/>
              <w:t>: The Registration Statement has been revised accordingly. Please see page 26 of Amendment No. 1 to the Registration Statement.</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i/>
              </w:rPr>
            </w:pPr>
            <w:r>
              <w:rPr>
                <w:i/>
              </w:rPr>
              <w:t>4.</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i/>
              </w:rPr>
            </w:pPr>
            <w:r>
              <w:rPr>
                <w:i/>
              </w:rPr>
              <w:t>Obtain a clear opinion that the exchange will not rather than should not be an exchange and that the consequences will be as described. In the alternative, explain in necessary detail why counsel is unable to render an unambiguous opinion in that regard.</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b/>
                <w:u w:val="single"/>
              </w:rPr>
              <w:t>Response</w:t>
            </w:r>
            <w:r>
              <w:rPr/>
              <w:t>: The Registration Statement has been revised accordingly. Please see page 26 of Amendment No. 1 to the Registration Statement.</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Legal Matters, page 28</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i/>
              </w:rPr>
            </w:pPr>
            <w:r>
              <w:rPr>
                <w:i/>
              </w:rPr>
              <w:t>5.</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i/>
              </w:rPr>
            </w:pPr>
            <w:r>
              <w:rPr>
                <w:i/>
              </w:rPr>
              <w:t>Revise to clarify that counsel will also opine on the binding nature of the guarantees.</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b/>
                <w:u w:val="single"/>
              </w:rPr>
              <w:t>Response</w:t>
            </w:r>
            <w:r>
              <w:rPr/>
              <w:t>: The Registration Statement has been revised accordingly. Please see page 28 of Amendment No. 1 to the Registration Statement.</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Exhibit 5.1</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9"/>
        <w:gridCol w:w="103"/>
        <w:gridCol w:w="9893"/>
      </w:tblGrid>
      <w:tr>
        <w:trPr/>
        <w:tc>
          <w:tcPr>
            <w:tcW w:w="209" w:type="dxa"/>
            <w:tcBorders/>
            <w:shd w:fill="auto" w:val="clear"/>
          </w:tcPr>
          <w:p>
            <w:pPr>
              <w:pStyle w:val="TableContents"/>
              <w:spacing w:before="0" w:after="283"/>
              <w:jc w:val="left"/>
              <w:rPr>
                <w:i/>
              </w:rPr>
            </w:pPr>
            <w:r>
              <w:rPr>
                <w:i/>
              </w:rPr>
              <w:t>6.</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i/>
              </w:rPr>
            </w:pPr>
            <w:r>
              <w:rPr>
                <w:i/>
              </w:rPr>
              <w:t>Please obtain an opinion of counsel that opines on all applicable law. The attempt to limit the opinion to the laws of Delaware and New York appears to be inappropriate given that some of the guarantees are governed by the laws of Texas, Canada, Nova Scotia, and California.</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pPr>
            <w:r>
              <w:rPr/>
              <w:t> </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b/>
                <w:u w:val="single"/>
              </w:rPr>
              <w:t>Response</w:t>
            </w:r>
            <w:r>
              <w:rPr/>
              <w:t>: Our counsel has revised its opinion accordingly. Please see the revised opinion filed as Exhibit 5.1 to Amendment No. 1 to the Registration Statement.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October 12, 2006</w:t>
        <w:br/>
        <w:t xml:space="preserve">Page 3 </w:t>
      </w:r>
    </w:p>
    <w:p>
      <w:pPr>
        <w:pStyle w:val="TextBody"/>
        <w:spacing w:before="360" w:after="283"/>
        <w:jc w:val="left"/>
        <w:rPr/>
      </w:pPr>
      <w:r>
        <w:rPr/>
        <w:t>     </w:t>
      </w:r>
      <w:r>
        <w:rPr>
          <w:rFonts w:ascii="Times New Roman;Times;serif" w:hAnsi="Times New Roman;Times;serif"/>
          <w:sz w:val="17"/>
        </w:rPr>
        <w:t xml:space="preserve">Please direct any questions or comments regarding the foregoing to me at (713) 646-4100 or Alan Beck of Vinson &amp; Elkins L.L.P. at (713) 758-3638. </w:t>
      </w:r>
    </w:p>
    <w:tbl>
      <w:tblPr>
        <w:tblW w:w="5000" w:type="pct"/>
        <w:jc w:val="left"/>
        <w:tblInd w:w="0" w:type="dxa"/>
        <w:tblCellMar>
          <w:top w:w="0" w:type="dxa"/>
          <w:left w:w="0" w:type="dxa"/>
          <w:bottom w:w="0" w:type="dxa"/>
          <w:right w:w="0" w:type="dxa"/>
        </w:tblCellMar>
      </w:tblPr>
      <w:tblGrid>
        <w:gridCol w:w="4465"/>
        <w:gridCol w:w="193"/>
        <w:gridCol w:w="512"/>
        <w:gridCol w:w="3602"/>
        <w:gridCol w:w="1433"/>
      </w:tblGrid>
      <w:tr>
        <w:trPr/>
        <w:tc>
          <w:tcPr>
            <w:tcW w:w="4465"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512" w:type="dxa"/>
            <w:tcBorders/>
            <w:shd w:fill="auto" w:val="clear"/>
            <w:vAlign w:val="center"/>
          </w:tcPr>
          <w:p>
            <w:pPr>
              <w:pStyle w:val="TableContents"/>
              <w:spacing w:before="0" w:after="283"/>
              <w:rPr/>
            </w:pPr>
            <w:r>
              <w:rPr/>
              <w:t> </w:t>
            </w:r>
          </w:p>
        </w:tc>
        <w:tc>
          <w:tcPr>
            <w:tcW w:w="3602" w:type="dxa"/>
            <w:tcBorders/>
            <w:shd w:fill="auto" w:val="clear"/>
            <w:vAlign w:val="center"/>
          </w:tcPr>
          <w:p>
            <w:pPr>
              <w:pStyle w:val="TableContents"/>
              <w:spacing w:before="0" w:after="283"/>
              <w:rPr/>
            </w:pPr>
            <w:r>
              <w:rPr/>
              <w:t>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tcPr>
          <w:p>
            <w:pPr>
              <w:pStyle w:val="TableContents"/>
              <w:spacing w:before="0" w:after="283"/>
              <w:jc w:val="left"/>
              <w:rPr/>
            </w:pPr>
            <w:r>
              <w:rPr/>
              <w:t> </w:t>
            </w:r>
          </w:p>
        </w:tc>
        <w:tc>
          <w:tcPr>
            <w:tcW w:w="193" w:type="dxa"/>
            <w:tcBorders/>
            <w:shd w:fill="auto" w:val="clear"/>
            <w:vAlign w:val="center"/>
          </w:tcPr>
          <w:p>
            <w:pPr>
              <w:pStyle w:val="TableContents"/>
              <w:spacing w:before="0" w:after="283"/>
              <w:rPr/>
            </w:pPr>
            <w:r>
              <w:rPr/>
              <w:t> </w:t>
            </w:r>
          </w:p>
        </w:tc>
        <w:tc>
          <w:tcPr>
            <w:tcW w:w="4114" w:type="dxa"/>
            <w:gridSpan w:val="2"/>
            <w:tcBorders/>
            <w:shd w:fill="auto" w:val="clear"/>
            <w:vAlign w:val="center"/>
          </w:tcPr>
          <w:p>
            <w:pPr>
              <w:pStyle w:val="TableContents"/>
              <w:spacing w:before="0" w:after="283"/>
              <w:jc w:val="left"/>
              <w:rPr/>
            </w:pPr>
            <w:r>
              <w:rPr/>
              <w:t>Sincerely,</w:t>
              <w:br/>
              <w:t>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vAlign w:val="center"/>
          </w:tcPr>
          <w:p>
            <w:pPr>
              <w:pStyle w:val="TableContents"/>
              <w:spacing w:before="0" w:after="283"/>
              <w:jc w:val="left"/>
              <w:rPr/>
            </w:pPr>
            <w:r>
              <w:rPr/>
              <w:t> </w:t>
            </w:r>
          </w:p>
        </w:tc>
        <w:tc>
          <w:tcPr>
            <w:tcW w:w="193" w:type="dxa"/>
            <w:tcBorders/>
            <w:shd w:fill="auto" w:val="clear"/>
          </w:tcPr>
          <w:p>
            <w:pPr>
              <w:pStyle w:val="TableContents"/>
              <w:spacing w:before="0" w:after="283"/>
              <w:rPr/>
            </w:pPr>
            <w:r>
              <w:rPr/>
              <w:t>  </w:t>
            </w:r>
          </w:p>
        </w:tc>
        <w:tc>
          <w:tcPr>
            <w:tcW w:w="4114"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vAlign w:val="center"/>
          </w:tcPr>
          <w:p>
            <w:pPr>
              <w:pStyle w:val="TableContents"/>
              <w:spacing w:before="0" w:after="283"/>
              <w:jc w:val="left"/>
              <w:rPr/>
            </w:pPr>
            <w:r>
              <w:rPr/>
              <w:t> </w:t>
            </w:r>
          </w:p>
        </w:tc>
        <w:tc>
          <w:tcPr>
            <w:tcW w:w="193" w:type="dxa"/>
            <w:tcBorders/>
            <w:shd w:fill="auto" w:val="clear"/>
            <w:vAlign w:val="center"/>
          </w:tcPr>
          <w:p>
            <w:pPr>
              <w:pStyle w:val="TableContents"/>
              <w:spacing w:before="0" w:after="283"/>
              <w:rPr/>
            </w:pPr>
            <w:r>
              <w:rPr/>
              <w:t> </w:t>
            </w:r>
          </w:p>
        </w:tc>
        <w:tc>
          <w:tcPr>
            <w:tcW w:w="4114" w:type="dxa"/>
            <w:gridSpan w:val="2"/>
            <w:tcBorders/>
            <w:shd w:fill="auto" w:val="clear"/>
            <w:vAlign w:val="center"/>
          </w:tcPr>
          <w:p>
            <w:pPr>
              <w:pStyle w:val="TableContents"/>
              <w:spacing w:before="0" w:after="283"/>
              <w:jc w:val="left"/>
              <w:rPr/>
            </w:pPr>
            <w:r>
              <w:rPr/>
              <w:t>Tim Moore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vAlign w:val="center"/>
          </w:tcPr>
          <w:p>
            <w:pPr>
              <w:pStyle w:val="TableContents"/>
              <w:spacing w:before="0" w:after="283"/>
              <w:jc w:val="left"/>
              <w:rPr/>
            </w:pPr>
            <w:r>
              <w:rPr/>
              <w:t> </w:t>
            </w:r>
          </w:p>
        </w:tc>
        <w:tc>
          <w:tcPr>
            <w:tcW w:w="193" w:type="dxa"/>
            <w:tcBorders/>
            <w:shd w:fill="auto" w:val="clear"/>
            <w:vAlign w:val="center"/>
          </w:tcPr>
          <w:p>
            <w:pPr>
              <w:pStyle w:val="TableContents"/>
              <w:spacing w:before="0" w:after="283"/>
              <w:rPr/>
            </w:pPr>
            <w:r>
              <w:rPr/>
              <w:t> </w:t>
            </w:r>
          </w:p>
        </w:tc>
        <w:tc>
          <w:tcPr>
            <w:tcW w:w="4114" w:type="dxa"/>
            <w:gridSpan w:val="2"/>
            <w:tcBorders/>
            <w:shd w:fill="auto" w:val="clear"/>
            <w:vAlign w:val="center"/>
          </w:tcPr>
          <w:p>
            <w:pPr>
              <w:pStyle w:val="TableContents"/>
              <w:spacing w:before="0" w:after="283"/>
              <w:jc w:val="left"/>
              <w:rPr/>
            </w:pPr>
            <w:r>
              <w:rPr/>
              <w:t>Vice President</w:t>
              <w:br/>
              <w:t>Plains All American Pipeline, L.P. </w:t>
            </w:r>
          </w:p>
        </w:tc>
        <w:tc>
          <w:tcPr>
            <w:tcW w:w="143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cc:      Alan Beck, Vinson &amp; Elkins L.L.P.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right"/>
        <w:rPr>
          <w:rFonts w:ascii="Times New Roman;Times;serif" w:hAnsi="Times New Roman;Times;serif"/>
          <w:sz w:val="17"/>
        </w:rPr>
      </w:pPr>
      <w:r>
        <w:rPr>
          <w:rFonts w:ascii="Times New Roman;Times;serif" w:hAnsi="Times New Roman;Times;serif"/>
          <w:b/>
          <w:sz w:val="17"/>
          <w:u w:val="single"/>
        </w:rPr>
        <w:t>Annex A</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333 Clay Street, Suite 1600</w:t>
        <w:br/>
        <w:t>Houston, Texas 77002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October 12,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Division of Corporation Finance</w:t>
        <w:br/>
        <w:t>Securities and Exchange Commission</w:t>
        <w:br/>
        <w:t>100 F Street, N.E.</w:t>
        <w:br/>
        <w:t xml:space="preserve">Washington, D.C. 20549 </w:t>
      </w:r>
    </w:p>
    <w:tbl>
      <w:tblPr>
        <w:tblW w:w="4750" w:type="pct"/>
        <w:jc w:val="center"/>
        <w:tblInd w:w="0" w:type="dxa"/>
        <w:tblCellMar>
          <w:top w:w="0" w:type="dxa"/>
          <w:left w:w="0" w:type="dxa"/>
          <w:bottom w:w="0" w:type="dxa"/>
          <w:right w:w="0" w:type="dxa"/>
        </w:tblCellMar>
      </w:tblPr>
      <w:tblGrid>
        <w:gridCol w:w="300"/>
        <w:gridCol w:w="98"/>
        <w:gridCol w:w="9296"/>
      </w:tblGrid>
      <w:tr>
        <w:trPr/>
        <w:tc>
          <w:tcPr>
            <w:tcW w:w="30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9296" w:type="dxa"/>
            <w:tcBorders/>
            <w:shd w:fill="auto" w:val="clear"/>
            <w:vAlign w:val="bottom"/>
          </w:tcPr>
          <w:p>
            <w:pPr>
              <w:pStyle w:val="TableContents"/>
              <w:spacing w:before="0" w:after="283"/>
              <w:rPr/>
            </w:pPr>
            <w:r>
              <w:rPr/>
              <w:t> </w:t>
            </w:r>
          </w:p>
        </w:tc>
      </w:tr>
      <w:tr>
        <w:trPr/>
        <w:tc>
          <w:tcPr>
            <w:tcW w:w="300" w:type="dxa"/>
            <w:tcBorders/>
            <w:shd w:fill="auto" w:val="clear"/>
          </w:tcPr>
          <w:p>
            <w:pPr>
              <w:pStyle w:val="TableContents"/>
              <w:spacing w:before="0" w:after="0"/>
              <w:ind w:left="0" w:right="0" w:hanging="0"/>
              <w:rPr/>
            </w:pPr>
            <w:r>
              <w:rPr/>
              <w:t xml:space="preserve">Re: </w:t>
            </w:r>
          </w:p>
        </w:tc>
        <w:tc>
          <w:tcPr>
            <w:tcW w:w="98" w:type="dxa"/>
            <w:tcBorders/>
            <w:shd w:fill="auto" w:val="clear"/>
            <w:vAlign w:val="bottom"/>
          </w:tcPr>
          <w:p>
            <w:pPr>
              <w:pStyle w:val="TableContents"/>
              <w:spacing w:before="0" w:after="283"/>
              <w:rPr/>
            </w:pPr>
            <w:r>
              <w:rPr/>
              <w:t> </w:t>
            </w:r>
          </w:p>
        </w:tc>
        <w:tc>
          <w:tcPr>
            <w:tcW w:w="9296" w:type="dxa"/>
            <w:tcBorders/>
            <w:shd w:fill="auto" w:val="clear"/>
          </w:tcPr>
          <w:p>
            <w:pPr>
              <w:pStyle w:val="TableContents"/>
              <w:spacing w:before="0" w:after="283"/>
              <w:jc w:val="left"/>
              <w:rPr/>
            </w:pPr>
            <w:r>
              <w:rPr/>
              <w:t>Plains All American Pipeline, L.P.</w:t>
              <w:br/>
              <w:t>S-4 Registration Statement (333-136925)</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This letter accompanies the Registration Statement on Form S-4 of Plains All American Pipeline, L.P. (Plains) respecting an exchange offer for Plains 6.70% Senior Notes due 2036 (the Senior Notes), which were originally issued on May 12, 2006 in a Rule 144A transaction. </w:t>
      </w:r>
    </w:p>
    <w:p>
      <w:pPr>
        <w:pStyle w:val="TextBody"/>
        <w:spacing w:before="120" w:after="283"/>
        <w:jc w:val="left"/>
        <w:rPr/>
      </w:pPr>
      <w:r>
        <w:rPr/>
        <w:t>     </w:t>
      </w:r>
      <w:r>
        <w:rPr>
          <w:rFonts w:ascii="Times New Roman;Times;serif" w:hAnsi="Times New Roman;Times;serif"/>
          <w:sz w:val="17"/>
        </w:rPr>
        <w:t xml:space="preserve">The purpose of this letter is to confirm supplementally to the Staff that Plains is registering the Senior Notes to be issued in such exchange offer in reliance on the </w:t>
      </w:r>
      <w:r>
        <w:rPr>
          <w:rFonts w:ascii="Times New Roman;Times;serif" w:hAnsi="Times New Roman;Times;serif"/>
          <w:sz w:val="17"/>
          <w:u w:val="single"/>
        </w:rPr>
        <w:t>Exxon Capital Holdings Corporation</w:t>
      </w:r>
      <w:r>
        <w:rPr>
          <w:rFonts w:ascii="Times New Roman;Times;serif" w:hAnsi="Times New Roman;Times;serif"/>
          <w:sz w:val="17"/>
        </w:rPr>
        <w:t xml:space="preserve"> letter (available April 13, 1989), the </w:t>
      </w:r>
      <w:r>
        <w:rPr>
          <w:rFonts w:ascii="Times New Roman;Times;serif" w:hAnsi="Times New Roman;Times;serif"/>
          <w:sz w:val="17"/>
          <w:u w:val="single"/>
        </w:rPr>
        <w:t>Morgan Stanley &amp; Co. Incorporated</w:t>
      </w:r>
      <w:r>
        <w:rPr>
          <w:rFonts w:ascii="Times New Roman;Times;serif" w:hAnsi="Times New Roman;Times;serif"/>
          <w:sz w:val="17"/>
        </w:rPr>
        <w:t xml:space="preserve"> letter (available June 5, 1991), and the </w:t>
      </w:r>
      <w:r>
        <w:rPr>
          <w:rFonts w:ascii="Times New Roman;Times;serif" w:hAnsi="Times New Roman;Times;serif"/>
          <w:sz w:val="17"/>
          <w:u w:val="single"/>
        </w:rPr>
        <w:t>Shearman &amp; Sterling</w:t>
      </w:r>
      <w:r>
        <w:rPr>
          <w:rFonts w:ascii="Times New Roman;Times;serif" w:hAnsi="Times New Roman;Times;serif"/>
          <w:sz w:val="17"/>
        </w:rPr>
        <w:t xml:space="preserve"> letter (available July 2, 1993). Plains hereby represents that it has not entered into any arrangement or understanding with any person (including any broker-dealer) to distribute the Senior Notes to be issued in the exchange offer and, to the best of its knowledge and belief, each person (including any broker-dealer) participating in the exchange offer will acquire such Senior Notes in the ordinary course of business and with no arrangement or understanding with any person to participate in a distribution of Senior Notes to be received in the exchange offer. </w:t>
      </w:r>
    </w:p>
    <w:p>
      <w:pPr>
        <w:pStyle w:val="TextBody"/>
        <w:spacing w:before="120" w:after="283"/>
        <w:jc w:val="left"/>
        <w:rPr/>
      </w:pPr>
      <w:r>
        <w:rPr/>
        <w:t>     </w:t>
      </w:r>
      <w:r>
        <w:rPr>
          <w:rFonts w:ascii="Times New Roman;Times;serif" w:hAnsi="Times New Roman;Times;serif"/>
          <w:sz w:val="17"/>
        </w:rPr>
        <w:t xml:space="preserve">If any additional supplemental information is required by the Staff, please contact Plains counsel, Mr. Alan Beck, whose telephone number and mailing address are shown on the facing sheet of the S-4 Registration Statement. </w:t>
      </w:r>
    </w:p>
    <w:tbl>
      <w:tblPr>
        <w:tblW w:w="5000" w:type="pct"/>
        <w:jc w:val="left"/>
        <w:tblInd w:w="0" w:type="dxa"/>
        <w:tblCellMar>
          <w:top w:w="0" w:type="dxa"/>
          <w:left w:w="0" w:type="dxa"/>
          <w:bottom w:w="0" w:type="dxa"/>
          <w:right w:w="0" w:type="dxa"/>
        </w:tblCellMar>
      </w:tblPr>
      <w:tblGrid>
        <w:gridCol w:w="4063"/>
        <w:gridCol w:w="954"/>
        <w:gridCol w:w="765"/>
        <w:gridCol w:w="3113"/>
        <w:gridCol w:w="1310"/>
      </w:tblGrid>
      <w:tr>
        <w:trPr/>
        <w:tc>
          <w:tcPr>
            <w:tcW w:w="4063" w:type="dxa"/>
            <w:tcBorders/>
            <w:shd w:fill="auto" w:val="clear"/>
            <w:vAlign w:val="center"/>
          </w:tcPr>
          <w:p>
            <w:pPr>
              <w:pStyle w:val="TableContents"/>
              <w:spacing w:before="0" w:after="283"/>
              <w:rPr/>
            </w:pPr>
            <w:r>
              <w:rPr/>
              <w:t> </w:t>
            </w:r>
          </w:p>
        </w:tc>
        <w:tc>
          <w:tcPr>
            <w:tcW w:w="954" w:type="dxa"/>
            <w:tcBorders/>
            <w:shd w:fill="auto" w:val="clear"/>
            <w:vAlign w:val="center"/>
          </w:tcPr>
          <w:p>
            <w:pPr>
              <w:pStyle w:val="TableContents"/>
              <w:spacing w:before="0" w:after="283"/>
              <w:rPr/>
            </w:pPr>
            <w:r>
              <w:rPr/>
              <w:t> </w:t>
            </w:r>
          </w:p>
        </w:tc>
        <w:tc>
          <w:tcPr>
            <w:tcW w:w="765" w:type="dxa"/>
            <w:tcBorders/>
            <w:shd w:fill="auto" w:val="clear"/>
            <w:vAlign w:val="center"/>
          </w:tcPr>
          <w:p>
            <w:pPr>
              <w:pStyle w:val="TableContents"/>
              <w:spacing w:before="0" w:after="283"/>
              <w:rPr/>
            </w:pPr>
            <w:r>
              <w:rPr/>
              <w:t> </w:t>
            </w:r>
          </w:p>
        </w:tc>
        <w:tc>
          <w:tcPr>
            <w:tcW w:w="3113"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rPr/>
            </w:pPr>
            <w:r>
              <w:rPr/>
              <w:t> </w:t>
            </w:r>
          </w:p>
        </w:tc>
      </w:tr>
      <w:tr>
        <w:trPr/>
        <w:tc>
          <w:tcPr>
            <w:tcW w:w="4063" w:type="dxa"/>
            <w:tcBorders/>
            <w:shd w:fill="auto" w:val="clear"/>
          </w:tcPr>
          <w:p>
            <w:pPr>
              <w:pStyle w:val="TableContents"/>
              <w:spacing w:before="0" w:after="283"/>
              <w:jc w:val="left"/>
              <w:rPr/>
            </w:pPr>
            <w:r>
              <w:rPr/>
              <w:t> </w:t>
            </w:r>
          </w:p>
        </w:tc>
        <w:tc>
          <w:tcPr>
            <w:tcW w:w="4832" w:type="dxa"/>
            <w:gridSpan w:val="3"/>
            <w:tcBorders/>
            <w:shd w:fill="auto" w:val="clear"/>
            <w:vAlign w:val="center"/>
          </w:tcPr>
          <w:p>
            <w:pPr>
              <w:pStyle w:val="TableContents"/>
              <w:spacing w:before="0" w:after="283"/>
              <w:jc w:val="left"/>
              <w:rPr/>
            </w:pPr>
            <w:r>
              <w:rPr/>
              <w:t>Very truly yours,</w:t>
              <w:br/>
              <w:br/>
              <w:t>PLAINS ALL AMERICAN PIPELINE, L.P.</w:t>
              <w:br/>
              <w:t> </w:t>
            </w:r>
          </w:p>
        </w:tc>
        <w:tc>
          <w:tcPr>
            <w:tcW w:w="1310"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rPr/>
            </w:pPr>
            <w:r>
              <w:rPr/>
              <w:t> </w:t>
            </w:r>
          </w:p>
        </w:tc>
        <w:tc>
          <w:tcPr>
            <w:tcW w:w="6142" w:type="dxa"/>
            <w:gridSpan w:val="4"/>
            <w:tcBorders/>
            <w:shd w:fill="auto" w:val="clear"/>
          </w:tcPr>
          <w:p>
            <w:pPr>
              <w:pStyle w:val="TableContents"/>
              <w:spacing w:before="0" w:after="283"/>
              <w:rPr>
                <w:sz w:val="4"/>
                <w:szCs w:val="4"/>
              </w:rPr>
            </w:pPr>
            <w:r>
              <w:rPr>
                <w:sz w:val="4"/>
                <w:szCs w:val="4"/>
              </w:rPr>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tcPr>
          <w:p>
            <w:pPr>
              <w:pStyle w:val="TableContents"/>
              <w:spacing w:before="0" w:after="283"/>
              <w:rPr/>
            </w:pPr>
            <w:r>
              <w:rPr/>
              <w:t>By:  </w:t>
            </w:r>
          </w:p>
        </w:tc>
        <w:tc>
          <w:tcPr>
            <w:tcW w:w="387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0"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rPr/>
            </w:pPr>
            <w:r>
              <w:rPr/>
              <w:t> </w:t>
            </w:r>
          </w:p>
        </w:tc>
        <w:tc>
          <w:tcPr>
            <w:tcW w:w="3878" w:type="dxa"/>
            <w:gridSpan w:val="2"/>
            <w:tcBorders/>
            <w:shd w:fill="auto" w:val="clear"/>
            <w:vAlign w:val="center"/>
          </w:tcPr>
          <w:p>
            <w:pPr>
              <w:pStyle w:val="TableContents"/>
              <w:spacing w:before="0" w:after="283"/>
              <w:jc w:val="left"/>
              <w:rPr/>
            </w:pPr>
            <w:r>
              <w:rPr/>
              <w:t>Tim Moore </w:t>
            </w:r>
          </w:p>
        </w:tc>
        <w:tc>
          <w:tcPr>
            <w:tcW w:w="1310"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rPr/>
            </w:pPr>
            <w:r>
              <w:rPr/>
              <w:t> </w:t>
            </w:r>
          </w:p>
        </w:tc>
        <w:tc>
          <w:tcPr>
            <w:tcW w:w="3878" w:type="dxa"/>
            <w:gridSpan w:val="2"/>
            <w:tcBorders/>
            <w:shd w:fill="auto" w:val="clear"/>
            <w:vAlign w:val="center"/>
          </w:tcPr>
          <w:p>
            <w:pPr>
              <w:pStyle w:val="TableContents"/>
              <w:spacing w:before="0" w:after="283"/>
              <w:jc w:val="left"/>
              <w:rPr/>
            </w:pPr>
            <w:r>
              <w:rPr/>
              <w:t>Vice President </w:t>
            </w:r>
          </w:p>
        </w:tc>
        <w:tc>
          <w:tcPr>
            <w:tcW w:w="131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28908</Words>
  <CharactersWithSpaces>178921</CharactersWithSpaces>
  <Paragraphs>3145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