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60" w:firstLine="324"/>
        <w:spacing w:after="0" w:line="257" w:lineRule="auto"/>
        <w:rPr>
          <w:sz w:val="20"/>
          <w:szCs w:val="20"/>
          <w:color w:val="auto"/>
        </w:rPr>
      </w:pPr>
      <w:r>
        <w:rPr>
          <w:rFonts w:ascii="Arial" w:cs="Arial" w:eastAsia="Arial" w:hAnsi="Arial"/>
          <w:sz w:val="18"/>
          <w:szCs w:val="18"/>
          <w:color w:val="auto"/>
        </w:rPr>
        <w:t>This prospectus supplement updates and amends certain information contained in the prospectus dated December 10, 2014, as supplemented by the prospectus supplements dated December 31, 2014, April 1, 2015, July 1, 2015, October 1, 2015 and December 22, 2015 (as supplemented,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additional amendments or supplements thereto.</w:t>
      </w:r>
    </w:p>
    <w:p>
      <w:pPr>
        <w:spacing w:after="0" w:line="175" w:lineRule="exact"/>
        <w:rPr>
          <w:sz w:val="24"/>
          <w:szCs w:val="24"/>
          <w:color w:val="auto"/>
        </w:rPr>
      </w:pPr>
    </w:p>
    <w:p>
      <w:pPr>
        <w:ind w:right="180" w:firstLine="324"/>
        <w:spacing w:after="0" w:line="239" w:lineRule="auto"/>
        <w:rPr>
          <w:sz w:val="20"/>
          <w:szCs w:val="20"/>
          <w:color w:val="auto"/>
        </w:rPr>
      </w:pPr>
      <w:r>
        <w:rPr>
          <w:rFonts w:ascii="Arial" w:cs="Arial" w:eastAsia="Arial" w:hAnsi="Arial"/>
          <w:sz w:val="22"/>
          <w:szCs w:val="22"/>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90" w:lineRule="exact"/>
        <w:rPr>
          <w:sz w:val="24"/>
          <w:szCs w:val="24"/>
          <w:color w:val="auto"/>
        </w:rPr>
      </w:pPr>
    </w:p>
    <w:p>
      <w:pPr>
        <w:ind w:right="42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January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60" w:firstLine="324"/>
        <w:spacing w:after="0" w:line="276" w:lineRule="auto"/>
        <w:rPr>
          <w:sz w:val="20"/>
          <w:szCs w:val="20"/>
          <w:color w:val="auto"/>
        </w:rPr>
      </w:pPr>
      <w:r>
        <w:rPr>
          <w:rFonts w:ascii="Arial" w:cs="Arial" w:eastAsia="Arial" w:hAnsi="Arial"/>
          <w:sz w:val="17"/>
          <w:szCs w:val="17"/>
          <w:color w:val="auto"/>
        </w:rPr>
        <w:t>On or about December 31, 2015, (i) KAFU Holdings, L.P. exercised the Exchange Right with respect to 6,667 of its Class B shares, AAP units and general partner units and then distributed the resulting 6,667 Class A shares to certain of the selling shareholders listed below and (ii) KAFU Holdings (QP), L.P. (“KAFU QP”) exercised the Exchange Right with respect to 1,232,828 of its Class B shares, AAP units and general partner units and then distributed the resulting 1,232,828 Class A shares to certain of the selling shareholders listed below. We are amending the Selling Shareholders table in the Prospectus to reflect these transfers and to include or update information with respect to the transferees of such interests.</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Percentage of</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Class A Shares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Class A Shares</w:t>
            </w:r>
          </w:p>
        </w:tc>
        <w:tc>
          <w:tcPr>
            <w:tcW w:w="16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Offered Hereby</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KAFU Holdings, L.P.(1)</w:t>
            </w:r>
          </w:p>
        </w:tc>
        <w:tc>
          <w:tcPr>
            <w:tcW w:w="30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6,211,178</w:t>
            </w:r>
          </w:p>
        </w:tc>
        <w:tc>
          <w:tcPr>
            <w:tcW w:w="3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6,211,178</w:t>
            </w:r>
          </w:p>
        </w:tc>
        <w:tc>
          <w:tcPr>
            <w:tcW w:w="28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Misali Medical Corp, Inc. Profit Sharing</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Plan(2)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5,120</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Longs Peak Capital Partners, LLC(3)</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(QP), L.P.(4)</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85,235,837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85,235,837</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Donald B. Rice and Susan F. Rice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Community Property</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700,485</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700,485</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Family Partnership(5)</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451,441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451,441</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Richard Granville Kinsman &amp;</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Audrey Robertson Kinsman Joint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Living Trust dtd 8/31/09(6)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36,599</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36,599</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4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Justin Gimelstob</w:t>
            </w:r>
          </w:p>
        </w:tc>
        <w:tc>
          <w:tcPr>
            <w:tcW w:w="20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23,489</w:t>
            </w: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23,489</w:t>
            </w:r>
          </w:p>
        </w:tc>
        <w:tc>
          <w:tcPr>
            <w:tcW w:w="15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Pensco Trust Company FBO Asha</w:t>
            </w:r>
          </w:p>
        </w:tc>
        <w:tc>
          <w:tcPr>
            <w:tcW w:w="20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Garfield IRA R/O</w:t>
            </w:r>
          </w:p>
        </w:tc>
        <w:tc>
          <w:tcPr>
            <w:tcW w:w="2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11,456(7)</w:t>
            </w: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10,549(7)</w:t>
            </w:r>
          </w:p>
        </w:tc>
        <w:tc>
          <w:tcPr>
            <w:tcW w:w="15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907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Paragon Homes Inc. 401-K(8)</w:t>
            </w:r>
          </w:p>
        </w:tc>
        <w:tc>
          <w:tcPr>
            <w:tcW w:w="2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6,001(9)</w:t>
            </w: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5,274(9)</w:t>
            </w:r>
          </w:p>
        </w:tc>
        <w:tc>
          <w:tcPr>
            <w:tcW w:w="15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727</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NFS FBO Dean and Christy Rosenberg</w:t>
            </w:r>
          </w:p>
        </w:tc>
        <w:tc>
          <w:tcPr>
            <w:tcW w:w="20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Joint-SMCV</w:t>
            </w:r>
          </w:p>
        </w:tc>
        <w:tc>
          <w:tcPr>
            <w:tcW w:w="20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2,586</w:t>
            </w: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2,586</w:t>
            </w:r>
          </w:p>
        </w:tc>
        <w:tc>
          <w:tcPr>
            <w:tcW w:w="15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Westport Investments, LLC(10)</w:t>
            </w:r>
          </w:p>
        </w:tc>
        <w:tc>
          <w:tcPr>
            <w:tcW w:w="20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2,405</w:t>
            </w: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2,405</w:t>
            </w:r>
          </w:p>
        </w:tc>
        <w:tc>
          <w:tcPr>
            <w:tcW w:w="15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400" w:right="380" w:hanging="392"/>
        <w:spacing w:after="0" w:line="286" w:lineRule="auto"/>
        <w:tabs>
          <w:tab w:leader="none" w:pos="41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400" w:right="300"/>
        <w:spacing w:after="0" w:line="302" w:lineRule="auto"/>
        <w:rPr>
          <w:rFonts w:ascii="Arial" w:cs="Arial" w:eastAsia="Arial" w:hAnsi="Arial"/>
          <w:sz w:val="17"/>
          <w:szCs w:val="17"/>
          <w:color w:val="auto"/>
        </w:rPr>
      </w:pPr>
      <w:r>
        <w:rPr>
          <w:rFonts w:ascii="Arial" w:cs="Arial" w:eastAsia="Arial" w:hAnsi="Arial"/>
          <w:sz w:val="16"/>
          <w:szCs w:val="16"/>
          <w:color w:val="auto"/>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54" w:lineRule="exact"/>
        <w:rPr>
          <w:rFonts w:ascii="Arial" w:cs="Arial" w:eastAsia="Arial" w:hAnsi="Arial"/>
          <w:sz w:val="17"/>
          <w:szCs w:val="17"/>
          <w:color w:val="auto"/>
        </w:rPr>
      </w:pPr>
    </w:p>
    <w:p>
      <w:pPr>
        <w:ind w:left="400" w:right="20" w:hanging="392"/>
        <w:spacing w:after="0" w:line="264" w:lineRule="auto"/>
        <w:tabs>
          <w:tab w:leader="none" w:pos="41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Michael M. Litwin and Sandra R. Litwin, trustees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hanging="392"/>
        <w:spacing w:after="0" w:line="286" w:lineRule="auto"/>
        <w:tabs>
          <w:tab w:leader="none" w:pos="41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of Charles A. Lindberg and Robert J. Parfet, co-managers of Jumar Management LLC, the Manager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65" w:lineRule="exact"/>
        <w:rPr>
          <w:rFonts w:ascii="Arial" w:cs="Arial" w:eastAsia="Arial" w:hAnsi="Arial"/>
          <w:sz w:val="17"/>
          <w:szCs w:val="17"/>
          <w:color w:val="auto"/>
        </w:rPr>
      </w:pPr>
    </w:p>
    <w:p>
      <w:pPr>
        <w:ind w:left="400" w:right="380" w:hanging="392"/>
        <w:spacing w:after="0" w:line="286" w:lineRule="auto"/>
        <w:tabs>
          <w:tab w:leader="none" w:pos="41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400" w:right="240"/>
        <w:spacing w:after="0" w:line="312" w:lineRule="auto"/>
        <w:rPr>
          <w:rFonts w:ascii="Arial" w:cs="Arial" w:eastAsia="Arial" w:hAnsi="Arial"/>
          <w:sz w:val="17"/>
          <w:szCs w:val="17"/>
          <w:color w:val="auto"/>
        </w:rPr>
      </w:pPr>
      <w:r>
        <w:rPr>
          <w:rFonts w:ascii="Arial" w:cs="Arial" w:eastAsia="Arial" w:hAnsi="Arial"/>
          <w:sz w:val="16"/>
          <w:szCs w:val="16"/>
          <w:color w:val="auto"/>
        </w:rPr>
        <w:t>Each of Robert Sinnott, portfolio manager of the selling shareholder, and Richard Kayne, controlling owner of the manager of the selling shareholder, KACALP,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46" w:lineRule="exact"/>
        <w:rPr>
          <w:rFonts w:ascii="Arial" w:cs="Arial" w:eastAsia="Arial" w:hAnsi="Arial"/>
          <w:sz w:val="17"/>
          <w:szCs w:val="17"/>
          <w:color w:val="auto"/>
        </w:rPr>
      </w:pPr>
    </w:p>
    <w:p>
      <w:pPr>
        <w:ind w:left="400" w:right="380" w:hanging="392"/>
        <w:spacing w:after="0" w:line="286" w:lineRule="auto"/>
        <w:tabs>
          <w:tab w:leader="none" w:pos="41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400" w:right="80"/>
        <w:spacing w:after="0" w:line="264" w:lineRule="auto"/>
        <w:rPr>
          <w:rFonts w:ascii="Arial" w:cs="Arial" w:eastAsia="Arial" w:hAnsi="Arial"/>
          <w:sz w:val="17"/>
          <w:szCs w:val="17"/>
          <w:color w:val="auto"/>
        </w:rPr>
      </w:pPr>
      <w:r>
        <w:rPr>
          <w:rFonts w:ascii="Arial" w:cs="Arial" w:eastAsia="Arial" w:hAnsi="Arial"/>
          <w:sz w:val="18"/>
          <w:szCs w:val="18"/>
          <w:color w:val="auto"/>
        </w:rPr>
        <w:t>Richard A. Kayne, President of Jemasa, Inc., the general partner of the selling shareholder, exercises sole voting and dispositive power over the Class A shares held by the selling shareholder. Mr. Kayne disclaims beneficial ownership of any of our Class A shares held by the selling shareholder except to the extent of his pecuniary interest therein.</w:t>
      </w:r>
    </w:p>
    <w:p>
      <w:pPr>
        <w:spacing w:after="0" w:line="181" w:lineRule="exact"/>
        <w:rPr>
          <w:rFonts w:ascii="Arial" w:cs="Arial" w:eastAsia="Arial" w:hAnsi="Arial"/>
          <w:sz w:val="17"/>
          <w:szCs w:val="17"/>
          <w:color w:val="auto"/>
        </w:rPr>
      </w:pPr>
    </w:p>
    <w:p>
      <w:pPr>
        <w:ind w:left="400" w:hanging="392"/>
        <w:spacing w:after="0" w:line="264" w:lineRule="auto"/>
        <w:tabs>
          <w:tab w:leader="none" w:pos="41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Audrey R. Kinsman and Richard G. Kinsman, trustees of the selling shareholder, exercise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 received 10,549 Class A shares in the transfer from KAFU QP; 907 Class A shares were previously owned.</w:t>
      </w:r>
    </w:p>
    <w:p>
      <w:pPr>
        <w:spacing w:after="0" w:line="225" w:lineRule="exact"/>
        <w:rPr>
          <w:rFonts w:ascii="Arial" w:cs="Arial" w:eastAsia="Arial" w:hAnsi="Arial"/>
          <w:sz w:val="18"/>
          <w:szCs w:val="18"/>
          <w:color w:val="auto"/>
        </w:rPr>
      </w:pPr>
    </w:p>
    <w:p>
      <w:pPr>
        <w:ind w:left="400" w:right="700" w:hanging="392"/>
        <w:spacing w:after="0" w:line="264" w:lineRule="auto"/>
        <w:tabs>
          <w:tab w:leader="none" w:pos="41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Steven Garfield, the trustee of the selling shareholder, exercises sole voting and dispositive power over the Class A shares held by the selling shareholder. Mr. Garfield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 received 5,274 Class A shares in the transfer from KAFU QP; 727 Class A shares were previously owned.</w:t>
      </w:r>
    </w:p>
    <w:p>
      <w:pPr>
        <w:spacing w:after="0" w:line="225" w:lineRule="exact"/>
        <w:rPr>
          <w:rFonts w:ascii="Arial" w:cs="Arial" w:eastAsia="Arial" w:hAnsi="Arial"/>
          <w:sz w:val="18"/>
          <w:szCs w:val="18"/>
          <w:color w:val="auto"/>
        </w:rPr>
      </w:pPr>
    </w:p>
    <w:p>
      <w:pPr>
        <w:ind w:left="400" w:right="220" w:hanging="392"/>
        <w:spacing w:after="0" w:line="264"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Corbin West, a member of the selling shareholder, exercises sole voting and dispositive power over the Class A shares held by the selling shareholder. Mr. West disclaims beneficial ownership of any of our Class A shares held by the selling shareholder except to the extent of his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2020-01-19T03:38:05Z</dcterms:created>
  <dcterms:modified xsi:type="dcterms:W3CDTF">2020-01-19T03:38:05Z</dcterms:modified>
</cp:coreProperties>
</file>