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33171d8k.htm"/>
      <w:bookmarkStart w:id="1" w:name="ksd633171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20,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7.01. Regulation FD Disclosure </w:t>
      </w:r>
    </w:p>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Bank of America Merrill Lynch 2013 Global Energy Conference to be held in Miami, Florida on Thursday, November 21, 2013. Such presentation will give an overview of PAA and PAGP, including strategic positioning, organic growth activities, financial growth strategy and related matters. On the morning of November 21, 2013, the prepared presentation materials will be made available for viewing at www.plainsallamerican.com under the Investor Relations tab. The presentation will also be webcast live beginning at approximately 9:45 a.m. EST and will be available for a period of approximately 90 days following the event at the following weblink: http://www.veracast.com/webcasts/baml/energy2013/id08104326316.cfm. Neither PAA nor PAGP undertake to update the information as posted on their website; however, they may post additional information included in future press releases, Forms 8-K, and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09"/>
        <w:gridCol w:w="119"/>
        <w:gridCol w:w="398"/>
        <w:gridCol w:w="119"/>
        <w:gridCol w:w="328"/>
        <w:gridCol w:w="119"/>
        <w:gridCol w:w="4613"/>
      </w:tblGrid>
      <w:tr>
        <w:trPr/>
        <w:tc>
          <w:tcPr>
            <w:tcW w:w="450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613" w:type="dxa"/>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060" w:type="dxa"/>
            <w:gridSpan w:val="3"/>
            <w:tcBorders/>
            <w:shd w:fill="auto" w:val="clear"/>
            <w:vAlign w:val="bottom"/>
          </w:tcPr>
          <w:p>
            <w:pPr>
              <w:pStyle w:val="TableContents"/>
              <w:spacing w:before="0" w:after="283"/>
              <w:rPr/>
            </w:pPr>
            <w:r>
              <w:rPr/>
              <w:t>PLAINS ALL AMERICAN PIPELINE, L.P.</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517"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c>
          <w:tcPr>
            <w:tcW w:w="4732" w:type="dxa"/>
            <w:gridSpan w:val="2"/>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pPr>
            <w:r>
              <w:rPr/>
              <w:t>Date: November 20, 2013</w:t>
            </w:r>
          </w:p>
        </w:tc>
        <w:tc>
          <w:tcPr>
            <w:tcW w:w="119"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3" w:type="dxa"/>
            <w:tcBorders/>
            <w:shd w:fill="auto" w:val="clear"/>
            <w:vAlign w:val="bottom"/>
          </w:tcPr>
          <w:p>
            <w:pPr>
              <w:pStyle w:val="TableContents"/>
              <w:spacing w:before="0" w:after="283"/>
              <w:rPr/>
            </w:pPr>
            <w:r>
              <w:rPr/>
              <w:t>PAA GP LLC, its general partner</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517"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c>
          <w:tcPr>
            <w:tcW w:w="4732" w:type="dxa"/>
            <w:gridSpan w:val="2"/>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3" w:type="dxa"/>
            <w:tcBorders/>
            <w:shd w:fill="auto" w:val="clear"/>
            <w:vAlign w:val="bottom"/>
          </w:tcPr>
          <w:p>
            <w:pPr>
              <w:pStyle w:val="TableContents"/>
              <w:spacing w:before="0" w:after="283"/>
              <w:rPr/>
            </w:pPr>
            <w:r>
              <w:rPr/>
              <w:t>Plains AAP, L.P., its sole member</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517"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c>
          <w:tcPr>
            <w:tcW w:w="4732" w:type="dxa"/>
            <w:gridSpan w:val="2"/>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3" w:type="dxa"/>
            <w:tcBorders/>
            <w:shd w:fill="auto" w:val="clear"/>
            <w:vAlign w:val="bottom"/>
          </w:tcPr>
          <w:p>
            <w:pPr>
              <w:pStyle w:val="TableContents"/>
              <w:spacing w:before="0" w:after="283"/>
              <w:rPr/>
            </w:pPr>
            <w:r>
              <w:rPr/>
              <w:t>Plains All American GP LLC, its general partner</w:t>
            </w:r>
          </w:p>
        </w:tc>
      </w:tr>
      <w:tr>
        <w:trPr>
          <w:trHeight w:val="240" w:hRule="atLeast"/>
        </w:trPr>
        <w:tc>
          <w:tcPr>
            <w:tcW w:w="4509" w:type="dxa"/>
            <w:tcBorders/>
            <w:shd w:fill="auto" w:val="clear"/>
            <w:vAlign w:val="center"/>
          </w:tcPr>
          <w:p>
            <w:pPr>
              <w:pStyle w:val="TableContents"/>
              <w:spacing w:before="0" w:after="283"/>
              <w:rPr>
                <w:sz w:val="4"/>
                <w:szCs w:val="4"/>
              </w:rPr>
            </w:pPr>
            <w:r>
              <w:rPr>
                <w:sz w:val="4"/>
                <w:szCs w:val="4"/>
              </w:rPr>
            </w:r>
          </w:p>
        </w:tc>
        <w:tc>
          <w:tcPr>
            <w:tcW w:w="517" w:type="dxa"/>
            <w:gridSpan w:val="2"/>
            <w:tcBorders/>
            <w:shd w:fill="auto" w:val="clear"/>
            <w:vAlign w:val="center"/>
          </w:tcPr>
          <w:p>
            <w:pPr>
              <w:pStyle w:val="TableContents"/>
              <w:spacing w:before="0" w:after="283"/>
              <w:rPr>
                <w:sz w:val="4"/>
                <w:szCs w:val="4"/>
              </w:rPr>
            </w:pPr>
            <w:r>
              <w:rPr>
                <w:sz w:val="4"/>
                <w:szCs w:val="4"/>
              </w:rPr>
            </w:r>
          </w:p>
        </w:tc>
        <w:tc>
          <w:tcPr>
            <w:tcW w:w="447" w:type="dxa"/>
            <w:gridSpan w:val="2"/>
            <w:tcBorders/>
            <w:shd w:fill="auto" w:val="clear"/>
            <w:vAlign w:val="center"/>
          </w:tcPr>
          <w:p>
            <w:pPr>
              <w:pStyle w:val="TableContents"/>
              <w:spacing w:before="0" w:after="283"/>
              <w:rPr>
                <w:sz w:val="4"/>
                <w:szCs w:val="4"/>
              </w:rPr>
            </w:pPr>
            <w:r>
              <w:rPr>
                <w:sz w:val="4"/>
                <w:szCs w:val="4"/>
              </w:rPr>
            </w:r>
          </w:p>
        </w:tc>
        <w:tc>
          <w:tcPr>
            <w:tcW w:w="4732" w:type="dxa"/>
            <w:gridSpan w:val="2"/>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rPr/>
            </w:pPr>
            <w:r>
              <w:rPr/>
              <w:t>By:</w:t>
            </w:r>
          </w:p>
        </w:tc>
        <w:tc>
          <w:tcPr>
            <w:tcW w:w="119" w:type="dxa"/>
            <w:tcBorders>
              <w:bottom w:val="single" w:sz="2" w:space="0" w:color="000000"/>
            </w:tcBorders>
            <w:shd w:fill="auto" w:val="clear"/>
            <w:tcMar>
              <w:bottom w:w="28" w:type="dxa"/>
            </w:tcMar>
            <w:vAlign w:val="bottom"/>
          </w:tcPr>
          <w:p>
            <w:pPr>
              <w:pStyle w:val="TableContents"/>
              <w:spacing w:before="0" w:after="283"/>
              <w:rPr/>
            </w:pPr>
            <w:r>
              <w:rPr/>
              <w:t> </w:t>
            </w:r>
          </w:p>
        </w:tc>
        <w:tc>
          <w:tcPr>
            <w:tcW w:w="4613"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50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8"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4613"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501</Words>
  <CharactersWithSpaces>3271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