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5040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50405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40" w:type="dxa"/>
            <w:vAlign w:val="bottom"/>
          </w:tcPr>
          <w:p>
            <w:pPr>
              <w:jc w:val="right"/>
              <w:ind w:right="164"/>
              <w:spacing w:after="0"/>
              <w:rPr>
                <w:sz w:val="20"/>
                <w:szCs w:val="20"/>
                <w:color w:val="auto"/>
              </w:rPr>
            </w:pPr>
            <w:r>
              <w:rPr>
                <w:rFonts w:ascii="Arial" w:cs="Arial" w:eastAsia="Arial" w:hAnsi="Arial"/>
                <w:sz w:val="7"/>
                <w:szCs w:val="7"/>
                <w:color w:val="auto"/>
                <w:w w:val="71"/>
              </w:rPr>
              <w:t>*</w:t>
            </w:r>
          </w:p>
        </w:tc>
        <w:tc>
          <w:tcPr>
            <w:tcW w:w="1560" w:type="dxa"/>
            <w:vAlign w:val="bottom"/>
          </w:tcPr>
          <w:p>
            <w:pPr>
              <w:ind w:left="20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40" w:type="dxa"/>
            <w:vAlign w:val="bottom"/>
          </w:tcPr>
          <w:p>
            <w:pPr>
              <w:spacing w:after="0"/>
              <w:rPr>
                <w:sz w:val="5"/>
                <w:szCs w:val="5"/>
                <w:color w:val="auto"/>
              </w:rPr>
            </w:pPr>
          </w:p>
        </w:tc>
        <w:tc>
          <w:tcPr>
            <w:tcW w:w="1560" w:type="dxa"/>
            <w:vAlign w:val="bottom"/>
            <w:vMerge w:val="restart"/>
          </w:tcPr>
          <w:p>
            <w:pPr>
              <w:ind w:left="20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RAYMOND JOHN T</w:t>
              </w:r>
            </w:hyperlink>
          </w:p>
        </w:tc>
        <w:tc>
          <w:tcPr>
            <w:tcW w:w="240" w:type="dxa"/>
            <w:vAlign w:val="bottom"/>
          </w:tcPr>
          <w:p>
            <w:pPr>
              <w:spacing w:after="0"/>
              <w:rPr>
                <w:sz w:val="9"/>
                <w:szCs w:val="9"/>
                <w:color w:val="auto"/>
              </w:rPr>
            </w:pPr>
          </w:p>
        </w:tc>
        <w:tc>
          <w:tcPr>
            <w:tcW w:w="15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1560" w:type="dxa"/>
            <w:vAlign w:val="bottom"/>
          </w:tcPr>
          <w:p>
            <w:pPr>
              <w:ind w:left="20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4"/>
        </w:trPr>
        <w:tc>
          <w:tcPr>
            <w:tcW w:w="40" w:type="dxa"/>
            <w:vAlign w:val="bottom"/>
          </w:tcPr>
          <w:p>
            <w:pPr>
              <w:spacing w:after="0"/>
              <w:rPr>
                <w:sz w:val="17"/>
                <w:szCs w:val="17"/>
                <w:color w:val="auto"/>
              </w:rPr>
            </w:pPr>
          </w:p>
        </w:tc>
        <w:tc>
          <w:tcPr>
            <w:tcW w:w="2100" w:type="dxa"/>
            <w:vAlign w:val="bottom"/>
            <w:tcBorders>
              <w:top w:val="single" w:sz="8" w:color="0000EE"/>
            </w:tcBorders>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60" w:type="dxa"/>
            <w:vAlign w:val="bottom"/>
          </w:tcPr>
          <w:p>
            <w:pPr>
              <w:ind w:left="200"/>
              <w:spacing w:after="0" w:line="205" w:lineRule="exact"/>
              <w:rPr>
                <w:sz w:val="20"/>
                <w:szCs w:val="20"/>
                <w:color w:val="auto"/>
              </w:rPr>
            </w:pPr>
            <w:r>
              <w:rPr>
                <w:rFonts w:ascii="Arial" w:cs="Arial" w:eastAsia="Arial" w:hAnsi="Arial"/>
                <w:sz w:val="20"/>
                <w:szCs w:val="20"/>
                <w:color w:val="0000FF"/>
              </w:rPr>
              <w:t>12/23/2010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3"/>
          <w:szCs w:val="23"/>
          <w:color w:val="0000EE"/>
        </w:rPr>
      </w:pPr>
      <w:hyperlink r:id="rId11">
        <w:r>
          <w:rPr>
            <w:rFonts w:ascii="Arial" w:cs="Arial" w:eastAsia="Arial" w:hAnsi="Arial"/>
            <w:sz w:val="23"/>
            <w:szCs w:val="23"/>
            <w:u w:val="single" w:color="auto"/>
            <w:color w:val="0000EE"/>
          </w:rPr>
          <w:t>PLAINS ALL AMERICAN PIPELINE LP</w:t>
        </w:r>
        <w:r>
          <w:rPr>
            <w:rFonts w:ascii="Arial" w:cs="Arial" w:eastAsia="Arial" w:hAnsi="Arial"/>
            <w:sz w:val="23"/>
            <w:szCs w:val="23"/>
            <w:color w:val="0000EE"/>
          </w:rPr>
          <w:t xml:space="preserve"> </w:t>
        </w:r>
      </w:hyperlink>
      <w:r>
        <w:rPr>
          <w:rFonts w:ascii="Arial" w:cs="Arial" w:eastAsia="Arial" w:hAnsi="Arial"/>
          <w:sz w:val="23"/>
          <w:szCs w:val="23"/>
          <w:color w:val="000000"/>
        </w:rPr>
        <w:t>[</w:t>
      </w:r>
      <w:r>
        <w:rPr>
          <w:rFonts w:ascii="Arial" w:cs="Arial" w:eastAsia="Arial" w:hAnsi="Arial"/>
          <w:sz w:val="23"/>
          <w:szCs w:val="23"/>
          <w:color w:val="0000EE"/>
        </w:rPr>
        <w:t xml:space="preserve"> </w:t>
      </w:r>
      <w:r>
        <w:rPr>
          <w:rFonts w:ascii="Arial" w:cs="Arial" w:eastAsia="Arial" w:hAnsi="Arial"/>
          <w:sz w:val="18"/>
          <w:szCs w:val="18"/>
          <w:color w:val="0000FF"/>
        </w:rPr>
        <w:t>PAA</w:t>
      </w:r>
      <w:r>
        <w:rPr>
          <w:rFonts w:ascii="Arial" w:cs="Arial" w:eastAsia="Arial" w:hAnsi="Arial"/>
          <w:sz w:val="23"/>
          <w:szCs w:val="23"/>
          <w:color w:val="0000EE"/>
        </w:rPr>
        <w:t xml:space="preserve"> </w:t>
      </w:r>
      <w:r>
        <w:rPr>
          <w:rFonts w:ascii="Arial" w:cs="Arial" w:eastAsia="Arial" w:hAnsi="Arial"/>
          <w:sz w:val="23"/>
          <w:szCs w:val="23"/>
          <w:color w:val="000000"/>
        </w:rPr>
        <w:t>]</w:t>
      </w:r>
    </w:p>
    <w:p>
      <w:pPr>
        <w:spacing w:after="0" w:line="279"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79"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2229 SAN FELIPE STREET</w:t>
      </w:r>
    </w:p>
    <w:p>
      <w:pPr>
        <w:spacing w:after="0" w:line="70"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SUITE 1300</w:t>
      </w:r>
    </w:p>
    <w:p>
      <w:pPr>
        <w:spacing w:after="0" w:line="334"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700" w:type="dxa"/>
            <w:vAlign w:val="bottom"/>
          </w:tcPr>
          <w:p>
            <w:pPr>
              <w:spacing w:after="0"/>
              <w:rPr>
                <w:sz w:val="20"/>
                <w:szCs w:val="20"/>
                <w:color w:val="auto"/>
              </w:rPr>
            </w:pPr>
            <w:r>
              <w:rPr>
                <w:rFonts w:ascii="Arial" w:cs="Arial" w:eastAsia="Arial" w:hAnsi="Arial"/>
                <w:sz w:val="15"/>
                <w:szCs w:val="15"/>
                <w:color w:val="auto"/>
              </w:rPr>
              <w:t>(Street)</w:t>
            </w:r>
          </w:p>
        </w:tc>
        <w:tc>
          <w:tcPr>
            <w:tcW w:w="880" w:type="dxa"/>
            <w:vAlign w:val="bottom"/>
          </w:tcPr>
          <w:p>
            <w:pPr>
              <w:spacing w:after="0"/>
              <w:rPr>
                <w:sz w:val="15"/>
                <w:szCs w:val="15"/>
                <w:color w:val="auto"/>
              </w:rPr>
            </w:pPr>
          </w:p>
        </w:tc>
      </w:tr>
      <w:tr>
        <w:trPr>
          <w:trHeight w:val="269"/>
        </w:trPr>
        <w:tc>
          <w:tcPr>
            <w:tcW w:w="1700" w:type="dxa"/>
            <w:vAlign w:val="bottom"/>
          </w:tcPr>
          <w:p>
            <w:pPr>
              <w:ind w:left="40"/>
              <w:spacing w:after="0"/>
              <w:rPr>
                <w:sz w:val="20"/>
                <w:szCs w:val="20"/>
                <w:color w:val="auto"/>
              </w:rPr>
            </w:pPr>
            <w:r>
              <w:rPr>
                <w:rFonts w:ascii="Arial" w:cs="Arial" w:eastAsia="Arial" w:hAnsi="Arial"/>
                <w:sz w:val="20"/>
                <w:szCs w:val="20"/>
                <w:color w:val="0000FF"/>
              </w:rPr>
              <w:t>HOUSTON TX</w:t>
            </w:r>
          </w:p>
        </w:tc>
        <w:tc>
          <w:tcPr>
            <w:tcW w:w="880" w:type="dxa"/>
            <w:vAlign w:val="bottom"/>
          </w:tcPr>
          <w:p>
            <w:pPr>
              <w:jc w:val="right"/>
              <w:spacing w:after="0"/>
              <w:rPr>
                <w:sz w:val="20"/>
                <w:szCs w:val="20"/>
                <w:color w:val="auto"/>
              </w:rPr>
            </w:pPr>
            <w:r>
              <w:rPr>
                <w:rFonts w:ascii="Arial" w:cs="Arial" w:eastAsia="Arial" w:hAnsi="Arial"/>
                <w:sz w:val="20"/>
                <w:szCs w:val="20"/>
                <w:color w:val="0000FF"/>
              </w:rPr>
              <w:t>77019</w:t>
            </w:r>
          </w:p>
        </w:tc>
      </w:tr>
    </w:tbl>
    <w:p>
      <w:pPr>
        <w:spacing w:after="0" w:line="3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12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right="440" w:firstLine="9"/>
        <w:spacing w:after="0" w:line="234" w:lineRule="auto"/>
        <w:tabs>
          <w:tab w:leader="none" w:pos="167"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1" w:lineRule="exact"/>
        <w:rPr>
          <w:sz w:val="24"/>
          <w:szCs w:val="24"/>
          <w:color w:val="auto"/>
        </w:rPr>
      </w:pPr>
    </w:p>
    <w:p>
      <w:pPr>
        <w:spacing w:after="0"/>
        <w:rPr>
          <w:sz w:val="20"/>
          <w:szCs w:val="20"/>
          <w:color w:val="auto"/>
        </w:rPr>
      </w:pPr>
      <w:r>
        <w:rPr>
          <w:rFonts w:ascii="Arial" w:cs="Arial" w:eastAsia="Arial" w:hAnsi="Arial"/>
          <w:sz w:val="20"/>
          <w:szCs w:val="20"/>
          <w:color w:val="0000FF"/>
        </w:rPr>
        <w:t>12/30/2010</w:t>
      </w:r>
    </w:p>
    <w:p>
      <w:pPr>
        <w:spacing w:after="0" w:line="318" w:lineRule="exact"/>
        <w:rPr>
          <w:sz w:val="24"/>
          <w:szCs w:val="24"/>
          <w:color w:val="auto"/>
        </w:rPr>
      </w:pPr>
    </w:p>
    <w:p>
      <w:pPr>
        <w:ind w:right="480" w:firstLine="9"/>
        <w:spacing w:after="0" w:line="239" w:lineRule="auto"/>
        <w:tabs>
          <w:tab w:leader="none" w:pos="167" w:val="left"/>
        </w:tabs>
        <w:numPr>
          <w:ilvl w:val="0"/>
          <w:numId w:val="3"/>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60" w:right="340" w:hanging="304"/>
        <w:spacing w:after="0" w:line="184" w:lineRule="auto"/>
        <w:tabs>
          <w:tab w:leader="none" w:pos="460" w:val="left"/>
        </w:tabs>
        <w:numPr>
          <w:ilvl w:val="0"/>
          <w:numId w:val="4"/>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60"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477" w:lineRule="exact"/>
        <w:rPr>
          <w:sz w:val="24"/>
          <w:szCs w:val="24"/>
          <w:color w:val="auto"/>
        </w:rPr>
      </w:pPr>
    </w:p>
    <w:p>
      <w:pPr>
        <w:sectPr>
          <w:pgSz w:w="11900" w:h="16838" w:orient="portrait"/>
          <w:cols w:equalWidth="0" w:num="3">
            <w:col w:w="4277" w:space="720"/>
            <w:col w:w="3003" w:space="260"/>
            <w:col w:w="2680"/>
          </w:cols>
          <w:pgMar w:left="480" w:top="236"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198"/>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56"/>
        </w:trPr>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r>
    </w:tbl>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365"/>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Common Units</w:t>
            </w:r>
          </w:p>
        </w:tc>
        <w:tc>
          <w:tcPr>
            <w:tcW w:w="3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tcPr>
          <w:p>
            <w:pPr>
              <w:ind w:left="460"/>
              <w:spacing w:after="0"/>
              <w:rPr>
                <w:sz w:val="20"/>
                <w:szCs w:val="20"/>
                <w:color w:val="auto"/>
              </w:rPr>
            </w:pPr>
            <w:r>
              <w:rPr>
                <w:rFonts w:ascii="Arial" w:cs="Arial" w:eastAsia="Arial" w:hAnsi="Arial"/>
                <w:sz w:val="20"/>
                <w:szCs w:val="20"/>
                <w:color w:val="0000FF"/>
              </w:rPr>
              <w:t>435,117</w:t>
            </w:r>
            <w:r>
              <w:rPr>
                <w:rFonts w:ascii="Arial" w:cs="Arial" w:eastAsia="Arial" w:hAnsi="Arial"/>
                <w:sz w:val="25"/>
                <w:szCs w:val="25"/>
                <w:color w:val="008000"/>
                <w:vertAlign w:val="superscript"/>
              </w:rPr>
              <w:t>(1)</w:t>
            </w:r>
          </w:p>
        </w:tc>
        <w:tc>
          <w:tcPr>
            <w:tcW w:w="1020" w:type="dxa"/>
            <w:vAlign w:val="bottom"/>
            <w:tcBorders>
              <w:bottom w:val="single" w:sz="8" w:color="2C2C2C"/>
            </w:tcBorders>
            <w:gridSpan w:val="2"/>
          </w:tcPr>
          <w:p>
            <w:pPr>
              <w:ind w:left="860"/>
              <w:spacing w:after="0"/>
              <w:rPr>
                <w:sz w:val="20"/>
                <w:szCs w:val="20"/>
                <w:color w:val="auto"/>
              </w:rPr>
            </w:pPr>
            <w:r>
              <w:rPr>
                <w:rFonts w:ascii="Arial" w:cs="Arial" w:eastAsia="Arial" w:hAnsi="Arial"/>
                <w:sz w:val="20"/>
                <w:szCs w:val="20"/>
                <w:color w:val="0000FF"/>
                <w:w w:val="96"/>
              </w:rPr>
              <w:t>D</w:t>
            </w:r>
          </w:p>
        </w:tc>
        <w:tc>
          <w:tcPr>
            <w:tcW w:w="9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25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7"/>
                <w:szCs w:val="17"/>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4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4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36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020" w:type="dxa"/>
            <w:vAlign w:val="bottom"/>
            <w:gridSpan w:val="2"/>
            <w:vMerge w:val="restart"/>
          </w:tcPr>
          <w:p>
            <w:pPr>
              <w:ind w:left="32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920" w:type="dxa"/>
            <w:vAlign w:val="bottom"/>
          </w:tcPr>
          <w:p>
            <w:pPr>
              <w:ind w:left="2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20" w:type="dxa"/>
            <w:vAlign w:val="bottom"/>
            <w:gridSpan w:val="2"/>
          </w:tcPr>
          <w:p>
            <w:pPr>
              <w:ind w:left="32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20" w:type="dxa"/>
            <w:vAlign w:val="bottom"/>
            <w:gridSpan w:val="2"/>
          </w:tcPr>
          <w:p>
            <w:pPr>
              <w:ind w:left="320"/>
              <w:spacing w:after="0" w:line="161"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40" w:type="dxa"/>
            <w:vAlign w:val="bottom"/>
          </w:tcPr>
          <w:p>
            <w:pPr>
              <w:spacing w:after="0"/>
              <w:rPr>
                <w:sz w:val="14"/>
                <w:szCs w:val="14"/>
                <w:color w:val="auto"/>
              </w:rPr>
            </w:pPr>
          </w:p>
        </w:tc>
        <w:tc>
          <w:tcPr>
            <w:tcW w:w="1020" w:type="dxa"/>
            <w:vAlign w:val="bottom"/>
            <w:gridSpan w:val="2"/>
          </w:tcPr>
          <w:p>
            <w:pPr>
              <w:ind w:left="32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4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020" w:type="dxa"/>
            <w:vAlign w:val="bottom"/>
            <w:gridSpan w:val="2"/>
          </w:tcPr>
          <w:p>
            <w:pPr>
              <w:ind w:left="32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4"/>
          <w:szCs w:val="24"/>
          <w:color w:val="auto"/>
        </w:rPr>
      </w:pPr>
    </w:p>
    <w:p>
      <w:pPr>
        <w:jc w:val="both"/>
        <w:ind w:left="40" w:right="240" w:firstLine="5"/>
        <w:spacing w:after="0" w:line="241" w:lineRule="auto"/>
        <w:tabs>
          <w:tab w:leader="none" w:pos="190" w:val="left"/>
        </w:tabs>
        <w:numPr>
          <w:ilvl w:val="0"/>
          <w:numId w:val="5"/>
        </w:numPr>
        <w:rPr>
          <w:rFonts w:ascii="Arial" w:cs="Arial" w:eastAsia="Arial" w:hAnsi="Arial"/>
          <w:sz w:val="15"/>
          <w:szCs w:val="15"/>
          <w:color w:val="008000"/>
        </w:rPr>
      </w:pPr>
      <w:r>
        <w:rPr>
          <w:rFonts w:ascii="Arial" w:cs="Arial" w:eastAsia="Arial" w:hAnsi="Arial"/>
          <w:sz w:val="15"/>
          <w:szCs w:val="15"/>
          <w:color w:val="008000"/>
        </w:rPr>
        <w:t>This amended Form 3 is being filed solely to correct the number of units originally reported as directly owned by the Reporting Person (1,500 units were inadvertently omitted from the original filing). This amendment also updates subsequently filed Forms 4. The number of units reported herein as directly owned by the Reporting Person on the date of the original filing does not reflect the 2-for-1 stock split effected by the Issuer on October 1, 2012.</w:t>
      </w:r>
    </w:p>
    <w:p>
      <w:pPr>
        <w:spacing w:after="0" w:line="67" w:lineRule="exact"/>
        <w:rPr>
          <w:sz w:val="24"/>
          <w:szCs w:val="24"/>
          <w:color w:val="auto"/>
        </w:rPr>
      </w:pPr>
    </w:p>
    <w:p>
      <w:pPr>
        <w:ind w:left="6580"/>
        <w:spacing w:after="0"/>
        <w:rPr>
          <w:sz w:val="20"/>
          <w:szCs w:val="20"/>
          <w:color w:val="auto"/>
        </w:rPr>
      </w:pPr>
      <w:r>
        <w:rPr>
          <w:rFonts w:ascii="Arial" w:cs="Arial" w:eastAsia="Arial" w:hAnsi="Arial"/>
          <w:sz w:val="20"/>
          <w:szCs w:val="20"/>
          <w:color w:val="0000FF"/>
        </w:rPr>
        <w:t>/s/ Ann F. Gullion,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-15240</wp:posOffset>
            </wp:positionV>
            <wp:extent cx="105664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056640" cy="952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20"/>
          <w:szCs w:val="20"/>
          <w:color w:val="0000FF"/>
        </w:rPr>
        <w:t>attorney-in-fact for John T. 06/22/2021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195580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955800" cy="952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20"/>
          <w:szCs w:val="20"/>
          <w:color w:val="0000FF"/>
        </w:rPr>
        <w:t>Raymond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481965"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481965" cy="9525"/>
                    </a:xfrm>
                    <a:prstGeom prst="rect">
                      <a:avLst/>
                    </a:prstGeom>
                    <a:noFill/>
                  </pic:spPr>
                </pic:pic>
              </a:graphicData>
            </a:graphic>
          </wp:anchor>
        </w:drawing>
      </w:r>
    </w:p>
    <w:p>
      <w:pPr>
        <w:spacing w:after="0" w:line="44"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90"/>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6"/>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40"/>
      </w:cols>
      <w:pgMar w:left="480" w:top="236" w:right="4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1."/>
      <w:numFmt w:val="decimal"/>
      <w:start w:val="6"/>
    </w:lvl>
  </w:abstractNum>
  <w:abstractNum w:abstractNumId="3">
    <w:nsid w:val="46E87CCD"/>
    <w:multiLevelType w:val="hybridMultilevel"/>
    <w:lvl w:ilvl="0">
      <w:lvlJc w:val="left"/>
      <w:lvlText w:val="X"/>
      <w:numFmt w:val="bullet"/>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0" Type="http://schemas.openxmlformats.org/officeDocument/2006/relationships/hyperlink" Target="http://www.sec.gov/cgi-bin/browse-edgar?action=getcompany&amp;CIK=0001186173" TargetMode="External"/><Relationship Id="rId11" Type="http://schemas.openxmlformats.org/officeDocument/2006/relationships/hyperlink" Target="http://www.sec.gov/cgi-bin/browse-edgar?action=getcompany&amp;CIK=00010704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2021-06-22T17:35:28Z</dcterms:created>
  <dcterms:modified xsi:type="dcterms:W3CDTF">2021-06-22T17:35:28Z</dcterms:modified>
</cp:coreProperties>
</file>