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62" w:lineRule="exact"/>
        <w:rPr>
          <w:sz w:val="24"/>
          <w:szCs w:val="24"/>
          <w:color w:val="auto"/>
        </w:rPr>
      </w:pPr>
    </w:p>
    <w:tbl>
      <w:tblPr>
        <w:tblLayout w:type="fixed"/>
        <w:tblInd w:w="880" w:type="dxa"/>
        <w:tblCellMar>
          <w:top w:w="0" w:type="dxa"/>
          <w:left w:w="0" w:type="dxa"/>
          <w:bottom w:w="0" w:type="dxa"/>
          <w:right w:w="0" w:type="dxa"/>
        </w:tblCellMar>
      </w:tblPr>
      <w:tr>
        <w:trPr>
          <w:trHeight w:val="587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preliminary prospectus supplement and the accompanying base prospectus are not an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sale is not permitted.</w:t>
            </w:r>
          </w:p>
        </w:tc>
      </w:tr>
      <w:tr>
        <w:trPr>
          <w:trHeight w:val="247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 and may be changed. This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 any jurisdiction where the offer or</w:t>
            </w:r>
          </w:p>
        </w:tc>
      </w:tr>
      <w:tr>
        <w:trPr>
          <w:trHeight w:val="281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preliminary prospectus supplement is not</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soliciting an offer to buy these securities</w:t>
            </w:r>
          </w:p>
        </w:tc>
      </w:tr>
      <w:tr>
        <w:trPr>
          <w:trHeight w:val="47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 this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8"/>
              </w:rPr>
              <w:t>are not</w:t>
            </w:r>
          </w:p>
        </w:tc>
      </w:tr>
      <w:tr>
        <w:trPr>
          <w:trHeight w:val="108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offer to sell and</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5820"/>
        <w:spacing w:after="0"/>
        <w:rPr>
          <w:sz w:val="20"/>
          <w:szCs w:val="20"/>
          <w:color w:val="auto"/>
        </w:rPr>
      </w:pPr>
      <w:r>
        <w:rPr>
          <w:rFonts w:ascii="Times New Roman" w:cs="Times New Roman" w:eastAsia="Times New Roman" w:hAnsi="Times New Roman"/>
          <w:sz w:val="17"/>
          <w:szCs w:val="17"/>
          <w:b w:val="1"/>
          <w:bCs w:val="1"/>
          <w:color w:val="auto"/>
        </w:rPr>
        <w:t> Filed pursuant to Rule 424(b)(5)</w:t>
      </w:r>
    </w:p>
    <w:p>
      <w:pPr>
        <w:spacing w:after="0" w:line="41" w:lineRule="exact"/>
        <w:rPr>
          <w:sz w:val="24"/>
          <w:szCs w:val="24"/>
          <w:color w:val="auto"/>
        </w:rPr>
      </w:pPr>
    </w:p>
    <w:p>
      <w:pPr>
        <w:ind w:left="6160"/>
        <w:spacing w:after="0"/>
        <w:rPr>
          <w:sz w:val="20"/>
          <w:szCs w:val="20"/>
          <w:color w:val="auto"/>
        </w:rPr>
      </w:pPr>
      <w:r>
        <w:rPr>
          <w:rFonts w:ascii="Times New Roman" w:cs="Times New Roman" w:eastAsia="Times New Roman" w:hAnsi="Times New Roman"/>
          <w:sz w:val="17"/>
          <w:szCs w:val="17"/>
          <w:b w:val="1"/>
          <w:bCs w:val="1"/>
          <w:color w:val="auto"/>
        </w:rPr>
        <w:t> Registration No. 333-259387​</w:t>
      </w:r>
    </w:p>
    <w:p>
      <w:pPr>
        <w:spacing w:after="0" w:line="214"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FC0014"/>
        </w:rPr>
        <w:t>SUBJECT TO COMPLETION, DATED JUNE 17, 2024</w:t>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8, 2021)</w:t>
      </w:r>
    </w:p>
    <w:p>
      <w:pPr>
        <w:spacing w:after="0" w:line="18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PAA Finance Corp.</w:t>
      </w:r>
    </w:p>
    <w:p>
      <w:pPr>
        <w:spacing w:after="0" w:line="17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        % Senior Notes due 2034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127000</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4"/>
          <w:szCs w:val="24"/>
          <w:color w:val="auto"/>
        </w:rPr>
      </w:pPr>
    </w:p>
    <w:p>
      <w:pPr>
        <w:ind w:right="499" w:firstLine="360"/>
        <w:spacing w:after="0" w:line="264" w:lineRule="auto"/>
        <w:rPr>
          <w:sz w:val="20"/>
          <w:szCs w:val="20"/>
          <w:color w:val="auto"/>
        </w:rPr>
      </w:pPr>
      <w:r>
        <w:rPr>
          <w:rFonts w:ascii="Times New Roman" w:cs="Times New Roman" w:eastAsia="Times New Roman" w:hAnsi="Times New Roman"/>
          <w:sz w:val="18"/>
          <w:szCs w:val="18"/>
          <w:color w:val="auto"/>
        </w:rPr>
        <w:t>Plains All American Pipeline, L.P. and PAA Finance Corp. are offering $            aggregate principal amount of        % Senior Notes due 2034 (the “Notes”).</w:t>
      </w:r>
    </w:p>
    <w:p>
      <w:pPr>
        <w:spacing w:after="0" w:line="58" w:lineRule="exact"/>
        <w:rPr>
          <w:sz w:val="24"/>
          <w:szCs w:val="24"/>
          <w:color w:val="auto"/>
        </w:rPr>
      </w:pPr>
    </w:p>
    <w:p>
      <w:pPr>
        <w:ind w:right="199" w:firstLine="360"/>
        <w:spacing w:after="0" w:line="257" w:lineRule="auto"/>
        <w:rPr>
          <w:sz w:val="20"/>
          <w:szCs w:val="20"/>
          <w:color w:val="auto"/>
        </w:rPr>
      </w:pPr>
      <w:r>
        <w:rPr>
          <w:rFonts w:ascii="Times New Roman" w:cs="Times New Roman" w:eastAsia="Times New Roman" w:hAnsi="Times New Roman"/>
          <w:sz w:val="18"/>
          <w:szCs w:val="18"/>
          <w:color w:val="auto"/>
        </w:rPr>
        <w:t>We will pay interest on the Notes semi-annually in arrears on                   and                     of each year, beginning on                , 20    . The Notes will mature on                      , 2034, unless redeemed prior to the maturity date.</w:t>
      </w:r>
    </w:p>
    <w:p>
      <w:pPr>
        <w:spacing w:after="0" w:line="51" w:lineRule="exact"/>
        <w:rPr>
          <w:sz w:val="24"/>
          <w:szCs w:val="24"/>
          <w:color w:val="auto"/>
        </w:rPr>
      </w:pPr>
    </w:p>
    <w:p>
      <w:pPr>
        <w:ind w:right="139" w:firstLine="360"/>
        <w:spacing w:after="0" w:line="280" w:lineRule="auto"/>
        <w:rPr>
          <w:sz w:val="20"/>
          <w:szCs w:val="20"/>
          <w:color w:val="auto"/>
        </w:rPr>
      </w:pPr>
      <w:r>
        <w:rPr>
          <w:rFonts w:ascii="Times New Roman" w:cs="Times New Roman" w:eastAsia="Times New Roman" w:hAnsi="Times New Roman"/>
          <w:sz w:val="18"/>
          <w:szCs w:val="18"/>
          <w:color w:val="auto"/>
        </w:rPr>
        <w:t>We may, at our option, redeem the Notes at any time in whole or from time to time in part, prior to maturity, at the redemption prices as described herein under “Description of Notes — Optional Redemption.”</w:t>
      </w:r>
    </w:p>
    <w:p>
      <w:pPr>
        <w:spacing w:after="0" w:line="30" w:lineRule="exact"/>
        <w:rPr>
          <w:sz w:val="24"/>
          <w:szCs w:val="24"/>
          <w:color w:val="auto"/>
        </w:rPr>
      </w:pPr>
    </w:p>
    <w:p>
      <w:pPr>
        <w:ind w:right="419" w:firstLine="360"/>
        <w:spacing w:after="0" w:line="257" w:lineRule="auto"/>
        <w:rPr>
          <w:sz w:val="20"/>
          <w:szCs w:val="20"/>
          <w:color w:val="auto"/>
        </w:rPr>
      </w:pPr>
      <w:r>
        <w:rPr>
          <w:rFonts w:ascii="Times New Roman" w:cs="Times New Roman" w:eastAsia="Times New Roman" w:hAnsi="Times New Roman"/>
          <w:sz w:val="18"/>
          <w:szCs w:val="18"/>
          <w:color w:val="auto"/>
        </w:rPr>
        <w:t>The Notes will be the unsecured senior obligations of Plains All American Pipeline, L.P. and PAA Finance Corp. and will rank equally in right of payment with their other senior indebtedness from time to time outstanding.</w:t>
      </w:r>
    </w:p>
    <w:p>
      <w:pPr>
        <w:spacing w:after="0" w:line="64" w:lineRule="exact"/>
        <w:rPr>
          <w:sz w:val="24"/>
          <w:szCs w:val="24"/>
          <w:color w:val="auto"/>
        </w:rPr>
      </w:pPr>
    </w:p>
    <w:p>
      <w:pPr>
        <w:ind w:right="99" w:firstLine="360"/>
        <w:spacing w:after="0" w:line="249"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currently intend to apply for listing of the Notes on any securities exchange or have the Notes quoted on any automated quotation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64770</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23" w:lineRule="exact"/>
        <w:rPr>
          <w:sz w:val="24"/>
          <w:szCs w:val="24"/>
          <w:color w:val="auto"/>
        </w:rPr>
      </w:pPr>
    </w:p>
    <w:p>
      <w:pPr>
        <w:ind w:right="939" w:firstLine="360"/>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Investing in the Notes involves risks. See “Risk Factors” beginning on page </w:t>
      </w:r>
      <w:r>
        <w:rPr>
          <w:rFonts w:ascii="Times New Roman" w:cs="Times New Roman" w:eastAsia="Times New Roman" w:hAnsi="Times New Roman"/>
          <w:sz w:val="18"/>
          <w:szCs w:val="18"/>
          <w:b w:val="1"/>
          <w:bCs w:val="1"/>
          <w:u w:val="single" w:color="auto"/>
          <w:color w:val="0000EE"/>
        </w:rPr>
        <w:t>S-4</w:t>
      </w:r>
      <w:r>
        <w:rPr>
          <w:rFonts w:ascii="Times New Roman" w:cs="Times New Roman" w:eastAsia="Times New Roman" w:hAnsi="Times New Roman"/>
          <w:sz w:val="18"/>
          <w:szCs w:val="18"/>
          <w:b w:val="1"/>
          <w:bCs w:val="1"/>
          <w:color w:val="auto"/>
        </w:rPr>
        <w:t xml:space="preserve"> of this prospectus supplement.</w:t>
      </w:r>
    </w:p>
    <w:p>
      <w:pPr>
        <w:spacing w:after="0" w:line="27" w:lineRule="exact"/>
        <w:rPr>
          <w:sz w:val="24"/>
          <w:szCs w:val="24"/>
          <w:color w:val="auto"/>
        </w:rPr>
      </w:pPr>
    </w:p>
    <w:p>
      <w:pPr>
        <w:ind w:right="119" w:firstLine="360"/>
        <w:spacing w:after="0" w:line="257" w:lineRule="auto"/>
        <w:rPr>
          <w:sz w:val="20"/>
          <w:szCs w:val="20"/>
          <w:color w:val="auto"/>
        </w:rPr>
      </w:pPr>
      <w:r>
        <w:rPr>
          <w:rFonts w:ascii="Times New Roman" w:cs="Times New Roman" w:eastAsia="Times New Roman" w:hAnsi="Times New Roman"/>
          <w:sz w:val="18"/>
          <w:szCs w:val="18"/>
          <w:color w:val="auto"/>
        </w:rPr>
        <w:t>Neither the U.S.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137160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5"/>
        </w:trPr>
        <w:tc>
          <w:tcPr>
            <w:tcW w:w="2740" w:type="dxa"/>
            <w:vAlign w:val="bottom"/>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Public Offering</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Underwriting</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w w:val="97"/>
              </w:rPr>
              <w:t>Proceeds, Before</w:t>
            </w:r>
          </w:p>
        </w:tc>
        <w:tc>
          <w:tcPr>
            <w:tcW w:w="40" w:type="dxa"/>
            <w:vAlign w:val="bottom"/>
          </w:tcPr>
          <w:p>
            <w:pPr>
              <w:spacing w:after="0"/>
              <w:rPr>
                <w:sz w:val="12"/>
                <w:szCs w:val="12"/>
                <w:color w:val="auto"/>
              </w:rPr>
            </w:pPr>
          </w:p>
        </w:tc>
      </w:tr>
      <w:tr>
        <w:trPr>
          <w:trHeight w:val="227"/>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tcBorders>
              <w:right w:val="single" w:sz="8" w:color="auto"/>
            </w:tcBorders>
          </w:tcPr>
          <w:p>
            <w:pPr>
              <w:ind w:left="20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Price</w:t>
            </w:r>
            <w:r>
              <w:rPr>
                <w:rFonts w:ascii="Times New Roman" w:cs="Times New Roman" w:eastAsia="Times New Roman" w:hAnsi="Times New Roman"/>
                <w:sz w:val="17"/>
                <w:szCs w:val="17"/>
                <w:b w:val="1"/>
                <w:bCs w:val="1"/>
                <w:color w:val="auto"/>
                <w:w w:val="94"/>
                <w:vertAlign w:val="superscript"/>
              </w:rPr>
              <w:t>(1)</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Discount</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Expenses, to Us </w:t>
            </w:r>
            <w:r>
              <w:rPr>
                <w:rFonts w:ascii="Times New Roman" w:cs="Times New Roman" w:eastAsia="Times New Roman" w:hAnsi="Times New Roman"/>
                <w:sz w:val="26"/>
                <w:szCs w:val="26"/>
                <w:b w:val="1"/>
                <w:bCs w:val="1"/>
                <w:color w:val="auto"/>
                <w:vertAlign w:val="subscript"/>
              </w:rPr>
              <w:t>​</w:t>
            </w:r>
          </w:p>
        </w:tc>
      </w:tr>
      <w:tr>
        <w:trPr>
          <w:trHeight w:val="263"/>
        </w:trPr>
        <w:tc>
          <w:tcPr>
            <w:tcW w:w="27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2140" w:type="dxa"/>
            <w:vAlign w:val="bottom"/>
            <w:tcBorders>
              <w:top w:val="single" w:sz="8" w:color="auto"/>
              <w:bottom w:val="single" w:sz="8" w:color="auto"/>
              <w:right w:val="single" w:sz="8" w:color="auto"/>
            </w:tcBorders>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ind w:left="2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​        %</w:t>
            </w:r>
          </w:p>
        </w:tc>
        <w:tc>
          <w:tcPr>
            <w:tcW w:w="14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right w:val="single" w:sz="8" w:color="auto"/>
            </w:tcBorders>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30"/>
                <w:szCs w:val="30"/>
                <w:color w:val="auto"/>
                <w:vertAlign w:val="subscript"/>
              </w:rPr>
              <w:t>​​</w:t>
            </w:r>
          </w:p>
        </w:tc>
        <w:tc>
          <w:tcPr>
            <w:tcW w:w="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right w:val="single" w:sz="8" w:color="CCEEFF"/>
            </w:tcBorders>
            <w:shd w:val="clear" w:color="auto" w:fill="CCEEFF"/>
          </w:tcPr>
          <w:p>
            <w:pPr>
              <w:ind w:left="2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2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bottom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ind w:left="2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2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7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0" w:lineRule="exact"/>
        <w:rPr>
          <w:sz w:val="24"/>
          <w:szCs w:val="24"/>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tab/>
        <w:t>Plus accrued interest, if any, from                     ,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111760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5" w:lineRule="exact"/>
        <w:rPr>
          <w:sz w:val="24"/>
          <w:szCs w:val="24"/>
          <w:color w:val="auto"/>
        </w:rPr>
      </w:pPr>
    </w:p>
    <w:p>
      <w:pPr>
        <w:ind w:right="719" w:firstLine="360"/>
        <w:spacing w:after="0" w:line="249" w:lineRule="auto"/>
        <w:rPr>
          <w:sz w:val="20"/>
          <w:szCs w:val="20"/>
          <w:color w:val="auto"/>
        </w:rPr>
      </w:pPr>
      <w:r>
        <w:rPr>
          <w:rFonts w:ascii="Times New Roman" w:cs="Times New Roman" w:eastAsia="Times New Roman" w:hAnsi="Times New Roman"/>
          <w:sz w:val="18"/>
          <w:szCs w:val="18"/>
          <w:color w:val="auto"/>
        </w:rPr>
        <w:t xml:space="preserve">The underwriters expect to deliver the Notes in book-entry form only through facilities of The Depository Trust Company for the account of its participants, including Clearstream Banking, </w:t>
      </w:r>
      <w:r>
        <w:rPr>
          <w:rFonts w:ascii="Times New Roman" w:cs="Times New Roman" w:eastAsia="Times New Roman" w:hAnsi="Times New Roman"/>
          <w:sz w:val="18"/>
          <w:szCs w:val="18"/>
          <w:i w:val="1"/>
          <w:iCs w:val="1"/>
          <w:color w:val="auto"/>
        </w:rPr>
        <w:t>société</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anonyme</w:t>
      </w:r>
      <w:r>
        <w:rPr>
          <w:rFonts w:ascii="Times New Roman" w:cs="Times New Roman" w:eastAsia="Times New Roman" w:hAnsi="Times New Roman"/>
          <w:sz w:val="18"/>
          <w:szCs w:val="18"/>
          <w:color w:val="auto"/>
        </w:rPr>
        <w:t>, and Euroclear Bank SA/NV, as operator of the Euroclear System, against payment 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73660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71" w:lineRule="exact"/>
        <w:rPr>
          <w:sz w:val="24"/>
          <w:szCs w:val="24"/>
          <w:color w:val="auto"/>
        </w:rPr>
      </w:pPr>
    </w:p>
    <w:p>
      <w:pPr>
        <w:spacing w:after="0"/>
        <w:tabs>
          <w:tab w:leader="none" w:pos="1980" w:val="left"/>
          <w:tab w:leader="none" w:pos="3680" w:val="left"/>
          <w:tab w:leader="none" w:pos="6280" w:val="left"/>
        </w:tabs>
        <w:rPr>
          <w:sz w:val="20"/>
          <w:szCs w:val="20"/>
          <w:color w:val="auto"/>
        </w:rPr>
      </w:pPr>
      <w:r>
        <w:rPr>
          <w:rFonts w:ascii="Times New Roman" w:cs="Times New Roman" w:eastAsia="Times New Roman" w:hAnsi="Times New Roman"/>
          <w:sz w:val="29"/>
          <w:szCs w:val="29"/>
          <w:b w:val="1"/>
          <w:bCs w:val="1"/>
          <w:color w:val="auto"/>
        </w:rPr>
        <w:t>Citigroup</w:t>
      </w:r>
      <w:r>
        <w:rPr>
          <w:sz w:val="20"/>
          <w:szCs w:val="20"/>
          <w:color w:val="auto"/>
        </w:rPr>
        <w:tab/>
      </w:r>
      <w:r>
        <w:rPr>
          <w:rFonts w:ascii="Times New Roman" w:cs="Times New Roman" w:eastAsia="Times New Roman" w:hAnsi="Times New Roman"/>
          <w:sz w:val="29"/>
          <w:szCs w:val="29"/>
          <w:b w:val="1"/>
          <w:bCs w:val="1"/>
          <w:color w:val="auto"/>
        </w:rPr>
        <w:t>MUFG</w:t>
      </w:r>
      <w:r>
        <w:rPr>
          <w:sz w:val="20"/>
          <w:szCs w:val="20"/>
          <w:color w:val="auto"/>
        </w:rPr>
        <w:tab/>
      </w:r>
      <w:r>
        <w:rPr>
          <w:rFonts w:ascii="Times New Roman" w:cs="Times New Roman" w:eastAsia="Times New Roman" w:hAnsi="Times New Roman"/>
          <w:sz w:val="29"/>
          <w:szCs w:val="29"/>
          <w:b w:val="1"/>
          <w:bCs w:val="1"/>
          <w:color w:val="auto"/>
        </w:rPr>
        <w:t>SMBC Nikko</w:t>
      </w:r>
      <w:r>
        <w:rPr>
          <w:sz w:val="20"/>
          <w:szCs w:val="20"/>
          <w:color w:val="auto"/>
        </w:rPr>
        <w:tab/>
      </w:r>
      <w:r>
        <w:rPr>
          <w:rFonts w:ascii="Times New Roman" w:cs="Times New Roman" w:eastAsia="Times New Roman" w:hAnsi="Times New Roman"/>
          <w:sz w:val="27"/>
          <w:szCs w:val="27"/>
          <w:b w:val="1"/>
          <w:bCs w:val="1"/>
          <w:color w:val="auto"/>
        </w:rPr>
        <w:t>Truist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180975</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220" w:space="360"/>
            <w:col w:w="8299"/>
          </w:cols>
          <w:pgMar w:left="580" w:top="205" w:right="1440" w:bottom="1440" w:gutter="0" w:footer="0" w:header="0"/>
        </w:sectPr>
      </w:pPr>
    </w:p>
    <w:p>
      <w:pPr>
        <w:spacing w:after="0" w:line="200" w:lineRule="exact"/>
        <w:rPr>
          <w:sz w:val="24"/>
          <w:szCs w:val="24"/>
          <w:color w:val="auto"/>
        </w:rPr>
      </w:pPr>
    </w:p>
    <w:p>
      <w:pPr>
        <w:spacing w:after="0" w:line="32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date of this prospectus supplement is                               ,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252095</wp:posOffset>
            </wp:positionV>
            <wp:extent cx="68065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30" w:lineRule="exact"/>
        <w:rPr>
          <w:sz w:val="20"/>
          <w:szCs w:val="20"/>
          <w:color w:val="auto"/>
        </w:rPr>
      </w:pPr>
    </w:p>
    <w:p>
      <w:pPr>
        <w:jc w:val="both"/>
        <w:ind w:left="1260"/>
        <w:spacing w:after="0"/>
        <w:tabs>
          <w:tab w:leader="none" w:pos="886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Page</w:t>
      </w:r>
      <w:r>
        <w:rPr>
          <w:rFonts w:ascii="Times New Roman" w:cs="Times New Roman" w:eastAsia="Times New Roman" w:hAnsi="Times New Roman"/>
          <w:sz w:val="14"/>
          <w:szCs w:val="14"/>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440" w:hanging="179"/>
        <w:spacing w:after="0" w:line="258" w:lineRule="auto"/>
        <w:rPr>
          <w:sz w:val="20"/>
          <w:szCs w:val="20"/>
          <w:color w:val="auto"/>
        </w:rPr>
      </w:pPr>
      <w:r>
        <w:rPr>
          <w:rFonts w:ascii="Times New Roman" w:cs="Times New Roman" w:eastAsia="Times New Roman" w:hAnsi="Times New Roman"/>
          <w:sz w:val="18"/>
          <w:szCs w:val="18"/>
          <w:u w:val="single" w:color="auto"/>
          <w:color w:val="0000EE"/>
        </w:rPr>
        <w:t>Important Notice About Information in this Prospectus Supplement and the Accompanying Base Prospectus</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Prospectus Supplement Summary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Notes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Book-Entry, Delivery and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Certain U.S. Federal Income Tax Consequences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S-ii</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S-ii</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S-4</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S-36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S-36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S-36</w:t>
      </w:r>
      <w:r>
        <w:rPr>
          <w:rFonts w:ascii="Times New Roman" w:cs="Times New Roman" w:eastAsia="Times New Roman" w:hAnsi="Times New Roman"/>
          <w:sz w:val="18"/>
          <w:szCs w:val="18"/>
          <w:color w:val="auto"/>
        </w:rPr>
        <w:t>​</w:t>
      </w:r>
    </w:p>
    <w:p>
      <w:pPr>
        <w:spacing w:after="0" w:line="569" w:lineRule="exact"/>
        <w:rPr>
          <w:sz w:val="20"/>
          <w:szCs w:val="20"/>
          <w:color w:val="auto"/>
        </w:rPr>
      </w:pPr>
    </w:p>
    <w:p>
      <w:pPr>
        <w:sectPr>
          <w:pgSz w:w="11900" w:h="16838" w:orient="portrait"/>
          <w:cols w:equalWidth="0" w:num="2">
            <w:col w:w="8540" w:space="380"/>
            <w:col w:w="95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34"/>
        </w:trPr>
        <w:tc>
          <w:tcPr>
            <w:tcW w:w="1720" w:type="dxa"/>
            <w:vAlign w:val="bottom"/>
            <w:tcBorders>
              <w:bottom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About This Prospectus</w:t>
            </w:r>
          </w:p>
        </w:tc>
        <w:tc>
          <w:tcPr>
            <w:tcW w:w="1980" w:type="dxa"/>
            <w:vAlign w:val="bottom"/>
            <w:tcBorders>
              <w:bottom w:val="single" w:sz="8" w:color="CCEEFF"/>
            </w:tcBorders>
            <w:gridSpan w:val="8"/>
            <w:shd w:val="clear" w:color="auto" w:fill="CCEEFF"/>
          </w:tcPr>
          <w:p>
            <w:pPr>
              <w:spacing w:after="0"/>
              <w:rPr>
                <w:sz w:val="20"/>
                <w:szCs w:val="20"/>
                <w:color w:val="auto"/>
              </w:rPr>
            </w:pPr>
          </w:p>
        </w:tc>
        <w:tc>
          <w:tcPr>
            <w:tcW w:w="4380" w:type="dxa"/>
            <w:vAlign w:val="bottom"/>
            <w:tcBorders>
              <w:bottom w:val="single" w:sz="8" w:color="CCEEFF"/>
            </w:tcBorders>
            <w:gridSpan w:val="2"/>
            <w:shd w:val="clear" w:color="auto" w:fill="CCEEFF"/>
          </w:tcPr>
          <w:p>
            <w:pPr>
              <w:ind w:left="4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0000EE"/>
              </w:rPr>
              <w:t>i</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70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380" w:type="dxa"/>
            <w:vAlign w:val="bottom"/>
            <w:gridSpan w:val="2"/>
            <w:vMerge w:val="restart"/>
          </w:tcPr>
          <w:p>
            <w:pPr>
              <w:ind w:left="4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EE"/>
                <w:w w:val="99"/>
              </w:rPr>
              <w:t>ii</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000" w:type="dxa"/>
            <w:vAlign w:val="bottom"/>
            <w:gridSpan w:val="11"/>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380" w:type="dxa"/>
            <w:vAlign w:val="bottom"/>
            <w:gridSpan w:val="2"/>
            <w:vMerge w:val="continue"/>
          </w:tcPr>
          <w:p>
            <w:pPr>
              <w:spacing w:after="0"/>
              <w:rPr>
                <w:sz w:val="2"/>
                <w:szCs w:val="2"/>
                <w:color w:val="auto"/>
              </w:rPr>
            </w:pPr>
          </w:p>
        </w:tc>
        <w:tc>
          <w:tcPr>
            <w:tcW w:w="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43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iii</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200" w:type="dxa"/>
            <w:vAlign w:val="bottom"/>
            <w:tcBorders>
              <w:bottom w:val="single" w:sz="8" w:color="CCEEFF"/>
            </w:tcBorders>
            <w:gridSpan w:val="8"/>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4380" w:type="dxa"/>
            <w:vAlign w:val="bottom"/>
            <w:tcBorders>
              <w:bottom w:val="single" w:sz="8" w:color="CCEEFF"/>
            </w:tcBorders>
            <w:gridSpan w:val="2"/>
            <w:shd w:val="clear" w:color="auto" w:fill="0000EE"/>
          </w:tcPr>
          <w:p>
            <w:pPr>
              <w:ind w:left="4160"/>
              <w:spacing w:after="0" w:line="7" w:lineRule="exact"/>
              <w:rPr>
                <w:sz w:val="20"/>
                <w:szCs w:val="20"/>
                <w:color w:val="auto"/>
              </w:rPr>
            </w:pPr>
            <w:r>
              <w:rPr>
                <w:rFonts w:ascii="Times New Roman" w:cs="Times New Roman" w:eastAsia="Times New Roman" w:hAnsi="Times New Roman"/>
                <w:sz w:val="1"/>
                <w:szCs w:val="1"/>
                <w:color w:val="auto"/>
              </w:rPr>
              <w:t>​ ​</w:t>
            </w:r>
            <w:r>
              <w:rPr>
                <w:rFonts w:ascii="Times New Roman" w:cs="Times New Roman" w:eastAsia="Times New Roman" w:hAnsi="Times New Roman"/>
                <w:sz w:val="1"/>
                <w:szCs w:val="1"/>
                <w:b w:val="1"/>
                <w:bCs w:val="1"/>
                <w:color w:val="auto"/>
              </w:rPr>
              <w:t>​</w:t>
            </w:r>
          </w:p>
        </w:tc>
        <w:tc>
          <w:tcPr>
            <w:tcW w:w="4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37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About Plains All American Pipeline, L.P.</w:t>
            </w:r>
          </w:p>
        </w:tc>
        <w:tc>
          <w:tcPr>
            <w:tcW w:w="4380" w:type="dxa"/>
            <w:vAlign w:val="bottom"/>
            <w:gridSpan w:val="2"/>
            <w:vMerge w:val="restart"/>
          </w:tcPr>
          <w:p>
            <w:pPr>
              <w:ind w:left="4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20" w:type="dxa"/>
            <w:vAlign w:val="bottom"/>
            <w:gridSpan w:val="1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3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4380" w:type="dxa"/>
            <w:vAlign w:val="bottom"/>
            <w:gridSpan w:val="2"/>
            <w:vMerge w:val="restart"/>
            <w:shd w:val="clear" w:color="auto" w:fill="CCEEFF"/>
          </w:tcPr>
          <w:p>
            <w:pPr>
              <w:ind w:left="4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940" w:type="dxa"/>
            <w:vAlign w:val="bottom"/>
            <w:tcBorders>
              <w:bottom w:val="single" w:sz="8" w:color="CCEEFF"/>
            </w:tcBorders>
            <w:gridSpan w:val="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360" w:type="dxa"/>
            <w:vAlign w:val="bottom"/>
            <w:tcBorders>
              <w:bottom w:val="single" w:sz="8" w:color="CCEEFF"/>
            </w:tcBorders>
            <w:gridSpan w:val="2"/>
            <w:shd w:val="clear" w:color="auto" w:fill="CCEEFF"/>
          </w:tcPr>
          <w:p>
            <w:pPr>
              <w:spacing w:after="0"/>
              <w:rPr>
                <w:sz w:val="2"/>
                <w:szCs w:val="2"/>
                <w:color w:val="auto"/>
              </w:rPr>
            </w:pPr>
          </w:p>
        </w:tc>
        <w:tc>
          <w:tcPr>
            <w:tcW w:w="76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gridSpan w:val="3"/>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438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right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37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4380" w:type="dxa"/>
            <w:vAlign w:val="bottom"/>
            <w:gridSpan w:val="2"/>
            <w:vMerge w:val="restart"/>
          </w:tcPr>
          <w:p>
            <w:pPr>
              <w:ind w:left="4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60" w:type="dxa"/>
            <w:vAlign w:val="bottom"/>
            <w:gridSpan w:val="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43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Our Debt Securities</w:t>
            </w:r>
          </w:p>
        </w:tc>
        <w:tc>
          <w:tcPr>
            <w:tcW w:w="4380" w:type="dxa"/>
            <w:vAlign w:val="bottom"/>
            <w:gridSpan w:val="2"/>
            <w:vMerge w:val="restart"/>
            <w:shd w:val="clear" w:color="auto" w:fill="CCEEFF"/>
          </w:tcPr>
          <w:p>
            <w:pPr>
              <w:ind w:left="4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640" w:type="dxa"/>
            <w:vAlign w:val="bottom"/>
            <w:tcBorders>
              <w:bottom w:val="single" w:sz="8" w:color="CCEEFF"/>
            </w:tcBorders>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80" w:type="dxa"/>
            <w:vAlign w:val="bottom"/>
            <w:tcBorders>
              <w:bottom w:val="single" w:sz="8" w:color="CCEEFF"/>
            </w:tcBorders>
            <w:gridSpan w:val="3"/>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438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right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37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Description of Our Preferred Units</w:t>
            </w:r>
          </w:p>
        </w:tc>
        <w:tc>
          <w:tcPr>
            <w:tcW w:w="4500" w:type="dxa"/>
            <w:vAlign w:val="bottom"/>
            <w:gridSpan w:val="4"/>
          </w:tcPr>
          <w:p>
            <w:pPr>
              <w:ind w:left="4320"/>
              <w:spacing w:after="0"/>
              <w:rPr>
                <w:sz w:val="20"/>
                <w:szCs w:val="20"/>
                <w:color w:val="auto"/>
              </w:rPr>
            </w:pPr>
            <w:r>
              <w:rPr>
                <w:rFonts w:ascii="Times New Roman" w:cs="Times New Roman" w:eastAsia="Times New Roman" w:hAnsi="Times New Roman"/>
                <w:sz w:val="18"/>
                <w:szCs w:val="18"/>
                <w:color w:val="0000EE"/>
                <w:w w:val="77"/>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40" w:type="dxa"/>
            <w:vAlign w:val="bottom"/>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8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4320" w:type="dxa"/>
            <w:vAlign w:val="bottom"/>
          </w:tcPr>
          <w:p>
            <w:pPr>
              <w:ind w:left="4160"/>
              <w:spacing w:after="0" w:line="7"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Our Common Units</w:t>
            </w:r>
          </w:p>
        </w:tc>
        <w:tc>
          <w:tcPr>
            <w:tcW w:w="4500" w:type="dxa"/>
            <w:vAlign w:val="bottom"/>
            <w:gridSpan w:val="4"/>
            <w:shd w:val="clear" w:color="auto" w:fill="CCEEFF"/>
          </w:tcPr>
          <w:p>
            <w:pPr>
              <w:ind w:left="4320"/>
              <w:spacing w:after="0"/>
              <w:rPr>
                <w:sz w:val="20"/>
                <w:szCs w:val="20"/>
                <w:color w:val="auto"/>
              </w:rPr>
            </w:pPr>
            <w:r>
              <w:rPr>
                <w:rFonts w:ascii="Times New Roman" w:cs="Times New Roman" w:eastAsia="Times New Roman" w:hAnsi="Times New Roman"/>
                <w:sz w:val="18"/>
                <w:szCs w:val="18"/>
                <w:color w:val="0000EE"/>
                <w:w w:val="77"/>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620" w:type="dxa"/>
            <w:vAlign w:val="bottom"/>
            <w:tcBorders>
              <w:bottom w:val="single" w:sz="8" w:color="CCEEFF"/>
            </w:tcBorders>
            <w:gridSpan w:val="9"/>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600" w:type="dxa"/>
            <w:vAlign w:val="bottom"/>
            <w:tcBorders>
              <w:bottom w:val="single" w:sz="8" w:color="CCEEFF"/>
            </w:tcBorders>
            <w:gridSpan w:val="4"/>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4320" w:type="dxa"/>
            <w:vAlign w:val="bottom"/>
            <w:tcBorders>
              <w:bottom w:val="single" w:sz="8" w:color="CCEEFF"/>
            </w:tcBorders>
            <w:shd w:val="clear" w:color="auto" w:fill="CCEEFF"/>
          </w:tcPr>
          <w:p>
            <w:pPr>
              <w:ind w:left="4160"/>
              <w:spacing w:after="0" w:line="7"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4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37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Cash Distribution Policy</w:t>
            </w:r>
          </w:p>
        </w:tc>
        <w:tc>
          <w:tcPr>
            <w:tcW w:w="4500" w:type="dxa"/>
            <w:vAlign w:val="bottom"/>
            <w:gridSpan w:val="4"/>
          </w:tcPr>
          <w:p>
            <w:pPr>
              <w:ind w:left="4320"/>
              <w:spacing w:after="0"/>
              <w:rPr>
                <w:sz w:val="20"/>
                <w:szCs w:val="20"/>
                <w:color w:val="auto"/>
              </w:rPr>
            </w:pPr>
            <w:r>
              <w:rPr>
                <w:rFonts w:ascii="Times New Roman" w:cs="Times New Roman" w:eastAsia="Times New Roman" w:hAnsi="Times New Roman"/>
                <w:sz w:val="18"/>
                <w:szCs w:val="18"/>
                <w:color w:val="0000EE"/>
                <w:w w:val="77"/>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60" w:type="dxa"/>
            <w:vAlign w:val="bottom"/>
            <w:gridSpan w:val="7"/>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360" w:type="dxa"/>
            <w:vAlign w:val="bottom"/>
            <w:gridSpan w:val="6"/>
          </w:tcPr>
          <w:p>
            <w:pPr>
              <w:spacing w:after="0"/>
              <w:rPr>
                <w:sz w:val="2"/>
                <w:szCs w:val="2"/>
                <w:color w:val="auto"/>
              </w:rPr>
            </w:pPr>
          </w:p>
        </w:tc>
        <w:tc>
          <w:tcPr>
            <w:tcW w:w="480" w:type="dxa"/>
            <w:vAlign w:val="bottom"/>
          </w:tcPr>
          <w:p>
            <w:pPr>
              <w:spacing w:after="0"/>
              <w:rPr>
                <w:sz w:val="2"/>
                <w:szCs w:val="2"/>
                <w:color w:val="auto"/>
              </w:rPr>
            </w:pPr>
          </w:p>
        </w:tc>
        <w:tc>
          <w:tcPr>
            <w:tcW w:w="4320" w:type="dxa"/>
            <w:vAlign w:val="bottom"/>
          </w:tcPr>
          <w:p>
            <w:pPr>
              <w:ind w:left="4160"/>
              <w:spacing w:after="0" w:line="7"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Our Partnership Agreement</w:t>
            </w:r>
          </w:p>
        </w:tc>
        <w:tc>
          <w:tcPr>
            <w:tcW w:w="4500" w:type="dxa"/>
            <w:vAlign w:val="bottom"/>
            <w:gridSpan w:val="4"/>
            <w:shd w:val="clear" w:color="auto" w:fill="CCEEFF"/>
          </w:tcPr>
          <w:p>
            <w:pPr>
              <w:ind w:left="4320"/>
              <w:spacing w:after="0"/>
              <w:rPr>
                <w:sz w:val="20"/>
                <w:szCs w:val="20"/>
                <w:color w:val="auto"/>
              </w:rPr>
            </w:pPr>
            <w:r>
              <w:rPr>
                <w:rFonts w:ascii="Times New Roman" w:cs="Times New Roman" w:eastAsia="Times New Roman" w:hAnsi="Times New Roman"/>
                <w:sz w:val="18"/>
                <w:szCs w:val="18"/>
                <w:color w:val="0000EE"/>
                <w:w w:val="77"/>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220" w:type="dxa"/>
            <w:vAlign w:val="bottom"/>
            <w:tcBorders>
              <w:bottom w:val="single" w:sz="8" w:color="CCEEFF"/>
            </w:tcBorders>
            <w:gridSpan w:val="1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80" w:type="dxa"/>
            <w:vAlign w:val="bottom"/>
            <w:tcBorders>
              <w:bottom w:val="single" w:sz="8" w:color="CCEEFF"/>
            </w:tcBorders>
            <w:shd w:val="clear" w:color="auto" w:fill="CCEEFF"/>
          </w:tcPr>
          <w:p>
            <w:pPr>
              <w:spacing w:after="0"/>
              <w:rPr>
                <w:sz w:val="2"/>
                <w:szCs w:val="2"/>
                <w:color w:val="auto"/>
              </w:rPr>
            </w:pPr>
          </w:p>
        </w:tc>
        <w:tc>
          <w:tcPr>
            <w:tcW w:w="4320" w:type="dxa"/>
            <w:vAlign w:val="bottom"/>
            <w:tcBorders>
              <w:bottom w:val="single" w:sz="8" w:color="CCEEFF"/>
            </w:tcBorders>
            <w:shd w:val="clear" w:color="auto" w:fill="CCEEFF"/>
          </w:tcPr>
          <w:p>
            <w:pPr>
              <w:ind w:left="4160"/>
              <w:spacing w:after="0" w:line="7"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4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37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4500" w:type="dxa"/>
            <w:vAlign w:val="bottom"/>
            <w:gridSpan w:val="4"/>
          </w:tcPr>
          <w:p>
            <w:pPr>
              <w:ind w:left="4320"/>
              <w:spacing w:after="0"/>
              <w:rPr>
                <w:sz w:val="20"/>
                <w:szCs w:val="20"/>
                <w:color w:val="auto"/>
              </w:rPr>
            </w:pPr>
            <w:r>
              <w:rPr>
                <w:rFonts w:ascii="Times New Roman" w:cs="Times New Roman" w:eastAsia="Times New Roman" w:hAnsi="Times New Roman"/>
                <w:sz w:val="18"/>
                <w:szCs w:val="18"/>
                <w:color w:val="0000EE"/>
                <w:w w:val="77"/>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00" w:type="dxa"/>
            <w:vAlign w:val="bottom"/>
            <w:gridSpan w:val="1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320" w:type="dxa"/>
            <w:vAlign w:val="bottom"/>
          </w:tcPr>
          <w:p>
            <w:pPr>
              <w:ind w:left="4160"/>
              <w:spacing w:after="0" w:line="7"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4500" w:type="dxa"/>
            <w:vAlign w:val="bottom"/>
            <w:gridSpan w:val="4"/>
            <w:shd w:val="clear" w:color="auto" w:fill="CCEEFF"/>
          </w:tcPr>
          <w:p>
            <w:pPr>
              <w:ind w:left="4320"/>
              <w:spacing w:after="0"/>
              <w:rPr>
                <w:sz w:val="20"/>
                <w:szCs w:val="20"/>
                <w:color w:val="auto"/>
              </w:rPr>
            </w:pPr>
            <w:r>
              <w:rPr>
                <w:rFonts w:ascii="Times New Roman" w:cs="Times New Roman" w:eastAsia="Times New Roman" w:hAnsi="Times New Roman"/>
                <w:sz w:val="18"/>
                <w:szCs w:val="18"/>
                <w:color w:val="0000EE"/>
                <w:w w:val="77"/>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500" w:type="dxa"/>
            <w:vAlign w:val="bottom"/>
            <w:tcBorders>
              <w:bottom w:val="single" w:sz="8" w:color="CCEEFF"/>
            </w:tcBorders>
            <w:gridSpan w:val="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200" w:type="dxa"/>
            <w:vAlign w:val="bottom"/>
            <w:tcBorders>
              <w:bottom w:val="single" w:sz="8" w:color="CCEEFF"/>
            </w:tcBorders>
            <w:gridSpan w:val="9"/>
            <w:shd w:val="clear" w:color="auto" w:fill="CCEEFF"/>
          </w:tcPr>
          <w:p>
            <w:pPr>
              <w:spacing w:after="0"/>
              <w:rPr>
                <w:sz w:val="2"/>
                <w:szCs w:val="2"/>
                <w:color w:val="auto"/>
              </w:rPr>
            </w:pPr>
          </w:p>
        </w:tc>
        <w:tc>
          <w:tcPr>
            <w:tcW w:w="4320" w:type="dxa"/>
            <w:vAlign w:val="bottom"/>
            <w:tcBorders>
              <w:bottom w:val="single" w:sz="8" w:color="CCEEFF"/>
            </w:tcBorders>
            <w:shd w:val="clear" w:color="auto" w:fill="CCEEFF"/>
          </w:tcPr>
          <w:p>
            <w:pPr>
              <w:ind w:left="4160"/>
              <w:spacing w:after="0" w:line="7"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4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37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4500" w:type="dxa"/>
            <w:vAlign w:val="bottom"/>
            <w:gridSpan w:val="4"/>
          </w:tcPr>
          <w:p>
            <w:pPr>
              <w:ind w:left="4320"/>
              <w:spacing w:after="0"/>
              <w:rPr>
                <w:sz w:val="20"/>
                <w:szCs w:val="20"/>
                <w:color w:val="auto"/>
              </w:rPr>
            </w:pPr>
            <w:r>
              <w:rPr>
                <w:rFonts w:ascii="Times New Roman" w:cs="Times New Roman" w:eastAsia="Times New Roman" w:hAnsi="Times New Roman"/>
                <w:sz w:val="18"/>
                <w:szCs w:val="18"/>
                <w:color w:val="0000EE"/>
                <w:w w:val="77"/>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6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640" w:type="dxa"/>
            <w:vAlign w:val="bottom"/>
            <w:gridSpan w:val="11"/>
          </w:tcPr>
          <w:p>
            <w:pPr>
              <w:spacing w:after="0"/>
              <w:rPr>
                <w:sz w:val="2"/>
                <w:szCs w:val="2"/>
                <w:color w:val="auto"/>
              </w:rPr>
            </w:pPr>
          </w:p>
        </w:tc>
        <w:tc>
          <w:tcPr>
            <w:tcW w:w="4320" w:type="dxa"/>
            <w:vAlign w:val="bottom"/>
          </w:tcPr>
          <w:p>
            <w:pPr>
              <w:ind w:left="4160"/>
              <w:spacing w:after="0" w:line="7"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4500" w:type="dxa"/>
            <w:vAlign w:val="bottom"/>
            <w:gridSpan w:val="4"/>
            <w:shd w:val="clear" w:color="auto" w:fill="CCEEFF"/>
          </w:tcPr>
          <w:p>
            <w:pPr>
              <w:ind w:left="4320"/>
              <w:spacing w:after="0"/>
              <w:rPr>
                <w:sz w:val="20"/>
                <w:szCs w:val="20"/>
                <w:color w:val="auto"/>
              </w:rPr>
            </w:pPr>
            <w:r>
              <w:rPr>
                <w:rFonts w:ascii="Times New Roman" w:cs="Times New Roman" w:eastAsia="Times New Roman" w:hAnsi="Times New Roman"/>
                <w:sz w:val="18"/>
                <w:szCs w:val="18"/>
                <w:color w:val="0000EE"/>
                <w:w w:val="77"/>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120" w:type="dxa"/>
            <w:vAlign w:val="bottom"/>
            <w:tcBorders>
              <w:bottom w:val="single" w:sz="8" w:color="CCEEFF"/>
            </w:tcBorders>
            <w:gridSpan w:val="13"/>
            <w:shd w:val="clear" w:color="auto" w:fill="CCEEFF"/>
          </w:tcPr>
          <w:p>
            <w:pPr>
              <w:spacing w:after="0"/>
              <w:rPr>
                <w:sz w:val="2"/>
                <w:szCs w:val="2"/>
                <w:color w:val="auto"/>
              </w:rPr>
            </w:pPr>
          </w:p>
        </w:tc>
        <w:tc>
          <w:tcPr>
            <w:tcW w:w="4320" w:type="dxa"/>
            <w:vAlign w:val="bottom"/>
            <w:tcBorders>
              <w:bottom w:val="single" w:sz="8" w:color="CCEEFF"/>
            </w:tcBorders>
            <w:shd w:val="clear" w:color="auto" w:fill="CCEEFF"/>
          </w:tcPr>
          <w:p>
            <w:pPr>
              <w:ind w:left="4160"/>
              <w:spacing w:after="0" w:line="7"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4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IMPORTANT NOTICE ABOUT INFORMATION IN THIS PROSPECTUS SUPPLEMENT AND THE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ACCOMPANYING BASE PROSPECTUS</w:t>
      </w:r>
    </w:p>
    <w:p>
      <w:pPr>
        <w:spacing w:after="0" w:line="126"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This document is in two parts. The first part is the prospectus supplement, which describes our business and the specific terms of this offering and also adds to and updates information contained in the accompanying base prospectus and the documents incorporated by reference in this prospectus supplement and the accompanying base prospectus. The second part, the accompanying base prospectus, gives more general information and includes disclosures regarding the Notes and additional disclosures that would pertain if at some time in the future we were to offer other series of our debt securities or our common units or preferred units. Accordingly, the accompanying base prospectus may contain information that does not apply to this offering. Generally, when we refer only to the “prospectus,” we are referring to both parts combined.</w:t>
      </w:r>
    </w:p>
    <w:p>
      <w:pPr>
        <w:spacing w:after="0" w:line="328"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If the description of the offering varies between the prospectus supplement and the accompanying base prospectus, you should rely on the information in the prospectus supplement.</w:t>
      </w:r>
    </w:p>
    <w:p>
      <w:pPr>
        <w:spacing w:after="0" w:line="81"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any information or to make any representations other than those contained or incorporated by reference in this prospectus supplement or the accompanying base prospectus. We take no responsibility for, and can provide no assurance as to the reliability of, any other information that others may give you. Neither we nor the underwriters are making an offer of the Notes in any jurisdiction where the offer is not permitted. Except for information that is specifically tied to a particular date,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120"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110" w:lineRule="exact"/>
        <w:rPr>
          <w:sz w:val="20"/>
          <w:szCs w:val="20"/>
          <w:color w:val="auto"/>
        </w:rPr>
      </w:pPr>
    </w:p>
    <w:p>
      <w:pPr>
        <w:ind w:left="1260" w:right="1079" w:firstLine="360"/>
        <w:spacing w:after="0" w:line="258" w:lineRule="auto"/>
        <w:rPr>
          <w:sz w:val="20"/>
          <w:szCs w:val="20"/>
          <w:color w:val="auto"/>
        </w:rPr>
      </w:pPr>
      <w:r>
        <w:rPr>
          <w:rFonts w:ascii="Times New Roman" w:cs="Times New Roman" w:eastAsia="Times New Roman" w:hAnsi="Times New Roman"/>
          <w:sz w:val="18"/>
          <w:szCs w:val="18"/>
          <w:color w:val="auto"/>
        </w:rPr>
        <w:t>This prospectus contains forward-looking statements that are subject to a number of risks and uncertainties, many of which are beyond our control. See “Forward-Looking Statements” and “Risk Factors.”</w:t>
      </w:r>
    </w:p>
    <w:p>
      <w:pPr>
        <w:spacing w:after="0" w:line="10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expect delivery of the Notes will be made against payment therefor on or about                      , 2024, which is the seventh business day following the date of pricing of the Notes (such settlement being referred to as “T+7”). Under Rule 15c6-1 of the Securities Exchange Act of 1934, as amended (the “Exchange Act”), trades in the secondary market generally are required to settle in one business day unless the parties to any such trade expressly agree otherwise. Accordingly, purchasers who wish to trade the Notes on any date prior to the first business day before delivery will be required, by virtue of the fact that the Notes initially will settle in T+7, to specify an alternate settlement cycle at the time of any such trade to prevent failed settlement and should consult their own advisors.</w:t>
      </w:r>
    </w:p>
    <w:p>
      <w:pPr>
        <w:spacing w:after="0" w:line="18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 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87" w:lineRule="exact"/>
        <w:rPr>
          <w:sz w:val="20"/>
          <w:szCs w:val="20"/>
          <w:color w:val="auto"/>
        </w:rPr>
      </w:pPr>
    </w:p>
    <w:p>
      <w:pPr>
        <w:ind w:left="1800" w:right="539" w:hanging="180"/>
        <w:spacing w:after="0" w:line="266"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19"/>
        <w:spacing w:after="0" w:line="258" w:lineRule="auto"/>
        <w:rPr>
          <w:sz w:val="20"/>
          <w:szCs w:val="20"/>
          <w:color w:val="auto"/>
        </w:rPr>
      </w:pPr>
      <w:r>
        <w:rPr>
          <w:rFonts w:ascii="Times New Roman" w:cs="Times New Roman" w:eastAsia="Times New Roman" w:hAnsi="Times New Roman"/>
          <w:sz w:val="18"/>
          <w:szCs w:val="18"/>
          <w:color w:val="auto"/>
        </w:rPr>
        <w:t>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61" w:lineRule="exact"/>
        <w:rPr>
          <w:sz w:val="20"/>
          <w:szCs w:val="20"/>
          <w:color w:val="auto"/>
        </w:rPr>
      </w:pPr>
    </w:p>
    <w:p>
      <w:pPr>
        <w:ind w:left="1800" w:right="479" w:hanging="180"/>
        <w:spacing w:after="0" w:line="254"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299"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4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71"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40"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6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wildfires and drought);</w:t>
      </w:r>
    </w:p>
    <w:p>
      <w:pPr>
        <w:spacing w:after="0" w:line="53" w:lineRule="exact"/>
        <w:rPr>
          <w:rFonts w:ascii="Times New Roman" w:cs="Times New Roman" w:eastAsia="Times New Roman" w:hAnsi="Times New Roman"/>
          <w:sz w:val="18"/>
          <w:szCs w:val="18"/>
          <w:color w:val="auto"/>
        </w:rPr>
      </w:pPr>
    </w:p>
    <w:p>
      <w:pPr>
        <w:ind w:left="1800" w:right="939" w:hanging="180"/>
        <w:spacing w:after="0" w:line="261"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accounting standards and statements, and related interpretations that</w:t>
      </w:r>
    </w:p>
    <w:p>
      <w:pPr>
        <w:ind w:left="1800" w:right="4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prohibit, restrict or regulate the development of oil and gas resources and the related infrastructure on lands dedicated to or served by our pipelines or (ii) negatively impact our ability to develop, operate or repair midstream assets;</w:t>
      </w:r>
    </w:p>
    <w:p>
      <w:pPr>
        <w:spacing w:after="0" w:line="77"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0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ratings and ability to receive open credit from our suppliers and trade counterparties;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w:t>
      </w:r>
    </w:p>
    <w:p>
      <w:pPr>
        <w:spacing w:after="0" w:line="53" w:lineRule="exact"/>
        <w:rPr>
          <w:rFonts w:ascii="Times New Roman" w:cs="Times New Roman" w:eastAsia="Times New Roman" w:hAnsi="Times New Roman"/>
          <w:sz w:val="18"/>
          <w:szCs w:val="18"/>
          <w:color w:val="auto"/>
        </w:rPr>
      </w:pPr>
    </w:p>
    <w:p>
      <w:pPr>
        <w:ind w:left="1800" w:right="559" w:hanging="180"/>
        <w:spacing w:after="0" w:line="25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9" w:lineRule="exact"/>
        <w:rPr>
          <w:rFonts w:ascii="Times New Roman" w:cs="Times New Roman" w:eastAsia="Times New Roman" w:hAnsi="Times New Roman"/>
          <w:sz w:val="18"/>
          <w:szCs w:val="18"/>
          <w:color w:val="auto"/>
        </w:rPr>
      </w:pPr>
    </w:p>
    <w:p>
      <w:pPr>
        <w:ind w:left="1800" w:right="619" w:hanging="180"/>
        <w:spacing w:after="0" w:line="263"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291"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53"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5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17" w:lineRule="exact"/>
        <w:rPr>
          <w:rFonts w:ascii="Times New Roman" w:cs="Times New Roman" w:eastAsia="Times New Roman" w:hAnsi="Times New Roman"/>
          <w:sz w:val="18"/>
          <w:szCs w:val="18"/>
          <w:color w:val="auto"/>
        </w:rPr>
      </w:pPr>
    </w:p>
    <w:p>
      <w:pPr>
        <w:jc w:val="both"/>
        <w:ind w:left="1800" w:right="619" w:hanging="180"/>
        <w:spacing w:after="0" w:line="275"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infrastructure and its impact on expected crude oil production growth in the Permian Basin; and</w:t>
      </w:r>
    </w:p>
    <w:p>
      <w:pPr>
        <w:spacing w:after="0" w:line="53" w:lineRule="exact"/>
        <w:rPr>
          <w:rFonts w:ascii="Times New Roman" w:cs="Times New Roman" w:eastAsia="Times New Roman" w:hAnsi="Times New Roman"/>
          <w:sz w:val="18"/>
          <w:szCs w:val="18"/>
          <w:color w:val="auto"/>
        </w:rPr>
      </w:pPr>
    </w:p>
    <w:p>
      <w:pPr>
        <w:jc w:val="both"/>
        <w:ind w:left="1800" w:right="5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94" w:lineRule="exact"/>
        <w:rPr>
          <w:sz w:val="20"/>
          <w:szCs w:val="20"/>
          <w:color w:val="auto"/>
        </w:rPr>
      </w:pPr>
    </w:p>
    <w:p>
      <w:pPr>
        <w:ind w:left="1260" w:right="459" w:firstLine="360"/>
        <w:spacing w:after="0" w:line="25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Other factors described or incorporated by reference herein, as well as factors that are unknown or unpredictable, could also have a material adverse effect on future results. See “Risk Factors” beginning on </w:t>
      </w:r>
      <w:hyperlink r:id="rId25">
        <w:r>
          <w:rPr>
            <w:rFonts w:ascii="Times New Roman" w:cs="Times New Roman" w:eastAsia="Times New Roman" w:hAnsi="Times New Roman"/>
            <w:sz w:val="18"/>
            <w:szCs w:val="18"/>
            <w:color w:val="auto"/>
          </w:rPr>
          <w:t xml:space="preserve">page S-4 of this prospectus supplement and in Item 1A. “Risk Factors” in our </w:t>
        </w:r>
        <w:r>
          <w:rPr>
            <w:rFonts w:ascii="Times New Roman" w:cs="Times New Roman" w:eastAsia="Times New Roman" w:hAnsi="Times New Roman"/>
            <w:sz w:val="18"/>
            <w:szCs w:val="18"/>
            <w:u w:val="single" w:color="auto"/>
            <w:color w:val="0000EE"/>
          </w:rPr>
          <w:t>Annual Report on Form 10-K</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for the fiscal year 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001-14569) and in any of our subsequent quarterly or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current reports, which are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36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1280" w:right="419" w:firstLine="360"/>
        <w:spacing w:after="0" w:line="254"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See “Risk Factors” beginning on page S-4 of this prospectus supplement and in our </w:t>
      </w:r>
      <w:hyperlink r:id="rId25">
        <w:r>
          <w:rPr>
            <w:rFonts w:ascii="Times New Roman" w:cs="Times New Roman" w:eastAsia="Times New Roman" w:hAnsi="Times New Roman"/>
            <w:sz w:val="18"/>
            <w:szCs w:val="18"/>
            <w:i w:val="1"/>
            <w:iCs w:val="1"/>
            <w:u w:val="single" w:color="auto"/>
            <w:color w:val="0000EE"/>
          </w:rPr>
          <w:t>Annual Report on Form 10-K for the fiscal year ended December 31, 2023</w:t>
        </w:r>
        <w:r>
          <w:rPr>
            <w:rFonts w:ascii="Times New Roman" w:cs="Times New Roman" w:eastAsia="Times New Roman" w:hAnsi="Times New Roman"/>
            <w:sz w:val="18"/>
            <w:szCs w:val="18"/>
            <w:i w:val="1"/>
            <w:iCs w:val="1"/>
            <w:color w:val="0000EE"/>
          </w:rPr>
          <w:t xml:space="preserve"> </w:t>
        </w:r>
      </w:hyperlink>
      <w:r>
        <w:rPr>
          <w:rFonts w:ascii="Times New Roman" w:cs="Times New Roman" w:eastAsia="Times New Roman" w:hAnsi="Times New Roman"/>
          <w:sz w:val="18"/>
          <w:szCs w:val="18"/>
          <w:i w:val="1"/>
          <w:iCs w:val="1"/>
          <w:color w:val="000000"/>
        </w:rPr>
        <w:t>(File</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No. 001-14569) and in any</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of our subsequent quarterly or current reports, which are incorporated in this prospectus supplement by reference, for information regarding risks you should consider before making a decision to purchase any Notes in this offering.</w:t>
      </w:r>
    </w:p>
    <w:p>
      <w:pPr>
        <w:spacing w:after="0" w:line="337" w:lineRule="exact"/>
        <w:rPr>
          <w:sz w:val="20"/>
          <w:szCs w:val="20"/>
          <w:color w:val="auto"/>
        </w:rPr>
      </w:pPr>
    </w:p>
    <w:p>
      <w:pPr>
        <w:ind w:left="1280" w:right="4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 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w:t>
      </w:r>
    </w:p>
    <w:p>
      <w:pPr>
        <w:spacing w:after="0" w:line="200" w:lineRule="exact"/>
        <w:rPr>
          <w:sz w:val="20"/>
          <w:szCs w:val="20"/>
          <w:color w:val="auto"/>
        </w:rPr>
      </w:pP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148" w:lineRule="exact"/>
        <w:rPr>
          <w:sz w:val="20"/>
          <w:szCs w:val="20"/>
          <w:color w:val="auto"/>
        </w:rPr>
      </w:pPr>
    </w:p>
    <w:p>
      <w:pPr>
        <w:ind w:left="1280" w:right="699" w:firstLine="360"/>
        <w:spacing w:after="0" w:line="254" w:lineRule="auto"/>
        <w:rPr>
          <w:sz w:val="20"/>
          <w:szCs w:val="20"/>
          <w:color w:val="auto"/>
        </w:rPr>
      </w:pPr>
      <w:r>
        <w:rPr>
          <w:rFonts w:ascii="Times New Roman" w:cs="Times New Roman" w:eastAsia="Times New Roman" w:hAnsi="Times New Roman"/>
          <w:sz w:val="18"/>
          <w:szCs w:val="18"/>
          <w:color w:val="auto"/>
        </w:rPr>
        <w:t>We are a publicly traded Delaware limited partnership. 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and NGL and conducted through two operating segments: Crude Oil and NGL.</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Principal Executive Offices</w:t>
      </w:r>
    </w:p>
    <w:p>
      <w:pPr>
        <w:spacing w:after="0" w:line="162" w:lineRule="exact"/>
        <w:rPr>
          <w:sz w:val="20"/>
          <w:szCs w:val="20"/>
          <w:color w:val="auto"/>
        </w:rPr>
      </w:pPr>
    </w:p>
    <w:p>
      <w:pPr>
        <w:ind w:left="1280" w:right="439" w:firstLine="360"/>
        <w:spacing w:after="0" w:line="259" w:lineRule="auto"/>
        <w:rPr>
          <w:sz w:val="20"/>
          <w:szCs w:val="20"/>
          <w:color w:val="auto"/>
        </w:rPr>
      </w:pPr>
      <w:r>
        <w:rPr>
          <w:rFonts w:ascii="Times New Roman" w:cs="Times New Roman" w:eastAsia="Times New Roman" w:hAnsi="Times New Roman"/>
          <w:sz w:val="18"/>
          <w:szCs w:val="18"/>
          <w:color w:val="auto"/>
        </w:rPr>
        <w:t xml:space="preserve">Our executive offices are located at 333 Clay Street, Suite 1600, Houston, Texas 77002. Our telephone number is (713) 646-4100. We maintain a website at </w:t>
      </w:r>
      <w:r>
        <w:rPr>
          <w:rFonts w:ascii="Times New Roman" w:cs="Times New Roman" w:eastAsia="Times New Roman" w:hAnsi="Times New Roman"/>
          <w:sz w:val="18"/>
          <w:szCs w:val="18"/>
          <w:i w:val="1"/>
          <w:iCs w:val="1"/>
          <w:color w:val="auto"/>
        </w:rPr>
        <w:t>www.plains.com</w:t>
      </w:r>
      <w:r>
        <w:rPr>
          <w:rFonts w:ascii="Times New Roman" w:cs="Times New Roman" w:eastAsia="Times New Roman" w:hAnsi="Times New Roman"/>
          <w:sz w:val="18"/>
          <w:szCs w:val="18"/>
          <w:color w:val="auto"/>
        </w:rPr>
        <w:t xml:space="preserve"> where we routinely post important information about our business and operations. Information contained on or available through our website is not incorporated into or otherwise a part of this prospectus supplement or the accompanying base prospectus.</w:t>
      </w:r>
    </w:p>
    <w:p>
      <w:pPr>
        <w:spacing w:after="0" w:line="3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2" w:lineRule="exact"/>
        <w:rPr>
          <w:sz w:val="20"/>
          <w:szCs w:val="20"/>
          <w:color w:val="auto"/>
        </w:rPr>
      </w:pPr>
    </w:p>
    <w:p>
      <w:pPr>
        <w:ind w:left="1280" w:right="539" w:firstLine="360"/>
        <w:spacing w:after="0" w:line="25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For additional information about us, including our partnership structure and management, please refer to the documents set forth under “Where You Can Find More Information” in this prospectus supplement, </w:t>
      </w:r>
      <w:hyperlink r:id="rId28">
        <w:r>
          <w:rPr>
            <w:rFonts w:ascii="Times New Roman" w:cs="Times New Roman" w:eastAsia="Times New Roman" w:hAnsi="Times New Roman"/>
            <w:sz w:val="18"/>
            <w:szCs w:val="18"/>
            <w:color w:val="auto"/>
          </w:rPr>
          <w:t xml:space="preserve">including our </w:t>
        </w:r>
        <w:r>
          <w:rPr>
            <w:rFonts w:ascii="Times New Roman" w:cs="Times New Roman" w:eastAsia="Times New Roman" w:hAnsi="Times New Roman"/>
            <w:sz w:val="18"/>
            <w:szCs w:val="18"/>
            <w:u w:val="single" w:color="auto"/>
            <w:color w:val="0000EE"/>
          </w:rPr>
          <w:t>Annual Report on Form 10-K for the fiscal year ended December 31, 2023</w:t>
        </w:r>
        <w:r>
          <w:rPr>
            <w:rFonts w:ascii="Times New Roman" w:cs="Times New Roman" w:eastAsia="Times New Roman" w:hAnsi="Times New Roman"/>
            <w:sz w:val="18"/>
            <w:szCs w:val="18"/>
            <w:color w:val="auto"/>
          </w:rPr>
          <w:t xml:space="preserve">, our </w:t>
        </w:r>
        <w:r>
          <w:rPr>
            <w:rFonts w:ascii="Times New Roman" w:cs="Times New Roman" w:eastAsia="Times New Roman" w:hAnsi="Times New Roman"/>
            <w:sz w:val="18"/>
            <w:szCs w:val="18"/>
            <w:u w:val="single" w:color="auto"/>
            <w:color w:val="0000EE"/>
          </w:rPr>
          <w:t>Quarterly</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Report on Form 10-Q for the quarter ended March 31,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any subsequent Quarterly Report on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Form 10-Q and Current Reports on Form 8-K (other than, in each case, information furnished rather than filed), each of which is incorporated by reference herein.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051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5516245" cy="810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0" w:lineRule="exact"/>
        <w:rPr>
          <w:sz w:val="20"/>
          <w:szCs w:val="20"/>
          <w:color w:val="auto"/>
        </w:rPr>
      </w:pPr>
    </w:p>
    <w:p>
      <w:pPr>
        <w:ind w:left="1280" w:right="5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w:t>
      </w:r>
    </w:p>
    <w:p>
      <w:pPr>
        <w:spacing w:after="0" w:line="68"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Issuers</w:t>
            </w: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Plains All American Pipeline, L.P. and PAA Finance Corp.</w:t>
            </w:r>
          </w:p>
        </w:tc>
      </w:tr>
      <w:tr>
        <w:trPr>
          <w:trHeight w:val="333"/>
        </w:trPr>
        <w:tc>
          <w:tcPr>
            <w:tcW w:w="2380" w:type="dxa"/>
            <w:vAlign w:val="bottom"/>
          </w:tcPr>
          <w:p>
            <w:pPr>
              <w:spacing w:after="0"/>
              <w:rPr>
                <w:sz w:val="24"/>
                <w:szCs w:val="24"/>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PAA Finance Corp., a Delaware corporation, is a wholly owned</w:t>
            </w:r>
          </w:p>
        </w:tc>
      </w:tr>
      <w:tr>
        <w:trPr>
          <w:trHeight w:val="216"/>
        </w:trPr>
        <w:tc>
          <w:tcPr>
            <w:tcW w:w="2380" w:type="dxa"/>
            <w:vAlign w:val="bottom"/>
          </w:tcPr>
          <w:p>
            <w:pPr>
              <w:spacing w:after="0"/>
              <w:rPr>
                <w:sz w:val="18"/>
                <w:szCs w:val="18"/>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subsidiary of Plains All American Pipeline, L.P. that has been</w:t>
            </w:r>
          </w:p>
        </w:tc>
      </w:tr>
      <w:tr>
        <w:trPr>
          <w:trHeight w:val="203"/>
        </w:trPr>
        <w:tc>
          <w:tcPr>
            <w:tcW w:w="2380" w:type="dxa"/>
            <w:vAlign w:val="bottom"/>
          </w:tcPr>
          <w:p>
            <w:pPr>
              <w:spacing w:after="0"/>
              <w:rPr>
                <w:sz w:val="17"/>
                <w:szCs w:val="17"/>
                <w:color w:val="auto"/>
              </w:rPr>
            </w:pPr>
          </w:p>
        </w:tc>
        <w:tc>
          <w:tcPr>
            <w:tcW w:w="5800" w:type="dxa"/>
            <w:vAlign w:val="bottom"/>
            <w:gridSpan w:val="2"/>
          </w:tcPr>
          <w:p>
            <w:pPr>
              <w:ind w:left="640"/>
              <w:spacing w:after="0" w:line="202" w:lineRule="exact"/>
              <w:rPr>
                <w:sz w:val="20"/>
                <w:szCs w:val="20"/>
                <w:color w:val="auto"/>
              </w:rPr>
            </w:pPr>
            <w:r>
              <w:rPr>
                <w:rFonts w:ascii="Times New Roman" w:cs="Times New Roman" w:eastAsia="Times New Roman" w:hAnsi="Times New Roman"/>
                <w:sz w:val="18"/>
                <w:szCs w:val="18"/>
                <w:color w:val="auto"/>
              </w:rPr>
              <w:t>organized for the purpose of co-issuing our existing notes, the Notes</w:t>
            </w:r>
          </w:p>
        </w:tc>
      </w:tr>
      <w:tr>
        <w:trPr>
          <w:trHeight w:val="203"/>
        </w:trPr>
        <w:tc>
          <w:tcPr>
            <w:tcW w:w="2380" w:type="dxa"/>
            <w:vAlign w:val="bottom"/>
          </w:tcPr>
          <w:p>
            <w:pPr>
              <w:spacing w:after="0"/>
              <w:rPr>
                <w:sz w:val="17"/>
                <w:szCs w:val="17"/>
                <w:color w:val="auto"/>
              </w:rPr>
            </w:pPr>
          </w:p>
        </w:tc>
        <w:tc>
          <w:tcPr>
            <w:tcW w:w="5800" w:type="dxa"/>
            <w:vAlign w:val="bottom"/>
            <w:gridSpan w:val="2"/>
          </w:tcPr>
          <w:p>
            <w:pPr>
              <w:ind w:left="640"/>
              <w:spacing w:after="0" w:line="202" w:lineRule="exact"/>
              <w:rPr>
                <w:sz w:val="20"/>
                <w:szCs w:val="20"/>
                <w:color w:val="auto"/>
              </w:rPr>
            </w:pPr>
            <w:r>
              <w:rPr>
                <w:rFonts w:ascii="Times New Roman" w:cs="Times New Roman" w:eastAsia="Times New Roman" w:hAnsi="Times New Roman"/>
                <w:sz w:val="18"/>
                <w:szCs w:val="18"/>
                <w:color w:val="auto"/>
              </w:rPr>
              <w:t>offered hereby and the notes issued in any future offerings. PAA</w:t>
            </w:r>
          </w:p>
        </w:tc>
      </w:tr>
      <w:tr>
        <w:trPr>
          <w:trHeight w:val="216"/>
        </w:trPr>
        <w:tc>
          <w:tcPr>
            <w:tcW w:w="2380" w:type="dxa"/>
            <w:vAlign w:val="bottom"/>
          </w:tcPr>
          <w:p>
            <w:pPr>
              <w:spacing w:after="0"/>
              <w:rPr>
                <w:sz w:val="18"/>
                <w:szCs w:val="18"/>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Finance Corp. does not have operations of any kind and will not</w:t>
            </w:r>
          </w:p>
        </w:tc>
      </w:tr>
      <w:tr>
        <w:trPr>
          <w:trHeight w:val="202"/>
        </w:trPr>
        <w:tc>
          <w:tcPr>
            <w:tcW w:w="2380" w:type="dxa"/>
            <w:vAlign w:val="bottom"/>
          </w:tcPr>
          <w:p>
            <w:pPr>
              <w:spacing w:after="0"/>
              <w:rPr>
                <w:sz w:val="17"/>
                <w:szCs w:val="17"/>
                <w:color w:val="auto"/>
              </w:rPr>
            </w:pPr>
          </w:p>
        </w:tc>
        <w:tc>
          <w:tcPr>
            <w:tcW w:w="5800" w:type="dxa"/>
            <w:vAlign w:val="bottom"/>
            <w:gridSpan w:val="2"/>
          </w:tcPr>
          <w:p>
            <w:pPr>
              <w:ind w:left="640"/>
              <w:spacing w:after="0" w:line="202" w:lineRule="exact"/>
              <w:rPr>
                <w:sz w:val="20"/>
                <w:szCs w:val="20"/>
                <w:color w:val="auto"/>
              </w:rPr>
            </w:pPr>
            <w:r>
              <w:rPr>
                <w:rFonts w:ascii="Times New Roman" w:cs="Times New Roman" w:eastAsia="Times New Roman" w:hAnsi="Times New Roman"/>
                <w:sz w:val="18"/>
                <w:szCs w:val="18"/>
                <w:color w:val="auto"/>
              </w:rPr>
              <w:t>have any revenue other than as may be incidental to its activities as</w:t>
            </w:r>
          </w:p>
        </w:tc>
      </w:tr>
      <w:tr>
        <w:trPr>
          <w:trHeight w:val="234"/>
        </w:trPr>
        <w:tc>
          <w:tcPr>
            <w:tcW w:w="2380" w:type="dxa"/>
            <w:vAlign w:val="bottom"/>
          </w:tcPr>
          <w:p>
            <w:pPr>
              <w:spacing w:after="0"/>
              <w:rPr>
                <w:sz w:val="20"/>
                <w:szCs w:val="20"/>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 co-issuer of our debt securities.</w:t>
            </w:r>
          </w:p>
        </w:tc>
      </w:tr>
      <w:tr>
        <w:trPr>
          <w:trHeight w:val="29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Future Guarantees</w:t>
            </w: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Initially, the Notes will not be guaranteed by any subsidiaries of the</w:t>
            </w:r>
          </w:p>
        </w:tc>
      </w:tr>
      <w:tr>
        <w:trPr>
          <w:trHeight w:val="216"/>
        </w:trPr>
        <w:tc>
          <w:tcPr>
            <w:tcW w:w="2380" w:type="dxa"/>
            <w:vAlign w:val="bottom"/>
          </w:tcPr>
          <w:p>
            <w:pPr>
              <w:spacing w:after="0"/>
              <w:rPr>
                <w:sz w:val="18"/>
                <w:szCs w:val="18"/>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issuers. In the future, however, if any subsidiary guarantees any of</w:t>
            </w:r>
          </w:p>
        </w:tc>
      </w:tr>
      <w:tr>
        <w:trPr>
          <w:trHeight w:val="216"/>
        </w:trPr>
        <w:tc>
          <w:tcPr>
            <w:tcW w:w="2380" w:type="dxa"/>
            <w:vAlign w:val="bottom"/>
          </w:tcPr>
          <w:p>
            <w:pPr>
              <w:spacing w:after="0"/>
              <w:rPr>
                <w:sz w:val="18"/>
                <w:szCs w:val="18"/>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issuers’ other debt, then such subsidiary will, jointly and</w:t>
            </w:r>
          </w:p>
        </w:tc>
      </w:tr>
      <w:tr>
        <w:trPr>
          <w:trHeight w:val="216"/>
        </w:trPr>
        <w:tc>
          <w:tcPr>
            <w:tcW w:w="2380" w:type="dxa"/>
            <w:vAlign w:val="bottom"/>
          </w:tcPr>
          <w:p>
            <w:pPr>
              <w:spacing w:after="0"/>
              <w:rPr>
                <w:sz w:val="18"/>
                <w:szCs w:val="18"/>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severally, fully and unconditionally guarantee the issuers’ payment</w:t>
            </w:r>
          </w:p>
        </w:tc>
      </w:tr>
      <w:tr>
        <w:trPr>
          <w:trHeight w:val="216"/>
        </w:trPr>
        <w:tc>
          <w:tcPr>
            <w:tcW w:w="2380" w:type="dxa"/>
            <w:vAlign w:val="bottom"/>
          </w:tcPr>
          <w:p>
            <w:pPr>
              <w:spacing w:after="0"/>
              <w:rPr>
                <w:sz w:val="18"/>
                <w:szCs w:val="18"/>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obligations under the Notes. See “Description of Notes — Possible</w:t>
            </w:r>
          </w:p>
        </w:tc>
      </w:tr>
      <w:tr>
        <w:trPr>
          <w:trHeight w:val="234"/>
        </w:trPr>
        <w:tc>
          <w:tcPr>
            <w:tcW w:w="2380" w:type="dxa"/>
            <w:vAlign w:val="bottom"/>
          </w:tcPr>
          <w:p>
            <w:pPr>
              <w:spacing w:after="0"/>
              <w:rPr>
                <w:sz w:val="20"/>
                <w:szCs w:val="20"/>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Future Guarantees.”</w:t>
            </w:r>
          </w:p>
        </w:tc>
      </w:tr>
      <w:tr>
        <w:trPr>
          <w:trHeight w:val="30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Notes Offered</w:t>
            </w: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aggregate principal amount of        % Senior Notes due</w:t>
            </w:r>
          </w:p>
        </w:tc>
      </w:tr>
      <w:tr>
        <w:trPr>
          <w:trHeight w:val="234"/>
        </w:trPr>
        <w:tc>
          <w:tcPr>
            <w:tcW w:w="2380" w:type="dxa"/>
            <w:vAlign w:val="bottom"/>
          </w:tcPr>
          <w:p>
            <w:pPr>
              <w:spacing w:after="0"/>
              <w:rPr>
                <w:sz w:val="20"/>
                <w:szCs w:val="20"/>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2034.</w:t>
            </w:r>
          </w:p>
        </w:tc>
      </w:tr>
      <w:tr>
        <w:trPr>
          <w:trHeight w:val="32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 2034.</w:t>
            </w:r>
          </w:p>
        </w:tc>
      </w:tr>
      <w:tr>
        <w:trPr>
          <w:trHeight w:val="32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r>
      <w:tr>
        <w:trPr>
          <w:trHeight w:val="30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We will pay interest on the Notes semi-annually in arrears</w:t>
            </w:r>
          </w:p>
        </w:tc>
      </w:tr>
      <w:tr>
        <w:trPr>
          <w:trHeight w:val="216"/>
        </w:trPr>
        <w:tc>
          <w:tcPr>
            <w:tcW w:w="2380" w:type="dxa"/>
            <w:vAlign w:val="bottom"/>
          </w:tcPr>
          <w:p>
            <w:pPr>
              <w:spacing w:after="0"/>
              <w:rPr>
                <w:sz w:val="18"/>
                <w:szCs w:val="18"/>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on              and                    of each year, beginning on                    ,</w:t>
            </w:r>
          </w:p>
        </w:tc>
      </w:tr>
      <w:tr>
        <w:trPr>
          <w:trHeight w:val="234"/>
        </w:trPr>
        <w:tc>
          <w:tcPr>
            <w:tcW w:w="2380" w:type="dxa"/>
            <w:vAlign w:val="bottom"/>
          </w:tcPr>
          <w:p>
            <w:pPr>
              <w:spacing w:after="0"/>
              <w:rPr>
                <w:sz w:val="20"/>
                <w:szCs w:val="20"/>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20    .</w:t>
            </w:r>
          </w:p>
        </w:tc>
      </w:tr>
      <w:tr>
        <w:trPr>
          <w:trHeight w:val="30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We may redeem the Notes, in whole or in part, at any time and from</w:t>
            </w:r>
          </w:p>
        </w:tc>
      </w:tr>
      <w:tr>
        <w:trPr>
          <w:trHeight w:val="216"/>
        </w:trPr>
        <w:tc>
          <w:tcPr>
            <w:tcW w:w="2380" w:type="dxa"/>
            <w:vAlign w:val="bottom"/>
          </w:tcPr>
          <w:p>
            <w:pPr>
              <w:spacing w:after="0"/>
              <w:rPr>
                <w:sz w:val="18"/>
                <w:szCs w:val="18"/>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time to time prior to maturity. If we redeem the Notes before</w:t>
            </w:r>
          </w:p>
        </w:tc>
      </w:tr>
      <w:tr>
        <w:trPr>
          <w:trHeight w:val="216"/>
        </w:trPr>
        <w:tc>
          <w:tcPr>
            <w:tcW w:w="2380" w:type="dxa"/>
            <w:vAlign w:val="bottom"/>
          </w:tcPr>
          <w:p>
            <w:pPr>
              <w:spacing w:after="0"/>
              <w:rPr>
                <w:sz w:val="18"/>
                <w:szCs w:val="18"/>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 20    (        months prior to the maturity date, which</w:t>
            </w:r>
          </w:p>
        </w:tc>
      </w:tr>
      <w:tr>
        <w:trPr>
          <w:trHeight w:val="216"/>
        </w:trPr>
        <w:tc>
          <w:tcPr>
            <w:tcW w:w="2380" w:type="dxa"/>
            <w:vAlign w:val="bottom"/>
          </w:tcPr>
          <w:p>
            <w:pPr>
              <w:spacing w:after="0"/>
              <w:rPr>
                <w:sz w:val="18"/>
                <w:szCs w:val="18"/>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we refer to as the “Par Call Date”), then the redemption price will</w:t>
            </w:r>
          </w:p>
        </w:tc>
      </w:tr>
      <w:tr>
        <w:trPr>
          <w:trHeight w:val="216"/>
        </w:trPr>
        <w:tc>
          <w:tcPr>
            <w:tcW w:w="2380" w:type="dxa"/>
            <w:vAlign w:val="bottom"/>
          </w:tcPr>
          <w:p>
            <w:pPr>
              <w:spacing w:after="0"/>
              <w:rPr>
                <w:sz w:val="18"/>
                <w:szCs w:val="18"/>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equal the applicable make-whole price described in this prospectus</w:t>
            </w:r>
          </w:p>
        </w:tc>
      </w:tr>
      <w:tr>
        <w:trPr>
          <w:trHeight w:val="216"/>
        </w:trPr>
        <w:tc>
          <w:tcPr>
            <w:tcW w:w="2380" w:type="dxa"/>
            <w:vAlign w:val="bottom"/>
          </w:tcPr>
          <w:p>
            <w:pPr>
              <w:spacing w:after="0"/>
              <w:rPr>
                <w:sz w:val="18"/>
                <w:szCs w:val="18"/>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supplement under “Description of Notes — Optional Redemption.”</w:t>
            </w:r>
          </w:p>
        </w:tc>
      </w:tr>
      <w:tr>
        <w:trPr>
          <w:trHeight w:val="216"/>
        </w:trPr>
        <w:tc>
          <w:tcPr>
            <w:tcW w:w="2380" w:type="dxa"/>
            <w:vAlign w:val="bottom"/>
          </w:tcPr>
          <w:p>
            <w:pPr>
              <w:spacing w:after="0"/>
              <w:rPr>
                <w:sz w:val="18"/>
                <w:szCs w:val="18"/>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If we redeem the Notes on or after the Par Call Date, we will pay an</w:t>
            </w:r>
          </w:p>
        </w:tc>
      </w:tr>
      <w:tr>
        <w:trPr>
          <w:trHeight w:val="216"/>
        </w:trPr>
        <w:tc>
          <w:tcPr>
            <w:tcW w:w="2380" w:type="dxa"/>
            <w:vAlign w:val="bottom"/>
          </w:tcPr>
          <w:p>
            <w:pPr>
              <w:spacing w:after="0"/>
              <w:rPr>
                <w:sz w:val="18"/>
                <w:szCs w:val="18"/>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amount equal to 100% of the principal amount of the Notes to be</w:t>
            </w:r>
          </w:p>
        </w:tc>
      </w:tr>
      <w:tr>
        <w:trPr>
          <w:trHeight w:val="216"/>
        </w:trPr>
        <w:tc>
          <w:tcPr>
            <w:tcW w:w="2380" w:type="dxa"/>
            <w:vAlign w:val="bottom"/>
          </w:tcPr>
          <w:p>
            <w:pPr>
              <w:spacing w:after="0"/>
              <w:rPr>
                <w:sz w:val="18"/>
                <w:szCs w:val="18"/>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redeemed plus accrued and unpaid interest to the redemption date.</w:t>
            </w:r>
          </w:p>
        </w:tc>
      </w:tr>
      <w:tr>
        <w:trPr>
          <w:trHeight w:val="234"/>
        </w:trPr>
        <w:tc>
          <w:tcPr>
            <w:tcW w:w="2380" w:type="dxa"/>
            <w:vAlign w:val="bottom"/>
          </w:tcPr>
          <w:p>
            <w:pPr>
              <w:spacing w:after="0"/>
              <w:rPr>
                <w:sz w:val="20"/>
                <w:szCs w:val="20"/>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See “Description of Notes — Optional Redemption.”</w:t>
            </w:r>
          </w:p>
        </w:tc>
      </w:tr>
      <w:tr>
        <w:trPr>
          <w:trHeight w:val="30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Notes will be senior unsecured obligations of the issuers and</w:t>
            </w:r>
          </w:p>
        </w:tc>
      </w:tr>
      <w:tr>
        <w:trPr>
          <w:trHeight w:val="216"/>
        </w:trPr>
        <w:tc>
          <w:tcPr>
            <w:tcW w:w="2380" w:type="dxa"/>
            <w:vAlign w:val="bottom"/>
          </w:tcPr>
          <w:p>
            <w:pPr>
              <w:spacing w:after="0"/>
              <w:rPr>
                <w:sz w:val="18"/>
                <w:szCs w:val="18"/>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will rank equally in right of payment with the existing and future</w:t>
            </w:r>
          </w:p>
        </w:tc>
      </w:tr>
      <w:tr>
        <w:trPr>
          <w:trHeight w:val="234"/>
        </w:trPr>
        <w:tc>
          <w:tcPr>
            <w:tcW w:w="2380" w:type="dxa"/>
            <w:vAlign w:val="bottom"/>
          </w:tcPr>
          <w:p>
            <w:pPr>
              <w:spacing w:after="0"/>
              <w:rPr>
                <w:sz w:val="20"/>
                <w:szCs w:val="20"/>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senior indebtedness of the issuers.</w:t>
            </w:r>
          </w:p>
        </w:tc>
      </w:tr>
      <w:tr>
        <w:trPr>
          <w:trHeight w:val="30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Certain Covenants</w:t>
            </w: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Notes will be issued under an indenture containing covenants</w:t>
            </w:r>
          </w:p>
        </w:tc>
      </w:tr>
      <w:tr>
        <w:trPr>
          <w:trHeight w:val="216"/>
        </w:trPr>
        <w:tc>
          <w:tcPr>
            <w:tcW w:w="2380" w:type="dxa"/>
            <w:vAlign w:val="bottom"/>
          </w:tcPr>
          <w:p>
            <w:pPr>
              <w:spacing w:after="0"/>
              <w:rPr>
                <w:sz w:val="18"/>
                <w:szCs w:val="18"/>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 your benefit. These covenants restrict our ability, with certain</w:t>
            </w:r>
          </w:p>
        </w:tc>
      </w:tr>
      <w:tr>
        <w:trPr>
          <w:trHeight w:val="234"/>
        </w:trPr>
        <w:tc>
          <w:tcPr>
            <w:tcW w:w="2380" w:type="dxa"/>
            <w:vAlign w:val="bottom"/>
          </w:tcPr>
          <w:p>
            <w:pPr>
              <w:spacing w:after="0"/>
              <w:rPr>
                <w:sz w:val="20"/>
                <w:szCs w:val="20"/>
                <w:color w:val="auto"/>
              </w:rPr>
            </w:pPr>
          </w:p>
        </w:tc>
        <w:tc>
          <w:tcPr>
            <w:tcW w:w="5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exceptions, to:</w:t>
            </w:r>
          </w:p>
        </w:tc>
      </w:tr>
      <w:tr>
        <w:trPr>
          <w:trHeight w:val="365"/>
        </w:trPr>
        <w:tc>
          <w:tcPr>
            <w:tcW w:w="2380" w:type="dxa"/>
            <w:vAlign w:val="bottom"/>
          </w:tcPr>
          <w:p>
            <w:pPr>
              <w:spacing w:after="0"/>
              <w:rPr>
                <w:sz w:val="24"/>
                <w:szCs w:val="24"/>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incur liens on principal properties to secure debt;</w:t>
            </w:r>
          </w:p>
        </w:tc>
      </w:tr>
      <w:tr>
        <w:trPr>
          <w:trHeight w:val="364"/>
        </w:trPr>
        <w:tc>
          <w:tcPr>
            <w:tcW w:w="2380" w:type="dxa"/>
            <w:vAlign w:val="bottom"/>
          </w:tcPr>
          <w:p>
            <w:pPr>
              <w:spacing w:after="0"/>
              <w:rPr>
                <w:sz w:val="24"/>
                <w:szCs w:val="24"/>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engage in sale-leaseback transactions; and</w:t>
            </w:r>
          </w:p>
        </w:tc>
      </w:tr>
      <w:tr>
        <w:trPr>
          <w:trHeight w:val="333"/>
        </w:trPr>
        <w:tc>
          <w:tcPr>
            <w:tcW w:w="2380" w:type="dxa"/>
            <w:vAlign w:val="bottom"/>
          </w:tcPr>
          <w:p>
            <w:pPr>
              <w:spacing w:after="0"/>
              <w:rPr>
                <w:sz w:val="24"/>
                <w:szCs w:val="24"/>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merge or consolidate with another entity or sell, lease or</w:t>
            </w:r>
          </w:p>
        </w:tc>
      </w:tr>
      <w:tr>
        <w:trPr>
          <w:trHeight w:val="216"/>
        </w:trPr>
        <w:tc>
          <w:tcPr>
            <w:tcW w:w="2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 substantially all of our properties or assets to another</w:t>
            </w:r>
          </w:p>
        </w:tc>
      </w:tr>
      <w:tr>
        <w:trPr>
          <w:trHeight w:val="234"/>
        </w:trPr>
        <w:tc>
          <w:tcPr>
            <w:tcW w:w="2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entity.</w:t>
            </w:r>
          </w:p>
        </w:tc>
      </w:tr>
    </w:tbl>
    <w:p>
      <w:pPr>
        <w:spacing w:after="0" w:line="13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See “Description of Notes — Covenants.”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 xml:space="preserve">The net proceeds of this offering will be approximately $           </w:t>
      </w:r>
    </w:p>
    <w:p>
      <w:pPr>
        <w:spacing w:after="0" w:line="27" w:lineRule="exact"/>
        <w:rPr>
          <w:sz w:val="20"/>
          <w:szCs w:val="20"/>
          <w:color w:val="auto"/>
        </w:rPr>
      </w:pPr>
    </w:p>
    <w:p>
      <w:pPr>
        <w:ind w:left="4300" w:right="399"/>
        <w:spacing w:after="0" w:line="251" w:lineRule="auto"/>
        <w:rPr>
          <w:sz w:val="20"/>
          <w:szCs w:val="20"/>
          <w:color w:val="auto"/>
        </w:rPr>
      </w:pPr>
      <w:r>
        <w:rPr>
          <w:rFonts w:ascii="Times New Roman" w:cs="Times New Roman" w:eastAsia="Times New Roman" w:hAnsi="Times New Roman"/>
          <w:sz w:val="18"/>
          <w:szCs w:val="18"/>
          <w:color w:val="auto"/>
        </w:rPr>
        <w:t>million after deducting the underwriting discount and our estimated offering expenses. We intend to use the net proceeds from the offering to repay all or a portion of the $750 million outstanding principal amount of our 3.60% senior notes due 2024 (“2024 senior notes”), together with any accrued and unpaid interest, on or prior to their maturity date in November 2024, and, pending such repayment, for general partnership purposes, which may include, among other things, intra-group lending and related transactions, repayment of indebtedness, acquisitions, capital expenditures and additions to working capital.</w:t>
      </w:r>
    </w:p>
    <w:p>
      <w:pPr>
        <w:spacing w:after="0" w:line="125" w:lineRule="exact"/>
        <w:rPr>
          <w:sz w:val="20"/>
          <w:szCs w:val="20"/>
          <w:color w:val="auto"/>
        </w:rPr>
      </w:pPr>
    </w:p>
    <w:p>
      <w:pPr>
        <w:ind w:left="4300" w:right="419"/>
        <w:spacing w:after="0" w:line="261" w:lineRule="auto"/>
        <w:rPr>
          <w:sz w:val="20"/>
          <w:szCs w:val="20"/>
          <w:color w:val="auto"/>
        </w:rPr>
      </w:pPr>
      <w:r>
        <w:rPr>
          <w:rFonts w:ascii="Times New Roman" w:cs="Times New Roman" w:eastAsia="Times New Roman" w:hAnsi="Times New Roman"/>
          <w:sz w:val="18"/>
          <w:szCs w:val="18"/>
          <w:color w:val="auto"/>
        </w:rPr>
        <w:t>Certain of the underwriters or their affiliates may hold our 2024 senior notes to be repaid with proceeds from this offering and, accordingly, may receive a substantial portion of the net proceeds of this offering. See “Use of Proceeds.”</w:t>
      </w:r>
    </w:p>
    <w:p>
      <w:pPr>
        <w:spacing w:after="0" w:line="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Book-Entry, Delivery and</w:t>
      </w:r>
    </w:p>
    <w:p>
      <w:pPr>
        <w:spacing w:after="0" w:line="27" w:lineRule="exact"/>
        <w:rPr>
          <w:sz w:val="20"/>
          <w:szCs w:val="20"/>
          <w:color w:val="auto"/>
        </w:rPr>
      </w:pPr>
    </w:p>
    <w:p>
      <w:pPr>
        <w:ind w:left="1460"/>
        <w:spacing w:after="0"/>
        <w:tabs>
          <w:tab w:leader="none" w:pos="4280" w:val="left"/>
        </w:tabs>
        <w:rPr>
          <w:sz w:val="20"/>
          <w:szCs w:val="20"/>
          <w:color w:val="auto"/>
        </w:rPr>
      </w:pPr>
      <w:r>
        <w:rPr>
          <w:rFonts w:ascii="Times New Roman" w:cs="Times New Roman" w:eastAsia="Times New Roman" w:hAnsi="Times New Roman"/>
          <w:sz w:val="18"/>
          <w:szCs w:val="18"/>
          <w:color w:val="auto"/>
        </w:rPr>
        <w:t>Form</w:t>
      </w:r>
      <w:r>
        <w:rPr>
          <w:sz w:val="20"/>
          <w:szCs w:val="20"/>
          <w:color w:val="auto"/>
        </w:rPr>
        <w:tab/>
      </w:r>
      <w:r>
        <w:rPr>
          <w:rFonts w:ascii="Times New Roman" w:cs="Times New Roman" w:eastAsia="Times New Roman" w:hAnsi="Times New Roman"/>
          <w:sz w:val="18"/>
          <w:szCs w:val="18"/>
          <w:color w:val="auto"/>
        </w:rPr>
        <w:t>The Notes will be represented by one or more permanent global</w:t>
      </w:r>
    </w:p>
    <w:p>
      <w:pPr>
        <w:spacing w:after="0" w:line="9" w:lineRule="exact"/>
        <w:rPr>
          <w:sz w:val="20"/>
          <w:szCs w:val="20"/>
          <w:color w:val="auto"/>
        </w:rPr>
      </w:pPr>
    </w:p>
    <w:p>
      <w:pPr>
        <w:ind w:left="4300" w:right="579"/>
        <w:spacing w:after="0" w:line="255" w:lineRule="auto"/>
        <w:rPr>
          <w:sz w:val="20"/>
          <w:szCs w:val="20"/>
          <w:color w:val="auto"/>
        </w:rPr>
      </w:pPr>
      <w:r>
        <w:rPr>
          <w:rFonts w:ascii="Times New Roman" w:cs="Times New Roman" w:eastAsia="Times New Roman" w:hAnsi="Times New Roman"/>
          <w:sz w:val="18"/>
          <w:szCs w:val="18"/>
          <w:color w:val="auto"/>
        </w:rPr>
        <w:t>certificates in fully registered form deposited with a custodian for, and registered in the name of, a nominee of The Depository Trust Company.</w:t>
      </w:r>
    </w:p>
    <w:p>
      <w:pPr>
        <w:spacing w:after="0" w:line="78"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Further Issuances</w:t>
      </w:r>
      <w:r>
        <w:rPr>
          <w:sz w:val="20"/>
          <w:szCs w:val="20"/>
          <w:color w:val="auto"/>
        </w:rPr>
        <w:tab/>
      </w:r>
      <w:r>
        <w:rPr>
          <w:rFonts w:ascii="Times New Roman" w:cs="Times New Roman" w:eastAsia="Times New Roman" w:hAnsi="Times New Roman"/>
          <w:sz w:val="18"/>
          <w:szCs w:val="18"/>
          <w:color w:val="auto"/>
        </w:rPr>
        <w:t>We may create and issue additional Notes ranking equally and</w:t>
      </w:r>
    </w:p>
    <w:p>
      <w:pPr>
        <w:spacing w:after="0" w:line="27" w:lineRule="exact"/>
        <w:rPr>
          <w:sz w:val="20"/>
          <w:szCs w:val="20"/>
          <w:color w:val="auto"/>
        </w:rPr>
      </w:pPr>
    </w:p>
    <w:p>
      <w:pPr>
        <w:ind w:left="4300" w:right="559"/>
        <w:spacing w:after="0" w:line="252" w:lineRule="auto"/>
        <w:rPr>
          <w:sz w:val="20"/>
          <w:szCs w:val="20"/>
          <w:color w:val="auto"/>
        </w:rPr>
      </w:pPr>
      <w:r>
        <w:rPr>
          <w:rFonts w:ascii="Times New Roman" w:cs="Times New Roman" w:eastAsia="Times New Roman" w:hAnsi="Times New Roman"/>
          <w:sz w:val="18"/>
          <w:szCs w:val="18"/>
          <w:color w:val="auto"/>
        </w:rPr>
        <w:t>ratably with the Notes offered by this prospectus supplement in all respects, so that such additional Notes will be consolidated and form a single series with such Notes and will have the same terms, as to status, redemption or otherwise except for the issue date, the initial interest payment date, if applicable, and the payment of interest accruing prior to the issue date of such additional Notes.</w:t>
      </w:r>
    </w:p>
    <w:p>
      <w:pPr>
        <w:spacing w:after="0" w:line="82"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No Listing</w:t>
      </w:r>
      <w:r>
        <w:rPr>
          <w:sz w:val="20"/>
          <w:szCs w:val="20"/>
          <w:color w:val="auto"/>
        </w:rPr>
        <w:tab/>
      </w:r>
      <w:r>
        <w:rPr>
          <w:rFonts w:ascii="Times New Roman" w:cs="Times New Roman" w:eastAsia="Times New Roman" w:hAnsi="Times New Roman"/>
          <w:sz w:val="18"/>
          <w:szCs w:val="18"/>
          <w:color w:val="auto"/>
        </w:rPr>
        <w:t>The Notes are a new issue of securities with no established trading</w:t>
      </w:r>
    </w:p>
    <w:p>
      <w:pPr>
        <w:spacing w:after="0" w:line="27" w:lineRule="exact"/>
        <w:rPr>
          <w:sz w:val="20"/>
          <w:szCs w:val="20"/>
          <w:color w:val="auto"/>
        </w:rPr>
      </w:pPr>
    </w:p>
    <w:p>
      <w:pPr>
        <w:ind w:left="4300" w:right="419"/>
        <w:spacing w:after="0" w:line="253" w:lineRule="auto"/>
        <w:rPr>
          <w:sz w:val="20"/>
          <w:szCs w:val="20"/>
          <w:color w:val="auto"/>
        </w:rPr>
      </w:pPr>
      <w:r>
        <w:rPr>
          <w:rFonts w:ascii="Times New Roman" w:cs="Times New Roman" w:eastAsia="Times New Roman" w:hAnsi="Times New Roman"/>
          <w:sz w:val="18"/>
          <w:szCs w:val="18"/>
          <w:color w:val="auto"/>
        </w:rPr>
        <w:t>market. We do not currently intend to apply for listing of the Notes on any securities exchange or have the Notes quoted on any automated quotation system. See “Risk Factors — Risks Related to the Notes — Your ability to transfer the Notes may be limited by the absence of an organized trading market.”</w:t>
      </w:r>
    </w:p>
    <w:p>
      <w:pPr>
        <w:spacing w:after="0" w:line="79"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Governing Law</w:t>
      </w:r>
      <w:r>
        <w:rPr>
          <w:sz w:val="20"/>
          <w:szCs w:val="20"/>
          <w:color w:val="auto"/>
        </w:rPr>
        <w:tab/>
      </w:r>
      <w:r>
        <w:rPr>
          <w:rFonts w:ascii="Times New Roman" w:cs="Times New Roman" w:eastAsia="Times New Roman" w:hAnsi="Times New Roman"/>
          <w:sz w:val="18"/>
          <w:szCs w:val="18"/>
          <w:color w:val="auto"/>
        </w:rPr>
        <w:t>State of New York.</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Trustee</w:t>
      </w:r>
      <w:r>
        <w:rPr>
          <w:sz w:val="20"/>
          <w:szCs w:val="20"/>
          <w:color w:val="auto"/>
        </w:rPr>
        <w:tab/>
      </w:r>
      <w:r>
        <w:rPr>
          <w:rFonts w:ascii="Times New Roman" w:cs="Times New Roman" w:eastAsia="Times New Roman" w:hAnsi="Times New Roman"/>
          <w:sz w:val="18"/>
          <w:szCs w:val="18"/>
          <w:color w:val="auto"/>
        </w:rPr>
        <w:t>U.S. Bank Trust Company, National Association.</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Investing in the Notes involves risks. You should consider carefully</w:t>
      </w:r>
    </w:p>
    <w:p>
      <w:pPr>
        <w:spacing w:after="0" w:line="27" w:lineRule="exact"/>
        <w:rPr>
          <w:sz w:val="20"/>
          <w:szCs w:val="20"/>
          <w:color w:val="auto"/>
        </w:rPr>
      </w:pPr>
    </w:p>
    <w:p>
      <w:pPr>
        <w:ind w:left="4300" w:right="459"/>
        <w:spacing w:after="0" w:line="252" w:lineRule="auto"/>
        <w:rPr>
          <w:sz w:val="20"/>
          <w:szCs w:val="20"/>
          <w:color w:val="auto"/>
        </w:rPr>
      </w:pPr>
      <w:r>
        <w:rPr>
          <w:rFonts w:ascii="Times New Roman" w:cs="Times New Roman" w:eastAsia="Times New Roman" w:hAnsi="Times New Roman"/>
          <w:sz w:val="18"/>
          <w:szCs w:val="18"/>
          <w:color w:val="auto"/>
        </w:rPr>
        <w:t>all of the information in this prospectus supplement, the accompanying base prospectus, any free writing prospectus relating to this offering and the documents incorporated by reference herein and therein. In particular, you should consider carefully the specific risks set forth in “Risk Factors” beginning on page S-4 of this prospectus supplement.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19" w:firstLine="360"/>
        <w:spacing w:after="0" w:line="244"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Before making an investment in the Notes offered hereby, you should carefully consider the risk factors </w:t>
      </w:r>
      <w:hyperlink r:id="rId25">
        <w:r>
          <w:rPr>
            <w:rFonts w:ascii="Times New Roman" w:cs="Times New Roman" w:eastAsia="Times New Roman" w:hAnsi="Times New Roman"/>
            <w:sz w:val="18"/>
            <w:szCs w:val="18"/>
            <w:i w:val="1"/>
            <w:iCs w:val="1"/>
            <w:color w:val="auto"/>
          </w:rPr>
          <w:t xml:space="preserve">discussed herein and those included in Item 1A. “Risk Factors” in </w:t>
        </w:r>
        <w:r>
          <w:rPr>
            <w:rFonts w:ascii="Times New Roman" w:cs="Times New Roman" w:eastAsia="Times New Roman" w:hAnsi="Times New Roman"/>
            <w:sz w:val="18"/>
            <w:szCs w:val="18"/>
            <w:i w:val="1"/>
            <w:iCs w:val="1"/>
            <w:u w:val="single" w:color="auto"/>
            <w:color w:val="0000EE"/>
          </w:rPr>
          <w:t>our Annual Report on Form 10-K for the</w:t>
        </w:r>
      </w:hyperlink>
      <w:r>
        <w:rPr>
          <w:rFonts w:ascii="Times New Roman" w:cs="Times New Roman" w:eastAsia="Times New Roman" w:hAnsi="Times New Roman"/>
          <w:sz w:val="18"/>
          <w:szCs w:val="18"/>
          <w:i w:val="1"/>
          <w:iCs w:val="1"/>
          <w:color w:val="auto"/>
        </w:rPr>
        <w:t xml:space="preserve"> </w:t>
      </w:r>
      <w:hyperlink r:id="rId25">
        <w:r>
          <w:rPr>
            <w:rFonts w:ascii="Times New Roman" w:cs="Times New Roman" w:eastAsia="Times New Roman" w:hAnsi="Times New Roman"/>
            <w:sz w:val="18"/>
            <w:szCs w:val="18"/>
            <w:i w:val="1"/>
            <w:iCs w:val="1"/>
            <w:u w:val="single" w:color="auto"/>
            <w:color w:val="0000EE"/>
          </w:rPr>
          <w:t>fiscal year ended December 31, 2023</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(File No. 001-14569), and in any of our subsequent quarterly or</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current reports, which are incorporated by reference herein, together with all of the other information included or incorporated by reference in this prospectus supplement and the accompanying base prospectus. If any of these risks were to occur, our business, financial condition or results of operations could be materially adversely affected. In such case, the value of the Notes could decline, and you could lose all or part of your investment.</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225" w:lineRule="exact"/>
        <w:rPr>
          <w:sz w:val="20"/>
          <w:szCs w:val="20"/>
          <w:color w:val="auto"/>
        </w:rPr>
      </w:pPr>
    </w:p>
    <w:p>
      <w:pPr>
        <w:jc w:val="both"/>
        <w:ind w:left="1260" w:right="69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9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Notes are effectively subordinated to claims of our secured creditors and to any existing and future indebtedness and other obligations of our subsidiaries, including trade payables, other than subsidiaries that guarantee the Notes in the future. As of March 31, 2024, on an as adjusted basis as described under “Capitalization,” the Notes would not have been effectively subordinated to any secured indebtedness and would not have been structurally subordinated to any of our subsidiaries’ indebtedness. In the event of the insolvency, bankruptcy, liquidation, reorganization, dissolution or winding up of the business of a subsidiary, other than a subsidiary that guarantees the Notes in the future, creditors of that subsidiary would generally have the right to be paid in full before any distribution is made to us or the holders of the Notes.</w:t>
      </w:r>
    </w:p>
    <w:p>
      <w:pPr>
        <w:spacing w:after="0" w:line="175" w:lineRule="exact"/>
        <w:rPr>
          <w:sz w:val="20"/>
          <w:szCs w:val="20"/>
          <w:color w:val="auto"/>
        </w:rPr>
      </w:pPr>
    </w:p>
    <w:p>
      <w:pPr>
        <w:ind w:left="1260" w:right="10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leverage may limit our ability to borrow additional funds, comply with the terms of our indebtedness or capitalize on business opportunities.</w:t>
      </w:r>
    </w:p>
    <w:p>
      <w:pPr>
        <w:spacing w:after="0" w:line="90"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Our leverage is significant in relation to our partners’ capital. As of March 31, 2024, on an as adjusted basis as described under “Capitalization,” our total outstanding long-term debt was approximately $           </w:t>
      </w: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billion, and our total outstanding short-term debt was approximately $554 million.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17"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credit facilities to service our indebtedness, although the principal amount of the Notes may need to be refinanced at or prior to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33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37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Your ability to transfer the Notes may be limited by the absence of an organized trading market.</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currently intend to apply for listing of the Notes on any securities exchange or have the Notes quoted on any automated quotation system. Although certain of the underwriters have informed us that they currently intend to make a market in the Notes, they are not obligated to do so. In addition, the underwriters may discontinue any such market making at any time without notice. The liquidity of any market for the Notes will depend on the number of holders of the Notes, the interest of securities dealers in making a market in the Notes and other factors. Accordingly, we can give no assurance as to the development, continuation or liquidity of any market for the Notes.</w:t>
      </w:r>
    </w:p>
    <w:p>
      <w:pPr>
        <w:spacing w:after="0" w:line="200" w:lineRule="exact"/>
        <w:rPr>
          <w:sz w:val="20"/>
          <w:szCs w:val="20"/>
          <w:color w:val="auto"/>
        </w:rPr>
      </w:pPr>
    </w:p>
    <w:p>
      <w:pPr>
        <w:spacing w:after="0" w:line="205" w:lineRule="exact"/>
        <w:rPr>
          <w:sz w:val="20"/>
          <w:szCs w:val="20"/>
          <w:color w:val="auto"/>
        </w:rPr>
      </w:pPr>
    </w:p>
    <w:p>
      <w:pPr>
        <w:ind w:left="1260" w:right="7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a holding company structure in which our subsidiaries conduct our operations and own our operating assets.</w:t>
      </w:r>
    </w:p>
    <w:p>
      <w:pPr>
        <w:spacing w:after="0" w:line="90"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We are a holding company, and our subsidiaries conduct all of our operations and own all of our</w:t>
      </w:r>
    </w:p>
    <w:p>
      <w:pPr>
        <w:spacing w:after="0" w:line="16" w:lineRule="exact"/>
        <w:rPr>
          <w:sz w:val="20"/>
          <w:szCs w:val="20"/>
          <w:color w:val="auto"/>
        </w:rPr>
      </w:pPr>
    </w:p>
    <w:p>
      <w:pPr>
        <w:ind w:left="1260" w:right="519"/>
        <w:spacing w:after="0" w:line="241" w:lineRule="auto"/>
        <w:rPr>
          <w:sz w:val="20"/>
          <w:szCs w:val="20"/>
          <w:color w:val="auto"/>
        </w:rPr>
      </w:pPr>
      <w:r>
        <w:rPr>
          <w:rFonts w:ascii="Times New Roman" w:cs="Times New Roman" w:eastAsia="Times New Roman" w:hAnsi="Times New Roman"/>
          <w:sz w:val="18"/>
          <w:szCs w:val="18"/>
          <w:color w:val="auto"/>
        </w:rPr>
        <w:t>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184" w:lineRule="exact"/>
        <w:rPr>
          <w:sz w:val="20"/>
          <w:szCs w:val="20"/>
          <w:color w:val="auto"/>
        </w:rPr>
      </w:pPr>
    </w:p>
    <w:p>
      <w:pPr>
        <w:ind w:left="12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credit rating or outlook or in the rating assigned by a rating agency to the Notes could adversely affect the market price or liquidity of the Notes.</w:t>
      </w:r>
    </w:p>
    <w:p>
      <w:pPr>
        <w:spacing w:after="0" w:line="7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Credit rating agencies continually revise their ratings and outlook for the companies that they follow, including us. The credit rating agencies also evaluate our industry as a whole and may change their credit ratings or outlook for us based on their overall view of our industry. We cannot be sure that credit rating agencies will maintain their ratings on the Notes. A negative change in our ratings or outlook could have an adverse effect on the price of the Notes.</w:t>
      </w:r>
    </w:p>
    <w:p>
      <w:pPr>
        <w:spacing w:after="0" w:line="114" w:lineRule="exact"/>
        <w:rPr>
          <w:sz w:val="20"/>
          <w:szCs w:val="20"/>
          <w:color w:val="auto"/>
        </w:rPr>
      </w:pPr>
    </w:p>
    <w:p>
      <w:pPr>
        <w:ind w:left="1260" w:right="639" w:firstLine="360"/>
        <w:spacing w:after="0" w:line="246" w:lineRule="auto"/>
        <w:rPr>
          <w:sz w:val="20"/>
          <w:szCs w:val="20"/>
          <w:color w:val="auto"/>
        </w:rPr>
      </w:pPr>
      <w:r>
        <w:rPr>
          <w:rFonts w:ascii="Times New Roman" w:cs="Times New Roman" w:eastAsia="Times New Roman" w:hAnsi="Times New Roman"/>
          <w:sz w:val="18"/>
          <w:szCs w:val="18"/>
          <w:color w:val="auto"/>
        </w:rPr>
        <w:t>We expect that the Notes will be rated by nationally recognized statistical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lowering or withdrawal of a rating by a rating agency could reduce the liquidity or market value of the Notes.</w:t>
      </w:r>
    </w:p>
    <w:p>
      <w:pPr>
        <w:spacing w:after="0" w:line="177" w:lineRule="exact"/>
        <w:rPr>
          <w:sz w:val="20"/>
          <w:szCs w:val="20"/>
          <w:color w:val="auto"/>
        </w:rPr>
      </w:pPr>
    </w:p>
    <w:p>
      <w:pPr>
        <w:ind w:left="1260" w:right="9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the same flexibility as other types of organizations to accumulate cash, which may limit cash available to service the Notes or to repay them at maturity.</w:t>
      </w:r>
    </w:p>
    <w:p>
      <w:pPr>
        <w:spacing w:after="0" w:line="7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Unlike a corporation, our partnership agreement requires us to distribute, on a quarterly basis, 100% of our available cash to our unitholders of record. Available cash is generally defined as all of our cash receipts and cash equivalents on hand at the end of each quarter less reserves established in the discretion of our general partner for future requirements. Our available cash also includes cash on hand resulting from borrowings made after the end of the quarter.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288" w:lineRule="exact"/>
        <w:rPr>
          <w:sz w:val="20"/>
          <w:szCs w:val="20"/>
          <w:color w:val="auto"/>
        </w:rPr>
      </w:pPr>
    </w:p>
    <w:p>
      <w:pPr>
        <w:ind w:left="1800" w:right="85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proper conduct of our business and the business of our operating partnerships (including reserves for future capital expenditures and for our anticipated future credit needs);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applicable law or any loan agreement, security agreement, mortgage, debt instrument or other agreement or obligation;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funds for distributions to our preferred unitholders; or</w:t>
      </w: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funds for distributions to our common unitholders for any one or more of the next four calendar quarters.</w:t>
      </w:r>
    </w:p>
    <w:p>
      <w:pPr>
        <w:spacing w:after="0" w:line="94"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Although our payment obligations to our unitholders are subordinate to our payment obligations to you, the value of our units may decrease in direct correlation with decreases in the amount we distribute per unit. Accordingly, if we experience a liquidity problem in the future, we may not be able to issue equity to recapitalize.</w:t>
      </w:r>
    </w:p>
    <w:p>
      <w:pPr>
        <w:spacing w:after="0" w:line="176" w:lineRule="exact"/>
        <w:rPr>
          <w:sz w:val="20"/>
          <w:szCs w:val="20"/>
          <w:color w:val="auto"/>
        </w:rPr>
      </w:pPr>
    </w:p>
    <w:p>
      <w:pPr>
        <w:ind w:left="1260" w:right="4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tax treatment depends on our status as a partnership for U.S. federal income tax purposes and not being subject to a material amount of entity-level taxation by individual states. If the Internal Revenue Service (“IRS”) were to treat us as a corporation for U.S. federal income tax purposes, or if we become subject to entity-level taxation for state or foreign tax purposes, our cash available for payment of principal and interest on the Notes and our other indebtedness could be substantially reduced.</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A publicly traded partnership such as us may be treated as a corporation for federal income tax purposes unless it satisfies a “qualifying income” requirement as defined in Section 7704 of the Internal Revenue Code of 1986, as amended (the “Code”). Based upon our current operations and current U.S.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 and our cash available for payment of principal and interest on the Notes and other indebtedness could be substantially reduced.</w:t>
      </w:r>
    </w:p>
    <w:p>
      <w:pPr>
        <w:spacing w:after="0" w:line="327"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addition, several states impose and others have been evaluating ways to subject partnerships to entity-level taxation through the imposition of state income, franchise and other forms of taxation. For example, we are subject to entity-level tax on the portion of our income apportioned to Texas. Imposition of any similar or additional federal or foreign taxes on us could substantially reduce our cash available for payment of principal and interest on the Notes and our other indebtedness.</w:t>
      </w:r>
    </w:p>
    <w:p>
      <w:pPr>
        <w:spacing w:after="0" w:line="179" w:lineRule="exact"/>
        <w:rPr>
          <w:sz w:val="20"/>
          <w:szCs w:val="20"/>
          <w:color w:val="auto"/>
        </w:rPr>
      </w:pPr>
    </w:p>
    <w:p>
      <w:pPr>
        <w:jc w:val="both"/>
        <w:ind w:left="1260" w:right="5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adjustments directly from us, in which case our cash available for payment of principal and interest on the Notes and our other indebtedness could be substantially reduced.</w:t>
      </w:r>
    </w:p>
    <w:p>
      <w:pPr>
        <w:spacing w:after="0" w:line="113"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adjustments into account and pay any resulting taxes (including applicable penalties or interest) in accordance with their interests in us during the tax year under audit, there can be no assurance that such election will be practical, permissible or effective in all circumstances. If, as a result of any such audit adjustment, we are required to make payments of taxes, penalties and interest, our cash available for payment of principal and interest on the Notes and our other indebtedness could be substantially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net proceeds of this offering will be approximately $            million after deducting the underwriting discount and our estimated offering expenses. We intend to use the net proceeds from the offering to repay all or a portion of our 2024 senior notes, together with any accrued and unpaid interest, on or prior to their maturity date in November 2024, and, pending such repayment, for general partnership purposes, which may include, among other things, intra-group lending and related transactions, repayment of indebtedness, acquisitions, capital expenditures and additions to working capital.</w:t>
      </w:r>
    </w:p>
    <w:p>
      <w:pPr>
        <w:spacing w:after="0" w:line="120"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As of March 31, 2024, we had $750.0 million aggregate principal amount of our 2024 senior notes outstanding, which bear interest at an annual rate of 3.60%.</w:t>
      </w:r>
    </w:p>
    <w:p>
      <w:pPr>
        <w:spacing w:after="0" w:line="81"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Certain of the underwriters or their affiliates may hold our 2024 senior notes to be repaid with proceeds from this offering and, accordingly, may receive a substantial portion of the net proceeds of this offering. See “Underwriting”.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March 31, 2024:</w:t>
      </w:r>
    </w:p>
    <w:p>
      <w:pPr>
        <w:spacing w:after="0" w:line="117" w:lineRule="exact"/>
        <w:rPr>
          <w:sz w:val="20"/>
          <w:szCs w:val="20"/>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historical basis; and</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sale of the Notes offered hereby and the application of the net proceeds therefrom as described under “Use of Proceeds” in this prospectus supplement.</w:t>
      </w:r>
    </w:p>
    <w:p>
      <w:pPr>
        <w:spacing w:after="0" w:line="94"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This table should also be read in conjunction with our financial statements and the notes thereto that are incorporated by reference into this prospectus supplement.</w:t>
      </w:r>
    </w:p>
    <w:p>
      <w:pPr>
        <w:sectPr>
          <w:pgSz w:w="11900" w:h="16838" w:orient="portrait"/>
          <w:cols w:equalWidth="0" w:num="1">
            <w:col w:w="9879"/>
          </w:cols>
          <w:pgMar w:left="580" w:top="97" w:right="1440" w:bottom="1440" w:gutter="0" w:footer="0" w:header="0"/>
        </w:sectPr>
      </w:pP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Commercial paper notes</w:t>
      </w:r>
      <w:r>
        <w:rPr>
          <w:rFonts w:ascii="Times New Roman" w:cs="Times New Roman" w:eastAsia="Times New Roman" w:hAnsi="Times New Roman"/>
          <w:sz w:val="23"/>
          <w:szCs w:val="23"/>
          <w:color w:val="auto"/>
          <w:vertAlign w:val="superscript"/>
        </w:rPr>
        <w:t>(1)</w:t>
      </w:r>
    </w:p>
    <w:p>
      <w:pPr>
        <w:spacing w:after="0" w:line="4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97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6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short-term debt</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17" w:lineRule="exact"/>
        <w:rPr>
          <w:sz w:val="20"/>
          <w:szCs w:val="20"/>
          <w:color w:val="auto"/>
        </w:rPr>
      </w:pPr>
    </w:p>
    <w:p>
      <w:pPr>
        <w:ind w:left="1440"/>
        <w:spacing w:after="0" w:line="304" w:lineRule="auto"/>
        <w:rPr>
          <w:sz w:val="20"/>
          <w:szCs w:val="20"/>
          <w:color w:val="auto"/>
        </w:rPr>
      </w:pPr>
      <w:r>
        <w:rPr>
          <w:rFonts w:ascii="Times New Roman" w:cs="Times New Roman" w:eastAsia="Times New Roman" w:hAnsi="Times New Roman"/>
          <w:sz w:val="18"/>
          <w:szCs w:val="18"/>
          <w:color w:val="auto"/>
        </w:rPr>
        <w:t>Senior notes, net of unamortized discounts and debt issuance costs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Notes offered hereby, net of unamortized discount and debt issuance costs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-39370</wp:posOffset>
            </wp:positionV>
            <wp:extent cx="521208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PARTNERS’ CAPITAL</w:t>
      </w:r>
    </w:p>
    <w:p>
      <w:pPr>
        <w:spacing w:after="0" w:line="5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Series A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Series B preferred unitholders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25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5212080" cy="325755"/>
                    </a:xfrm>
                    <a:prstGeom prst="rect">
                      <a:avLst/>
                    </a:prstGeom>
                    <a:noFill/>
                  </pic:spPr>
                </pic:pic>
              </a:graphicData>
            </a:graphic>
          </wp:anchor>
        </w:drawing>
      </w:r>
    </w:p>
    <w:p>
      <w:pPr>
        <w:spacing w:after="0" w:line="25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partners’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4"/>
        </w:trPr>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As of March 31, 2024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3"/>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Historical</w:t>
            </w:r>
          </w:p>
        </w:tc>
        <w:tc>
          <w:tcPr>
            <w:tcW w:w="102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As Adjusted</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20" w:type="dxa"/>
            <w:vAlign w:val="bottom"/>
            <w:tcBorders>
              <w:top w:val="single" w:sz="8" w:color="auto"/>
            </w:tcBorders>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80"/>
        </w:trPr>
        <w:tc>
          <w:tcPr>
            <w:tcW w:w="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9"/>
        </w:trPr>
        <w:tc>
          <w:tcPr>
            <w:tcW w:w="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74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14</w:t>
            </w:r>
            <w:r>
              <w:rPr>
                <w:rFonts w:ascii="Times New Roman" w:cs="Times New Roman" w:eastAsia="Times New Roman" w:hAnsi="Times New Roman"/>
                <w:sz w:val="15"/>
                <w:szCs w:val="15"/>
                <w:color w:val="auto"/>
              </w:rPr>
              <w:t>​​ ​</w:t>
            </w:r>
          </w:p>
        </w:tc>
        <w:tc>
          <w:tcPr>
            <w:tcW w:w="28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320" w:type="dxa"/>
            <w:vAlign w:val="bottom"/>
          </w:tcPr>
          <w:p>
            <w:pPr>
              <w:spacing w:after="0"/>
              <w:rPr>
                <w:sz w:val="21"/>
                <w:szCs w:val="21"/>
                <w:color w:val="auto"/>
              </w:rPr>
            </w:pPr>
          </w:p>
        </w:tc>
        <w:tc>
          <w:tcPr>
            <w:tcW w:w="120" w:type="dxa"/>
            <w:vAlign w:val="bottom"/>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​​$ 7,244​​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74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64</w:t>
            </w:r>
            <w:r>
              <w:rPr>
                <w:rFonts w:ascii="Times New Roman" w:cs="Times New Roman" w:eastAsia="Times New Roman" w:hAnsi="Times New Roman"/>
                <w:sz w:val="15"/>
                <w:szCs w:val="15"/>
                <w:color w:val="auto"/>
              </w:rPr>
              <w:t>​​ ​</w:t>
            </w:r>
          </w:p>
        </w:tc>
        <w:tc>
          <w:tcPr>
            <w:tcW w:w="28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44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64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w:t>
            </w:r>
          </w:p>
        </w:tc>
        <w:tc>
          <w:tcPr>
            <w:tcW w:w="3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​​$ 1,510​​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​$ 1,510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787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8,042​​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8,042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73"/>
        </w:trPr>
        <w:tc>
          <w:tcPr>
            <w:tcW w:w="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 3,307</w:t>
            </w:r>
            <w:r>
              <w:rPr>
                <w:rFonts w:ascii="Times New Roman" w:cs="Times New Roman" w:eastAsia="Times New Roman" w:hAnsi="Times New Roman"/>
                <w:sz w:val="35"/>
                <w:szCs w:val="35"/>
                <w:color w:val="auto"/>
                <w:vertAlign w:val="subscript"/>
              </w:rPr>
              <w:t>​​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 3,307 </w:t>
            </w:r>
            <w:r>
              <w:rPr>
                <w:rFonts w:ascii="Times New Roman" w:cs="Times New Roman" w:eastAsia="Times New Roman" w:hAnsi="Times New Roman"/>
                <w:sz w:val="35"/>
                <w:szCs w:val="35"/>
                <w:b w:val="1"/>
                <w:bCs w:val="1"/>
                <w:color w:val="auto"/>
                <w:vertAlign w:val="subscript"/>
              </w:rPr>
              <w:t>​</w:t>
            </w:r>
          </w:p>
        </w:tc>
        <w:tc>
          <w:tcPr>
            <w:tcW w:w="0" w:type="dxa"/>
            <w:vAlign w:val="bottom"/>
          </w:tcPr>
          <w:p>
            <w:pPr>
              <w:spacing w:after="0"/>
              <w:rPr>
                <w:sz w:val="1"/>
                <w:szCs w:val="1"/>
                <w:color w:val="auto"/>
              </w:rPr>
            </w:pPr>
          </w:p>
        </w:tc>
      </w:tr>
      <w:tr>
        <w:trPr>
          <w:trHeight w:val="20"/>
        </w:trPr>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13,646</w:t>
            </w:r>
            <w:r>
              <w:rPr>
                <w:rFonts w:ascii="Times New Roman" w:cs="Times New Roman" w:eastAsia="Times New Roman" w:hAnsi="Times New Roman"/>
                <w:sz w:val="30"/>
                <w:szCs w:val="30"/>
                <w:color w:val="auto"/>
                <w:vertAlign w:val="subscript"/>
              </w:rPr>
              <w:t>​​ ​</w:t>
            </w:r>
          </w:p>
        </w:tc>
        <w:tc>
          <w:tcPr>
            <w:tcW w:w="72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13,646 </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20,954</w:t>
            </w:r>
            <w:r>
              <w:rPr>
                <w:rFonts w:ascii="Times New Roman" w:cs="Times New Roman" w:eastAsia="Times New Roman" w:hAnsi="Times New Roman"/>
                <w:sz w:val="28"/>
                <w:szCs w:val="28"/>
                <w:color w:val="auto"/>
                <w:vertAlign w:val="subscript"/>
              </w:rPr>
              <w:t>​​ ​</w:t>
            </w:r>
          </w:p>
        </w:tc>
        <w:tc>
          <w:tcPr>
            <w:tcW w:w="280" w:type="dxa"/>
            <w:vAlign w:val="bottom"/>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20" w:type="dxa"/>
            <w:vAlign w:val="bottom"/>
          </w:tcPr>
          <w:p>
            <w:pPr>
              <w:spacing w:after="0"/>
              <w:rPr>
                <w:sz w:val="22"/>
                <w:szCs w:val="22"/>
                <w:color w:val="auto"/>
              </w:rPr>
            </w:pPr>
          </w:p>
        </w:tc>
        <w:tc>
          <w:tcPr>
            <w:tcW w:w="120" w:type="dxa"/>
            <w:vAlign w:val="bottom"/>
          </w:tcPr>
          <w:p>
            <w:pPr>
              <w:jc w:val="right"/>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-3256915</wp:posOffset>
            </wp:positionV>
            <wp:extent cx="137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20" w:space="660"/>
            <w:col w:w="2199"/>
          </w:cols>
          <w:pgMar w:left="580" w:top="97" w:right="1440" w:bottom="1440" w:gutter="0" w:footer="0" w:header="0"/>
          <w:type w:val="continuous"/>
        </w:sectPr>
      </w:pPr>
    </w:p>
    <w:p>
      <w:pPr>
        <w:spacing w:after="0" w:line="38" w:lineRule="exact"/>
        <w:rPr>
          <w:sz w:val="20"/>
          <w:szCs w:val="20"/>
          <w:color w:val="auto"/>
        </w:rPr>
      </w:pPr>
    </w:p>
    <w:p>
      <w:pPr>
        <w:jc w:val="both"/>
        <w:ind w:left="1620" w:right="839" w:hanging="360"/>
        <w:spacing w:after="0" w:line="261"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classified these commercial paper notes as short-term as of March 31, 2024 and December 31, 2023, as these notes were primarily designated as working capital borrowings, were required to be repaid within one year and were primarily for hedged NGL and crude oil inventory and New York Mercantile Exchange and Intercontinental Exchange margin deposits.</w:t>
      </w:r>
    </w:p>
    <w:p>
      <w:pPr>
        <w:spacing w:after="0" w:line="44" w:lineRule="exact"/>
        <w:rPr>
          <w:rFonts w:ascii="Times New Roman" w:cs="Times New Roman" w:eastAsia="Times New Roman" w:hAnsi="Times New Roman"/>
          <w:sz w:val="18"/>
          <w:szCs w:val="18"/>
          <w:color w:val="auto"/>
        </w:rPr>
      </w:pPr>
    </w:p>
    <w:p>
      <w:pPr>
        <w:ind w:left="1620" w:right="519" w:hanging="360"/>
        <w:spacing w:after="0" w:line="266"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2024, we classified our 2024 senior notes as long-term based on our ability and intent to refinance such amounts on a long-term basis, including through the application of the net proceeds from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160"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We will issue the Notes under an indenture (the “Base Indenture”) dated as of September 25, 2002, among us and U.S. Bank Trust Company, National Association, as successor trustee, and a supplemental indenture thereto with respect to the Notes to be dated as of                 , 2024 (the Base Indenture, as supplemented by such supplemental indenture, the “Indenture”). The Notes will constitute a new series of debt securities under the Base Indenture, and multiple other series are now outstanding under the Base Indenture, issued under various supplemental indentures.</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“Book-Entry, Delivery and Form.”</w:t>
      </w:r>
    </w:p>
    <w:p>
      <w:pPr>
        <w:spacing w:after="0" w:line="321"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 creating the Notes from us as set forth under “Where You Can Find More Information.”</w:t>
      </w:r>
    </w:p>
    <w:p>
      <w:pPr>
        <w:spacing w:after="0" w:line="32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Description of the Notes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Notes will be:</w:t>
      </w:r>
    </w:p>
    <w:p>
      <w:pPr>
        <w:spacing w:after="0" w:line="117" w:lineRule="exact"/>
        <w:rPr>
          <w:sz w:val="20"/>
          <w:szCs w:val="20"/>
          <w:color w:val="auto"/>
        </w:rPr>
      </w:pPr>
    </w:p>
    <w:p>
      <w:pPr>
        <w:ind w:left="1800" w:right="65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unsecured indebtedness ranking equally in right of payment with all of our existing and future unsubordinated indebtedness;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series of debt securities issued under the Base Indenture;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non-recourse to our general partner;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any of our future subordinated indebtedness;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junior to any of our existing and future secured indebtedness, to the extent of the security for that debt; and</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junior to existing and future indebtedness and other obligations of our Subsidiaries, including trade payables, other than Subsidiaries that guarantee the Notes in the future.</w:t>
      </w:r>
    </w:p>
    <w:p>
      <w:pPr>
        <w:spacing w:after="0" w:line="9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As of March 31, 2024, on an as adjusted basis as described under “Capitalization,” the Notes would not have been effectively subordinated to any secured indebtedness and would not have been structurally subordinated to any of our subsidiaries’ indebtedness. See “Risk Factors — Risks Related to the Notes —  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336"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 Indenture will not limit the aggregate principal amount of debt securities that may be issued thereunder and provides that debt securities may be issued thereunder from time to time in one or more series. Except to the extent described under “— Covenants,” the Indenture does not limit our ability or the ability of our subsidiaries to incur either secured or unsecured additional indebtedness.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the Notes, create and</w:t>
      </w:r>
    </w:p>
    <w:p>
      <w:pPr>
        <w:spacing w:after="0" w:line="16"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issue additional Notes ranking equally and ratably with the Notes offered hereby in all respects, so that such additional Notes will be consolidated and form a single series with the Notes and will have the same terms as to status, redemption or otherwise as the Notes (except for the issue date, the initial interest payment date, if applicable, and the payment of interest accruing prior to the issue date of such additional Notes).</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4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will issue the Notes in an initial aggregate principal amount of $            million. The Notes will mature on            , 2034. The Notes will bear interest at an annual rate of        %. Interest on the Notes will accrue from                , 2024 and will be payable semi- annually in arrears on          and          of each year, beginning                    , 20    . We will make each interest payment to the holders of record at the close of business on      and      preceding such interest payment dates. Interest will be computed on the basis of a 360 -day year consisting of twelve 30-day months. We will issue the Notes in minimum denominations of $2,000 and integral multiples of $1,000 in excess thereof.</w:t>
      </w:r>
    </w:p>
    <w:p>
      <w:pPr>
        <w:spacing w:after="0" w:line="114"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Liability of General Partner</w:t>
      </w:r>
    </w:p>
    <w:p>
      <w:pPr>
        <w:spacing w:after="0" w:line="14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Plains All American Pipeline’s general partner and its directors, officers, employees and members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Possible Future Guarantees</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Provided that no default shall have occurred and shall be continuing under the Indenture, a future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Subsidiary Guarantor will be unconditionally released and discharged from its guarantee:</w:t>
      </w:r>
    </w:p>
    <w:p>
      <w:pPr>
        <w:spacing w:after="0" w:line="85" w:lineRule="exact"/>
        <w:rPr>
          <w:sz w:val="20"/>
          <w:szCs w:val="20"/>
          <w:color w:val="auto"/>
        </w:rPr>
      </w:pPr>
    </w:p>
    <w:p>
      <w:pPr>
        <w:ind w:left="1800" w:right="81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or other disposition of all of our direct or indirect equity interests in that Subsidiary Guarantor to any Person that is not our affiliate; or</w:t>
      </w:r>
    </w:p>
    <w:p>
      <w:pPr>
        <w:spacing w:after="0" w:line="40"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delivery of a written notice of the release from the guarantee by us to the trustee, upon the release of all guarantees by the Subsidiary Guarantor of any debt of ours (other than debt securities issued under the Base Indenture).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Notes will be redeemable, in whole or in part, at our option at any time and from time to time prior to maturity. If we redeem the Notes before the Par Call Date, we will pay an amount equal to the greater of</w:t>
      </w:r>
    </w:p>
    <w:p>
      <w:pPr>
        <w:ind w:left="1260"/>
        <w:spacing w:after="0"/>
        <w:rPr>
          <w:sz w:val="20"/>
          <w:szCs w:val="20"/>
          <w:color w:val="auto"/>
        </w:rPr>
      </w:pPr>
      <w:r>
        <w:rPr>
          <w:rFonts w:ascii="Times New Roman" w:cs="Times New Roman" w:eastAsia="Times New Roman" w:hAnsi="Times New Roman"/>
          <w:sz w:val="18"/>
          <w:szCs w:val="18"/>
          <w:color w:val="auto"/>
        </w:rPr>
        <w:t>(i) 100% of the principal amount of the Notes to be redeemed and (ii) (a) the sum of the present</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61" w:lineRule="auto"/>
        <w:rPr>
          <w:sz w:val="20"/>
          <w:szCs w:val="20"/>
          <w:color w:val="auto"/>
        </w:rPr>
      </w:pPr>
      <w:r>
        <w:rPr>
          <w:rFonts w:ascii="Times New Roman" w:cs="Times New Roman" w:eastAsia="Times New Roman" w:hAnsi="Times New Roman"/>
          <w:sz w:val="18"/>
          <w:szCs w:val="18"/>
          <w:color w:val="auto"/>
        </w:rPr>
        <w:t>values of the remaining scheduled payments of principal and interest thereon discounted to the redemption date (assuming the Notes matured on the Par Call Date) on a semi-annual basis (assuming a 360-day year consisting of twelve 30-day months) at the Treasury Rate plus        basis points less (b) interest accrued to the date of redemption, plus, in either case, accrued and unpaid interest thereon to the date of redemption.</w:t>
      </w:r>
    </w:p>
    <w:p>
      <w:pPr>
        <w:spacing w:after="0" w:line="112" w:lineRule="exact"/>
        <w:rPr>
          <w:sz w:val="20"/>
          <w:szCs w:val="20"/>
          <w:color w:val="auto"/>
        </w:rPr>
      </w:pPr>
    </w:p>
    <w:p>
      <w:pPr>
        <w:jc w:val="both"/>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If we redeem the Notes on or after the Par Call Date, we will pay an amount equal to 100% of the principal amount of the Notes to be redeemed plus accrued and unpaid interest to the redemption date.</w:t>
      </w:r>
    </w:p>
    <w:p>
      <w:pPr>
        <w:spacing w:after="0" w:line="9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us in accordance with the following two paragraphs.</w:t>
      </w:r>
    </w:p>
    <w:p>
      <w:pPr>
        <w:spacing w:after="0" w:line="8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34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27"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79" w:lineRule="exact"/>
        <w:rPr>
          <w:sz w:val="20"/>
          <w:szCs w:val="20"/>
          <w:color w:val="auto"/>
        </w:rPr>
      </w:pPr>
    </w:p>
    <w:p>
      <w:pPr>
        <w:ind w:left="1620"/>
        <w:spacing w:after="0"/>
        <w:tabs>
          <w:tab w:leader="none" w:pos="4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xml:space="preserve">” means           </w:t>
        <w:tab/>
        <w:t>, 20    (      months prior to the maturity date).</w:t>
      </w:r>
    </w:p>
    <w:p>
      <w:pPr>
        <w:spacing w:after="0" w:line="160"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date of redemption, interest will cease to accrue on the Notes or portions thereof called for redemption.</w:t>
      </w:r>
    </w:p>
    <w:p>
      <w:pPr>
        <w:spacing w:after="0" w:line="94"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On or before a redemption date, we will deposit with a paying agent (or with the trustee) sufficient money to pay the redemption price and accrued interest on the Notes to be redeemed.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If less than all of the Notes are to be redeemed at any time, the trustee will select Notes (or any portion of Notes in integral multiples of $1,000) for redemption as follows:</w:t>
      </w:r>
    </w:p>
    <w:p>
      <w:pPr>
        <w:spacing w:after="0" w:line="40" w:lineRule="exact"/>
        <w:rPr>
          <w:sz w:val="20"/>
          <w:szCs w:val="20"/>
          <w:color w:val="auto"/>
        </w:rPr>
      </w:pPr>
    </w:p>
    <w:p>
      <w:pPr>
        <w:ind w:left="1800" w:right="97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listed, in compliance with the requirements of the principal national securities exchange on which such Notes are listed; or</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not so listed or there are no such requirements, on a pro rata basis, by lot or, if the Notes are in the form of Global Notes, by such method as the depositary shall require.</w:t>
      </w:r>
    </w:p>
    <w:p>
      <w:pPr>
        <w:spacing w:after="0" w:line="8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However, no Note with a principal amount of $2,000 or less will be redeemed in part. Notice of any such optional redemption will be mailed by first class mail at least 10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of the following is an “Event of Default”:</w:t>
      </w:r>
    </w:p>
    <w:p>
      <w:pPr>
        <w:spacing w:after="0" w:line="117" w:lineRule="exact"/>
        <w:rPr>
          <w:sz w:val="20"/>
          <w:szCs w:val="20"/>
          <w:color w:val="auto"/>
        </w:rPr>
      </w:pPr>
    </w:p>
    <w:p>
      <w:pPr>
        <w:ind w:left="1800" w:right="9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when due of the principal of or any premium on any Note at maturity, upon redemption or otherwise;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60 days in the payment when due of interest on any Note;</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if and so long as the Notes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 Consolidation, Merger or Sale”);</w:t>
      </w:r>
    </w:p>
    <w:p>
      <w:pPr>
        <w:spacing w:after="0" w:line="75" w:lineRule="exact"/>
        <w:rPr>
          <w:rFonts w:ascii="Times New Roman" w:cs="Times New Roman" w:eastAsia="Times New Roman" w:hAnsi="Times New Roman"/>
          <w:sz w:val="18"/>
          <w:szCs w:val="18"/>
          <w:color w:val="auto"/>
        </w:rPr>
      </w:pPr>
    </w:p>
    <w:p>
      <w:pPr>
        <w:ind w:left="1800" w:right="419" w:hanging="180"/>
        <w:spacing w:after="0" w:line="253"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may be issued or by which there may be secured or evidenced any debt of ours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w:t>
      </w:r>
    </w:p>
    <w:p>
      <w:pPr>
        <w:spacing w:after="0" w:line="2" w:lineRule="exact"/>
        <w:rPr>
          <w:rFonts w:ascii="Times New Roman" w:cs="Times New Roman" w:eastAsia="Times New Roman" w:hAnsi="Times New Roman"/>
          <w:sz w:val="18"/>
          <w:szCs w:val="18"/>
          <w:color w:val="auto"/>
        </w:rPr>
      </w:pPr>
    </w:p>
    <w:p>
      <w:pPr>
        <w:ind w:left="1800" w:right="499"/>
        <w:spacing w:after="0" w:line="251" w:lineRule="auto"/>
        <w:tabs>
          <w:tab w:leader="none" w:pos="206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described in clause (x) or (y) above, the principal amount of any such debt, together with the principal amount of any other such debt under which there has been a Payment Default or the maturity of which has been so accelerated, aggregates $150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85"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in bankruptcy, insolvency or reorganization of us or, if and so long as the Notes are guaranteed by a Subsidiary Guarantor, by such Subsidiary Guarantor;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so long as the Notes are guaranteed by a Subsidiary Guarantor:</w:t>
      </w:r>
    </w:p>
    <w:p>
      <w:pPr>
        <w:spacing w:after="0" w:line="117" w:lineRule="exact"/>
        <w:rPr>
          <w:rFonts w:ascii="Times New Roman" w:cs="Times New Roman" w:eastAsia="Times New Roman" w:hAnsi="Times New Roman"/>
          <w:sz w:val="18"/>
          <w:szCs w:val="18"/>
          <w:color w:val="auto"/>
        </w:rPr>
      </w:pPr>
    </w:p>
    <w:p>
      <w:pPr>
        <w:ind w:left="2160" w:right="939" w:hanging="180"/>
        <w:spacing w:after="0" w:line="282" w:lineRule="auto"/>
        <w:tabs>
          <w:tab w:leader="none" w:pos="21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ceases to be in full force and effect, except as otherwise provided in the Indenture;</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is declared null and void in a judicial proceeding; or</w:t>
      </w:r>
    </w:p>
    <w:p>
      <w:pPr>
        <w:spacing w:after="0" w:line="117" w:lineRule="exact"/>
        <w:rPr>
          <w:rFonts w:ascii="Times New Roman" w:cs="Times New Roman" w:eastAsia="Times New Roman" w:hAnsi="Times New Roman"/>
          <w:sz w:val="18"/>
          <w:szCs w:val="18"/>
          <w:color w:val="auto"/>
        </w:rPr>
      </w:pPr>
    </w:p>
    <w:p>
      <w:pPr>
        <w:ind w:left="2160" w:right="1099" w:hanging="180"/>
        <w:spacing w:after="0" w:line="282" w:lineRule="auto"/>
        <w:tabs>
          <w:tab w:leader="none" w:pos="21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Guarantor denies or disaffirms its obligations under the Indenture or its guarantee.</w:t>
      </w:r>
    </w:p>
    <w:p>
      <w:pPr>
        <w:spacing w:after="0" w:line="81"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An Event of Default regarding the Notes will not necessarily constitute an Event of Default for any other series of debt securities that may be issued under the Base Indenture. In the case of an Event of</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w:t>
      </w:r>
    </w:p>
    <w:p>
      <w:pPr>
        <w:spacing w:after="0" w:line="11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114"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If a Default occurs and is continuing and is known to the trustee, the trustee must mail to each holder of the Notes a notice of the Default within 90 days after the Default occurs. Except in the case of a Default in the payment of principal, premium, if any, or interest with respect to the Notes, the trustee may withhold such notice, but only if and so long as a committee of responsible officers of the trustee in good faith determines that withholding such notice is in the interests of such holders.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62"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69"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in the case of a merger, or the surviving Person:</w:t>
      </w:r>
    </w:p>
    <w:p>
      <w:pPr>
        <w:spacing w:after="0" w:line="103" w:lineRule="exact"/>
        <w:rPr>
          <w:rFonts w:ascii="Times New Roman" w:cs="Times New Roman" w:eastAsia="Times New Roman" w:hAnsi="Times New Roman"/>
          <w:sz w:val="18"/>
          <w:szCs w:val="18"/>
          <w:color w:val="auto"/>
        </w:rPr>
      </w:pPr>
    </w:p>
    <w:p>
      <w:pPr>
        <w:ind w:left="2160" w:right="419" w:hanging="180"/>
        <w:spacing w:after="0" w:line="261" w:lineRule="auto"/>
        <w:tabs>
          <w:tab w:leader="none" w:pos="2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58" w:lineRule="exact"/>
        <w:rPr>
          <w:rFonts w:ascii="Times New Roman" w:cs="Times New Roman" w:eastAsia="Times New Roman" w:hAnsi="Times New Roman"/>
          <w:sz w:val="18"/>
          <w:szCs w:val="18"/>
          <w:color w:val="auto"/>
        </w:rPr>
      </w:pPr>
    </w:p>
    <w:p>
      <w:pPr>
        <w:ind w:left="2160" w:right="499" w:hanging="180"/>
        <w:spacing w:after="0" w:line="261" w:lineRule="auto"/>
        <w:tabs>
          <w:tab w:leader="none" w:pos="2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71"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or series of transactions, no Default or Event of Default has occurred and is continuing;</w:t>
      </w:r>
    </w:p>
    <w:p>
      <w:pPr>
        <w:spacing w:after="0" w:line="40"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58"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112"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Generally, we, any Subsidiary Guarantors and the trustee may amend or supplement the Indenture, any guarantees and the Notes with the consent of the holders of at least a majority in principal amount of</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39"/>
        <w:spacing w:after="0" w:line="282" w:lineRule="auto"/>
        <w:rPr>
          <w:sz w:val="20"/>
          <w:szCs w:val="20"/>
          <w:color w:val="auto"/>
        </w:rPr>
      </w:pPr>
      <w:r>
        <w:rPr>
          <w:rFonts w:ascii="Times New Roman" w:cs="Times New Roman" w:eastAsia="Times New Roman" w:hAnsi="Times New Roman"/>
          <w:sz w:val="18"/>
          <w:szCs w:val="18"/>
          <w:color w:val="auto"/>
        </w:rPr>
        <w:t>the then outstanding Notes. However, without the consent of each holder affected, an amendment, supplement or waiver may not (with respect to any Notes held by a nonconsenting holder):</w:t>
      </w:r>
    </w:p>
    <w:p>
      <w:pPr>
        <w:spacing w:after="0" w:line="27" w:lineRule="exact"/>
        <w:rPr>
          <w:sz w:val="20"/>
          <w:szCs w:val="20"/>
          <w:color w:val="auto"/>
        </w:rPr>
      </w:pPr>
    </w:p>
    <w:p>
      <w:pPr>
        <w:ind w:left="1800" w:right="59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whose holders must consent to an amendment, supplement or waiver;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Note;</w:t>
      </w:r>
    </w:p>
    <w:p>
      <w:pPr>
        <w:spacing w:after="0" w:line="90"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waive the premium payable upon redemption or alter or waive the other provisions with respect to the redemption of any Notes;</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Note;</w:t>
      </w:r>
    </w:p>
    <w:p>
      <w:pPr>
        <w:spacing w:after="0" w:line="90" w:lineRule="exact"/>
        <w:rPr>
          <w:rFonts w:ascii="Times New Roman" w:cs="Times New Roman" w:eastAsia="Times New Roman" w:hAnsi="Times New Roman"/>
          <w:sz w:val="18"/>
          <w:szCs w:val="18"/>
          <w:color w:val="auto"/>
        </w:rPr>
      </w:pPr>
    </w:p>
    <w:p>
      <w:pPr>
        <w:ind w:left="1800" w:right="459" w:hanging="180"/>
        <w:spacing w:after="0" w:line="263"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27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security that may have been granted with respect to the Notes;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currency other than that stated in the Notes;</w:t>
      </w:r>
    </w:p>
    <w:p>
      <w:pPr>
        <w:spacing w:after="0" w:line="90" w:lineRule="exact"/>
        <w:rPr>
          <w:rFonts w:ascii="Times New Roman" w:cs="Times New Roman" w:eastAsia="Times New Roman" w:hAnsi="Times New Roman"/>
          <w:sz w:val="18"/>
          <w:szCs w:val="18"/>
          <w:color w:val="auto"/>
        </w:rPr>
      </w:pPr>
    </w:p>
    <w:p>
      <w:pPr>
        <w:jc w:val="both"/>
        <w:ind w:left="1800" w:right="53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 Indenture relating to waivers of past Defaults or the rights of holders of Notes to receive payments of principal of or premium, if any, or interest on the Notes;</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Note;</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in the Indenture, release any Subsidiary Guarantor from its obligations under its guarantee or the Indenture or change any guarantee in any manner that would adversely affect the rights of holders; or</w:t>
      </w:r>
    </w:p>
    <w:p>
      <w:pPr>
        <w:spacing w:after="0" w:line="4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supplement and waiver provisions (except to increase any percentage set forth therein).</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Notwithstanding the preceding paragraph, without the consent of any holder of Notes, we, any</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Subsidiary Guarantors and the trustee may amend or supplement the Indenture or the Notes:</w:t>
      </w:r>
    </w:p>
    <w:p>
      <w:pPr>
        <w:spacing w:after="0" w:line="70" w:lineRule="exact"/>
        <w:rPr>
          <w:sz w:val="20"/>
          <w:szCs w:val="20"/>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90" w:lineRule="exact"/>
        <w:rPr>
          <w:rFonts w:ascii="Times New Roman" w:cs="Times New Roman" w:eastAsia="Times New Roman" w:hAnsi="Times New Roman"/>
          <w:sz w:val="18"/>
          <w:szCs w:val="18"/>
          <w:color w:val="auto"/>
        </w:rPr>
      </w:pPr>
    </w:p>
    <w:p>
      <w:pPr>
        <w:ind w:left="1800" w:right="439" w:hanging="180"/>
        <w:spacing w:after="0" w:line="275"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our or the confirmation of any Subsidiary Guarantor’s obligations to holders of Notes in the case of a merger or consolidation or sale of all or substantially all of our assets;</w:t>
      </w:r>
    </w:p>
    <w:p>
      <w:pPr>
        <w:spacing w:after="0" w:line="254"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release any Subsidiary Guarantors as permitted pursuant to the terms of the Indenture (see “— Possible Future Guarantees”);</w:t>
      </w:r>
    </w:p>
    <w:p>
      <w:pPr>
        <w:spacing w:after="0" w:line="26"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changes that would provide any additional rights or benefits to the holders of Notes that do not, taken as a whole, adversely affect the rights under the Indenture of any holder of the Notes;</w:t>
      </w:r>
    </w:p>
    <w:p>
      <w:pPr>
        <w:spacing w:after="0" w:line="26"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or provide for the acceptance of appointment under the Indenture of a successor trustee;</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 and/or any guarantees; or</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any other series of debt securities under the Base Indenture.</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Liens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will not, nor will we permit any Subsidiary of Plains All American Pipeline to, create, assume, incur or suffer to exist any lien upon any Principal Property or upon any Capital Interests of any Restricted</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Subsidiary, whether owned or leased or hereafter acquired, to secure any of our debt or any debt of any other Person (other than debt securities issued under the Base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69" w:lineRule="exact"/>
        <w:rPr>
          <w:sz w:val="20"/>
          <w:szCs w:val="20"/>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103"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58"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58"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spacing w:after="0" w:line="44"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58"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of our property or assets or the property or assets of any Restricted Subsidiary in existence on December 10, 2003 or provided for pursuant to agreements existing on December 10, 2003;</w:t>
      </w:r>
    </w:p>
    <w:p>
      <w:pPr>
        <w:spacing w:after="0" w:line="54" w:lineRule="exact"/>
        <w:rPr>
          <w:rFonts w:ascii="Times New Roman" w:cs="Times New Roman" w:eastAsia="Times New Roman" w:hAnsi="Times New Roman"/>
          <w:sz w:val="18"/>
          <w:szCs w:val="18"/>
          <w:color w:val="auto"/>
        </w:rPr>
      </w:pPr>
    </w:p>
    <w:p>
      <w:pPr>
        <w:ind w:left="1800" w:right="539" w:hanging="180"/>
        <w:spacing w:after="0" w:line="263"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264" w:lineRule="exact"/>
        <w:rPr>
          <w:rFonts w:ascii="Times New Roman" w:cs="Times New Roman" w:eastAsia="Times New Roman" w:hAnsi="Times New Roman"/>
          <w:sz w:val="18"/>
          <w:szCs w:val="18"/>
          <w:color w:val="auto"/>
        </w:rPr>
      </w:pPr>
    </w:p>
    <w:p>
      <w:pPr>
        <w:ind w:left="1800" w:right="539" w:hanging="180"/>
        <w:spacing w:after="0" w:line="254"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66"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resulting from the deposit of moneys or evidence of indebtedness in trust for the purpose of defeasing our debt or debt of any Restricted Subsidiary.</w:t>
      </w:r>
    </w:p>
    <w:p>
      <w:pPr>
        <w:spacing w:after="0" w:line="9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Base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 Limitations on Sale-leasebacks,” does not exceed 15% of Consolidated Net Tangible Assets.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Sale-Leasebacks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We will not, and will not permit any Subsidiary of Plains All American Pipeline to, engage in a Sale-leaseback Transaction, unless: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19" w:hanging="180"/>
        <w:spacing w:after="0" w:line="261"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71"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Sale-leaseback Transaction involves a lease for a period, including renewals, of not more than three years;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7"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323"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Base Indenture) secured by liens upon Principal Properties not excepted in the first paragraph under “— Limitations on Liens,” does not exceed 15% of Consolidated Net Tangible Assets.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 Reports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121"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Defeasance and Discharge</w:t>
      </w:r>
    </w:p>
    <w:p>
      <w:pPr>
        <w:spacing w:after="0" w:line="14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At any time we may terminate all our obligations under the Indenture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for the Notes.</w:t>
      </w:r>
    </w:p>
    <w:p>
      <w:pPr>
        <w:spacing w:after="0" w:line="11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Also, at any time, we may terminate our obligations under covenants described in the first paragraph of “— Possible Future Guarantees,” under “— Covenants” and under “— SEC Reports” ​(“covenant defeasance”), and thereafter our failure to comply with any of such covenants would not constitute an Event of Default.</w:t>
      </w:r>
    </w:p>
    <w:p>
      <w:pPr>
        <w:spacing w:after="0" w:line="33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we exercise our legal defeasance option, any guarantee obligation with respect to the Notes will be deemed to have been discharged.</w:t>
      </w:r>
    </w:p>
    <w:p>
      <w:pPr>
        <w:spacing w:after="0" w:line="95"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defeased Notes to redemption</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6" w:lineRule="auto"/>
        <w:rPr>
          <w:sz w:val="20"/>
          <w:szCs w:val="20"/>
          <w:color w:val="auto"/>
        </w:rPr>
      </w:pPr>
      <w:r>
        <w:rPr>
          <w:rFonts w:ascii="Times New Roman" w:cs="Times New Roman" w:eastAsia="Times New Roman" w:hAnsi="Times New Roman"/>
          <w:sz w:val="18"/>
          <w:szCs w:val="18"/>
          <w:color w:val="auto"/>
        </w:rPr>
        <w:t>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spacing w:after="0" w:line="120"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In the event of any legal defeasance, holders of the defeased Notes would be entitled to look only to the defeasance trust for payment of principal of and any premium and interest on their Notes until maturity.</w:t>
      </w:r>
    </w:p>
    <w:p>
      <w:pPr>
        <w:spacing w:after="0" w:line="94"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106"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In addition, we may satisfy and discharge all our obligations under the Indenture, other than certain obligations to the trustee and our obligation to register the transfer of or exchange the Notes, provided that we either:</w:t>
      </w:r>
    </w:p>
    <w:p>
      <w:pPr>
        <w:spacing w:after="0" w:line="68"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all outstanding Notes to the trustee for cancellation; or</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57"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w:t>
      </w:r>
    </w:p>
    <w:p>
      <w:pPr>
        <w:spacing w:after="0" w:line="3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comply with the other requirements of the Indenture in relation to satisfaction and discharge.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6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Indebtedness</w:t>
      </w:r>
      <w:r>
        <w:rPr>
          <w:rFonts w:ascii="Times New Roman" w:cs="Times New Roman" w:eastAsia="Times New Roman" w:hAnsi="Times New Roman"/>
          <w:sz w:val="18"/>
          <w:szCs w:val="18"/>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09"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112"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Interests</w:t>
      </w:r>
      <w:r>
        <w:rPr>
          <w:rFonts w:ascii="Times New Roman" w:cs="Times New Roman" w:eastAsia="Times New Roman" w:hAnsi="Times New Roman"/>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12" w:lineRule="exact"/>
        <w:rPr>
          <w:sz w:val="20"/>
          <w:szCs w:val="20"/>
          <w:color w:val="auto"/>
        </w:rPr>
      </w:pPr>
    </w:p>
    <w:p>
      <w:pPr>
        <w:ind w:left="1260" w:right="79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means, at any date of determination, the total amount of assets after deducting therefrom:</w:t>
      </w:r>
    </w:p>
    <w:p>
      <w:pPr>
        <w:sectPr>
          <w:pgSz w:w="11900" w:h="16838" w:orient="portrait"/>
          <w:cols w:equalWidth="0" w:num="1">
            <w:col w:w="9879"/>
          </w:cols>
          <w:pgMar w:left="580" w:top="97" w:right="1440" w:bottom="1440" w:gutter="0" w:footer="0" w:header="0"/>
        </w:sectPr>
      </w:pPr>
    </w:p>
    <w:p>
      <w:pPr>
        <w:spacing w:after="0" w:line="3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hanging="360"/>
        <w:spacing w:after="0"/>
        <w:tabs>
          <w:tab w:leader="none" w:pos="2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w:t>
      </w:r>
    </w:p>
    <w:p>
      <w:pPr>
        <w:spacing w:after="0" w:line="157" w:lineRule="exact"/>
        <w:rPr>
          <w:rFonts w:ascii="Times New Roman" w:cs="Times New Roman" w:eastAsia="Times New Roman" w:hAnsi="Times New Roman"/>
          <w:sz w:val="18"/>
          <w:szCs w:val="18"/>
          <w:color w:val="auto"/>
        </w:rPr>
      </w:pPr>
    </w:p>
    <w:p>
      <w:pPr>
        <w:ind w:left="1980" w:right="519" w:firstLine="360"/>
        <w:spacing w:after="0" w:line="266" w:lineRule="auto"/>
        <w:tabs>
          <w:tab w:leader="none" w:pos="26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liabilities that by their terms are extendible or renewable at the option of the obligor thereon to a time more than 12 months after the time as of which the amount thereof is being computed; and</w:t>
      </w:r>
    </w:p>
    <w:p>
      <w:pPr>
        <w:spacing w:after="0" w:line="108"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maturities of long-term debt; and</w:t>
      </w:r>
    </w:p>
    <w:p>
      <w:pPr>
        <w:spacing w:after="0" w:line="144" w:lineRule="exact"/>
        <w:rPr>
          <w:rFonts w:ascii="Times New Roman" w:cs="Times New Roman" w:eastAsia="Times New Roman" w:hAnsi="Times New Roman"/>
          <w:sz w:val="18"/>
          <w:szCs w:val="18"/>
          <w:color w:val="auto"/>
        </w:rPr>
      </w:pPr>
    </w:p>
    <w:p>
      <w:pPr>
        <w:ind w:left="1620" w:right="579" w:firstLine="360"/>
        <w:spacing w:after="0" w:line="282" w:lineRule="auto"/>
        <w:tabs>
          <w:tab w:leader="none" w:pos="23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net of any applicable reserves, of all goodwill, trade names, trademarks, patents and other like intangible assets,</w:t>
      </w:r>
    </w:p>
    <w:p>
      <w:pPr>
        <w:spacing w:after="0" w:line="94" w:lineRule="exact"/>
        <w:rPr>
          <w:sz w:val="20"/>
          <w:szCs w:val="20"/>
          <w:color w:val="auto"/>
        </w:rPr>
      </w:pPr>
    </w:p>
    <w:p>
      <w:pPr>
        <w:ind w:left="1260" w:right="939"/>
        <w:spacing w:after="0" w:line="282" w:lineRule="auto"/>
        <w:rPr>
          <w:sz w:val="20"/>
          <w:szCs w:val="20"/>
          <w:color w:val="auto"/>
        </w:rPr>
      </w:pPr>
      <w:r>
        <w:rPr>
          <w:rFonts w:ascii="Times New Roman" w:cs="Times New Roman" w:eastAsia="Times New Roman" w:hAnsi="Times New Roman"/>
          <w:sz w:val="18"/>
          <w:szCs w:val="18"/>
          <w:color w:val="auto"/>
        </w:rPr>
        <w:t>all as set forth on the consolidated balance sheet of Plains All American Pipeline for its most recently completed fiscal quarter, prepared in accordance with generally accepted accounting principles.</w:t>
      </w:r>
    </w:p>
    <w:p>
      <w:pPr>
        <w:spacing w:after="0" w:line="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4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Funded Debt</w:t>
      </w:r>
      <w:r>
        <w:rPr>
          <w:rFonts w:ascii="Times New Roman" w:cs="Times New Roman" w:eastAsia="Times New Roman" w:hAnsi="Times New Roman"/>
          <w:sz w:val="18"/>
          <w:szCs w:val="18"/>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the date on which the Notes are initially issued.</w:t>
      </w:r>
    </w:p>
    <w:p>
      <w:pPr>
        <w:spacing w:after="0" w:line="158" w:lineRule="exact"/>
        <w:rPr>
          <w:sz w:val="20"/>
          <w:szCs w:val="20"/>
          <w:color w:val="auto"/>
        </w:rPr>
      </w:pPr>
    </w:p>
    <w:p>
      <w:pPr>
        <w:jc w:val="both"/>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Managing General Partner</w:t>
      </w:r>
      <w:r>
        <w:rPr>
          <w:rFonts w:ascii="Times New Roman" w:cs="Times New Roman" w:eastAsia="Times New Roman" w:hAnsi="Times New Roman"/>
          <w:sz w:val="18"/>
          <w:szCs w:val="18"/>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w:t>
      </w:r>
    </w:p>
    <w:p>
      <w:pPr>
        <w:spacing w:after="0" w:line="10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Pari Passu Debt</w:t>
      </w:r>
      <w:r>
        <w:rPr>
          <w:rFonts w:ascii="Times New Roman" w:cs="Times New Roman" w:eastAsia="Times New Roman" w:hAnsi="Times New Roman"/>
          <w:sz w:val="18"/>
          <w:szCs w:val="18"/>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w:t>
      </w:r>
    </w:p>
    <w:p>
      <w:pPr>
        <w:spacing w:after="0" w:line="160" w:lineRule="exact"/>
        <w:rPr>
          <w:sz w:val="20"/>
          <w:szCs w:val="20"/>
          <w:color w:val="auto"/>
        </w:rPr>
      </w:pPr>
    </w:p>
    <w:p>
      <w:pPr>
        <w:ind w:left="2340" w:hanging="360"/>
        <w:spacing w:after="0"/>
        <w:tabs>
          <w:tab w:leader="none" w:pos="2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upon rights-of-way for pipeline purposes;</w:t>
      </w:r>
    </w:p>
    <w:p>
      <w:pPr>
        <w:spacing w:after="0" w:line="144" w:lineRule="exact"/>
        <w:rPr>
          <w:rFonts w:ascii="Times New Roman" w:cs="Times New Roman" w:eastAsia="Times New Roman" w:hAnsi="Times New Roman"/>
          <w:sz w:val="18"/>
          <w:szCs w:val="18"/>
          <w:color w:val="auto"/>
        </w:rPr>
      </w:pPr>
    </w:p>
    <w:p>
      <w:pPr>
        <w:ind w:left="1620" w:right="439" w:firstLine="360"/>
        <w:spacing w:after="0" w:line="258" w:lineRule="auto"/>
        <w:tabs>
          <w:tab w:leader="none" w:pos="23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15" w:lineRule="exact"/>
        <w:rPr>
          <w:rFonts w:ascii="Times New Roman" w:cs="Times New Roman" w:eastAsia="Times New Roman" w:hAnsi="Times New Roman"/>
          <w:sz w:val="18"/>
          <w:szCs w:val="18"/>
          <w:color w:val="auto"/>
        </w:rPr>
      </w:pPr>
    </w:p>
    <w:p>
      <w:pPr>
        <w:ind w:left="1620" w:right="519" w:firstLine="360"/>
        <w:spacing w:after="0" w:line="266" w:lineRule="auto"/>
        <w:tabs>
          <w:tab w:leader="none" w:pos="23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108" w:lineRule="exact"/>
        <w:rPr>
          <w:rFonts w:ascii="Times New Roman" w:cs="Times New Roman" w:eastAsia="Times New Roman" w:hAnsi="Times New Roman"/>
          <w:sz w:val="18"/>
          <w:szCs w:val="18"/>
          <w:color w:val="auto"/>
        </w:rPr>
      </w:pPr>
    </w:p>
    <w:p>
      <w:pPr>
        <w:ind w:left="1620" w:right="839" w:firstLine="360"/>
        <w:spacing w:after="0" w:line="266" w:lineRule="auto"/>
        <w:tabs>
          <w:tab w:leader="none" w:pos="23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or to secure performance of, leases, other than capital leases;</w:t>
      </w:r>
    </w:p>
    <w:p>
      <w:pPr>
        <w:spacing w:after="0" w:line="157" w:lineRule="exact"/>
        <w:rPr>
          <w:rFonts w:ascii="Times New Roman" w:cs="Times New Roman" w:eastAsia="Times New Roman" w:hAnsi="Times New Roman"/>
          <w:sz w:val="18"/>
          <w:szCs w:val="18"/>
          <w:color w:val="auto"/>
        </w:rPr>
      </w:pPr>
    </w:p>
    <w:p>
      <w:pPr>
        <w:ind w:left="1620" w:right="579" w:firstLine="360"/>
        <w:spacing w:after="0" w:line="282" w:lineRule="auto"/>
        <w:tabs>
          <w:tab w:leader="none" w:pos="23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or deposits of, any assets in favor of any surety company or clerk of court for the purpose of obtaining indemnity or stay of judicial proceedings;</w:t>
      </w:r>
    </w:p>
    <w:p>
      <w:pPr>
        <w:spacing w:after="0" w:line="80" w:lineRule="exact"/>
        <w:rPr>
          <w:rFonts w:ascii="Times New Roman" w:cs="Times New Roman" w:eastAsia="Times New Roman" w:hAnsi="Times New Roman"/>
          <w:sz w:val="18"/>
          <w:szCs w:val="18"/>
          <w:color w:val="auto"/>
        </w:rPr>
      </w:pPr>
    </w:p>
    <w:p>
      <w:pPr>
        <w:ind w:left="1620" w:right="499" w:firstLine="360"/>
        <w:spacing w:after="0" w:line="282" w:lineRule="auto"/>
        <w:tabs>
          <w:tab w:leader="none" w:pos="23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property or assets acquired or sold by us or any Restricted Subsidiary resulting from the exercise of any rights arising out of defaults on receivables;</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firstLine="360"/>
        <w:spacing w:after="0" w:line="266" w:lineRule="auto"/>
        <w:tabs>
          <w:tab w:leader="none" w:pos="23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0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us or any Restricted Subsidiary;</w:t>
      </w:r>
    </w:p>
    <w:p>
      <w:pPr>
        <w:spacing w:after="0" w:line="157" w:lineRule="exact"/>
        <w:rPr>
          <w:rFonts w:ascii="Times New Roman" w:cs="Times New Roman" w:eastAsia="Times New Roman" w:hAnsi="Times New Roman"/>
          <w:sz w:val="18"/>
          <w:szCs w:val="18"/>
          <w:color w:val="auto"/>
        </w:rPr>
      </w:pPr>
    </w:p>
    <w:p>
      <w:pPr>
        <w:ind w:left="1620" w:right="519" w:firstLine="360"/>
        <w:spacing w:after="0" w:line="256" w:lineRule="auto"/>
        <w:tabs>
          <w:tab w:leader="none" w:pos="2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106" w:lineRule="exact"/>
        <w:rPr>
          <w:rFonts w:ascii="Times New Roman" w:cs="Times New Roman" w:eastAsia="Times New Roman" w:hAnsi="Times New Roman"/>
          <w:sz w:val="18"/>
          <w:szCs w:val="18"/>
          <w:color w:val="auto"/>
        </w:rPr>
      </w:pPr>
    </w:p>
    <w:p>
      <w:pPr>
        <w:ind w:left="2440" w:hanging="460"/>
        <w:spacing w:after="0"/>
        <w:tabs>
          <w:tab w:leader="none" w:pos="2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industrial development, pollution control or similar revenue bonds;</w:t>
      </w:r>
    </w:p>
    <w:p>
      <w:pPr>
        <w:spacing w:after="0" w:line="157" w:lineRule="exact"/>
        <w:rPr>
          <w:rFonts w:ascii="Times New Roman" w:cs="Times New Roman" w:eastAsia="Times New Roman" w:hAnsi="Times New Roman"/>
          <w:sz w:val="18"/>
          <w:szCs w:val="18"/>
          <w:color w:val="auto"/>
        </w:rPr>
      </w:pPr>
    </w:p>
    <w:p>
      <w:pPr>
        <w:ind w:left="1620" w:right="659" w:firstLine="360"/>
        <w:spacing w:after="0" w:line="254" w:lineRule="auto"/>
        <w:tabs>
          <w:tab w:leader="none" w:pos="2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Base Indenture (including the Notes) in connection with such refunding, refinancing or repurchase, and the required corresponding durations thereof), to refinance, refund or repurchase all outstanding debt securities under the Base Indenture (including the Notes), including the amount of all accrued interest thereon and reasonable fees and expenses and premium, if any, incurred by us or any Restricted Subsidiary in connection therewith;</w:t>
      </w:r>
    </w:p>
    <w:p>
      <w:pPr>
        <w:spacing w:after="0" w:line="340" w:lineRule="exact"/>
        <w:rPr>
          <w:rFonts w:ascii="Times New Roman" w:cs="Times New Roman" w:eastAsia="Times New Roman" w:hAnsi="Times New Roman"/>
          <w:sz w:val="18"/>
          <w:szCs w:val="18"/>
          <w:color w:val="auto"/>
        </w:rPr>
      </w:pPr>
    </w:p>
    <w:p>
      <w:pPr>
        <w:ind w:left="1620" w:right="919" w:firstLine="360"/>
        <w:spacing w:after="0" w:line="266" w:lineRule="auto"/>
        <w:tabs>
          <w:tab w:leader="none" w:pos="2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82" w:lineRule="auto"/>
        <w:tabs>
          <w:tab w:leader="none" w:pos="2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or deposits of any assets to secure performance of bids, trade contracts, leases or statutory obligations;</w:t>
      </w:r>
    </w:p>
    <w:p>
      <w:pPr>
        <w:spacing w:after="0" w:line="94" w:lineRule="exact"/>
        <w:rPr>
          <w:rFonts w:ascii="Times New Roman" w:cs="Times New Roman" w:eastAsia="Times New Roman" w:hAnsi="Times New Roman"/>
          <w:sz w:val="18"/>
          <w:szCs w:val="18"/>
          <w:color w:val="auto"/>
        </w:rPr>
      </w:pPr>
    </w:p>
    <w:p>
      <w:pPr>
        <w:ind w:left="1620" w:right="539" w:firstLine="360"/>
        <w:spacing w:after="0" w:line="256" w:lineRule="auto"/>
        <w:tabs>
          <w:tab w:leader="none" w:pos="2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19" w:lineRule="exact"/>
        <w:rPr>
          <w:rFonts w:ascii="Times New Roman" w:cs="Times New Roman" w:eastAsia="Times New Roman" w:hAnsi="Times New Roman"/>
          <w:sz w:val="18"/>
          <w:szCs w:val="18"/>
          <w:color w:val="auto"/>
        </w:rPr>
      </w:pPr>
    </w:p>
    <w:p>
      <w:pPr>
        <w:ind w:left="1620" w:right="419" w:firstLine="360"/>
        <w:spacing w:after="0" w:line="256" w:lineRule="auto"/>
        <w:tabs>
          <w:tab w:leader="none" w:pos="2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106" w:lineRule="exact"/>
        <w:rPr>
          <w:rFonts w:ascii="Times New Roman" w:cs="Times New Roman" w:eastAsia="Times New Roman" w:hAnsi="Times New Roman"/>
          <w:sz w:val="18"/>
          <w:szCs w:val="18"/>
          <w:color w:val="auto"/>
        </w:rPr>
      </w:pPr>
    </w:p>
    <w:p>
      <w:pPr>
        <w:ind w:left="1620" w:right="419" w:firstLine="360"/>
        <w:spacing w:after="0" w:line="256" w:lineRule="auto"/>
        <w:tabs>
          <w:tab w:leader="none" w:pos="2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119" w:lineRule="exact"/>
        <w:rPr>
          <w:rFonts w:ascii="Times New Roman" w:cs="Times New Roman" w:eastAsia="Times New Roman" w:hAnsi="Times New Roman"/>
          <w:sz w:val="18"/>
          <w:szCs w:val="18"/>
          <w:color w:val="auto"/>
        </w:rPr>
      </w:pPr>
    </w:p>
    <w:p>
      <w:pPr>
        <w:ind w:left="1620" w:right="659" w:firstLine="360"/>
        <w:spacing w:after="0" w:line="282" w:lineRule="auto"/>
        <w:tabs>
          <w:tab w:leader="none" w:pos="2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or duties to any municipality or public authority with respect to any lease, easement, right-of-way, license, franchise, privilege, permit or grant.</w:t>
      </w:r>
    </w:p>
    <w:p>
      <w:pPr>
        <w:spacing w:after="0" w:line="92" w:lineRule="exact"/>
        <w:rPr>
          <w:sz w:val="20"/>
          <w:szCs w:val="20"/>
          <w:color w:val="auto"/>
        </w:rPr>
      </w:pPr>
    </w:p>
    <w:p>
      <w:pPr>
        <w:jc w:val="both"/>
        <w:ind w:left="1260" w:right="879" w:firstLine="3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limited liability company, association, joint stock company, trust, other entity, unincorporated organization or government or any agency or political subdivision thereof.</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whether owned or leased on the Issue Date or thereafter acquired:</w:t>
      </w:r>
    </w:p>
    <w:p>
      <w:pPr>
        <w:spacing w:after="0" w:line="160" w:lineRule="exact"/>
        <w:rPr>
          <w:sz w:val="20"/>
          <w:szCs w:val="20"/>
          <w:color w:val="auto"/>
        </w:rPr>
      </w:pPr>
    </w:p>
    <w:p>
      <w:pPr>
        <w:ind w:left="1620" w:right="479" w:firstLine="360"/>
        <w:spacing w:after="0" w:line="261" w:lineRule="auto"/>
        <w:tabs>
          <w:tab w:leader="none" w:pos="23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12" w:lineRule="exact"/>
        <w:rPr>
          <w:rFonts w:ascii="Times New Roman" w:cs="Times New Roman" w:eastAsia="Times New Roman" w:hAnsi="Times New Roman"/>
          <w:sz w:val="18"/>
          <w:szCs w:val="18"/>
          <w:color w:val="auto"/>
        </w:rPr>
      </w:pPr>
    </w:p>
    <w:p>
      <w:pPr>
        <w:ind w:left="1620" w:right="579" w:firstLine="360"/>
        <w:spacing w:after="0" w:line="255" w:lineRule="auto"/>
        <w:tabs>
          <w:tab w:leader="none" w:pos="23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106" w:lineRule="exact"/>
        <w:rPr>
          <w:sz w:val="20"/>
          <w:szCs w:val="20"/>
          <w:color w:val="auto"/>
        </w:rPr>
      </w:pPr>
    </w:p>
    <w:p>
      <w:pPr>
        <w:ind w:left="1260" w:right="87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any Subsidiary of Plains All American Pipeline owning or leasing, directly or indirectly through ownership in another Subsidiary, any Principal Property.</w:t>
      </w:r>
    </w:p>
    <w:p>
      <w:pPr>
        <w:spacing w:after="0" w:line="9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Sale-leaseback Transaction</w:t>
      </w:r>
      <w:r>
        <w:rPr>
          <w:rFonts w:ascii="Times New Roman" w:cs="Times New Roman" w:eastAsia="Times New Roman" w:hAnsi="Times New Roman"/>
          <w:sz w:val="18"/>
          <w:szCs w:val="18"/>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w:t>
      </w:r>
    </w:p>
    <w:p>
      <w:pPr>
        <w:spacing w:after="0" w:line="160" w:lineRule="exact"/>
        <w:rPr>
          <w:sz w:val="20"/>
          <w:szCs w:val="20"/>
          <w:color w:val="auto"/>
        </w:rPr>
      </w:pPr>
    </w:p>
    <w:p>
      <w:pPr>
        <w:ind w:left="1620" w:right="479" w:firstLine="360"/>
        <w:spacing w:after="0" w:line="258" w:lineRule="auto"/>
        <w:tabs>
          <w:tab w:leader="none" w:pos="23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115" w:lineRule="exact"/>
        <w:rPr>
          <w:rFonts w:ascii="Times New Roman" w:cs="Times New Roman" w:eastAsia="Times New Roman" w:hAnsi="Times New Roman"/>
          <w:sz w:val="18"/>
          <w:szCs w:val="18"/>
          <w:color w:val="auto"/>
        </w:rPr>
      </w:pPr>
    </w:p>
    <w:p>
      <w:pPr>
        <w:ind w:left="1620" w:right="479" w:firstLine="360"/>
        <w:spacing w:after="0" w:line="266" w:lineRule="auto"/>
        <w:tabs>
          <w:tab w:leader="none" w:pos="23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93" w:lineRule="exact"/>
        <w:rPr>
          <w:sz w:val="20"/>
          <w:szCs w:val="20"/>
          <w:color w:val="auto"/>
        </w:rPr>
      </w:pPr>
    </w:p>
    <w:p>
      <w:pPr>
        <w:jc w:val="both"/>
        <w:ind w:left="1260" w:right="1079" w:firstLine="3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 Guarantor</w:t>
      </w:r>
      <w:r>
        <w:rPr>
          <w:rFonts w:ascii="Times New Roman" w:cs="Times New Roman" w:eastAsia="Times New Roman" w:hAnsi="Times New Roman"/>
          <w:sz w:val="18"/>
          <w:szCs w:val="18"/>
          <w:color w:val="auto"/>
        </w:rPr>
        <w:t>” means any Subsidiary of Plains All American Pipeline that executes a supplemental indenture to provide a guarantee of the Notes in accordance with the provisions of the Indenture and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(“DTC”) in the United States and by Euroclear Bank SA/NV (the “Euroclear Operator”), as an operator of the Euroclear System (“Euroclear”), and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120"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0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Depository Procedures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direct Participants.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w:t>
      </w:r>
    </w:p>
    <w:p>
      <w:pPr>
        <w:spacing w:after="0" w:line="344"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DTC has also advised us that pursuant to procedures established by it, (a) upon deposit of the Global Notes, DTC will credit the accounts of Participants designated by the underwriters with portions of the principal amount 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w:t>
      </w: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Investors in the Global Notes may hold their interests therein directly through DTC, if they are Participants in such system, or indirectly through organizations (including Euroclear and Clearstream) that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12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 Exchange of Book-Entry Notes for Certificated Notes.”</w:t>
      </w:r>
    </w:p>
    <w:p>
      <w:pPr>
        <w:spacing w:after="0" w:line="120" w:lineRule="exact"/>
        <w:rPr>
          <w:sz w:val="20"/>
          <w:szCs w:val="20"/>
          <w:color w:val="auto"/>
        </w:rPr>
      </w:pPr>
    </w:p>
    <w:p>
      <w:pPr>
        <w:jc w:val="both"/>
        <w:ind w:left="1260" w:right="5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94"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w:t>
      </w:r>
    </w:p>
    <w:p>
      <w:pPr>
        <w:spacing w:after="0" w:line="5" w:lineRule="exact"/>
        <w:rPr>
          <w:sz w:val="20"/>
          <w:szCs w:val="20"/>
          <w:color w:val="auto"/>
        </w:rPr>
      </w:pPr>
    </w:p>
    <w:p>
      <w:pPr>
        <w:ind w:left="1260" w:right="499"/>
        <w:spacing w:after="0" w:line="255" w:lineRule="auto"/>
        <w:tabs>
          <w:tab w:leader="none" w:pos="15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11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w:t>
      </w:r>
    </w:p>
    <w:p>
      <w:pPr>
        <w:spacing w:after="0" w:line="117"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p>
    <w:p>
      <w:pPr>
        <w:spacing w:after="0" w:line="8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340"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 Exchange of Book-Entry Notes for Certificated Notes” occurs, DTC reserves the right to exchange the Global Notes for Notes in certificated form and to distribute such Notes to its Participants.</w:t>
      </w:r>
    </w:p>
    <w:p>
      <w:pPr>
        <w:spacing w:after="0" w:line="120"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of Book-Entry Notes for Certificated Notes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Global Note is exchangeable for definitive notes in registered certificated form if (1) DTC</w:t>
      </w:r>
    </w:p>
    <w:p>
      <w:pPr>
        <w:spacing w:after="0" w:line="27" w:lineRule="exact"/>
        <w:rPr>
          <w:sz w:val="20"/>
          <w:szCs w:val="20"/>
          <w:color w:val="auto"/>
        </w:rPr>
      </w:pPr>
    </w:p>
    <w:p>
      <w:pPr>
        <w:ind w:left="1260" w:right="459"/>
        <w:spacing w:after="0" w:line="253" w:lineRule="auto"/>
        <w:tabs>
          <w:tab w:leader="none" w:pos="15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w:t>
      </w:r>
    </w:p>
    <w:p>
      <w:pPr>
        <w:spacing w:after="0" w:line="162" w:lineRule="exact"/>
        <w:rPr>
          <w:sz w:val="20"/>
          <w:szCs w:val="20"/>
          <w:color w:val="auto"/>
        </w:rPr>
      </w:pPr>
    </w:p>
    <w:p>
      <w:pPr>
        <w:ind w:left="1260" w:right="599" w:firstLine="360"/>
        <w:spacing w:after="0" w:line="243" w:lineRule="auto"/>
        <w:rPr>
          <w:sz w:val="20"/>
          <w:szCs w:val="20"/>
          <w:color w:val="auto"/>
        </w:rPr>
      </w:pPr>
      <w:r>
        <w:rPr>
          <w:rFonts w:ascii="Times New Roman" w:cs="Times New Roman" w:eastAsia="Times New Roman" w:hAnsi="Times New Roman"/>
          <w:sz w:val="18"/>
          <w:szCs w:val="18"/>
          <w:color w:val="auto"/>
        </w:rPr>
        <w:t>The following discussion summarizes certain U.S. federal income tax consequences that may be relevant to the acquisition, ownership and disposition of the Notes. This discussion is based on the Code, applicable U.S. Treasury Regulations promulgated thereunder, judicial authority and administrative interpretations, all as of the date of this document, and all of which are subject to change, possibly with retroactive effect, or are subject to differing interpretations. We cannot assure you that the IRS will not challenge one or more of the tax consequences described in this discussion, and we have not obtained, nor do we intend to obtain, a ruling from the IRS or an opinion of counsel with respect to the U.S. federal income tax consequences of acquiring, owning or disposing of the Notes.</w:t>
      </w:r>
    </w:p>
    <w:p>
      <w:pPr>
        <w:spacing w:after="0" w:line="119"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This discussion is limited to holders who purchase the Notes in this offering for cash at a price equal to the issue price of the Notes (i.e.,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 This discussion does not address any U.S. federal tax consequences other than U.S. federal income tax consequences (such as estate and gift tax consequences), or the tax consequences arising under the laws of any foreign, state, local or other jurisdiction or any income tax treaty. In addition, this discussion does not address all tax consequences that may be important to a particular holder in light of the holder’s special circumstances, or to certain categories of holders that may be subject to special rules, such as:</w:t>
      </w:r>
    </w:p>
    <w:p>
      <w:pPr>
        <w:spacing w:after="0" w:line="77" w:lineRule="exact"/>
        <w:rPr>
          <w:sz w:val="20"/>
          <w:szCs w:val="20"/>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currencies;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have elected the mark-to-market method of accounting for their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 hold Notes through non-U.S. brokers or other non-U.S. intermediaries;</w:t>
      </w:r>
    </w:p>
    <w:p>
      <w:pPr>
        <w:spacing w:after="0" w:line="10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Notes as part of a hedge, straddle, conversion or other “synthetic security” or integrated transaction;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U.S. citizens or long-term residents of the United States;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that are tax-exempt for U.S. federal income tax purposes;</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the Notes under the constructive sale provisions of the Code;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Notes through individual retirement accounts and other tax-deferred accounts;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accelerate the recognition of any item of gross income with respect to the Notes</w:t>
      </w:r>
    </w:p>
    <w:p>
      <w:pPr>
        <w:spacing w:after="0" w:line="27" w:lineRule="exact"/>
        <w:rPr>
          <w:rFonts w:ascii="Times New Roman" w:cs="Times New Roman" w:eastAsia="Times New Roman" w:hAnsi="Times New Roman"/>
          <w:sz w:val="18"/>
          <w:szCs w:val="18"/>
          <w:color w:val="auto"/>
        </w:rPr>
      </w:pPr>
    </w:p>
    <w:p>
      <w:pPr>
        <w:ind w:left="1800" w:right="9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such income being recognized on an “applicable financial statement” (within​ the meaning of Section 451(b) of the Code); and</w:t>
      </w:r>
    </w:p>
    <w:p>
      <w:pPr>
        <w:spacing w:after="0" w:line="59"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other entities treated as pass-through entities for U.S. federal income tax purposes and holders of interests therein.</w:t>
      </w:r>
    </w:p>
    <w:p>
      <w:pPr>
        <w:spacing w:after="0" w:line="94"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Notes, the U.S. federal income tax treatment of a partner of the partnership generally will depend upon the status of the partner and the activities of the partnership and upon certain determinations made at the partner level. Partnerships considering an investment in the Notes and partners therein should consult their own tax advisors as to the particular U.S. federal income tax consequences of acquiring, owning and disposing of the Notes.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THIS DISCUSSION IS FOR INFORMATION PURPOSES ONLY AND SHOULD NOT BE CONSTRUED TO BE TAX ADVICE TO ANY PARTICULAR INVESTOR. PROSPECTIVE INVESTORS CONSIDERING THE PURCHASE OF THE NOTES SHOULD CONSULT THEIR OWN TAX ADVISORS REGARDING THE APPLICATION OF THE U.S. FEDERAL INCOME TAX LAWS TO THEIR PARTICULAR SITUATIONS AS WELL AS ANY TAX CONSEQUENCES OF THE ACQUISITION, OWNERSHIP AND DISPOSITION OF THE NOTES UNDER OTHER U.S. FEDERAL TAX LAWS OR UNDER THE LAWS OF ANY STATE, LOCAL, OR FOREIGN JURISDICTION OR UNDER ANY APPLICABLE INCOME TAX TREATY.</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Additional Payments</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In certain circumstances (see “Description of Notes — Optional Redemption”), we may elect to redeem the Notes prior to maturity or to pay amounts on the Notes that are in excess of the stated interest or principal on the Notes. If any of these contingencies were to occur, it would affect the amount and timing of income recognized by you. Further, these contingencies may implicate the provisions of the U.S. Treasury Regulations relating to contingent payment debt instruments. We do not intend to treat the possibility of such contingencies occurring as causing the Notes to be treated as contingent payment debt instruments. Our position may be binding on you unless you disclose your contrary position to the IRS in the manner required by applicable U.S. Treasury Regulations. However, our position is not binding on the IRS, and it is possible that the IRS might take a different position, in which case, if the IRS’s position is sustained, you may be required to accrue ordinary interest income at a higher rate than the stated interest rate and to treat as ordinary income rather than capital gain any gain recognized on a taxable disposition of a Note. The remainder of this discussion assumes that the Notes will not be treated as contingent payment debt instruments. You should consult your own tax advisor regarding the possible application of the contingent payment debt instrument rules to the Notes.</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following summary will apply to you if you are a U.S. Holder of the Notes. You are a “U.S. Holder” for purposes of this discussion if you are a beneficial owner of a Note and you are for U.S. federal income tax purposes:</w:t>
      </w:r>
    </w:p>
    <w:p>
      <w:pPr>
        <w:spacing w:after="0" w:line="68"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U.S. resident;</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that has one or more United States persons that have the authority to control all substantial decisions of the trust or (ii) that has made a valid election under applicable U.S. Treasury Regulations to be treated as a United States person.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 on the Notes</w:t>
      </w:r>
    </w:p>
    <w:p>
      <w:pPr>
        <w:spacing w:after="0" w:line="148"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Interest on a Note generally will be taxable to you as ordinary income at the time it is received or accrued in accordance with your regular method of accounting for U.S. federal income tax purposes.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the Notes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You generally will recognize capital gain or loss on the sale, redemption, exchange, retirement or other taxable disposition of a Note in an amount equal to the difference, if any, between the amount realized on such disposition and your adjusted tax basis in the Note. The amount realized will include the amount of any cash and the fair market value of any other property received for the Note. To the extent that any portion of the amount realized on the sale, redemption, exchange, retirement or other taxable disposition of a Note is attributable to accrued but unpaid interest on a Note, this amount generally will not be included in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8"/>
          <w:szCs w:val="18"/>
          <w:color w:val="auto"/>
        </w:rPr>
        <w:t>“amount realized” but will instead be treated in the same manner as described above in “Tax Consequences to U.S. Holders — Interest on the Notes.”</w:t>
      </w:r>
    </w:p>
    <w:p>
      <w:pPr>
        <w:spacing w:after="0" w:line="81"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Your adjusted tax basis in a Note will generally equal the amount you paid for the Note. Any gain or loss will be capital gain or loss and will be long-term capital gain or loss if you held the Note for more than one year at the time of the sale, redemption, exchange, retirement or other taxable disposition. Otherwise, such gain or loss will be short- term capital gain or loss. Long-term capital gains of individuals, estates and trusts currently are eligible for reduced rates of U.S. federal income tax. The deductibility of capital losses may be subject to limitation.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Information reporting generally will apply to payments of interest on, and the proceeds of the sale or other disposition (including a redemption, exchange, or retirement) of, Notes held by you, and backup withholding will apply to such payments unless you provide to the applicable withholding agent your taxpayer identification number, certified under penalties of perjury, as well as certain other information or otherwise establish an exemption from backup withholding. Backup withholding is not an additional tax. Any amount withheld under the backup withholding rules is allowable as a credit against your U.S. federal income tax liability, if any, and a refund may be obtained from the IRS if the amounts withheld exceed your actual U.S. federal income tax liability and you timely provide the required information or appropriate claim form to the IRS.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Additional Tax on Net Investment Income</w:t>
      </w:r>
    </w:p>
    <w:p>
      <w:pPr>
        <w:spacing w:after="0" w:line="162" w:lineRule="exact"/>
        <w:rPr>
          <w:sz w:val="20"/>
          <w:szCs w:val="20"/>
          <w:color w:val="auto"/>
        </w:rPr>
      </w:pPr>
    </w:p>
    <w:p>
      <w:pPr>
        <w:ind w:left="1260" w:right="739" w:firstLine="360"/>
        <w:spacing w:after="0" w:line="246" w:lineRule="auto"/>
        <w:rPr>
          <w:sz w:val="20"/>
          <w:szCs w:val="20"/>
          <w:color w:val="auto"/>
        </w:rPr>
      </w:pPr>
      <w:r>
        <w:rPr>
          <w:rFonts w:ascii="Times New Roman" w:cs="Times New Roman" w:eastAsia="Times New Roman" w:hAnsi="Times New Roman"/>
          <w:sz w:val="18"/>
          <w:szCs w:val="18"/>
          <w:color w:val="auto"/>
        </w:rPr>
        <w:t>An additional 3.8% tax is imposed on the “net investment income” of certain U.S. citizens and U.S. residents, and on the undistributed “net investment income” of certain estates and trusts. Among other items, “net investment income” generally includes gross income from interest and net gain from the disposition of property, such as Notes, less certain deductions. You should consult your own tax advisor with respect to this additional tax and its applicability in your particular circumstances.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48"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 following summary will apply to you if you are a non-U.S. holder of Notes. You are a “non-U.S. Holder” for purposes of this discussion if you are a beneficial owner of a Note that is, for U.S. federal income tax purposes, an individual, corporation, estate or trust that is not a U.S. Holder.</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 on the Notes</w:t>
      </w:r>
    </w:p>
    <w:p>
      <w:pPr>
        <w:spacing w:after="0" w:line="162"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Subject to the discussion below of backup withholding and FATCA (as defined below) withholding payments to you of interest on a Note generally will not be subject to U.S. federal income tax and will be exempt from withholding of U.S. federal income tax under the “portfolio interest” exemption if you properly certify as to your foreign status, as described below, and:</w:t>
      </w:r>
    </w:p>
    <w:p>
      <w:pPr>
        <w:spacing w:after="0" w:line="69" w:lineRule="exact"/>
        <w:rPr>
          <w:sz w:val="20"/>
          <w:szCs w:val="20"/>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10% or more of our capital or profits interests;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that is related to us (actually or constructively);</w:t>
      </w:r>
    </w:p>
    <w:p>
      <w:pPr>
        <w:spacing w:after="0" w:line="117" w:lineRule="exact"/>
        <w:rPr>
          <w:rFonts w:ascii="Times New Roman" w:cs="Times New Roman" w:eastAsia="Times New Roman" w:hAnsi="Times New Roman"/>
          <w:sz w:val="18"/>
          <w:szCs w:val="18"/>
          <w:color w:val="auto"/>
        </w:rPr>
      </w:pPr>
    </w:p>
    <w:p>
      <w:pPr>
        <w:jc w:val="both"/>
        <w:ind w:left="1800" w:right="5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bank whose receipt of interest on the Note is in connection with an extension of credit made pursuant to a loan agreement entered into in the ordinary course of your trade or business;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Notes is not effectively connected with your conduct of a U.S. trade or business.</w:t>
      </w:r>
    </w:p>
    <w:p>
      <w:pPr>
        <w:spacing w:after="0" w:line="144"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The portfolio interest exemption generally applies only if you also appropriately certify as to your foreign status. You can generally meet the certification requirement by providing a properly executed IRS Form W-8BEN or IRS Form W-8BEN -E (or other applicable form or successor form) to the applicable withholding agent. If you hold a Note through a financial institution or other agent acting on your behalf, you may be required to provide appropriate certifications to the agent. Your agent will then generally be required to provide appropriate certifications to the applicable withholding agent, either directly or through other intermediaries. Special rules apply to foreign partnerships, estates and trusts, and in certain</w:t>
      </w: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439"/>
        <w:spacing w:after="0" w:line="250" w:lineRule="auto"/>
        <w:rPr>
          <w:sz w:val="20"/>
          <w:szCs w:val="20"/>
          <w:color w:val="auto"/>
        </w:rPr>
      </w:pPr>
      <w:r>
        <w:rPr>
          <w:rFonts w:ascii="Times New Roman" w:cs="Times New Roman" w:eastAsia="Times New Roman" w:hAnsi="Times New Roman"/>
          <w:sz w:val="18"/>
          <w:szCs w:val="18"/>
          <w:color w:val="auto"/>
        </w:rPr>
        <w:t>circumstances certifications as to the foreign status of partners, trust owners or beneficiaries may have to be provided to the applicable withholding agent. In addition, special rules apply to qualified intermediaries that enter into withholding agreements with the IRS.</w:t>
      </w:r>
    </w:p>
    <w:p>
      <w:pPr>
        <w:spacing w:after="0" w:line="96" w:lineRule="exact"/>
        <w:rPr>
          <w:sz w:val="20"/>
          <w:szCs w:val="20"/>
          <w:color w:val="auto"/>
        </w:rPr>
      </w:pPr>
    </w:p>
    <w:p>
      <w:pPr>
        <w:ind w:left="1260" w:right="499" w:firstLine="360"/>
        <w:spacing w:after="0" w:line="231" w:lineRule="auto"/>
        <w:rPr>
          <w:sz w:val="20"/>
          <w:szCs w:val="20"/>
          <w:color w:val="auto"/>
        </w:rPr>
      </w:pPr>
      <w:r>
        <w:rPr>
          <w:rFonts w:ascii="Times New Roman" w:cs="Times New Roman" w:eastAsia="Times New Roman" w:hAnsi="Times New Roman"/>
          <w:sz w:val="18"/>
          <w:szCs w:val="18"/>
          <w:color w:val="auto"/>
        </w:rPr>
        <w:t>If you cannot satisfy the requirements described above, payments of interest made to you will be subject to U.S. federal withholding tax at a 30% rate, unless (i) you provide the applicable withholding agent with a properly executed IRS Form W- 8BEN or IRS Form W-8BEN-E (or other applicable form or successor form) claiming an exemption from (or a reduction of) withholding under the benefits of an applicable income tax treaty, or (ii) the payments of such interest are effectively connected with your conduct of a trade or business in the United States (and, if required by an applicable income tax treaty, you maintain a permanent establishment or fixed base in the United States to which such interest is attributable) and you meet the certification requirements described below. (See “Tax Consequences to Non-U.S. Holders</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Income or Gain Effectively Connected with a U.S. Trade or Business.”)</w:t>
      </w:r>
    </w:p>
    <w:p>
      <w:pPr>
        <w:spacing w:after="0" w:line="124" w:lineRule="exact"/>
        <w:rPr>
          <w:sz w:val="20"/>
          <w:szCs w:val="20"/>
          <w:color w:val="auto"/>
        </w:rPr>
      </w:pPr>
    </w:p>
    <w:p>
      <w:pPr>
        <w:ind w:left="1260" w:right="559" w:firstLine="360"/>
        <w:spacing w:after="0" w:line="235" w:lineRule="auto"/>
        <w:rPr>
          <w:sz w:val="20"/>
          <w:szCs w:val="20"/>
          <w:color w:val="auto"/>
        </w:rPr>
      </w:pPr>
      <w:r>
        <w:rPr>
          <w:rFonts w:ascii="Times New Roman" w:cs="Times New Roman" w:eastAsia="Times New Roman" w:hAnsi="Times New Roman"/>
          <w:sz w:val="18"/>
          <w:szCs w:val="18"/>
          <w:color w:val="auto"/>
        </w:rPr>
        <w:t>The certifications described above and below must be provided to the applicable withholding agent prior to the payment of interest and must be updated periodically. If you do not timely provide the applicable withholding agent with the required certification, but you qualify for an exemption or a reduced rate under an applicable income tax treaty, you may obtain a refund of any excess amounts withheld if you timely provide the required information or appropriate claim form to the IRS.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the Notes</w:t>
      </w:r>
    </w:p>
    <w:p>
      <w:pPr>
        <w:spacing w:after="0" w:line="135"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Subject to the discussion below of backup withholding you generally will not be subject to U.S. federal income tax on any gain recognized on the sale, redemption, exchange, retirement or other taxable disposition of a Note unless:</w:t>
      </w:r>
    </w:p>
    <w:p>
      <w:pPr>
        <w:spacing w:after="0" w:line="69" w:lineRule="exact"/>
        <w:rPr>
          <w:sz w:val="20"/>
          <w:szCs w:val="20"/>
          <w:color w:val="auto"/>
        </w:rPr>
      </w:pPr>
    </w:p>
    <w:p>
      <w:pPr>
        <w:ind w:left="1800" w:right="45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you of a U.S. trade or business (and, if required by an applicable income tax treaty, you maintain a permanent establishment or fixed base in the United States to which such gain is attributable); or</w:t>
      </w:r>
    </w:p>
    <w:p>
      <w:pPr>
        <w:spacing w:after="0" w:line="54"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has been present in the United States for 183 days or more in the taxable year of disposition and certain other requirements are met.</w:t>
      </w:r>
    </w:p>
    <w:p>
      <w:pPr>
        <w:spacing w:after="0" w:line="67"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If your gain is described in the first bullet point above, you generally will be subject to U.S. federal income tax in the manner described under “Tax Consequences to Non-U.S. Holders — Income or Gain Effectively Connected with a U.S. Trade or Business.” If you are a non- U.S. Holder described in the second bullet point above, you will be subject to a U.S. federal income tax rate of 30% (or a lower applicable income tax treaty rate) on the gain derived from the sale or other disposition of a Note, which may be offset by certain U.S. source capital losses. To the extent that any portion of the amount recognized on a sale, redemption, exchange, retirement or other taxable disposition of the Notes is attributable to accrued but unpaid interest on the Notes, this amount generally will be treated in the same manner as described above in “— Interest on the Notes.”</w:t>
      </w:r>
    </w:p>
    <w:p>
      <w:pPr>
        <w:spacing w:after="0" w:line="3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or Gain Effectively Connected with a U.S. Trade or Business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If any interest on the Notes or gain from the sale, redemption, exchange, retirement or other taxable disposition of the Notes is effectively connected with a U.S. trade or business conducted by you, such interest income or gain will be subject to U.S. federal income tax at regular graduated income tax rates generally in the same manner as if you were a U.S. Holder, unless an applicable income tax treaty provides otherwise. Effectively connected interest income will not be subject to U.S. federal withholding tax if you satisfy certain certification requirements by providing to the applicable withholding agent a properly executed IRS Form W-8ECI (or successor form). In addition, if you are a corporation, that portion of your earnings and profits that is effectively connected with your U.S. trade or business may also be subject to a “branch profits tax” at a 30% rate, unless an applicable income tax treaty provides for a lower rate. For this purpose, interest received on a Note and gain recognized on the disposition of a Note will be included in earnings and profits if the interest or gain is effectively connected with the conduct by you of a U.S. trade or business.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0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Payments to you of interest on a Note, and amounts withheld from such payments, if any, generally will be required to be reported to the IRS and to you. Copies of the information returns reporting such</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interest payments and withholding may also be made available to the tax authorities of the country in which you reside or are established under the provisions of a specific treaty or agreement.</w:t>
      </w:r>
    </w:p>
    <w:p>
      <w:pPr>
        <w:spacing w:after="0" w:line="94"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generally will not apply to payments to you of interest on a Note if the certification described in “Tax Consequences to Non-U.S. Holders — Interest on the Notes” is duly provided or you otherwise establish an exemption.</w:t>
      </w:r>
    </w:p>
    <w:p>
      <w:pPr>
        <w:spacing w:after="0" w:line="10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Payment of the proceeds from a disposition of a Note effected by the U.S. office of a U.S. or foreign broker will be subject to information reporting requirements and backup withholding unless you properly certify under penalties of perjury as to your foreign status on IRS Form W-8BEN or IRS Form W-8BEN-E, as applicable (or other applicable form or successor form) and certain other conditions are met or you otherwise establish an exemption. Information reporting requirements and backup withholding generally will not apply to any payment of the proceeds from the disposition of a Note effected outside the United States by a foreign office of a broker. However, unless such a broker has documentary evidence in its records that you are not a United States person and certain other conditions are met, or you otherwise establish an exemption, information reporting will apply to a payment of the proceeds of the disposition of a Note effected outside the United States by such a broker if it has certain relationships with the United States.</w:t>
      </w:r>
    </w:p>
    <w:p>
      <w:pPr>
        <w:spacing w:after="0" w:line="32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 withheld under the backup withholding rules may be allowed as a credit against your U.S. federal income tax liability, if any, and a refund may be obtained from the IRS if the amounts withheld exceed your actual U.S. federal income tax liability and you timely provide the required information or appropriate claim form to the IRS.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Withholding on Payments to Certain Foreign Entities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Sections 1471 through 1474 of the Code and the U.S. Treasury Regulations and administrative guidance issued thereunder (referred to as “FATCA”) impose a 30% U.S. federal withholding tax on “withholdable payments” ​(as defined in the Code), including payments of interest on the Notes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 Form W-8BEN-E). While withholdable payments would have originally included payments of gross proceeds from the sale or other disposition of a Note on or after January 1, 2019, proposed U.S. Treasury Regulations provide that such payments of gross proceeds (other than amounts treated as interest) do not constitute withholdable payments. Taxpayers may rely generally on these proposed U.S. Treasury Regulations until they are revoked or final U.S. Treasury Regulations are issued.</w:t>
      </w:r>
    </w:p>
    <w:p>
      <w:pPr>
        <w:spacing w:after="0" w:line="340"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Foreign financial institutions located in jurisdictions that have an intergovernmental agreement with the United States with respect to these rules may be subject to different rules. Under certain circumstances, a beneficial owner of Notes might be eligible for refunds or credits of such taxes. You should consult your own tax advisor regarding the effects of FATCA on your investment in the Notes.</w:t>
      </w:r>
    </w:p>
    <w:p>
      <w:pPr>
        <w:spacing w:after="0" w:line="99"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PRECEDING DISCUSSION OF CERTAIN U.S. FEDERAL INCOME TAX CONSEQUENCES IS FOR GENERAL INFORMATION ONLY AND IS NOT TAX ADVICE. YOU SHOULD CONSULT YOUR OWN TAX ADVISOR REGARDING THE PARTICULAR U.S. FEDERAL, STATE, LOCAL AND FOREIGN TAX CONSEQUENCES OF ACQUIRING, OWNING AND DISPOSING OF THE NOTES, INCLUDING THE CONSEQUENCES OF ANY PROPOSED CHANGE IN APPLICABLE LAWS.</w:t>
      </w:r>
    </w:p>
    <w:p>
      <w:pPr>
        <w:spacing w:after="0" w:line="3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dated the date of this prospectus supplement, between us and the underwriters named below, we have agreed to sell to each of the underwriters, for whom Citigroup Global Markets Inc., MUFG Securities Americas Inc., SMBC Nikko Securities America, Inc. and Truist Securities, Inc. are acting as representatives, and the underwriters have agreed, severally and not jointly, to purchase the principal amount of the Notes set forth opposite their respective names below:</w:t>
      </w:r>
    </w:p>
    <w:p>
      <w:pPr>
        <w:spacing w:after="0" w:line="13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60" w:type="dxa"/>
            <w:vAlign w:val="bottom"/>
          </w:tcPr>
          <w:p>
            <w:pPr>
              <w:spacing w:after="0"/>
              <w:rPr>
                <w:sz w:val="14"/>
                <w:szCs w:val="14"/>
                <w:color w:val="auto"/>
              </w:rPr>
            </w:pPr>
          </w:p>
        </w:tc>
      </w:tr>
      <w:tr>
        <w:trPr>
          <w:trHeight w:val="162"/>
        </w:trPr>
        <w:tc>
          <w:tcPr>
            <w:tcW w:w="4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gridSpan w:val="2"/>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60" w:type="dxa"/>
            <w:vAlign w:val="bottom"/>
          </w:tcPr>
          <w:p>
            <w:pPr>
              <w:spacing w:after="0"/>
              <w:rPr>
                <w:sz w:val="14"/>
                <w:szCs w:val="14"/>
                <w:color w:val="auto"/>
              </w:rPr>
            </w:pPr>
          </w:p>
        </w:tc>
      </w:tr>
      <w:tr>
        <w:trPr>
          <w:trHeight w:val="214"/>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720" w:type="dxa"/>
            <w:vAlign w:val="bottom"/>
            <w:gridSpan w:val="3"/>
          </w:tcPr>
          <w:p>
            <w:pPr>
              <w:ind w:left="18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Notes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74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26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860" w:type="dxa"/>
            <w:vAlign w:val="bottom"/>
            <w:shd w:val="clear" w:color="auto" w:fill="CCEEFF"/>
          </w:tcPr>
          <w:p>
            <w:pPr>
              <w:spacing w:after="0"/>
              <w:rPr>
                <w:sz w:val="22"/>
                <w:szCs w:val="22"/>
                <w:color w:val="auto"/>
              </w:rPr>
            </w:pPr>
          </w:p>
        </w:tc>
        <w:tc>
          <w:tcPr>
            <w:tcW w:w="860" w:type="dxa"/>
            <w:vAlign w:val="bottom"/>
            <w:gridSpan w:val="2"/>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1860" w:type="dxa"/>
            <w:vAlign w:val="bottom"/>
          </w:tcPr>
          <w:p>
            <w:pPr>
              <w:spacing w:after="0"/>
              <w:rPr>
                <w:sz w:val="22"/>
                <w:szCs w:val="22"/>
                <w:color w:val="auto"/>
              </w:rPr>
            </w:pPr>
          </w:p>
        </w:tc>
        <w:tc>
          <w:tcPr>
            <w:tcW w:w="860" w:type="dxa"/>
            <w:vAlign w:val="bottom"/>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860" w:type="dxa"/>
            <w:vAlign w:val="bottom"/>
            <w:shd w:val="clear" w:color="auto" w:fill="CCEEFF"/>
          </w:tcPr>
          <w:p>
            <w:pPr>
              <w:spacing w:after="0"/>
              <w:rPr>
                <w:sz w:val="22"/>
                <w:szCs w:val="22"/>
                <w:color w:val="auto"/>
              </w:rPr>
            </w:pPr>
          </w:p>
        </w:tc>
        <w:tc>
          <w:tcPr>
            <w:tcW w:w="860" w:type="dxa"/>
            <w:vAlign w:val="bottom"/>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860" w:type="dxa"/>
            <w:vAlign w:val="bottom"/>
          </w:tcPr>
          <w:p>
            <w:pPr>
              <w:spacing w:after="0"/>
              <w:rPr>
                <w:sz w:val="22"/>
                <w:szCs w:val="22"/>
                <w:color w:val="auto"/>
              </w:rPr>
            </w:pPr>
          </w:p>
        </w:tc>
        <w:tc>
          <w:tcPr>
            <w:tcW w:w="860" w:type="dxa"/>
            <w:vAlign w:val="bottom"/>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Pr>
          <w:p>
            <w:pPr>
              <w:spacing w:after="0"/>
              <w:rPr>
                <w:sz w:val="22"/>
                <w:szCs w:val="22"/>
                <w:color w:val="auto"/>
              </w:rPr>
            </w:pPr>
          </w:p>
        </w:tc>
        <w:tc>
          <w:tcPr>
            <w:tcW w:w="860" w:type="dxa"/>
            <w:vAlign w:val="bottom"/>
            <w:gridSpan w:val="2"/>
          </w:tcPr>
          <w:p>
            <w:pPr>
              <w:ind w:left="4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60" w:type="dxa"/>
            <w:vAlign w:val="bottom"/>
          </w:tcPr>
          <w:p>
            <w:pPr>
              <w:jc w:val="right"/>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w:t>
            </w:r>
          </w:p>
        </w:tc>
      </w:tr>
      <w:tr>
        <w:trPr>
          <w:trHeight w:val="21"/>
        </w:trPr>
        <w:tc>
          <w:tcPr>
            <w:tcW w:w="4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1974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4749165" cy="19748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-573405</wp:posOffset>
            </wp:positionV>
            <wp:extent cx="4749165"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4749165" cy="1885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-934085</wp:posOffset>
            </wp:positionV>
            <wp:extent cx="4749165"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191"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Under the terms of the underwriting agreement, the underwriters are committed to purchase all of the Notes if any are purchased. If an underwriter defaults, the underwriting agreement provides that the purchase commitments of the nondefaulting underwriters may be increased or, in certain circumstances, the underwriting agreement may be terminated.</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Underwriting Discounts</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underwriters propose initially to offer the Notes to the public at the public offering price set forth on the cover page of this prospectus supplement and may offer the Notes to certain dealers at such price less a concession not in excess of        % of the principal amount of the Notes. The underwriters may allow a discount not in excess of        % of the principal amount of the Notes, on sales to certain other brokers and dealers. After this initial public offering, the public offering price, concession and discount may be changed.</w:t>
      </w:r>
    </w:p>
    <w:p>
      <w:pPr>
        <w:spacing w:after="0" w:line="1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following table summarizes the compensation to be paid by us to the underwriters.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Underwriting</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00" w:type="dxa"/>
            <w:vAlign w:val="bottom"/>
          </w:tcPr>
          <w:p>
            <w:pPr>
              <w:ind w:left="28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Discount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Per Note</w:t>
            </w:r>
          </w:p>
        </w:tc>
        <w:tc>
          <w:tcPr>
            <w:tcW w:w="3100" w:type="dxa"/>
            <w:vAlign w:val="bottom"/>
            <w:vMerge w:val="restart"/>
          </w:tcPr>
          <w:p>
            <w:pPr>
              <w:ind w:left="29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7"/>
                <w:szCs w:val="17"/>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w w:val="92"/>
              </w:rPr>
              <w:t>​            %</w:t>
            </w: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31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10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15"/>
                <w:szCs w:val="15"/>
                <w:color w:val="auto"/>
                <w:w w:val="85"/>
              </w:rPr>
              <w:t>​</w:t>
            </w:r>
            <w:r>
              <w:rPr>
                <w:rFonts w:ascii="Times New Roman" w:cs="Times New Roman" w:eastAsia="Times New Roman" w:hAnsi="Times New Roman"/>
                <w:sz w:val="28"/>
                <w:szCs w:val="28"/>
                <w:color w:val="auto"/>
                <w:w w:val="85"/>
                <w:vertAlign w:val="superscript"/>
              </w:rPr>
              <w:t>$</w:t>
            </w:r>
          </w:p>
        </w:tc>
        <w:tc>
          <w:tcPr>
            <w:tcW w:w="560" w:type="dxa"/>
            <w:vAlign w:val="bottom"/>
            <w:tcBorders>
              <w:bottom w:val="single" w:sz="8" w:color="auto"/>
            </w:tcBorders>
          </w:tcPr>
          <w:p>
            <w:pPr>
              <w:spacing w:after="0"/>
              <w:rPr>
                <w:sz w:val="23"/>
                <w:szCs w:val="23"/>
                <w:color w:val="auto"/>
              </w:rPr>
            </w:pPr>
          </w:p>
        </w:tc>
        <w:tc>
          <w:tcPr>
            <w:tcW w:w="14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-376555</wp:posOffset>
            </wp:positionV>
            <wp:extent cx="474916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91"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the underwriting discount, will be approximately $            million.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currently intend to apply for listing of the Notes on any securities exchange or have the Notes quoted on any automated quotation system. We have been advised by the underwriters that the underwriters intend to make a market in the Notes but are not obligated to do so and may discontinue market making at any time without notice. No assurance can be given as to whether or not a trading market for the Notes will develop or as to the liquidity of any trading market for the Notes which may develop.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Stabilization, Short Positions and Penalty Bids</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w:t>
      </w:r>
    </w:p>
    <w:p>
      <w:pPr>
        <w:spacing w:after="0" w:line="335"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another underwriter a portion of the underwriting discount received by it because such other underwriter has repurchased notes sold by or for the account of such underwriter in stabilizing or short covering transactions.</w:t>
      </w:r>
    </w:p>
    <w:p>
      <w:pPr>
        <w:spacing w:after="0" w:line="319"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expect delivery of the Notes will be made against payment therefor on or about                      , 2024, which is the seventh business day following the date of pricing of the Notes (such settlement being referred to as “T+7”). Under Rule 15c6-1 of the Exchange Act, trades in the secondary market generally are required to settle in one business day unless the parties to any such trade expressly agree otherwise. Accordingly, purchasers who wish to trade the Notes on any date prior to the first business day before delivery will be required, by virtue of the fact that the Notes initially will settle in T+7, to specify an alternate settlement cycle at the time of any such trade to prevent failed settlement and should consult their own advisors.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62" w:lineRule="exact"/>
        <w:rPr>
          <w:sz w:val="20"/>
          <w:szCs w:val="20"/>
          <w:color w:val="auto"/>
        </w:rPr>
      </w:pPr>
    </w:p>
    <w:p>
      <w:pPr>
        <w:ind w:left="1260" w:right="699" w:firstLine="360"/>
        <w:spacing w:after="0" w:line="257"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w:t>
      </w:r>
    </w:p>
    <w:p>
      <w:pPr>
        <w:spacing w:after="0" w:line="1" w:lineRule="exact"/>
        <w:rPr>
          <w:sz w:val="20"/>
          <w:szCs w:val="20"/>
          <w:color w:val="auto"/>
        </w:rPr>
      </w:pPr>
    </w:p>
    <w:p>
      <w:pPr>
        <w:ind w:left="1260" w:right="479"/>
        <w:spacing w:after="0" w:line="251" w:lineRule="auto"/>
        <w:tabs>
          <w:tab w:leader="none" w:pos="152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Article 2 of Regulation (EU) No 2017/565 as it forms part of domestic law by virtue of the European Union (Withdrawal) Act 2018 (as amended,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2017/1129/EU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Notes in the UK will be made pursuant to an exemption under the UK Prospectus Regulation from the requirement to publish a prospectus. This prospectus supplement and the accompanying prospectus are not prospectuses for the purposes of the UK Prospectus Regulation or the FSMA.</w:t>
      </w:r>
    </w:p>
    <w:p>
      <w:pPr>
        <w:spacing w:after="0" w:line="200" w:lineRule="exact"/>
        <w:rPr>
          <w:sz w:val="20"/>
          <w:szCs w:val="20"/>
          <w:color w:val="auto"/>
        </w:rPr>
      </w:pP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the UK, this prospectus supplement and the accompanying prospectus are being distributed only to, and are directed only at, and any offer subsequently made may only be directed at persons (i) who are “qualified investors” (as​ defined in the UK Prospectus Regulation), (ii) who have professional experience in matters relating to investments falling within Article 19 (5) of the Financial Services and Markets Act 2000 (Financial Promotion) Order 2005, as amended (the “Order”) and/or (iii) who are high net worth companies (or persons to whom it may otherwise be lawfully communicated) falling within Article 49(2)(a) to (e) of the Order (all such persons together being referred to as “relevant persons”) or otherwise in circumstances which have not resulted and will not result in an offer to the public of the Notes in the UK within the meaning of the FSMA. This prospectus supplement and the accompanying prospectus must not be acted on or relied on in the UK by persons who are not relevant persons. In the UK, any investment or investment activity to which this prospectus supplement and the accompanying prospectus relates is only available to, and will be engaged in with, relevant persons.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Member States of the European Economic Area</w:t>
      </w:r>
    </w:p>
    <w:p>
      <w:pPr>
        <w:spacing w:after="0" w:line="162" w:lineRule="exact"/>
        <w:rPr>
          <w:sz w:val="20"/>
          <w:szCs w:val="20"/>
          <w:color w:val="auto"/>
        </w:rPr>
      </w:pPr>
    </w:p>
    <w:p>
      <w:pPr>
        <w:ind w:left="1260" w:right="519" w:firstLine="360"/>
        <w:spacing w:after="0" w:line="252"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where that customer would not qualify as a professional client as defined in point (10) of Article 4(1) of MiFID II; or (iii) not a qualified investor as defined in Regulation (EU) 2017/1129 (as amended or superseded,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4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Notes offered in this prospectus supplement have not been and will not be registered under the Financial Instruments and Exchange Law of Japan (“Financial Instruments and Exchange Law”). The Notes have not been offered or sold and will not be offered or sold, directly or indirectly, in Japan or to or for the benefit of any resident of Japan (which term as used herein means any resident of Japan, including any corporation or other entity organized under the laws of Japan), or to others for re-offering or resale, directly or indirectly, in Japan or to, or for the account or benefit of, any resident of Japan, except pursuant to an exemption from the registration requirements of, and in compliance with, the Financial Instruments and Exchange Law and any other applicable requirements of Japanese law.</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w:t>
      </w:r>
    </w:p>
    <w:p>
      <w:pPr>
        <w:spacing w:after="0" w:line="84" w:lineRule="exact"/>
        <w:rPr>
          <w:sz w:val="20"/>
          <w:szCs w:val="20"/>
          <w:color w:val="auto"/>
        </w:rPr>
      </w:pPr>
    </w:p>
    <w:p>
      <w:pPr>
        <w:jc w:val="both"/>
        <w:ind w:left="1800" w:right="75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shares, debentures</w:t>
      </w:r>
    </w:p>
    <w:p>
      <w:pPr>
        <w:ind w:left="180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77"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Section 275(1A), and in accordance with the conditions specified in Section 275 of the SFA;</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58"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and the accompanying base prospectus nor any other offering or marketing material relating to the Notes constitutes a prospectus pursuant to the FinSA, and neither this prospectus supplement and the accompanying base prospectus nor any other offering or marketing material relating to the Notes may be publicly distributed or otherwise made publicly available in Switzerland.</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72" w:lineRule="auto"/>
        <w:rPr>
          <w:sz w:val="20"/>
          <w:szCs w:val="20"/>
          <w:color w:val="auto"/>
        </w:rPr>
      </w:pPr>
      <w:r>
        <w:rPr>
          <w:rFonts w:ascii="Times New Roman" w:cs="Times New Roman" w:eastAsia="Times New Roman" w:hAnsi="Times New Roman"/>
          <w:sz w:val="18"/>
          <w:szCs w:val="18"/>
          <w:color w:val="auto"/>
        </w:rPr>
        <w:t>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14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Notes have not been and will not be registered or filed with, or approved by,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requires a registration or filing with or approval of the Financial Supervisory Commission of Taiwan. No person or entity in Taiwan has been authorized or will be authorized to offer, sell, give advice regarding or otherwise intermediate the offering and sale of the Notes in Taiwan.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Arab Emirates</w:t>
      </w:r>
    </w:p>
    <w:p>
      <w:pPr>
        <w:spacing w:after="0" w:line="162" w:lineRule="exact"/>
        <w:rPr>
          <w:sz w:val="20"/>
          <w:szCs w:val="20"/>
          <w:color w:val="auto"/>
        </w:rPr>
      </w:pPr>
    </w:p>
    <w:p>
      <w:pPr>
        <w:ind w:left="1260" w:right="519" w:firstLine="360"/>
        <w:spacing w:after="0" w:line="262" w:lineRule="auto"/>
        <w:rPr>
          <w:sz w:val="20"/>
          <w:szCs w:val="20"/>
          <w:color w:val="auto"/>
        </w:rPr>
      </w:pPr>
      <w:r>
        <w:rPr>
          <w:rFonts w:ascii="Times New Roman" w:cs="Times New Roman" w:eastAsia="Times New Roman" w:hAnsi="Times New Roman"/>
          <w:sz w:val="18"/>
          <w:szCs w:val="18"/>
          <w:color w:val="auto"/>
        </w:rPr>
        <w:t>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is not intended to be a public offer. This prospectus supplement and the accompanying prospectus have not been approved by or filed with the Central Bank of the United Arab Emirates, the Securities and Commodities Authority, the Financial Services Regulatory Authority or the Dubai Financial Services Authority.</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South Korea</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Notes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Notes have not been registered with the Financial Services Commission of South Korea for public offering in South Korea.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Abu Dhabi Global Market</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is for distribution only to persons who (a) are outside the Abu Dhabi Global Market, or (b) are Authorised Persons or Recognised Bodies (as such terms are defined in the Financial Services 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This document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6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12" w:lineRule="exact"/>
        <w:rPr>
          <w:sz w:val="20"/>
          <w:szCs w:val="20"/>
          <w:color w:val="auto"/>
        </w:rPr>
      </w:pPr>
    </w:p>
    <w:p>
      <w:pPr>
        <w:ind w:left="1260" w:right="779" w:firstLine="360"/>
        <w:spacing w:after="0" w:line="246" w:lineRule="auto"/>
        <w:rPr>
          <w:sz w:val="20"/>
          <w:szCs w:val="20"/>
          <w:color w:val="auto"/>
        </w:rPr>
      </w:pPr>
      <w:r>
        <w:rPr>
          <w:rFonts w:ascii="Times New Roman" w:cs="Times New Roman" w:eastAsia="Times New Roman" w:hAnsi="Times New Roman"/>
          <w:sz w:val="18"/>
          <w:szCs w:val="18"/>
          <w:color w:val="auto"/>
        </w:rPr>
        <w:t>Any offer in Australia of the Notes may only be made to persons (the “Exempt Investors”) who are “sophisticated investors” ​(within the meaning of section 708(8) of the Corporations Act), “professional</w:t>
      </w:r>
    </w:p>
    <w:p>
      <w:pPr>
        <w:spacing w:after="0" w:line="1" w:lineRule="exact"/>
        <w:rPr>
          <w:sz w:val="20"/>
          <w:szCs w:val="20"/>
          <w:color w:val="auto"/>
        </w:rPr>
      </w:pPr>
    </w:p>
    <w:p>
      <w:pPr>
        <w:jc w:val="both"/>
        <w:ind w:left="1260" w:right="619"/>
        <w:spacing w:after="0" w:line="246" w:lineRule="auto"/>
        <w:rPr>
          <w:sz w:val="20"/>
          <w:szCs w:val="20"/>
          <w:color w:val="auto"/>
        </w:rPr>
      </w:pPr>
      <w:r>
        <w:rPr>
          <w:rFonts w:ascii="Times New Roman" w:cs="Times New Roman" w:eastAsia="Times New Roman" w:hAnsi="Times New Roman"/>
          <w:sz w:val="18"/>
          <w:szCs w:val="18"/>
          <w:color w:val="auto"/>
        </w:rPr>
        <w:t>investors” (within​ the meaning of 708(11) of the Corporations Act) or otherwise pursuant to one or more exemptions contained in section 708 of the Corporations Act so that it is lawful to offer the Notes without disclosure to investors under Chapter 6D of the Corporations Act.</w:t>
      </w:r>
    </w:p>
    <w:p>
      <w:pPr>
        <w:spacing w:after="0" w:line="113"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4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 Certain of the underwriters or their affiliates are lenders under our credit facilities and may be holders of our senior notes. Accordingly, such underwriters or affiliates may receive a portion of the net proceeds from this offering used to repay our 2024 senior notes.</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Certain of the underwriters or their affiliates may hold our 2024 senior notes. Because certain of the underwriters and/or their affiliates are expected to receive at least 5% of the net offering proceeds of this offering, such underwriters and/or their affiliates could be deemed to have a “conflict of interest” under Rule 5121. See “Use of Proceeds.” Accordingly, this offering is being made in compliance with the requirements of Rule 5121. The appointment of a “qualified independent underwriter” is not required in connection with this offering because the Notes are “investment grade rated” as defined in paragraph (f)(8)</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6" w:lineRule="auto"/>
        <w:rPr>
          <w:sz w:val="20"/>
          <w:szCs w:val="20"/>
          <w:color w:val="auto"/>
        </w:rPr>
      </w:pPr>
      <w:r>
        <w:rPr>
          <w:rFonts w:ascii="Times New Roman" w:cs="Times New Roman" w:eastAsia="Times New Roman" w:hAnsi="Times New Roman"/>
          <w:sz w:val="18"/>
          <w:szCs w:val="18"/>
          <w:color w:val="auto"/>
        </w:rPr>
        <w:t>of Rule 5121. Such underwriters and/or their affiliates will not confirm sales of the Notes offered hereby to any account over which it exercises discretionary authority without the prior written approval of the customer. Such underwriters and/or their affiliates will retain documentation of such approval in its records.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Notes being offered hereby will be passed upon for us by Vinson &amp; Elkins L.L.P., Houston, Texas and for the underwriters by Baker Botts L.L.P., Houston, Texas.</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659" w:firstLine="360"/>
        <w:spacing w:after="0" w:line="257"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25">
        <w:r>
          <w:rPr>
            <w:rFonts w:ascii="Times New Roman" w:cs="Times New Roman" w:eastAsia="Times New Roman" w:hAnsi="Times New Roman"/>
            <w:sz w:val="18"/>
            <w:szCs w:val="18"/>
            <w:color w:val="auto"/>
          </w:rPr>
          <w:t xml:space="preserve">Reporting) incorporated in this prospectus by reference to the </w:t>
        </w:r>
        <w:r>
          <w:rPr>
            <w:rFonts w:ascii="Times New Roman" w:cs="Times New Roman" w:eastAsia="Times New Roman" w:hAnsi="Times New Roman"/>
            <w:sz w:val="18"/>
            <w:szCs w:val="18"/>
            <w:u w:val="single" w:color="auto"/>
            <w:color w:val="0000EE"/>
          </w:rPr>
          <w:t>Annual Report on Form 10-K for the year</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of PricewaterhouseCoopers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LLP, an independent registered public accounting firm, given on the authority of said firm as experts in auditing and accounting.</w:t>
      </w:r>
    </w:p>
    <w:p>
      <w:pPr>
        <w:spacing w:after="0" w:line="40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We are “incorporating by reference” into this prospectus supplement information we file with the U.S.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8-K) until the offering and sale of the Notes contemplated by this prospectus supplement are complete:</w:t>
      </w:r>
    </w:p>
    <w:p>
      <w:pPr>
        <w:spacing w:after="0" w:line="99" w:lineRule="exact"/>
        <w:rPr>
          <w:sz w:val="20"/>
          <w:szCs w:val="20"/>
          <w:color w:val="auto"/>
        </w:rPr>
      </w:pPr>
    </w:p>
    <w:p>
      <w:pPr>
        <w:ind w:left="1800" w:right="699" w:hanging="180"/>
        <w:spacing w:after="0" w:line="282" w:lineRule="auto"/>
        <w:tabs>
          <w:tab w:leader="none" w:pos="1800" w:val="left"/>
        </w:tabs>
        <w:numPr>
          <w:ilvl w:val="0"/>
          <w:numId w:val="31"/>
        </w:numPr>
        <w:rPr>
          <w:rFonts w:ascii="Times New Roman" w:cs="Times New Roman" w:eastAsia="Times New Roman" w:hAnsi="Times New Roman"/>
          <w:sz w:val="18"/>
          <w:szCs w:val="18"/>
          <w:color w:val="000000"/>
        </w:rPr>
      </w:pPr>
      <w:hyperlink r:id="rId25">
        <w:r>
          <w:rPr>
            <w:rFonts w:ascii="Times New Roman" w:cs="Times New Roman" w:eastAsia="Times New Roman" w:hAnsi="Times New Roman"/>
            <w:sz w:val="18"/>
            <w:szCs w:val="18"/>
            <w:u w:val="single" w:color="auto"/>
            <w:color w:val="0000EE"/>
          </w:rPr>
          <w:t>Annual Report on Form 10-K for the fiscal year ended December 31,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including information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specifically incorporated by reference from our </w:t>
      </w:r>
      <w:hyperlink r:id="rId81">
        <w:r>
          <w:rPr>
            <w:rFonts w:ascii="Times New Roman" w:cs="Times New Roman" w:eastAsia="Times New Roman" w:hAnsi="Times New Roman"/>
            <w:sz w:val="18"/>
            <w:szCs w:val="18"/>
            <w:u w:val="single" w:color="auto"/>
            <w:color w:val="0000EE"/>
          </w:rPr>
          <w:t>Proxy Statement for our 2024 Annual Meeting</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00"/>
        </w:rPr>
      </w:pPr>
    </w:p>
    <w:p>
      <w:pPr>
        <w:ind w:left="1800" w:hanging="180"/>
        <w:spacing w:after="0"/>
        <w:tabs>
          <w:tab w:leader="none" w:pos="1800" w:val="left"/>
        </w:tabs>
        <w:numPr>
          <w:ilvl w:val="0"/>
          <w:numId w:val="31"/>
        </w:numPr>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Quarterly Report on Form 10-Q for the quarterly period ended March 31, 2024; and</w:t>
        </w:r>
      </w:hyperlink>
    </w:p>
    <w:p>
      <w:pPr>
        <w:spacing w:after="0" w:line="117" w:lineRule="exact"/>
        <w:rPr>
          <w:rFonts w:ascii="Times New Roman" w:cs="Times New Roman" w:eastAsia="Times New Roman" w:hAnsi="Times New Roman"/>
          <w:sz w:val="18"/>
          <w:szCs w:val="18"/>
          <w:u w:val="single" w:color="auto"/>
          <w:color w:val="0000EE"/>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 on Form 8-K filed with the SEC on </w:t>
      </w:r>
      <w:hyperlink r:id="rId82">
        <w:r>
          <w:rPr>
            <w:rFonts w:ascii="Times New Roman" w:cs="Times New Roman" w:eastAsia="Times New Roman" w:hAnsi="Times New Roman"/>
            <w:sz w:val="18"/>
            <w:szCs w:val="18"/>
            <w:u w:val="single" w:color="auto"/>
            <w:color w:val="0000EE"/>
          </w:rPr>
          <w:t>May 28, 2024</w:t>
        </w:r>
      </w:hyperlink>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08" w:lineRule="exact"/>
        <w:rPr>
          <w:rFonts w:ascii="Times New Roman" w:cs="Times New Roman" w:eastAsia="Times New Roman" w:hAnsi="Times New Roman"/>
          <w:sz w:val="18"/>
          <w:szCs w:val="18"/>
          <w:color w:val="auto"/>
        </w:rPr>
      </w:pPr>
    </w:p>
    <w:p>
      <w:pPr>
        <w:ind w:left="404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rFonts w:ascii="Times New Roman" w:cs="Times New Roman" w:eastAsia="Times New Roman" w:hAnsi="Times New Roman"/>
          <w:sz w:val="18"/>
          <w:szCs w:val="18"/>
          <w:color w:val="auto"/>
        </w:rPr>
      </w:pPr>
    </w:p>
    <w:p>
      <w:pPr>
        <w:ind w:left="430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rFonts w:ascii="Times New Roman" w:cs="Times New Roman" w:eastAsia="Times New Roman" w:hAnsi="Times New Roman"/>
          <w:sz w:val="18"/>
          <w:szCs w:val="18"/>
          <w:color w:val="auto"/>
        </w:rPr>
      </w:pPr>
    </w:p>
    <w:p>
      <w:pPr>
        <w:ind w:left="45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rFonts w:ascii="Times New Roman" w:cs="Times New Roman" w:eastAsia="Times New Roman" w:hAnsi="Times New Roman"/>
          <w:sz w:val="18"/>
          <w:szCs w:val="18"/>
          <w:color w:val="auto"/>
        </w:rPr>
      </w:pPr>
    </w:p>
    <w:p>
      <w:pPr>
        <w:ind w:left="418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ind w:left="4340"/>
        <w:spacing w:after="0"/>
        <w:rPr>
          <w:sz w:val="20"/>
          <w:szCs w:val="20"/>
          <w:color w:val="auto"/>
        </w:rPr>
      </w:pPr>
      <w:r>
        <w:rPr>
          <w:rFonts w:ascii="Times New Roman" w:cs="Times New Roman" w:eastAsia="Times New Roman" w:hAnsi="Times New Roman"/>
          <w:sz w:val="18"/>
          <w:szCs w:val="18"/>
          <w:color w:val="auto"/>
        </w:rPr>
        <w:t>Telephone: (713) 646-4100</w:t>
      </w:r>
    </w:p>
    <w:p>
      <w:pPr>
        <w:spacing w:after="0" w:line="126" w:lineRule="exact"/>
        <w:rPr>
          <w:rFonts w:ascii="Times New Roman" w:cs="Times New Roman" w:eastAsia="Times New Roman" w:hAnsi="Times New Roman"/>
          <w:sz w:val="18"/>
          <w:szCs w:val="18"/>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SEC maintains a website that contains reports, proxy and information statements, and other information regarding us. The SEC’s website address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ind w:left="5160"/>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PAA FINANCE CORP.</w:t>
      </w:r>
    </w:p>
    <w:p>
      <w:pPr>
        <w:spacing w:after="0" w:line="18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5"/>
          <w:szCs w:val="25"/>
          <w:b w:val="1"/>
          <w:bCs w:val="1"/>
          <w:color w:val="auto"/>
        </w:rPr>
        <w:t>Common Units</w:t>
      </w:r>
    </w:p>
    <w:p>
      <w:pPr>
        <w:spacing w:after="0" w:line="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5"/>
          <w:szCs w:val="25"/>
          <w:b w:val="1"/>
          <w:bCs w:val="1"/>
          <w:color w:val="auto"/>
        </w:rPr>
        <w:t>Preferred Units</w:t>
      </w:r>
    </w:p>
    <w:p>
      <w:pPr>
        <w:spacing w:after="0" w:line="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21"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may offer and sell common units representing limited partner interests in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0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w:t>
      </w:r>
    </w:p>
    <w:p>
      <w:pPr>
        <w:spacing w:after="0" w:line="332" w:lineRule="exact"/>
        <w:rPr>
          <w:sz w:val="20"/>
          <w:szCs w:val="20"/>
          <w:color w:val="auto"/>
        </w:rPr>
      </w:pPr>
    </w:p>
    <w:p>
      <w:pPr>
        <w:ind w:left="1260" w:right="45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Investing in our common units, preferred units and debt securities involves risks. Limited partnerships are inherently different from corporations. You should carefully consider the risk factors described under “Risk Factors” beginning on page </w:t>
      </w:r>
      <w:r>
        <w:rPr>
          <w:rFonts w:ascii="Times New Roman" w:cs="Times New Roman" w:eastAsia="Times New Roman" w:hAnsi="Times New Roman"/>
          <w:sz w:val="17"/>
          <w:szCs w:val="17"/>
          <w:b w:val="1"/>
          <w:bCs w:val="1"/>
          <w:u w:val="single" w:color="auto"/>
          <w:color w:val="0000EE"/>
        </w:rPr>
        <w:t>3</w:t>
      </w:r>
      <w:r>
        <w:rPr>
          <w:rFonts w:ascii="Times New Roman" w:cs="Times New Roman" w:eastAsia="Times New Roman" w:hAnsi="Times New Roman"/>
          <w:sz w:val="17"/>
          <w:szCs w:val="17"/>
          <w:b w:val="1"/>
          <w:bCs w:val="1"/>
          <w:color w:val="auto"/>
        </w:rPr>
        <w:t xml:space="preserve"> of this prospectus before you make an investment in our securities.</w:t>
      </w:r>
    </w:p>
    <w:p>
      <w:pPr>
        <w:spacing w:after="0" w:line="89"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Our common units are traded on the Nasdaq Global Select Market under the symbol “PAA.” We will provide information in the prospectus supplement for the trading market, if any, for any preferred units or debt securities we may offer.</w:t>
      </w:r>
    </w:p>
    <w:p>
      <w:pPr>
        <w:spacing w:after="0" w:line="91" w:lineRule="exact"/>
        <w:rPr>
          <w:sz w:val="20"/>
          <w:szCs w:val="20"/>
          <w:color w:val="auto"/>
        </w:rPr>
      </w:pPr>
    </w:p>
    <w:p>
      <w:pPr>
        <w:ind w:left="1260" w:right="5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7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3110230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1720" w:type="dxa"/>
            <w:vAlign w:val="bottom"/>
            <w:tcBorders>
              <w:bottom w:val="single" w:sz="8" w:color="0000EE"/>
            </w:tcBorders>
            <w:gridSpan w:val="6"/>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EE"/>
              </w:rPr>
              <w:t>About This Prospectus</w:t>
            </w:r>
          </w:p>
        </w:tc>
        <w:tc>
          <w:tcPr>
            <w:tcW w:w="4720" w:type="dxa"/>
            <w:vAlign w:val="bottom"/>
            <w:tcBorders>
              <w:bottom w:val="single" w:sz="8" w:color="CCEEFF"/>
            </w:tcBorders>
            <w:gridSpan w:val="9"/>
            <w:shd w:val="clear" w:color="auto" w:fill="CCEEFF"/>
          </w:tcPr>
          <w:p>
            <w:pPr>
              <w:spacing w:after="0"/>
              <w:rPr>
                <w:sz w:val="14"/>
                <w:szCs w:val="14"/>
                <w:color w:val="auto"/>
              </w:rPr>
            </w:pPr>
          </w:p>
        </w:tc>
        <w:tc>
          <w:tcPr>
            <w:tcW w:w="1640" w:type="dxa"/>
            <w:vAlign w:val="bottom"/>
            <w:tcBorders>
              <w:bottom w:val="single" w:sz="8" w:color="CCEEFF"/>
            </w:tcBorders>
            <w:gridSpan w:val="2"/>
            <w:shd w:val="clear" w:color="auto" w:fill="CCEEFF"/>
          </w:tcPr>
          <w:p>
            <w:pPr>
              <w:ind w:left="1420"/>
              <w:spacing w:after="0" w:line="142"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4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u w:val="single" w:color="auto"/>
                <w:color w:val="0000EE"/>
              </w:rPr>
              <w:t>i</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4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64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EE"/>
                <w:w w:val="99"/>
              </w:rPr>
              <w:t>ii</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000" w:type="dxa"/>
            <w:vAlign w:val="bottom"/>
            <w:gridSpan w:val="11"/>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15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iii</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200" w:type="dxa"/>
            <w:vAlign w:val="bottom"/>
            <w:tcBorders>
              <w:bottom w:val="single" w:sz="8" w:color="CCEEFF"/>
            </w:tcBorders>
            <w:gridSpan w:val="8"/>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2740" w:type="dxa"/>
            <w:vAlign w:val="bottom"/>
            <w:tcBorders>
              <w:bottom w:val="single" w:sz="8" w:color="CCEEFF"/>
            </w:tcBorders>
            <w:shd w:val="clear" w:color="auto" w:fill="CCEEFF"/>
          </w:tcPr>
          <w:p>
            <w:pPr>
              <w:spacing w:after="0"/>
              <w:rPr>
                <w:sz w:val="2"/>
                <w:szCs w:val="2"/>
                <w:color w:val="auto"/>
              </w:rPr>
            </w:pPr>
          </w:p>
        </w:tc>
        <w:tc>
          <w:tcPr>
            <w:tcW w:w="1640" w:type="dxa"/>
            <w:vAlign w:val="bottom"/>
            <w:tcBorders>
              <w:bottom w:val="single" w:sz="8" w:color="CCEEFF"/>
            </w:tcBorders>
            <w:gridSpan w:val="2"/>
            <w:shd w:val="clear" w:color="auto" w:fill="0000EE"/>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r>
              <w:rPr>
                <w:rFonts w:ascii="Times New Roman" w:cs="Times New Roman" w:eastAsia="Times New Roman" w:hAnsi="Times New Roman"/>
                <w:sz w:val="1"/>
                <w:szCs w:val="1"/>
                <w:b w:val="1"/>
                <w:bCs w:val="1"/>
                <w:color w:val="auto"/>
              </w:rPr>
              <w:t>​</w:t>
            </w:r>
          </w:p>
        </w:tc>
        <w:tc>
          <w:tcPr>
            <w:tcW w:w="4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About Plains All American Pipeline, L.P.</w:t>
            </w:r>
          </w:p>
        </w:tc>
        <w:tc>
          <w:tcPr>
            <w:tcW w:w="164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20" w:type="dxa"/>
            <w:vAlign w:val="bottom"/>
            <w:gridSpan w:val="1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64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940" w:type="dxa"/>
            <w:vAlign w:val="bottom"/>
            <w:tcBorders>
              <w:bottom w:val="single" w:sz="8" w:color="CCEEFF"/>
            </w:tcBorders>
            <w:gridSpan w:val="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360" w:type="dxa"/>
            <w:vAlign w:val="bottom"/>
            <w:tcBorders>
              <w:bottom w:val="single" w:sz="8" w:color="CCEEFF"/>
            </w:tcBorders>
            <w:gridSpan w:val="2"/>
            <w:shd w:val="clear" w:color="auto" w:fill="CCEEFF"/>
          </w:tcPr>
          <w:p>
            <w:pPr>
              <w:spacing w:after="0"/>
              <w:rPr>
                <w:sz w:val="2"/>
                <w:szCs w:val="2"/>
                <w:color w:val="auto"/>
              </w:rPr>
            </w:pPr>
          </w:p>
        </w:tc>
        <w:tc>
          <w:tcPr>
            <w:tcW w:w="76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gridSpan w:val="3"/>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2740" w:type="dxa"/>
            <w:vAlign w:val="bottom"/>
            <w:tcBorders>
              <w:bottom w:val="single" w:sz="8" w:color="CCEEFF"/>
            </w:tcBorders>
            <w:shd w:val="clear" w:color="auto" w:fill="CCEEFF"/>
          </w:tcPr>
          <w:p>
            <w:pPr>
              <w:spacing w:after="0"/>
              <w:rPr>
                <w:sz w:val="2"/>
                <w:szCs w:val="2"/>
                <w:color w:val="auto"/>
              </w:rPr>
            </w:pPr>
          </w:p>
        </w:tc>
        <w:tc>
          <w:tcPr>
            <w:tcW w:w="164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right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164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20" w:type="dxa"/>
            <w:vAlign w:val="bottom"/>
            <w:gridSpan w:val="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Our Debt Securities</w:t>
            </w:r>
          </w:p>
        </w:tc>
        <w:tc>
          <w:tcPr>
            <w:tcW w:w="164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640" w:type="dxa"/>
            <w:vAlign w:val="bottom"/>
            <w:tcBorders>
              <w:bottom w:val="single" w:sz="8" w:color="CCEEFF"/>
            </w:tcBorders>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80" w:type="dxa"/>
            <w:vAlign w:val="bottom"/>
            <w:tcBorders>
              <w:bottom w:val="single" w:sz="8" w:color="CCEEFF"/>
            </w:tcBorders>
            <w:gridSpan w:val="3"/>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2740" w:type="dxa"/>
            <w:vAlign w:val="bottom"/>
            <w:tcBorders>
              <w:bottom w:val="single" w:sz="8" w:color="CCEEFF"/>
            </w:tcBorders>
            <w:shd w:val="clear" w:color="auto" w:fill="CCEEFF"/>
          </w:tcPr>
          <w:p>
            <w:pPr>
              <w:spacing w:after="0"/>
              <w:rPr>
                <w:sz w:val="2"/>
                <w:szCs w:val="2"/>
                <w:color w:val="auto"/>
              </w:rPr>
            </w:pPr>
          </w:p>
        </w:tc>
        <w:tc>
          <w:tcPr>
            <w:tcW w:w="164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right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Description of Our Preferred Units</w:t>
            </w:r>
          </w:p>
        </w:tc>
        <w:tc>
          <w:tcPr>
            <w:tcW w:w="1760" w:type="dxa"/>
            <w:vAlign w:val="bottom"/>
            <w:gridSpan w:val="4"/>
          </w:tcPr>
          <w:p>
            <w:pPr>
              <w:ind w:left="1580"/>
              <w:spacing w:after="0"/>
              <w:rPr>
                <w:sz w:val="20"/>
                <w:szCs w:val="20"/>
                <w:color w:val="auto"/>
              </w:rPr>
            </w:pPr>
            <w:r>
              <w:rPr>
                <w:rFonts w:ascii="Times New Roman" w:cs="Times New Roman" w:eastAsia="Times New Roman" w:hAnsi="Times New Roman"/>
                <w:sz w:val="18"/>
                <w:szCs w:val="18"/>
                <w:color w:val="0000EE"/>
                <w:w w:val="77"/>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40" w:type="dxa"/>
            <w:vAlign w:val="bottom"/>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8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Our Common Units</w:t>
            </w:r>
          </w:p>
        </w:tc>
        <w:tc>
          <w:tcPr>
            <w:tcW w:w="1760" w:type="dxa"/>
            <w:vAlign w:val="bottom"/>
            <w:gridSpan w:val="4"/>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620" w:type="dxa"/>
            <w:vAlign w:val="bottom"/>
            <w:tcBorders>
              <w:bottom w:val="single" w:sz="8" w:color="CCEEFF"/>
            </w:tcBorders>
            <w:gridSpan w:val="9"/>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600" w:type="dxa"/>
            <w:vAlign w:val="bottom"/>
            <w:tcBorders>
              <w:bottom w:val="single" w:sz="8" w:color="CCEEFF"/>
            </w:tcBorders>
            <w:gridSpan w:val="4"/>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2740" w:type="dxa"/>
            <w:vAlign w:val="bottom"/>
            <w:tcBorders>
              <w:bottom w:val="single" w:sz="8" w:color="CCEEFF"/>
            </w:tcBorders>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4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Cash Distribution Policy</w:t>
            </w:r>
          </w:p>
        </w:tc>
        <w:tc>
          <w:tcPr>
            <w:tcW w:w="1760" w:type="dxa"/>
            <w:vAlign w:val="bottom"/>
            <w:gridSpan w:val="4"/>
          </w:tcPr>
          <w:p>
            <w:pPr>
              <w:ind w:left="1580"/>
              <w:spacing w:after="0"/>
              <w:rPr>
                <w:sz w:val="20"/>
                <w:szCs w:val="20"/>
                <w:color w:val="auto"/>
              </w:rPr>
            </w:pPr>
            <w:r>
              <w:rPr>
                <w:rFonts w:ascii="Times New Roman" w:cs="Times New Roman" w:eastAsia="Times New Roman" w:hAnsi="Times New Roman"/>
                <w:sz w:val="18"/>
                <w:szCs w:val="18"/>
                <w:color w:val="0000EE"/>
                <w:w w:val="77"/>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60" w:type="dxa"/>
            <w:vAlign w:val="bottom"/>
            <w:gridSpan w:val="7"/>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360" w:type="dxa"/>
            <w:vAlign w:val="bottom"/>
            <w:gridSpan w:val="6"/>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Our Partnership Agreement</w:t>
            </w:r>
          </w:p>
        </w:tc>
        <w:tc>
          <w:tcPr>
            <w:tcW w:w="1760" w:type="dxa"/>
            <w:vAlign w:val="bottom"/>
            <w:gridSpan w:val="4"/>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220" w:type="dxa"/>
            <w:vAlign w:val="bottom"/>
            <w:tcBorders>
              <w:bottom w:val="single" w:sz="8" w:color="CCEEFF"/>
            </w:tcBorders>
            <w:gridSpan w:val="1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80" w:type="dxa"/>
            <w:vAlign w:val="bottom"/>
            <w:tcBorders>
              <w:bottom w:val="single" w:sz="8" w:color="CCEEFF"/>
            </w:tcBorders>
            <w:shd w:val="clear" w:color="auto" w:fill="CCEEFF"/>
          </w:tcPr>
          <w:p>
            <w:pPr>
              <w:spacing w:after="0"/>
              <w:rPr>
                <w:sz w:val="2"/>
                <w:szCs w:val="2"/>
                <w:color w:val="auto"/>
              </w:rPr>
            </w:pPr>
          </w:p>
        </w:tc>
        <w:tc>
          <w:tcPr>
            <w:tcW w:w="2740" w:type="dxa"/>
            <w:vAlign w:val="bottom"/>
            <w:tcBorders>
              <w:bottom w:val="single" w:sz="8" w:color="CCEEFF"/>
            </w:tcBorders>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4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1760" w:type="dxa"/>
            <w:vAlign w:val="bottom"/>
            <w:gridSpan w:val="4"/>
          </w:tcPr>
          <w:p>
            <w:pPr>
              <w:ind w:left="1580"/>
              <w:spacing w:after="0"/>
              <w:rPr>
                <w:sz w:val="20"/>
                <w:szCs w:val="20"/>
                <w:color w:val="auto"/>
              </w:rPr>
            </w:pPr>
            <w:r>
              <w:rPr>
                <w:rFonts w:ascii="Times New Roman" w:cs="Times New Roman" w:eastAsia="Times New Roman" w:hAnsi="Times New Roman"/>
                <w:sz w:val="18"/>
                <w:szCs w:val="18"/>
                <w:color w:val="0000EE"/>
                <w:w w:val="77"/>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00" w:type="dxa"/>
            <w:vAlign w:val="bottom"/>
            <w:gridSpan w:val="1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740" w:type="dxa"/>
            <w:vAlign w:val="bottom"/>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1760" w:type="dxa"/>
            <w:vAlign w:val="bottom"/>
            <w:gridSpan w:val="4"/>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500" w:type="dxa"/>
            <w:vAlign w:val="bottom"/>
            <w:tcBorders>
              <w:bottom w:val="single" w:sz="8" w:color="CCEEFF"/>
            </w:tcBorders>
            <w:gridSpan w:val="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940" w:type="dxa"/>
            <w:vAlign w:val="bottom"/>
            <w:tcBorders>
              <w:bottom w:val="single" w:sz="8" w:color="CCEEFF"/>
            </w:tcBorders>
            <w:gridSpan w:val="10"/>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4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1760" w:type="dxa"/>
            <w:vAlign w:val="bottom"/>
            <w:gridSpan w:val="4"/>
          </w:tcPr>
          <w:p>
            <w:pPr>
              <w:ind w:left="1580"/>
              <w:spacing w:after="0"/>
              <w:rPr>
                <w:sz w:val="20"/>
                <w:szCs w:val="20"/>
                <w:color w:val="auto"/>
              </w:rPr>
            </w:pPr>
            <w:r>
              <w:rPr>
                <w:rFonts w:ascii="Times New Roman" w:cs="Times New Roman" w:eastAsia="Times New Roman" w:hAnsi="Times New Roman"/>
                <w:sz w:val="18"/>
                <w:szCs w:val="18"/>
                <w:color w:val="0000EE"/>
                <w:w w:val="77"/>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6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380" w:type="dxa"/>
            <w:vAlign w:val="bottom"/>
            <w:gridSpan w:val="12"/>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1760" w:type="dxa"/>
            <w:vAlign w:val="bottom"/>
            <w:gridSpan w:val="4"/>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860" w:type="dxa"/>
            <w:vAlign w:val="bottom"/>
            <w:tcBorders>
              <w:bottom w:val="single" w:sz="8" w:color="CCEEFF"/>
            </w:tcBorders>
            <w:gridSpan w:val="14"/>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6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4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any free writing prospectus that we prepare or authorize contain and incorporate by reference information that you should consider when making your investment decision.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w:t>
      </w:r>
    </w:p>
    <w:p>
      <w:pPr>
        <w:spacing w:after="0" w:line="116"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18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24" w:lineRule="exact"/>
        <w:rPr>
          <w:sz w:val="20"/>
          <w:szCs w:val="20"/>
          <w:color w:val="auto"/>
        </w:rPr>
      </w:pPr>
    </w:p>
    <w:p>
      <w:pPr>
        <w:jc w:val="both"/>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w:t>
      </w:r>
    </w:p>
    <w:p>
      <w:pPr>
        <w:spacing w:after="0" w:line="1" w:lineRule="exact"/>
        <w:rPr>
          <w:sz w:val="20"/>
          <w:szCs w:val="20"/>
          <w:color w:val="auto"/>
        </w:rPr>
      </w:pPr>
    </w:p>
    <w:p>
      <w:pPr>
        <w:ind w:left="1500" w:hanging="240"/>
        <w:spacing w:after="0"/>
        <w:tabs>
          <w:tab w:leader="none" w:pos="1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all offerings under this registration statement are completed:</w:t>
      </w:r>
    </w:p>
    <w:p>
      <w:pPr>
        <w:spacing w:after="0" w:line="9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32"/>
        </w:numPr>
        <w:rPr>
          <w:rFonts w:ascii="Times New Roman" w:cs="Times New Roman" w:eastAsia="Times New Roman" w:hAnsi="Times New Roman"/>
          <w:sz w:val="18"/>
          <w:szCs w:val="18"/>
          <w:u w:val="single" w:color="auto"/>
          <w:color w:val="0000EE"/>
        </w:rPr>
      </w:pPr>
      <w:hyperlink r:id="rId86">
        <w:r>
          <w:rPr>
            <w:rFonts w:ascii="Times New Roman" w:cs="Times New Roman" w:eastAsia="Times New Roman" w:hAnsi="Times New Roman"/>
            <w:sz w:val="18"/>
            <w:szCs w:val="18"/>
            <w:u w:val="single" w:color="auto"/>
            <w:color w:val="0000EE"/>
          </w:rPr>
          <w:t>Annual Report on Form 10-K for the fiscal year ended December 31, 2020;</w:t>
        </w:r>
      </w:hyperlink>
    </w:p>
    <w:p>
      <w:pPr>
        <w:spacing w:after="0" w:line="117" w:lineRule="exact"/>
        <w:rPr>
          <w:rFonts w:ascii="Times New Roman" w:cs="Times New Roman" w:eastAsia="Times New Roman" w:hAnsi="Times New Roman"/>
          <w:sz w:val="18"/>
          <w:szCs w:val="18"/>
          <w:u w:val="single" w:color="auto"/>
          <w:color w:val="0000EE"/>
        </w:rPr>
      </w:pPr>
    </w:p>
    <w:p>
      <w:pPr>
        <w:ind w:left="1800" w:hanging="180"/>
        <w:spacing w:after="0"/>
        <w:tabs>
          <w:tab w:leader="none" w:pos="18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Form 10-Q for the quarterly periods ended </w:t>
      </w:r>
      <w:hyperlink r:id="rId87">
        <w:r>
          <w:rPr>
            <w:rFonts w:ascii="Times New Roman" w:cs="Times New Roman" w:eastAsia="Times New Roman" w:hAnsi="Times New Roman"/>
            <w:sz w:val="18"/>
            <w:szCs w:val="18"/>
            <w:u w:val="single" w:color="auto"/>
            <w:color w:val="0000EE"/>
          </w:rPr>
          <w:t>March 31,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88">
        <w:r>
          <w:rPr>
            <w:rFonts w:ascii="Times New Roman" w:cs="Times New Roman" w:eastAsia="Times New Roman" w:hAnsi="Times New Roman"/>
            <w:sz w:val="18"/>
            <w:szCs w:val="18"/>
            <w:u w:val="single" w:color="auto"/>
            <w:color w:val="0000EE"/>
          </w:rPr>
          <w:t>June 30, 2021</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1"/>
          <w:numId w:val="3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8-K filed on </w:t>
      </w:r>
      <w:hyperlink r:id="rId89">
        <w:r>
          <w:rPr>
            <w:rFonts w:ascii="Times New Roman" w:cs="Times New Roman" w:eastAsia="Times New Roman" w:hAnsi="Times New Roman"/>
            <w:sz w:val="18"/>
            <w:szCs w:val="18"/>
            <w:u w:val="single" w:color="auto"/>
            <w:color w:val="0000EE"/>
          </w:rPr>
          <w:t>March 3, 2021</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EE"/>
          </w:rPr>
          <w:t>May 25, 2021</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EE"/>
          </w:rPr>
          <w:t>July 2, 2021</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u w:val="single" w:color="auto"/>
            <w:color w:val="0000EE"/>
          </w:rPr>
          <w:t>July 13, 2021</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EE"/>
          </w:rPr>
          <w:t>August 24,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4">
        <w:r>
          <w:rPr>
            <w:rFonts w:ascii="Times New Roman" w:cs="Times New Roman" w:eastAsia="Times New Roman" w:hAnsi="Times New Roman"/>
            <w:sz w:val="18"/>
            <w:szCs w:val="18"/>
            <w:u w:val="single" w:color="auto"/>
            <w:color w:val="0000EE"/>
          </w:rPr>
          <w:t xml:space="preserve">August 25, 2021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95">
        <w:r>
          <w:rPr>
            <w:rFonts w:ascii="Times New Roman" w:cs="Times New Roman" w:eastAsia="Times New Roman" w:hAnsi="Times New Roman"/>
            <w:sz w:val="18"/>
            <w:szCs w:val="18"/>
            <w:u w:val="single" w:color="auto"/>
            <w:color w:val="0000EE"/>
          </w:rPr>
          <w:t>August 26,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53" w:lineRule="exact"/>
        <w:rPr>
          <w:rFonts w:ascii="Times New Roman" w:cs="Times New Roman" w:eastAsia="Times New Roman" w:hAnsi="Times New Roman"/>
          <w:sz w:val="18"/>
          <w:szCs w:val="18"/>
          <w:color w:val="0000EE"/>
        </w:rPr>
      </w:pPr>
    </w:p>
    <w:p>
      <w:pPr>
        <w:ind w:left="1800" w:right="499" w:hanging="180"/>
        <w:spacing w:after="0" w:line="266" w:lineRule="auto"/>
        <w:tabs>
          <w:tab w:leader="none" w:pos="1800" w:val="left"/>
        </w:tabs>
        <w:numPr>
          <w:ilvl w:val="1"/>
          <w:numId w:val="3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units contained in our </w:t>
      </w:r>
      <w:hyperlink r:id="rId96">
        <w:r>
          <w:rPr>
            <w:rFonts w:ascii="Times New Roman" w:cs="Times New Roman" w:eastAsia="Times New Roman" w:hAnsi="Times New Roman"/>
            <w:sz w:val="18"/>
            <w:szCs w:val="18"/>
            <w:u w:val="single" w:color="auto"/>
            <w:color w:val="0000EE"/>
          </w:rPr>
          <w:t>Form 8-A/A dated November 16, 2016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7">
        <w:r>
          <w:rPr>
            <w:rFonts w:ascii="Times New Roman" w:cs="Times New Roman" w:eastAsia="Times New Roman" w:hAnsi="Times New Roman"/>
            <w:sz w:val="18"/>
            <w:szCs w:val="18"/>
            <w:u w:val="single" w:color="auto"/>
            <w:color w:val="0000EE"/>
          </w:rPr>
          <w:t>Form 8-A dated December 11,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any subsequent amendment thereto filed for the purpose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updating such description.</w:t>
      </w:r>
    </w:p>
    <w:p>
      <w:pPr>
        <w:spacing w:after="0" w:line="95" w:lineRule="exact"/>
        <w:rPr>
          <w:rFonts w:ascii="Times New Roman" w:cs="Times New Roman" w:eastAsia="Times New Roman" w:hAnsi="Times New Roman"/>
          <w:sz w:val="18"/>
          <w:szCs w:val="18"/>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08" w:lineRule="exact"/>
        <w:rPr>
          <w:rFonts w:ascii="Times New Roman" w:cs="Times New Roman" w:eastAsia="Times New Roman" w:hAnsi="Times New Roman"/>
          <w:sz w:val="18"/>
          <w:szCs w:val="18"/>
          <w:color w:val="auto"/>
        </w:rPr>
      </w:pPr>
    </w:p>
    <w:p>
      <w:pPr>
        <w:ind w:left="404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rFonts w:ascii="Times New Roman" w:cs="Times New Roman" w:eastAsia="Times New Roman" w:hAnsi="Times New Roman"/>
          <w:sz w:val="18"/>
          <w:szCs w:val="18"/>
          <w:color w:val="auto"/>
        </w:rPr>
      </w:pPr>
    </w:p>
    <w:p>
      <w:pPr>
        <w:ind w:left="430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rFonts w:ascii="Times New Roman" w:cs="Times New Roman" w:eastAsia="Times New Roman" w:hAnsi="Times New Roman"/>
          <w:sz w:val="18"/>
          <w:szCs w:val="18"/>
          <w:color w:val="auto"/>
        </w:rPr>
      </w:pPr>
    </w:p>
    <w:p>
      <w:pPr>
        <w:ind w:left="45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rFonts w:ascii="Times New Roman" w:cs="Times New Roman" w:eastAsia="Times New Roman" w:hAnsi="Times New Roman"/>
          <w:sz w:val="18"/>
          <w:szCs w:val="18"/>
          <w:color w:val="auto"/>
        </w:rPr>
      </w:pPr>
    </w:p>
    <w:p>
      <w:pPr>
        <w:ind w:left="418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ind w:left="4340"/>
        <w:spacing w:after="0"/>
        <w:rPr>
          <w:sz w:val="20"/>
          <w:szCs w:val="20"/>
          <w:color w:val="auto"/>
        </w:rPr>
      </w:pPr>
      <w:r>
        <w:rPr>
          <w:rFonts w:ascii="Times New Roman" w:cs="Times New Roman" w:eastAsia="Times New Roman" w:hAnsi="Times New Roman"/>
          <w:sz w:val="18"/>
          <w:szCs w:val="18"/>
          <w:color w:val="auto"/>
        </w:rPr>
        <w:t>Telephone: (713) 646-4100</w:t>
      </w:r>
    </w:p>
    <w:p>
      <w:pPr>
        <w:spacing w:after="0" w:line="139" w:lineRule="exact"/>
        <w:rPr>
          <w:rFonts w:ascii="Times New Roman" w:cs="Times New Roman" w:eastAsia="Times New Roman" w:hAnsi="Times New Roman"/>
          <w:sz w:val="18"/>
          <w:szCs w:val="18"/>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We file periodic reports, current reports, proxy statements and other information with the SEC. The SEC maintains an internet site that contains information we have filed electronically with the SEC, which you can access over the internet at http://www.sec.gov. Our SEC filings are also available free of charge on our website at </w:t>
      </w:r>
      <w:r>
        <w:rPr>
          <w:rFonts w:ascii="Times New Roman" w:cs="Times New Roman" w:eastAsia="Times New Roman" w:hAnsi="Times New Roman"/>
          <w:sz w:val="18"/>
          <w:szCs w:val="18"/>
          <w:i w:val="1"/>
          <w:iCs w:val="1"/>
          <w:color w:val="auto"/>
        </w:rPr>
        <w:t>www.plainsallamerican.com</w:t>
      </w:r>
      <w:r>
        <w:rPr>
          <w:rFonts w:ascii="Times New Roman" w:cs="Times New Roman" w:eastAsia="Times New Roman" w:hAnsi="Times New Roman"/>
          <w:sz w:val="18"/>
          <w:szCs w:val="18"/>
          <w:color w:val="auto"/>
        </w:rPr>
        <w:t xml:space="preserve"> under “Investor Relations”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2" w:lineRule="exact"/>
        <w:rPr>
          <w:rFonts w:ascii="Times New Roman" w:cs="Times New Roman" w:eastAsia="Times New Roman" w:hAnsi="Times New Roman"/>
          <w:sz w:val="18"/>
          <w:szCs w:val="18"/>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77" w:lineRule="exact"/>
        <w:rPr>
          <w:sz w:val="20"/>
          <w:szCs w:val="20"/>
          <w:color w:val="auto"/>
        </w:rPr>
      </w:pPr>
    </w:p>
    <w:p>
      <w:pPr>
        <w:ind w:left="1800" w:right="499" w:hanging="180"/>
        <w:spacing w:after="0" w:line="254"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 crude oil prices (whether due to the COVID-19 pandemic, future pandemics or other factors) that correspondingly lead to a significant reduction of North American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66"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54"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54"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40"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or events that are not covered by an indemnity, insurance or existing reserves;</w:t>
      </w:r>
    </w:p>
    <w:p>
      <w:pPr>
        <w:spacing w:after="0" w:line="40" w:lineRule="exact"/>
        <w:rPr>
          <w:rFonts w:ascii="Times New Roman" w:cs="Times New Roman" w:eastAsia="Times New Roman" w:hAnsi="Times New Roman"/>
          <w:sz w:val="18"/>
          <w:szCs w:val="18"/>
          <w:color w:val="auto"/>
        </w:rPr>
      </w:pPr>
    </w:p>
    <w:p>
      <w:pPr>
        <w:jc w:val="both"/>
        <w:ind w:left="1800" w:right="99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54"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divestitures, joint ventures, acquisitions or other strategic opportunities;</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40"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54"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40" w:lineRule="exact"/>
        <w:rPr>
          <w:rFonts w:ascii="Times New Roman" w:cs="Times New Roman" w:eastAsia="Times New Roman" w:hAnsi="Times New Roman"/>
          <w:sz w:val="18"/>
          <w:szCs w:val="18"/>
          <w:color w:val="auto"/>
        </w:rPr>
      </w:pPr>
    </w:p>
    <w:p>
      <w:pPr>
        <w:ind w:left="1800" w:right="559" w:hanging="180"/>
        <w:spacing w:after="0" w:line="25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65"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expenditures, third-party claims or other factors;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54"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40"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03"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governmental regulations, trade policies, accounting standards and statements, and related interpretations, including legislation or regulatory initiatives that prohibit, restrict or regulate hydraulic fracturing or that prohibit the development of oil and gas resources and the related infrastructure on lands dedicated to or served by our pipelines;</w:t>
      </w:r>
    </w:p>
    <w:p>
      <w:pPr>
        <w:spacing w:after="0" w:line="58"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producers, who have made commitments to our pipelines, to access capital to fund their drilling and completion activities;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59"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and the timing, pace and extent of economic recovery) that impact demand for crude oil, drilling and production activities and therefore the demand for the midstream services we provide and commercial opportunities available to us;</w:t>
      </w:r>
    </w:p>
    <w:p>
      <w:pPr>
        <w:spacing w:after="0" w:line="281"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financial markets, capital constraints, liquidity concerns and inflation;</w:t>
      </w:r>
    </w:p>
    <w:p>
      <w:pPr>
        <w:spacing w:after="0" w:line="5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03" w:lineRule="exact"/>
        <w:rPr>
          <w:rFonts w:ascii="Times New Roman" w:cs="Times New Roman" w:eastAsia="Times New Roman" w:hAnsi="Times New Roman"/>
          <w:sz w:val="18"/>
          <w:szCs w:val="18"/>
          <w:color w:val="auto"/>
        </w:rPr>
      </w:pPr>
    </w:p>
    <w:p>
      <w:pPr>
        <w:jc w:val="both"/>
        <w:ind w:left="1800" w:right="619" w:hanging="180"/>
        <w:spacing w:after="0" w:line="275"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03"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08" w:lineRule="exact"/>
        <w:rPr>
          <w:sz w:val="20"/>
          <w:szCs w:val="20"/>
          <w:color w:val="auto"/>
        </w:rPr>
      </w:pPr>
    </w:p>
    <w:p>
      <w:pPr>
        <w:ind w:left="1260" w:right="659" w:firstLine="360"/>
        <w:spacing w:after="0" w:line="247"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Other factors described herein or incorporated by reference, as well as factors that are unknown or unpredictable, could also have a material adverse effect on future results. Please read “Risk Factors” </w:t>
      </w:r>
      <w:hyperlink r:id="rId86">
        <w:r>
          <w:rPr>
            <w:rFonts w:ascii="Times New Roman" w:cs="Times New Roman" w:eastAsia="Times New Roman" w:hAnsi="Times New Roman"/>
            <w:sz w:val="18"/>
            <w:szCs w:val="18"/>
            <w:color w:val="auto"/>
          </w:rPr>
          <w:t xml:space="preserve">beginning on page 3 of this prospectus and discussed in Item 1A. of our </w:t>
        </w:r>
        <w:r>
          <w:rPr>
            <w:rFonts w:ascii="Times New Roman" w:cs="Times New Roman" w:eastAsia="Times New Roman" w:hAnsi="Times New Roman"/>
            <w:sz w:val="18"/>
            <w:szCs w:val="18"/>
            <w:u w:val="single" w:color="auto"/>
            <w:color w:val="0000EE"/>
          </w:rPr>
          <w:t>Annual Report on Form 10- K for</w:t>
        </w:r>
      </w:hyperlink>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u w:val="single" w:color="auto"/>
            <w:color w:val="0000EE"/>
          </w:rPr>
          <w:t>the year ended December 31, 2020 (File No. 001-14569)</w:t>
        </w:r>
        <w:r>
          <w:rPr>
            <w:rFonts w:ascii="Times New Roman" w:cs="Times New Roman" w:eastAsia="Times New Roman" w:hAnsi="Times New Roman"/>
            <w:sz w:val="18"/>
            <w:szCs w:val="18"/>
            <w:color w:val="000000"/>
          </w:rPr>
          <w:t>, which is incorporated into this prospectus by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reference. Except as required by applicable securities laws, we do not intend to update these forward-looking statements and information.</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ABOUT PLAINS ALL AMERICAN PIPELINE, L.P.</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We are a Delaware limited partnership formed in 1998. Our operations are conducted directly and indirectly through our primary operating subsidiaries. Our assets and the services we provide are primarily focused on crude oil, NGL and natural gas.</w:t>
      </w:r>
    </w:p>
    <w:p>
      <w:pPr>
        <w:spacing w:after="0" w:line="108"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99"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1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Ongoing Activities Related to Strategic Transactions</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We are continuously engaged in the evaluation of potential transactions that support our current business strategy. While in the past such transactions have included acquisitions and large capital projects, consistent with our current strategic focus on capital discipline, leverage reduction, portfolio optimization and free cash flow generation, we are currently primarily focused on evaluating whether we should (i) sell assets that we regard as non-core or that we believe might be a better fit with the business and/or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 Such transactions could involve assets that, if sold or put into a joint venture or joint ownership arrangement, could have a material effect on our financial condition and results of operations.</w:t>
      </w:r>
    </w:p>
    <w:p>
      <w:pPr>
        <w:spacing w:after="0" w:line="32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Executive Offices and Internet Address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333 Clay Street, Suite 1600, Houston, Texas 77002 and our telephone number is (713) 646-4100. We maintain a website at </w:t>
      </w:r>
      <w:r>
        <w:rPr>
          <w:rFonts w:ascii="Times New Roman" w:cs="Times New Roman" w:eastAsia="Times New Roman" w:hAnsi="Times New Roman"/>
          <w:sz w:val="18"/>
          <w:szCs w:val="18"/>
          <w:i w:val="1"/>
          <w:iCs w:val="1"/>
          <w:color w:val="auto"/>
        </w:rPr>
        <w:t>www.plainsallamerican.com</w:t>
      </w:r>
      <w:r>
        <w:rPr>
          <w:rFonts w:ascii="Times New Roman" w:cs="Times New Roman" w:eastAsia="Times New Roman" w:hAnsi="Times New Roman"/>
          <w:sz w:val="18"/>
          <w:szCs w:val="18"/>
          <w:color w:val="auto"/>
        </w:rPr>
        <w:t xml:space="preserve">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2" w:lineRule="exact"/>
        <w:rPr>
          <w:sz w:val="20"/>
          <w:szCs w:val="20"/>
          <w:color w:val="auto"/>
        </w:rPr>
      </w:pPr>
    </w:p>
    <w:p>
      <w:pPr>
        <w:ind w:left="1260" w:right="439" w:firstLine="360"/>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For additional information about us please refer to the documents set forth under “Where You Can Find </w:t>
      </w:r>
      <w:hyperlink r:id="rId86">
        <w:r>
          <w:rPr>
            <w:rFonts w:ascii="Times New Roman" w:cs="Times New Roman" w:eastAsia="Times New Roman" w:hAnsi="Times New Roman"/>
            <w:sz w:val="18"/>
            <w:szCs w:val="18"/>
            <w:color w:val="auto"/>
          </w:rPr>
          <w:t xml:space="preserve">More Information” in this prospectus, including our </w:t>
        </w:r>
        <w:r>
          <w:rPr>
            <w:rFonts w:ascii="Times New Roman" w:cs="Times New Roman" w:eastAsia="Times New Roman" w:hAnsi="Times New Roman"/>
            <w:sz w:val="18"/>
            <w:szCs w:val="18"/>
            <w:u w:val="single" w:color="auto"/>
            <w:color w:val="0000EE"/>
          </w:rPr>
          <w:t>Annual Report on Form 10-K for the fiscal year ended</w:t>
        </w:r>
      </w:hyperlink>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u w:val="single" w:color="auto"/>
            <w:color w:val="0000EE"/>
          </w:rPr>
          <w:t>December 31, 2020 (File No. 001-14569)</w:t>
        </w:r>
        <w:r>
          <w:rPr>
            <w:rFonts w:ascii="Times New Roman" w:cs="Times New Roman" w:eastAsia="Times New Roman" w:hAnsi="Times New Roman"/>
            <w:sz w:val="18"/>
            <w:szCs w:val="18"/>
            <w:color w:val="000000"/>
          </w:rPr>
          <w:t>, which is incorporated by reference herein.</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19" w:firstLine="360"/>
        <w:spacing w:after="0" w:line="25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An investment in our securities involves a high degree of risk. Before you invest in our securities, you </w:t>
      </w:r>
      <w:hyperlink r:id="rId86">
        <w:r>
          <w:rPr>
            <w:rFonts w:ascii="Times New Roman" w:cs="Times New Roman" w:eastAsia="Times New Roman" w:hAnsi="Times New Roman"/>
            <w:sz w:val="18"/>
            <w:szCs w:val="18"/>
            <w:color w:val="auto"/>
          </w:rPr>
          <w:t xml:space="preserve">should carefully consider the risk factors included in Item 1A. “Risk Factors” in our </w:t>
        </w:r>
        <w:r>
          <w:rPr>
            <w:rFonts w:ascii="Times New Roman" w:cs="Times New Roman" w:eastAsia="Times New Roman" w:hAnsi="Times New Roman"/>
            <w:sz w:val="18"/>
            <w:szCs w:val="18"/>
            <w:u w:val="single" w:color="auto"/>
            <w:color w:val="0000EE"/>
          </w:rPr>
          <w:t>Annual Report on Form</w:t>
        </w:r>
      </w:hyperlink>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u w:val="single" w:color="auto"/>
            <w:color w:val="0000EE"/>
          </w:rPr>
          <w:t>10-K for the year ended December 31, 2020 (File No. 001-14569)</w:t>
        </w:r>
        <w:r>
          <w:rPr>
            <w:rFonts w:ascii="Times New Roman" w:cs="Times New Roman" w:eastAsia="Times New Roman" w:hAnsi="Times New Roman"/>
            <w:sz w:val="18"/>
            <w:szCs w:val="18"/>
            <w:color w:val="000000"/>
          </w:rPr>
          <w:t>, which is incorporated into this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to the contrary in an applicable prospectus supplement, we intend to use the net proceeds we receive from the sale of securities covered by this prospectus and any prospectus supplement for general partnership purposes, which may include, among other things, repayment of indebtedness, acquisitions, capital expenditures and additions to working capital.</w:t>
      </w:r>
    </w:p>
    <w:p>
      <w:pPr>
        <w:spacing w:after="0" w:line="11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Any specific allocation of the net proceeds of an offering of securities to a specific purpose will be determined at the time of the offering and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debt securities will be:</w:t>
      </w:r>
    </w:p>
    <w:p>
      <w:pPr>
        <w:spacing w:after="0" w:line="117"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general obligations;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senior debt securities or subordinated debt securities; and</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under separate indentures (which may be existing indentures) among Plains All American Pipeline, PAA Finance and U.S. Bank National Association, as successor Trustee.</w:t>
      </w:r>
    </w:p>
    <w:p>
      <w:pPr>
        <w:spacing w:after="0" w:line="9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Our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24"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Specific Terms of Each Series of Debt Securities in the Prospectus Supplement</w:t>
      </w:r>
    </w:p>
    <w:p>
      <w:pPr>
        <w:spacing w:after="0" w:line="148"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68"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PAA Finance will be a co-issuer of the debt securities;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senior or subordinated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if any, that are pledged as security for the payment of the debt securities;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issue the debt securities;</w:t>
      </w:r>
    </w:p>
    <w:p>
      <w:pPr>
        <w:spacing w:after="0" w:line="11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that will be payable if the maturity of the debt securities is accelerated;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 in which the debt securities will be payable, if not U.S. dollars;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principal of the debt securities will be payable;</w:t>
      </w:r>
    </w:p>
    <w:p>
      <w:pPr>
        <w:spacing w:after="0" w:line="117"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that the debt securities will bear and the interest payment dates for the debt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provisions;</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repurchase or otherwise redeem the debt securities;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or additional events of default or covenants;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w:t>
      </w:r>
    </w:p>
    <w:p>
      <w:pPr>
        <w:spacing w:after="0" w:line="15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Possible Future Guarantees</w:t>
      </w:r>
    </w:p>
    <w:p>
      <w:pPr>
        <w:spacing w:after="0" w:line="162" w:lineRule="exact"/>
        <w:rPr>
          <w:sz w:val="20"/>
          <w:szCs w:val="20"/>
          <w:color w:val="auto"/>
        </w:rPr>
      </w:pPr>
    </w:p>
    <w:p>
      <w:pPr>
        <w:ind w:left="1260" w:right="639" w:firstLine="360"/>
        <w:spacing w:after="0" w:line="246" w:lineRule="auto"/>
        <w:rPr>
          <w:sz w:val="20"/>
          <w:szCs w:val="20"/>
          <w:color w:val="auto"/>
        </w:rPr>
      </w:pPr>
      <w:r>
        <w:rPr>
          <w:rFonts w:ascii="Times New Roman" w:cs="Times New Roman" w:eastAsia="Times New Roman" w:hAnsi="Times New Roman"/>
          <w:sz w:val="18"/>
          <w:szCs w:val="18"/>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14"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14"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or Asset Sale</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14"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61" w:lineRule="exact"/>
        <w:rPr>
          <w:sz w:val="20"/>
          <w:szCs w:val="20"/>
          <w:color w:val="auto"/>
        </w:rPr>
      </w:pPr>
    </w:p>
    <w:p>
      <w:pPr>
        <w:ind w:left="1800" w:right="419" w:hanging="180"/>
        <w:spacing w:after="0" w:line="261"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 acquiring entity must assume the issuer’s obligations under the indenture; and</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(as defined under “— Events of Default and Remedies” below) may exist.</w:t>
      </w:r>
    </w:p>
    <w:p>
      <w:pPr>
        <w:spacing w:after="0" w:line="9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Unless otherwise set forth in the prospectus supplement, the debt securities will not contain any</w:t>
      </w:r>
    </w:p>
    <w:p>
      <w:pPr>
        <w:spacing w:after="0" w:line="27" w:lineRule="exact"/>
        <w:rPr>
          <w:sz w:val="20"/>
          <w:szCs w:val="20"/>
          <w:color w:val="auto"/>
        </w:rPr>
      </w:pPr>
    </w:p>
    <w:p>
      <w:pPr>
        <w:ind w:left="1260" w:right="519"/>
        <w:spacing w:after="0" w:line="245" w:lineRule="auto"/>
        <w:rPr>
          <w:sz w:val="20"/>
          <w:szCs w:val="20"/>
          <w:color w:val="auto"/>
        </w:rPr>
      </w:pPr>
      <w:r>
        <w:rPr>
          <w:rFonts w:ascii="Times New Roman" w:cs="Times New Roman" w:eastAsia="Times New Roman" w:hAnsi="Times New Roman"/>
          <w:sz w:val="18"/>
          <w:szCs w:val="18"/>
          <w:color w:val="auto"/>
        </w:rPr>
        <w:t>provisions that protect the holders of the debt securities in the event of a change of control of us or in the event of a highly leveraged transaction, whether or not such transaction results in a change of control of us.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of Indentures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78" w:lineRule="exact"/>
        <w:rPr>
          <w:sz w:val="20"/>
          <w:szCs w:val="20"/>
          <w:color w:val="auto"/>
        </w:rPr>
      </w:pPr>
    </w:p>
    <w:p>
      <w:pPr>
        <w:ind w:left="1800" w:right="107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debt securities whose holders must consent to an amendment, supplement or waiver;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debt security;</w:t>
      </w:r>
    </w:p>
    <w:p>
      <w:pPr>
        <w:spacing w:after="0" w:line="103" w:lineRule="exact"/>
        <w:rPr>
          <w:rFonts w:ascii="Times New Roman" w:cs="Times New Roman" w:eastAsia="Times New Roman" w:hAnsi="Times New Roman"/>
          <w:sz w:val="18"/>
          <w:szCs w:val="18"/>
          <w:color w:val="auto"/>
        </w:rPr>
      </w:pPr>
    </w:p>
    <w:p>
      <w:pPr>
        <w:jc w:val="both"/>
        <w:ind w:left="1800" w:right="51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debt security;</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58"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under the indenture, release any security that may have been granted with respect to the debt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currency other than that stated in the debt securities;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subordinated debt security, make any change in the subordination provisions that adversely affects the rights of any holder under those provisions;</w:t>
      </w:r>
    </w:p>
    <w:p>
      <w:pPr>
        <w:spacing w:after="0" w:line="40"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(except as may be permitted in the case of a particular series of debt securities);</w:t>
      </w:r>
    </w:p>
    <w:p>
      <w:pPr>
        <w:spacing w:after="0" w:line="53"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supplement and waiver provisions (except to increase any percentage set forth therein).</w:t>
      </w:r>
    </w:p>
    <w:p>
      <w:pPr>
        <w:spacing w:after="0" w:line="81"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We may supplement or amend an indenture without the consent of any holders of the debt securities in certain circumstances, including:</w:t>
      </w:r>
    </w:p>
    <w:p>
      <w:pPr>
        <w:spacing w:after="0" w:line="40" w:lineRule="exact"/>
        <w:rPr>
          <w:sz w:val="20"/>
          <w:szCs w:val="20"/>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of terms of any series of debt securities;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an issuer’s obligations to holders of debt securities in the case of a merger or consolidation or disposition of all or substantially all of such issuer’s assets;</w:t>
      </w:r>
    </w:p>
    <w:p>
      <w:pPr>
        <w:spacing w:after="0" w:line="40" w:lineRule="exact"/>
        <w:rPr>
          <w:rFonts w:ascii="Times New Roman" w:cs="Times New Roman" w:eastAsia="Times New Roman" w:hAnsi="Times New Roman"/>
          <w:sz w:val="18"/>
          <w:szCs w:val="18"/>
          <w:color w:val="auto"/>
        </w:rPr>
      </w:pPr>
    </w:p>
    <w:p>
      <w:pPr>
        <w:jc w:val="both"/>
        <w:ind w:left="1800" w:right="69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release any guarantors pursuant to the terms of the indenture;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5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6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or provide for the acceptance of appointment under the indenture of a successor Trustee;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 and/or any guarantees.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“Event of Default,” when used in an indenture, will mean any of the following with respect to the debt securities of any series:</w:t>
      </w:r>
    </w:p>
    <w:p>
      <w:pPr>
        <w:spacing w:after="0" w:line="54" w:lineRule="exact"/>
        <w:rPr>
          <w:sz w:val="20"/>
          <w:szCs w:val="20"/>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when due the principal of or any premium on any debt security of that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within 60 days of the due date, interest on any debt security of that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when due any sinking fund payment with respect to any debt securities of that series;</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the part of the issuers to comply with the covenant described under “— Consolidation, Merger or Asset Sale;”</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covenant in the indenture that continues for 30 days after written notice is given to the issuers;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an issuer;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under the terms of the debt securities of that series.</w:t>
      </w:r>
    </w:p>
    <w:p>
      <w:pPr>
        <w:spacing w:after="0" w:line="158" w:lineRule="exact"/>
        <w:rPr>
          <w:sz w:val="20"/>
          <w:szCs w:val="20"/>
          <w:color w:val="auto"/>
        </w:rPr>
      </w:pPr>
    </w:p>
    <w:p>
      <w:pPr>
        <w:jc w:val="both"/>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1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0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Limit on Amount of Debt Securities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of Notes</w:t>
      </w:r>
    </w:p>
    <w:p>
      <w:pPr>
        <w:spacing w:after="0" w:line="16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We will issue debt securities of a series only in registered form, without coupons, unless otherwise indicated in the prospectus supplement.</w:t>
      </w: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Minimum Denominations</w:t>
      </w:r>
    </w:p>
    <w:p>
      <w:pPr>
        <w:spacing w:after="0" w:line="14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Unless the prospectus supplement states otherwise, the debt securities will be issued only in principal amounts of $1,000 each or integral multiples of $1,000.</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Personal Liability</w:t>
      </w:r>
    </w:p>
    <w:p>
      <w:pPr>
        <w:spacing w:after="0" w:line="14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and Transfer</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0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10"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Registration and Transfer</w:t>
      </w:r>
    </w:p>
    <w:p>
      <w:pPr>
        <w:spacing w:after="0" w:line="14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not be required to:</w:t>
      </w:r>
    </w:p>
    <w:p>
      <w:pPr>
        <w:spacing w:after="0" w:line="104" w:lineRule="exact"/>
        <w:rPr>
          <w:sz w:val="20"/>
          <w:szCs w:val="20"/>
          <w:color w:val="auto"/>
        </w:rPr>
      </w:pPr>
    </w:p>
    <w:p>
      <w:pPr>
        <w:ind w:left="1800" w:right="479" w:hanging="180"/>
        <w:spacing w:after="0" w:line="261"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44"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called for redemption or repurchase, except the unredeemed portion of any debt security we are redeeming or repurchasing in part.</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Relating only to the Senior Debt Securities</w:t>
      </w:r>
    </w:p>
    <w:p>
      <w:pPr>
        <w:spacing w:after="0" w:line="148"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Relating only to the Subordinated Debt Securities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Subordinated Debt Securities Subordinated to Senior Indebtedness</w:t>
      </w:r>
    </w:p>
    <w:p>
      <w:pPr>
        <w:spacing w:after="0" w:line="14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subordinated debt securities will rank junior in right of payment to all of the Senior Indebtedness of Plains All American Pipeline. “Senior Indebtedness” will be defined in a supplemental indenture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authorizing resolutions respecting any issuance of a series of subordinated debt securities, and the definition will be set forth in the prospectus supplement.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Payment Blockages</w:t>
      </w:r>
    </w:p>
    <w:p>
      <w:pPr>
        <w:spacing w:after="0" w:line="162"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subordinated indenture will provide that no payment of principal, interest and any premium on the subordinated debt securities may be made in the event:</w:t>
      </w:r>
    </w:p>
    <w:p>
      <w:pPr>
        <w:spacing w:after="0" w:line="54" w:lineRule="exact"/>
        <w:rPr>
          <w:sz w:val="20"/>
          <w:szCs w:val="20"/>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property is involved in any voluntary or involuntary liquidation or bankruptcy;</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85"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 Limitation on Amount of Senior Debt</w:t>
      </w:r>
    </w:p>
    <w:p>
      <w:pPr>
        <w:spacing w:after="0" w:line="14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subordinated indenture will not limit the amount of Senior Indebtedness that Plains All American Pipeline may incur, unless otherwise indicated in the prospectus supplement.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 Entry, Delivery and Form</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24"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Beneficial interests in global debt securities will be shown on, and transfers of global debt securities will be made only through, records maintained by DTC and its participants.</w:t>
      </w:r>
    </w:p>
    <w:p>
      <w:pPr>
        <w:spacing w:after="0" w:line="8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21"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0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DTC is owned by a number of its Direct Participants and by the New York Stock Exchange, Inc., The American Stock Exchange, Inc. and the Financial Industry Regulatory Authority (“FINRA”).</w:t>
      </w:r>
    </w:p>
    <w:p>
      <w:pPr>
        <w:spacing w:after="0" w:line="81"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18"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Debt securities represented by a global debt security will be exchangeable for certificated debt securities with the same terms in authorized denominations only if:</w:t>
      </w:r>
    </w:p>
    <w:p>
      <w:pPr>
        <w:spacing w:after="0" w:line="54" w:lineRule="exact"/>
        <w:rPr>
          <w:sz w:val="20"/>
          <w:szCs w:val="20"/>
          <w:color w:val="auto"/>
        </w:rPr>
      </w:pPr>
    </w:p>
    <w:p>
      <w:pPr>
        <w:jc w:val="both"/>
        <w:ind w:left="1800" w:right="81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not to require all of the debt securities of a series to be represented by a global debt security.</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135"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Each indenture will be discharged and will cease to be of further effect as to all outstanding debt securities of any series issued thereunder, when:</w:t>
      </w:r>
    </w:p>
    <w:p>
      <w:pPr>
        <w:spacing w:after="0" w:line="81" w:lineRule="exact"/>
        <w:rPr>
          <w:sz w:val="20"/>
          <w:szCs w:val="20"/>
          <w:color w:val="auto"/>
        </w:rPr>
      </w:pPr>
    </w:p>
    <w:p>
      <w:pPr>
        <w:ind w:left="1980" w:hanging="360"/>
        <w:spacing w:after="0"/>
        <w:tabs>
          <w:tab w:leader="none" w:pos="1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44" w:lineRule="exact"/>
        <w:rPr>
          <w:rFonts w:ascii="Times New Roman" w:cs="Times New Roman" w:eastAsia="Times New Roman" w:hAnsi="Times New Roman"/>
          <w:sz w:val="18"/>
          <w:szCs w:val="18"/>
          <w:color w:val="auto"/>
        </w:rPr>
      </w:pPr>
    </w:p>
    <w:p>
      <w:pPr>
        <w:ind w:left="2340" w:right="519" w:hanging="360"/>
        <w:spacing w:after="0" w:line="261" w:lineRule="auto"/>
        <w:tabs>
          <w:tab w:leader="none" w:pos="23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98" w:lineRule="exact"/>
        <w:rPr>
          <w:rFonts w:ascii="Times New Roman" w:cs="Times New Roman" w:eastAsia="Times New Roman" w:hAnsi="Times New Roman"/>
          <w:sz w:val="18"/>
          <w:szCs w:val="18"/>
          <w:color w:val="auto"/>
        </w:rPr>
      </w:pPr>
    </w:p>
    <w:p>
      <w:pPr>
        <w:ind w:left="2340" w:right="419" w:hanging="360"/>
        <w:spacing w:after="0" w:line="253" w:lineRule="auto"/>
        <w:tabs>
          <w:tab w:leader="none" w:pos="23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9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by us under the indenture; and</w:t>
      </w:r>
    </w:p>
    <w:p>
      <w:pPr>
        <w:spacing w:after="0" w:line="144"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an officers’ certificate and an opinion of counsel to the Trustee stating that all conditions precedent to satisfaction and discharge have been satisfied.</w:t>
      </w:r>
    </w:p>
    <w:p>
      <w:pPr>
        <w:spacing w:after="0" w:line="94" w:lineRule="exact"/>
        <w:rPr>
          <w:sz w:val="20"/>
          <w:szCs w:val="20"/>
          <w:color w:val="auto"/>
        </w:rPr>
      </w:pPr>
    </w:p>
    <w:p>
      <w:pPr>
        <w:ind w:left="1620" w:right="839" w:firstLine="360"/>
        <w:spacing w:after="0" w:line="266" w:lineRule="auto"/>
        <w:rPr>
          <w:sz w:val="20"/>
          <w:szCs w:val="20"/>
          <w:color w:val="auto"/>
        </w:rPr>
      </w:pPr>
      <w:r>
        <w:rPr>
          <w:rFonts w:ascii="Times New Roman" w:cs="Times New Roman" w:eastAsia="Times New Roman" w:hAnsi="Times New Roman"/>
          <w:sz w:val="18"/>
          <w:szCs w:val="18"/>
          <w:color w:val="auto"/>
        </w:rPr>
        <w:t>The debt securities of a particular series will be subject to legal or covenant defeasance to the extent, and upon the terms and conditions, set forth in the prospectus supplement.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14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Resignation or Removal of Trustee</w:t>
      </w:r>
    </w:p>
    <w:p>
      <w:pPr>
        <w:spacing w:after="0" w:line="135"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Any resignation will require the appointment of a successor trustee under the applicable indenture in accordance with the terms and conditions of such indenture.</w:t>
      </w:r>
    </w:p>
    <w:p>
      <w:pPr>
        <w:spacing w:after="0" w:line="94"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Trustee if it is a Creditor</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Certificates and Opinions to be Furnished to Trustee</w:t>
      </w:r>
    </w:p>
    <w:p>
      <w:pPr>
        <w:spacing w:after="0" w:line="14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indenture and all of the debt securities will be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DESCRIPTION OF OUR PREFERRED UNITS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A Preferred Units</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On January 28, 2016, we completed a private placement of 61,030,127 Series A Convertible Preferred Units representing limited partner interests in us (the “Series A preferred units”) for a cash purchase price of $26.25 per unit (the “Issue Price”) . The Series A preferred units currently rank pari passu with our Series B preferred units (as defined below) and senior to our common units with respect to distribution rights and rights upon liquidation. The holders of the Series A preferred units receive cumulative quarterly distributions, subject to customary anti-dilution adjustments, equal to an annual rate of 8% of the Issue Price ($2.10 per unit annualized). With respect to each quarter ended on or prior to December 31, 2017 (the “Initial Distribution Period”), we had the option, which we elected, to pay distributions on the Series A preferred units in additional Series A preferred units. With respect to each quarter ending after the Initial Distribution Period, we have paid distributions on the Series A preferred units in cash. For a period of</w:t>
      </w:r>
    </w:p>
    <w:p>
      <w:pPr>
        <w:spacing w:after="0" w:line="7" w:lineRule="exact"/>
        <w:rPr>
          <w:sz w:val="20"/>
          <w:szCs w:val="20"/>
          <w:color w:val="auto"/>
        </w:rPr>
      </w:pPr>
    </w:p>
    <w:p>
      <w:pPr>
        <w:ind w:left="1260" w:right="499"/>
        <w:spacing w:after="0" w:line="241" w:lineRule="auto"/>
        <w:rPr>
          <w:sz w:val="20"/>
          <w:szCs w:val="20"/>
          <w:color w:val="auto"/>
        </w:rPr>
      </w:pPr>
      <w:r>
        <w:rPr>
          <w:rFonts w:ascii="Times New Roman" w:cs="Times New Roman" w:eastAsia="Times New Roman" w:hAnsi="Times New Roman"/>
          <w:sz w:val="18"/>
          <w:szCs w:val="18"/>
          <w:color w:val="auto"/>
        </w:rPr>
        <w:t>30 days following (a) the fifth anniversary of the issue date of the Series A preferred units and (b) each subsequent anniversary of the issue date, the holders of Series A preferred units, acting by majority vote, may make a one-time election to reset the Series A preferred unit distribution rate to equal the then applicable rate of ten-year U.S. Treasury Securities plus 5.85% (the “Preferred Distribution Rate Reset Option”). If the holders of Series A preferred units have exercised the Preferred Distribution Rate Reset Option, then, at any time following 30 days after the sixth anniversary of the issue date of the Series A preferred units, 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33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holders of Series A preferred units may convert such units into common units, generally on a one-for- one basis and subject to customary anti -dilution adjustments, at any time (but not more often than once per quarter),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Series A preferred units. We may convert the Series A preferred units into common units at any time (but not more often than once per quarter),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 The Series A preferred units vote on an as-converted basis with our common units (see “Description of Our Common Units — Voting”)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their Series A preferred units into common units at the then applicable conversion rate.</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B Preferred Units</w:t>
      </w:r>
    </w:p>
    <w:p>
      <w:pPr>
        <w:spacing w:after="0" w:line="148"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color w:val="auto"/>
        </w:rPr>
        <w:t>On October 10, 2017, we issued 800,000 Series B Fixed-to-Floating Rate Cumulative Redeemable Perpetual Preferred Units representing limited partner interests in us (the “Series B preferred units”) at a price to the public of $1,000 per unit. The Series B preferred units currently rank pari passu with our Series A preferred units and senior to our common units with respect to distribution rights and rights upon liquidation.</w:t>
      </w:r>
    </w:p>
    <w:p>
      <w:pPr>
        <w:spacing w:after="0" w:line="32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Holders of our Series B preferred units are entitled to receive, when, as and if declared by our general partner out of legally available funds for such purpose, cumulative semiannual or quarterly cash distributions, as applicable. Distributions on the Series B preferred units accrue and are cumulative from October 10, 2017, the date of original issue, and are payable semiannually in arrears on the 15th day of May and November through and including November 15, 2022, and after November 15, 2022, quarterly in arrears on the 15th day of February, May, August and November of each year. The initial distribution rate for the Series B preferred units from and including October 10, 2017 to, but not including, November 15, 2022 is 6.125% per year of the liquidation preference per unit (equal to $61.25 per unit per year). On and after November 15, 2022, distributions on the Series B preferred units will accumulate for each distribution period at a percentage of the liquidation preference equal to the Series B Three-Month LIBOR (as defined in and calculated pursuant to our partnership agreement) plus a spread of 4.11%.</w:t>
      </w:r>
    </w:p>
    <w:p>
      <w:pPr>
        <w:spacing w:after="0" w:line="12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Series B preferred units have a liquidation preference of $1,000 per unit. Upon the occurrence of certain rating agency events, we may redeem the Series B preferred units, in whole but not in part, at a price of $1,020 (102% of the liquidation preference) per Series B preferred unit plus an amount equal to all accumulated and unpaid distributions thereon to, but not including, the date of redemption, whether or not declared. In addition, at any time on or after November 15, 2022, we may redeem the Series B</w:t>
      </w:r>
    </w:p>
    <w:p>
      <w:pPr>
        <w:spacing w:after="0" w:line="3" w:lineRule="exact"/>
        <w:rPr>
          <w:sz w:val="20"/>
          <w:szCs w:val="20"/>
          <w:color w:val="auto"/>
        </w:rPr>
      </w:pPr>
    </w:p>
    <w:p>
      <w:pPr>
        <w:ind w:left="1260" w:right="439"/>
        <w:spacing w:after="0" w:line="255" w:lineRule="auto"/>
        <w:rPr>
          <w:sz w:val="20"/>
          <w:szCs w:val="20"/>
          <w:color w:val="auto"/>
        </w:rPr>
      </w:pPr>
      <w:r>
        <w:rPr>
          <w:rFonts w:ascii="Times New Roman" w:cs="Times New Roman" w:eastAsia="Times New Roman" w:hAnsi="Times New Roman"/>
          <w:sz w:val="18"/>
          <w:szCs w:val="18"/>
          <w:color w:val="auto"/>
        </w:rPr>
        <w:t>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Future Issuances of Preferred Units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Our partnership agreement authorizes us to issue an unlimited number of additional limited partner interests and other equity securities on the terms and conditions established by our general partner, subject to the approval of (i) the holders of our Series A preferred units with respect to securities that rank senior to, and in excess of a permitted amount of parity preferred securities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A</w:t>
      </w:r>
    </w:p>
    <w:p>
      <w:pPr>
        <w:spacing w:after="0" w:line="3"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preferred units with respect to distributions and (ii) the holders of our Series B preferred units for the issuance of parity securities or senior securities as described above under “— Series B Preferred Units.” As of the date of this prospectus, we had 71,090,468 Series A preferred units outstanding and 800,000 Series B preferred units outstanding.</w:t>
      </w:r>
    </w:p>
    <w:p>
      <w:pPr>
        <w:spacing w:after="0" w:line="10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Should we offer preferred units under this prospectus, a prospectus supplement relating to the particular series of preferred units offered will include the specific terms of those preferred units, including, among other things, the following:</w:t>
      </w:r>
    </w:p>
    <w:p>
      <w:pPr>
        <w:spacing w:after="0" w:line="68" w:lineRule="exact"/>
        <w:rPr>
          <w:sz w:val="20"/>
          <w:szCs w:val="20"/>
          <w:color w:val="auto"/>
        </w:rPr>
      </w:pPr>
    </w:p>
    <w:p>
      <w:pPr>
        <w:ind w:left="1800" w:right="79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liquidation preference of the preferred units and the number of preferred units offered;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at which the preferred units will be issued;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 of the preferred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 of the preferred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rights of the preferred units, if any;</w:t>
      </w:r>
    </w:p>
    <w:p>
      <w:pPr>
        <w:spacing w:after="0" w:line="117" w:lineRule="exact"/>
        <w:rPr>
          <w:rFonts w:ascii="Times New Roman" w:cs="Times New Roman" w:eastAsia="Times New Roman" w:hAnsi="Times New Roman"/>
          <w:sz w:val="18"/>
          <w:szCs w:val="18"/>
          <w:color w:val="auto"/>
        </w:rPr>
      </w:pPr>
    </w:p>
    <w:p>
      <w:pPr>
        <w:ind w:left="1800" w:right="151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additional material federal income tax considerations regarding the preferred units;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rights, preferences, privileges, limitations, and restrictions of the preferred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DESCRIPTION OF OUR COMMON UNITS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w:t>
      </w:r>
    </w:p>
    <w:p>
      <w:pPr>
        <w:spacing w:after="0" w:line="110"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Our outstanding common units are listed on NASDAQ under the symbol “PAA.” Any additional common units we issue will also be listed on NASDAQ.</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transfer agent and registrar for our common units is American Stock Transfer &amp; Trust Company.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limited director voting rights described below. In addition, our partnership agreement limits fiduciary duties our general partner may owe to unitholders.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spacing w:after="0" w:line="329"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the “board.”</w:t>
      </w:r>
    </w:p>
    <w:p>
      <w:pPr>
        <w:spacing w:after="0" w:line="11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Subject to limited exceptions, PAGP GP’s Third Amended and Restated Limited Liability Company Agreement, as amended, provides that the board will consist of up to 13 members, including the CEO. In addition, if we fail to make three distributions on the Series A preferred units (whether or not consecutive), the holders of Series A preferred units will have the right to appoint a new member of the board to serve until such time as all accrued and unpaid distributions on the Series A preferred units have been paid in full.</w:t>
      </w:r>
    </w:p>
    <w:p>
      <w:pPr>
        <w:spacing w:after="0" w:line="114"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The board is divided into three staggered classes. At each annual meeting, only the eligible directors of a class whose term is expiring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spacing w:after="0" w:line="32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PAGP holds annual shareholder meetings for the purpose of electing eligible directors.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the election of eligible directors at PAGP’s annual meeting. We will vote (or refrain from voting) our Class C shares for the election of eligible directors at the direction and on behalf of our eligible common and Series A preferred unitholders in the same proportion as the votes received from or withheld by our limited partners. At our annual meetings, common units held by AAP will not be voted on the election of directors and other routine matters and will not be counted for purposes of determining whether a quorum exists.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Status as Limited Partner or Assignee</w:t>
      </w:r>
    </w:p>
    <w:p>
      <w:pPr>
        <w:spacing w:after="0" w:line="16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Except as described under “Description of Our Partnership Agreement — Limited Liability,” the common units will be fully paid, and common unitholders will not be required to make additional capital contributions to us.</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10" w:lineRule="exact"/>
        <w:rPr>
          <w:sz w:val="20"/>
          <w:szCs w:val="20"/>
          <w:color w:val="auto"/>
        </w:rPr>
      </w:pPr>
    </w:p>
    <w:p>
      <w:pPr>
        <w:ind w:left="1260" w:right="639" w:firstLine="360"/>
        <w:spacing w:after="0" w:line="245" w:lineRule="auto"/>
        <w:rPr>
          <w:sz w:val="20"/>
          <w:szCs w:val="20"/>
          <w:color w:val="auto"/>
        </w:rPr>
      </w:pPr>
      <w:r>
        <w:rPr>
          <w:rFonts w:ascii="Times New Roman" w:cs="Times New Roman" w:eastAsia="Times New Roman" w:hAnsi="Times New Roman"/>
          <w:sz w:val="18"/>
          <w:szCs w:val="18"/>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Redemption Right</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Each holder of AAP’s Class A units (other than PAGP and GP LLC)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general partner units (if any), in each case, to PAGP. The AAP Class A units transferred to AAP will be canceled, the PAGP Class B shares transferred to PAGP will be canceled and the general partner units transferred to PAGP will remain outstanding and increase PAGP’s</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ownership percentage in PAGP GP.</w:t>
      </w:r>
    </w:p>
    <w:p>
      <w:pPr>
        <w:spacing w:after="0" w:line="12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As long as PAGP’s Class A shares are publicly traded, a holder of Class B units of AAP (the “AAP management units”) will be entitled to convert his or her vested AAP management units into AAP Class A units and a like number of PAGP Class B shares based on a conversion ratio of approximately 0.941 AAP Class A units and PAGP Class B shares for each AAP management unit. Following any such conversion, the holder will have the Redemption Right as a holder of AAP’s Class A units. Holders of vested AAP management units who convert such units into AAP Class A units and PAGP Class B shares will not receive general partner units and thus will not need to include any general partner units in a transfer or the exercise of their Redemption Right.</w:t>
      </w:r>
    </w:p>
    <w:p>
      <w:pPr>
        <w:spacing w:after="0" w:line="328"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The above mechanisms are subject to customary conversion rate adjustments for equity splits, equity dividends and reclassifications.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Reports and Records</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2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16"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A limited partner can, for a purpose reasonably related to the limited partner’s interest as a limited partner, upon reasonable demand and at his own expense, have furnished to him:</w:t>
      </w:r>
    </w:p>
    <w:p>
      <w:pPr>
        <w:spacing w:after="0" w:line="54" w:lineRule="exact"/>
        <w:rPr>
          <w:sz w:val="20"/>
          <w:szCs w:val="20"/>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list of the name and last known address of each partner;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our tax returns;</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6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our partnership agreement, our certificate of limited partnership, amendments to either of them and powers of attorney which have been executed under our partnership agreement;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the status of our business and financial condition;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our affairs as is just and reasonable.</w:t>
      </w:r>
    </w:p>
    <w:p>
      <w:pPr>
        <w:spacing w:after="0" w:line="158"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CASH DISTRIBUTION POLICY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of Available Cash</w:t>
      </w:r>
    </w:p>
    <w:p>
      <w:pPr>
        <w:spacing w:after="0" w:line="160" w:lineRule="exact"/>
        <w:rPr>
          <w:sz w:val="20"/>
          <w:szCs w:val="20"/>
          <w:color w:val="auto"/>
        </w:rPr>
      </w:pPr>
    </w:p>
    <w:p>
      <w:pPr>
        <w:ind w:left="1260" w:right="7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We will distribute to our unitholders, on a quarterly basis, all of our available cash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described below.</w:t>
      </w:r>
    </w:p>
    <w:p>
      <w:pPr>
        <w:spacing w:after="0" w:line="91" w:lineRule="exact"/>
        <w:rPr>
          <w:sz w:val="20"/>
          <w:szCs w:val="20"/>
          <w:color w:val="auto"/>
        </w:rPr>
      </w:pPr>
    </w:p>
    <w:p>
      <w:pPr>
        <w:ind w:left="1260" w:right="5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Definition of Available Cash</w:t>
      </w:r>
      <w:r>
        <w:rPr>
          <w:rFonts w:ascii="Times New Roman" w:cs="Times New Roman" w:eastAsia="Times New Roman" w:hAnsi="Times New Roman"/>
          <w:sz w:val="18"/>
          <w:szCs w:val="18"/>
          <w:color w:val="auto"/>
        </w:rPr>
        <w:t>. Available cash generally means, for any quarter ending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liquidation, all cash and cash equivalents on hand at the end of that quarter less reserves established in the reasonable discretion of the general partner for future requirements to:</w:t>
      </w:r>
    </w:p>
    <w:p>
      <w:pPr>
        <w:spacing w:after="0" w:line="67" w:lineRule="exact"/>
        <w:rPr>
          <w:sz w:val="20"/>
          <w:szCs w:val="20"/>
          <w:color w:val="auto"/>
        </w:rPr>
      </w:pPr>
    </w:p>
    <w:p>
      <w:pPr>
        <w:ind w:left="1800" w:right="95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our business and the business of our operating partnerships (including reserves for future capital expenditures and for our anticipated future credit needs);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or any loan agreement, security agreement, mortgage, debt instrument or other agreement or obligation; or</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distributions to our Series A and Series B preferred unitholders or distributions to our common unitholders for any one or more of the next four quarters.</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available cash also includes cash on hand resulting from borrowings made after the end of the quarter.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Operating Surplus and Capital Surplus</w:t>
      </w:r>
    </w:p>
    <w:p>
      <w:pPr>
        <w:spacing w:after="0" w:line="160" w:lineRule="exact"/>
        <w:rPr>
          <w:sz w:val="20"/>
          <w:szCs w:val="20"/>
          <w:color w:val="auto"/>
        </w:rPr>
      </w:pPr>
    </w:p>
    <w:p>
      <w:pPr>
        <w:ind w:left="1260" w:right="7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Cash distributions to our common unitholders will be characterized as either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surplus or capital surplus. We distribute available cash from operating surplus differently than available cash from capital surplus. See “— Quarterly Distributions of Available Cash.”</w:t>
      </w:r>
    </w:p>
    <w:p>
      <w:pPr>
        <w:spacing w:after="0" w:line="92" w:lineRule="exact"/>
        <w:rPr>
          <w:sz w:val="20"/>
          <w:szCs w:val="20"/>
          <w:color w:val="auto"/>
        </w:rPr>
      </w:pPr>
    </w:p>
    <w:p>
      <w:pPr>
        <w:ind w:left="1620"/>
        <w:spacing w:after="0"/>
        <w:tabs>
          <w:tab w:leader="none" w:pos="4200" w:val="left"/>
        </w:tabs>
        <w:rPr>
          <w:sz w:val="20"/>
          <w:szCs w:val="20"/>
          <w:color w:val="auto"/>
        </w:rPr>
      </w:pPr>
      <w:r>
        <w:rPr>
          <w:rFonts w:ascii="Times New Roman" w:cs="Times New Roman" w:eastAsia="Times New Roman" w:hAnsi="Times New Roman"/>
          <w:sz w:val="18"/>
          <w:szCs w:val="18"/>
          <w:i w:val="1"/>
          <w:iCs w:val="1"/>
          <w:color w:val="auto"/>
        </w:rPr>
        <w:t>Definition of Operating Surplus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Operating surplus refers generally to:</w:t>
      </w:r>
    </w:p>
    <w:p>
      <w:pPr>
        <w:spacing w:after="0" w:line="119" w:lineRule="exact"/>
        <w:rPr>
          <w:sz w:val="20"/>
          <w:szCs w:val="20"/>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balances on the closing date of our initial public offering; plus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plus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cash receipts from operations, excluding cash that is capital surplus; less</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93" w:lineRule="exact"/>
        <w:rPr>
          <w:sz w:val="20"/>
          <w:szCs w:val="20"/>
          <w:color w:val="auto"/>
        </w:rPr>
      </w:pPr>
    </w:p>
    <w:p>
      <w:pPr>
        <w:ind w:left="1620"/>
        <w:spacing w:after="0"/>
        <w:tabs>
          <w:tab w:leader="none" w:pos="4000" w:val="left"/>
        </w:tabs>
        <w:rPr>
          <w:sz w:val="20"/>
          <w:szCs w:val="20"/>
          <w:color w:val="auto"/>
        </w:rPr>
      </w:pPr>
      <w:r>
        <w:rPr>
          <w:rFonts w:ascii="Times New Roman" w:cs="Times New Roman" w:eastAsia="Times New Roman" w:hAnsi="Times New Roman"/>
          <w:sz w:val="18"/>
          <w:szCs w:val="18"/>
          <w:i w:val="1"/>
          <w:iCs w:val="1"/>
          <w:color w:val="auto"/>
        </w:rPr>
        <w:t>Definition of Capital Surplus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Capital surplus will generally be generated only by:</w:t>
      </w:r>
    </w:p>
    <w:p>
      <w:pPr>
        <w:spacing w:after="0" w:line="133" w:lineRule="exact"/>
        <w:rPr>
          <w:sz w:val="20"/>
          <w:szCs w:val="20"/>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other than working capital borrowings;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debt and equity securities; and</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other dispositions of assets for cash, other than inventory, accounts receivable and other assets in the ordinary course of business.</w:t>
      </w:r>
    </w:p>
    <w:p>
      <w:pPr>
        <w:spacing w:after="0" w:line="81"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1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 of Issuance of Additional Units</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can issue additional common units or other equity securities for consideration and under terms and conditions approved by our general partner in its sole discretion and without the approval of our unitholders,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75" w:lineRule="auto"/>
        <w:rPr>
          <w:sz w:val="20"/>
          <w:szCs w:val="20"/>
          <w:color w:val="auto"/>
        </w:rPr>
      </w:pPr>
      <w:r>
        <w:rPr>
          <w:rFonts w:ascii="Times New Roman" w:cs="Times New Roman" w:eastAsia="Times New Roman" w:hAnsi="Times New Roman"/>
          <w:sz w:val="18"/>
          <w:szCs w:val="18"/>
          <w:color w:val="auto"/>
        </w:rPr>
        <w:t>other than current holders of our Series A preferred units and Series B preferred units in certain circumstances. We may fund acquisitions through the issuance of additional common units or other equity securities.</w:t>
      </w:r>
    </w:p>
    <w:p>
      <w:pPr>
        <w:spacing w:after="0" w:line="32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A Convertible Preferred Units</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terms of our Series A preferred units and notable provisions with respect to distributions on the Series A preferred units are described under “Description of Our Preferred Units — Series A Preferred Units.”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B Convertible Preferred Units</w:t>
      </w:r>
    </w:p>
    <w:p>
      <w:pPr>
        <w:spacing w:after="0" w:line="148"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terms of our Series B preferred units and notable provisions with respect to distributions on the Series B preferred units are described under “Description of Our Preferred Units — Series B Preferred Units.”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Quarterly Distributions of Available Cash</w:t>
      </w:r>
    </w:p>
    <w:p>
      <w:pPr>
        <w:spacing w:after="0" w:line="16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from Operating Surplus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will make distributions of available cash from operating surplus to all common unitholders, pro rata until we distribute an aggregate amount of available cash equal to the aggregate operating surplus generated by the Partnership from the time of our initial public offering through the end of the quarter in respect of such distribution.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from Capital Surplus</w:t>
      </w:r>
    </w:p>
    <w:p>
      <w:pPr>
        <w:spacing w:after="0" w:line="148"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We will make distributions of available cash from capital surplus to all common unitholders pro rata. We may not make distributions of capital surplus without the approval of (i) holders of at least 75% of the outstanding Series A preferred units and (ii) holders of at least 66 </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Series B preferred units.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 of Cash upon Liquidation</w:t>
      </w:r>
    </w:p>
    <w:p>
      <w:pPr>
        <w:spacing w:after="0" w:line="162"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If we dissolve and liquidate, we will sell or otherwise dispose of our assets and adjust the partners’ capital account balances to reflect any resulting gain or loss. We will apply the proceeds of liquidation</w:t>
      </w:r>
    </w:p>
    <w:p>
      <w:pPr>
        <w:ind w:left="1260" w:right="459"/>
        <w:spacing w:after="0" w:line="253" w:lineRule="auto"/>
        <w:tabs>
          <w:tab w:leader="none" w:pos="148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payment of our creditors in the order of priority provided in our partnership agreement and by law, (ii) second to the holders of outstanding preferred units in accordance with their adjusted capital account balances and (iii) thereafter, to the common unitholders in accordance with their adjusted capital account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OUR PARTNERSHIP AGREEMENT</w:t>
      </w:r>
    </w:p>
    <w:p>
      <w:pPr>
        <w:spacing w:after="0" w:line="16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provisions of our partnership agreement. The following provisions of our partnership agreement are summarized elsewhere in this prospectus:</w:t>
      </w:r>
    </w:p>
    <w:p>
      <w:pPr>
        <w:spacing w:after="0" w:line="54" w:lineRule="exact"/>
        <w:rPr>
          <w:sz w:val="20"/>
          <w:szCs w:val="20"/>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our available cash are described under “Cash Distribution Policy;”</w:t>
      </w:r>
    </w:p>
    <w:p>
      <w:pPr>
        <w:spacing w:after="0" w:line="117"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allocations of taxable income and other tax matters are described under “Material U.S. Federal Income Tax Consequences;”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our preferred units are described under “Description of our Preferred Units;”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our common units are described under “Description of Our Common Units.”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Reimbursements of Our General Partner</w:t>
      </w:r>
    </w:p>
    <w:p>
      <w:pPr>
        <w:spacing w:after="0" w:line="14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Issuance of Additional Securities</w:t>
      </w:r>
    </w:p>
    <w:p>
      <w:pPr>
        <w:spacing w:after="0" w:line="148"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32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It is likely that we will fund acquisitions through the issuance of additional common units or other</w:t>
      </w:r>
    </w:p>
    <w:p>
      <w:pPr>
        <w:spacing w:after="0" w:line="27"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15" w:lineRule="exact"/>
        <w:rPr>
          <w:sz w:val="20"/>
          <w:szCs w:val="20"/>
          <w:color w:val="auto"/>
        </w:rPr>
      </w:pPr>
    </w:p>
    <w:p>
      <w:pPr>
        <w:jc w:val="both"/>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09"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Amendments to Our Partnership Agreement</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Withdrawal or Removal of Our General Partner</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spacing w:after="0" w:line="114"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spacing w:after="0" w:line="11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Our general partner may not be removed unless that removal is approved by the vote of the holders of not less than two- 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spacing w:after="0" w:line="325"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102"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Liquidation and Distribution of Proceeds</w:t>
      </w:r>
    </w:p>
    <w:p>
      <w:pPr>
        <w:spacing w:after="0" w:line="16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69" w:lineRule="exact"/>
        <w:rPr>
          <w:sz w:val="20"/>
          <w:szCs w:val="20"/>
          <w:color w:val="auto"/>
        </w:rPr>
      </w:pPr>
    </w:p>
    <w:p>
      <w:pPr>
        <w:ind w:left="1800" w:right="115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towards the payment of all of our creditors and the creation of a reserve for contingent liabilities;</w:t>
      </w:r>
    </w:p>
    <w:p>
      <w:pPr>
        <w:spacing w:after="0" w:line="40" w:lineRule="exact"/>
        <w:rPr>
          <w:rFonts w:ascii="Times New Roman" w:cs="Times New Roman" w:eastAsia="Times New Roman" w:hAnsi="Times New Roman"/>
          <w:sz w:val="18"/>
          <w:szCs w:val="18"/>
          <w:color w:val="auto"/>
        </w:rPr>
      </w:pPr>
    </w:p>
    <w:p>
      <w:pPr>
        <w:ind w:left="1800" w:right="89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to all partners in accordance with the positive balance in their respective capital accounts.</w:t>
      </w:r>
    </w:p>
    <w:p>
      <w:pPr>
        <w:spacing w:after="0" w:line="158"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Change of Management Provisions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54" w:lineRule="exact"/>
        <w:rPr>
          <w:sz w:val="20"/>
          <w:szCs w:val="20"/>
          <w:color w:val="auto"/>
        </w:rPr>
      </w:pPr>
    </w:p>
    <w:p>
      <w:pPr>
        <w:jc w:val="both"/>
        <w:ind w:left="1800" w:right="659" w:hanging="180"/>
        <w:spacing w:after="0" w:line="275"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281" w:lineRule="exact"/>
        <w:rPr>
          <w:rFonts w:ascii="Times New Roman" w:cs="Times New Roman" w:eastAsia="Times New Roman" w:hAnsi="Times New Roman"/>
          <w:sz w:val="18"/>
          <w:szCs w:val="18"/>
          <w:color w:val="auto"/>
        </w:rPr>
      </w:pPr>
    </w:p>
    <w:p>
      <w:pPr>
        <w:jc w:val="both"/>
        <w:ind w:left="1800" w:right="739" w:hanging="180"/>
        <w:spacing w:after="0" w:line="26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Limited Call Right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at any time our general partner and its affiliates (other than, with respect to the Series A</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preferred units, such affiliates that originally purchased Series A preferred units) own 80% or more of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issued and outstanding limited partner interests of any class, our general partner will have the right to</w:t>
      </w:r>
    </w:p>
    <w:p>
      <w:pPr>
        <w:ind w:left="1260"/>
        <w:spacing w:after="0" w:line="234" w:lineRule="auto"/>
        <w:rPr>
          <w:sz w:val="20"/>
          <w:szCs w:val="20"/>
          <w:color w:val="auto"/>
        </w:rPr>
      </w:pPr>
      <w:r>
        <w:rPr>
          <w:rFonts w:ascii="Times New Roman" w:cs="Times New Roman" w:eastAsia="Times New Roman" w:hAnsi="Times New Roman"/>
          <w:sz w:val="18"/>
          <w:szCs w:val="18"/>
          <w:color w:val="auto"/>
        </w:rPr>
        <w:t>purchase all, but not less than all, of the outstanding limited partner interests of that class that are held by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non-affiliated persons. The record date for determining ownership of the limited partner interests would be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selected by our general partner on at least 10 but not more than 60 days’ notice. The purchase price in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event of a purchase under these provisions would be the greater of (1) the current market price (as defined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our agreement) of the limited partner interests of the class as of the date three days prior to the date that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notice is mailed to the limited partners as provided in our partnership agreement and (2) the highest cash</w:t>
      </w:r>
    </w:p>
    <w:p>
      <w:pPr>
        <w:ind w:left="1260"/>
        <w:spacing w:after="0" w:line="234" w:lineRule="auto"/>
        <w:rPr>
          <w:sz w:val="20"/>
          <w:szCs w:val="20"/>
          <w:color w:val="auto"/>
        </w:rPr>
      </w:pPr>
      <w:r>
        <w:rPr>
          <w:rFonts w:ascii="Times New Roman" w:cs="Times New Roman" w:eastAsia="Times New Roman" w:hAnsi="Times New Roman"/>
          <w:sz w:val="18"/>
          <w:szCs w:val="18"/>
          <w:color w:val="auto"/>
        </w:rPr>
        <w:t>price paid by our general partner or any of its affiliates for any limited partner interest of the class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purchased within the 90 days preceding the date our general partner mails notice of its election to purchase</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units.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328"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Limited Liability</w:t>
      </w:r>
    </w:p>
    <w:p>
      <w:pPr>
        <w:spacing w:after="0" w:line="148"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16" w:lineRule="exact"/>
        <w:rPr>
          <w:sz w:val="20"/>
          <w:szCs w:val="20"/>
          <w:color w:val="auto"/>
        </w:rPr>
      </w:pPr>
    </w:p>
    <w:p>
      <w:pPr>
        <w:jc w:val="both"/>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Under the Delaware Act, a limited partnership may not make a distribution to a partner to the extent that at the time of the distribution, after giving effect to the distribution, all liabilities of the partnership,</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4" w:lineRule="auto"/>
        <w:rPr>
          <w:sz w:val="20"/>
          <w:szCs w:val="20"/>
          <w:color w:val="auto"/>
        </w:rPr>
      </w:pPr>
      <w:r>
        <w:rPr>
          <w:rFonts w:ascii="Times New Roman" w:cs="Times New Roman" w:eastAsia="Times New Roman" w:hAnsi="Times New Roman"/>
          <w:sz w:val="18"/>
          <w:szCs w:val="18"/>
          <w:color w:val="auto"/>
        </w:rPr>
        <w:t>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w:t>
      </w:r>
    </w:p>
    <w:p>
      <w:pPr>
        <w:spacing w:after="0" w:line="337"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Legal conclusions contained in this section, unless otherwise noted, are the opinion of Vinson &amp; Elkins L.L.P. and are based on the accuracy of representations made by us to them for this purpose. However, this section does not address all federal income tax matters that may affect us or our unitholders, such as the application of the alternative minimum tax. This section also does not address local taxes, state taxes, non-U.S. taxes, or other taxes that may be applicable, except to the limited extent that such tax considerations are addressed below under “—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w:t>
      </w:r>
    </w:p>
    <w:p>
      <w:pPr>
        <w:spacing w:after="0" w:line="328" w:lineRule="exact"/>
        <w:rPr>
          <w:sz w:val="20"/>
          <w:szCs w:val="20"/>
          <w:color w:val="auto"/>
        </w:rPr>
      </w:pPr>
    </w:p>
    <w:p>
      <w:pPr>
        <w:ind w:left="1260" w:right="959" w:firstLine="3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Accordingly, we encourage each prospective unitholder to consult the unitholder’s own tax advisor in analyzing the federal, state, local and non-U.S. tax consequences particular to that unitholder resulting from ownership or disposition of our units and potential changes in applicable tax laws.</w:t>
      </w:r>
    </w:p>
    <w:p>
      <w:pPr>
        <w:spacing w:after="0" w:line="8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No ruling has been or will be requested from the Internal Revenue Service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24"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For the reasons described below, Vinson &amp; Elkins L.L.P. has not rendered an opinion with respect to the following federal income tax issues:</w:t>
      </w:r>
    </w:p>
    <w:p>
      <w:pPr>
        <w:spacing w:after="0" w:line="54" w:lineRule="exact"/>
        <w:rPr>
          <w:sz w:val="20"/>
          <w:szCs w:val="20"/>
          <w:color w:val="auto"/>
        </w:rPr>
      </w:pPr>
    </w:p>
    <w:p>
      <w:pPr>
        <w:ind w:left="1800" w:right="67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of a unitholder whose units are the subject of a securities loan (e.g., a loan to a short seller to cover a short sale of units) (please read “— Tax Consequences of Unit Ownership —  Treatment of Securities Loans”);</w:t>
      </w:r>
    </w:p>
    <w:p>
      <w:pPr>
        <w:spacing w:after="0" w:line="81"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monthly convention for allocating taxable income and losses is permitted by existing Treasury Regulations (please read “— Disposition of Units — Allocations Between Transferors and Transferees”);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method for taking into account Section 743 adjustments is sustainable in certain cases (please read “— Tax Consequences of Unit Ownership — Section 754 Election” and “— Disposition of Units — Uniformity of Units”);</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66"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use of simplifying conventions for making adjustments to “book” basis and relevant allocations is permitted by existing Treasury Regulations (please read “— Tax Consequences of Unit Ownership — Allocation of Income, Gain, Loss and Deduction” and “— Uniformity of Units”); and</w:t>
      </w:r>
    </w:p>
    <w:p>
      <w:pPr>
        <w:spacing w:after="0" w:line="67" w:lineRule="exact"/>
        <w:rPr>
          <w:rFonts w:ascii="Times New Roman" w:cs="Times New Roman" w:eastAsia="Times New Roman" w:hAnsi="Times New Roman"/>
          <w:sz w:val="18"/>
          <w:szCs w:val="18"/>
          <w:color w:val="auto"/>
        </w:rPr>
      </w:pPr>
    </w:p>
    <w:p>
      <w:pPr>
        <w:jc w:val="both"/>
        <w:ind w:left="1800" w:right="579" w:hanging="180"/>
        <w:spacing w:after="0" w:line="266"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allocations of income, gain, loss and deduction will be given effect for federal income tax purposes (please read “— Tax Consequences of Unit Ownership — Allocation of Income, Gain, Loss and Deduction”).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Taxation of the Partnership</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Partnership Status</w:t>
      </w:r>
    </w:p>
    <w:p>
      <w:pPr>
        <w:spacing w:after="0" w:line="162" w:lineRule="exact"/>
        <w:rPr>
          <w:sz w:val="20"/>
          <w:szCs w:val="20"/>
          <w:color w:val="auto"/>
        </w:rPr>
      </w:pPr>
    </w:p>
    <w:p>
      <w:pPr>
        <w:ind w:left="1260" w:right="619" w:firstLine="360"/>
        <w:spacing w:after="0" w:line="242" w:lineRule="auto"/>
        <w:rPr>
          <w:sz w:val="20"/>
          <w:szCs w:val="20"/>
          <w:color w:val="auto"/>
        </w:rPr>
      </w:pPr>
      <w:r>
        <w:rPr>
          <w:rFonts w:ascii="Times New Roman" w:cs="Times New Roman" w:eastAsia="Times New Roman" w:hAnsi="Times New Roman"/>
          <w:sz w:val="18"/>
          <w:szCs w:val="18"/>
          <w:color w:val="auto"/>
        </w:rPr>
        <w:t>We expect to be treated as a partnership for federal income tax purposes and, therefore, subject to the discussion below under “— Administrative Matters — 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 Tax Consequences of Unit Ownership — Treatment of Distributions” and “— Disposition of Units”.</w:t>
      </w:r>
    </w:p>
    <w:p>
      <w:pPr>
        <w:spacing w:after="0" w:line="12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w:t>
      </w:r>
    </w:p>
    <w:p>
      <w:pPr>
        <w:spacing w:after="0" w:line="11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114" w:lineRule="exact"/>
        <w:rPr>
          <w:sz w:val="20"/>
          <w:szCs w:val="20"/>
          <w:color w:val="auto"/>
        </w:rPr>
      </w:pPr>
    </w:p>
    <w:p>
      <w:pPr>
        <w:ind w:left="1620" w:right="699" w:firstLine="292"/>
        <w:spacing w:after="0" w:line="282" w:lineRule="auto"/>
        <w:tabs>
          <w:tab w:leader="none" w:pos="217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we nor any of our partnership or limited liability company operating subsidiaries has elected or will elect to be treated as a corporation for federal income tax purposes;</w:t>
      </w:r>
    </w:p>
    <w:p>
      <w:pPr>
        <w:spacing w:after="0" w:line="80" w:lineRule="exact"/>
        <w:rPr>
          <w:rFonts w:ascii="Times New Roman" w:cs="Times New Roman" w:eastAsia="Times New Roman" w:hAnsi="Times New Roman"/>
          <w:sz w:val="18"/>
          <w:szCs w:val="18"/>
          <w:color w:val="auto"/>
        </w:rPr>
      </w:pPr>
    </w:p>
    <w:p>
      <w:pPr>
        <w:jc w:val="both"/>
        <w:ind w:left="1620" w:right="499" w:firstLine="292"/>
        <w:spacing w:after="0" w:line="250" w:lineRule="auto"/>
        <w:tabs>
          <w:tab w:leader="none" w:pos="218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09" w:lineRule="exact"/>
        <w:rPr>
          <w:rFonts w:ascii="Times New Roman" w:cs="Times New Roman" w:eastAsia="Times New Roman" w:hAnsi="Times New Roman"/>
          <w:sz w:val="18"/>
          <w:szCs w:val="18"/>
          <w:color w:val="auto"/>
        </w:rPr>
      </w:pPr>
    </w:p>
    <w:p>
      <w:pPr>
        <w:ind w:left="1620" w:right="479" w:firstLine="292"/>
        <w:spacing w:after="0" w:line="250" w:lineRule="auto"/>
        <w:tabs>
          <w:tab w:leader="none" w:pos="217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believe that these representations are true and will be true in the future.</w:t>
      </w:r>
    </w:p>
    <w:p>
      <w:pPr>
        <w:spacing w:after="0" w:line="15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6" w:lineRule="auto"/>
        <w:rPr>
          <w:sz w:val="20"/>
          <w:szCs w:val="20"/>
          <w:color w:val="auto"/>
        </w:rPr>
      </w:pPr>
      <w:r>
        <w:rPr>
          <w:rFonts w:ascii="Times New Roman" w:cs="Times New Roman" w:eastAsia="Times New Roman" w:hAnsi="Times New Roman"/>
          <w:sz w:val="18"/>
          <w:szCs w:val="18"/>
          <w:color w:val="auto"/>
        </w:rPr>
        <w:t>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by our unitholders or us so long as the aggregate amount of our liabilities does not exceed the adjusted tax basis of our assets. Thereafter, we would be treated as an association taxable as a corporation for federal income tax purposes.</w:t>
      </w:r>
    </w:p>
    <w:p>
      <w:pPr>
        <w:spacing w:after="0" w:line="336"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have proposed and considered substantive changes to the existing federal income tax laws that would affect publicly traded partnerships. One such legislative proposal would have eliminated the Qualifying Income Exception upon which we rely for our treatment as a partnership for federal income tax purposes.</w:t>
      </w:r>
    </w:p>
    <w:p>
      <w:pPr>
        <w:spacing w:after="0" w:line="12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In addition, on January 24, 2017, final regulations regarding which activities give rise to qualifying income (the “Final Regulations”) within the meaning of Section 7704 of the Code were published in the Federal Register. The Final Regulations are effective as of January 19, 2017, and apply to taxable years beginning on or after January 19, 2017. We do not believe the Final Regulations affect our ability to qualify as a publicly traded partnership.</w:t>
      </w:r>
    </w:p>
    <w:p>
      <w:pPr>
        <w:spacing w:after="0" w:line="10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116"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11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w:t>
      </w:r>
    </w:p>
    <w:p>
      <w:pPr>
        <w:spacing w:after="0" w:line="102"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is based on the opinion of Vinson &amp; Elkins L.L.P. that we will be treated as a partnership for federal income tax purposes.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of Unit Ownership</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Limited Partner Status</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335"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For a discussion related to the risks of losing partner status as a result of securities loans, please read “— Tax Consequences of Unit Ownership — Treatment of Securities Loans.”</w:t>
      </w:r>
    </w:p>
    <w:p>
      <w:pPr>
        <w:spacing w:after="0" w:line="81"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A unitholder who is not treated as a partner in us as described above is urged to consult its own tax advisors with respect to the tax consequences applicable to such unitholder under its particular circumstances.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Flow-Through of Taxable Income</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Subject to the discussion below under “— Entity-Level Collections of Unitholder Taxes” and</w:t>
      </w:r>
    </w:p>
    <w:p>
      <w:pPr>
        <w:spacing w:after="0" w:line="27" w:lineRule="exact"/>
        <w:rPr>
          <w:sz w:val="20"/>
          <w:szCs w:val="20"/>
          <w:color w:val="auto"/>
        </w:rPr>
      </w:pPr>
    </w:p>
    <w:p>
      <w:pPr>
        <w:ind w:left="1260" w:right="559"/>
        <w:spacing w:after="0"/>
        <w:rPr>
          <w:sz w:val="20"/>
          <w:szCs w:val="20"/>
          <w:color w:val="auto"/>
        </w:rPr>
      </w:pPr>
      <w:r>
        <w:rPr>
          <w:rFonts w:ascii="Times New Roman" w:cs="Times New Roman" w:eastAsia="Times New Roman" w:hAnsi="Times New Roman"/>
          <w:sz w:val="18"/>
          <w:szCs w:val="18"/>
          <w:color w:val="auto"/>
        </w:rPr>
        <w:t>“— Administrative Matters — 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Basis of Units</w:t>
      </w:r>
    </w:p>
    <w:p>
      <w:pPr>
        <w:spacing w:after="0" w:line="148"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A unitholder’s tax basis in its units initially will be the amount paid or treated as paid for those units increased by the unitholder’s initial allocable share of our liabilities. That basis generally will be</w:t>
      </w:r>
    </w:p>
    <w:p>
      <w:pPr>
        <w:ind w:left="1260" w:right="419"/>
        <w:spacing w:after="0" w:line="242" w:lineRule="auto"/>
        <w:tabs>
          <w:tab w:leader="none" w:pos="148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by the unitholder’s share of our income and any increases in such unitholder’s share of our liabilities, and (ii) 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Distributions</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 Disposition of Units.”</w:t>
      </w:r>
    </w:p>
    <w:p>
      <w:pPr>
        <w:spacing w:after="0" w:line="113"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 Disposition of Units.”</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 (1) the non-pro rata portion of that distribution over</w:t>
      </w:r>
    </w:p>
    <w:p>
      <w:pPr>
        <w:spacing w:after="0" w:line="1" w:lineRule="exact"/>
        <w:rPr>
          <w:sz w:val="20"/>
          <w:szCs w:val="20"/>
          <w:color w:val="auto"/>
        </w:rPr>
      </w:pPr>
    </w:p>
    <w:p>
      <w:pPr>
        <w:ind w:left="1260" w:right="779"/>
        <w:spacing w:after="0" w:line="260" w:lineRule="auto"/>
        <w:tabs>
          <w:tab w:leader="none" w:pos="152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unitholder’s tax basis (typically zero) in the Section 751 Assets deemed to be relinquished in the exchange.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Deductibility of Losses</w:t>
      </w:r>
    </w:p>
    <w:p>
      <w:pPr>
        <w:spacing w:after="0" w:line="162"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7" w:lineRule="auto"/>
        <w:rPr>
          <w:sz w:val="20"/>
          <w:szCs w:val="20"/>
          <w:color w:val="auto"/>
        </w:rPr>
      </w:pPr>
      <w:r>
        <w:rPr>
          <w:rFonts w:ascii="Times New Roman" w:cs="Times New Roman" w:eastAsia="Times New Roman" w:hAnsi="Times New Roman"/>
          <w:sz w:val="18"/>
          <w:szCs w:val="18"/>
          <w:color w:val="auto"/>
        </w:rPr>
        <w:t>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w:t>
      </w:r>
    </w:p>
    <w:p>
      <w:pPr>
        <w:spacing w:after="0" w:line="3" w:lineRule="exact"/>
        <w:rPr>
          <w:sz w:val="20"/>
          <w:szCs w:val="20"/>
          <w:color w:val="auto"/>
        </w:rPr>
      </w:pPr>
    </w:p>
    <w:p>
      <w:pPr>
        <w:ind w:left="1260" w:right="439"/>
        <w:spacing w:after="0"/>
        <w:tabs>
          <w:tab w:leader="none" w:pos="152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324"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1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addition to the basis and at risk limitations, passive activity loss limitations limit the deductibility of losses incurred by individuals, estates, trusts, some closely-held corporations and personal service</w:t>
      </w:r>
    </w:p>
    <w:p>
      <w:pPr>
        <w:ind w:left="1260" w:right="499"/>
        <w:spacing w:after="0"/>
        <w:rPr>
          <w:sz w:val="20"/>
          <w:szCs w:val="20"/>
          <w:color w:val="auto"/>
        </w:rPr>
      </w:pPr>
      <w:r>
        <w:rPr>
          <w:rFonts w:ascii="Times New Roman" w:cs="Times New Roman" w:eastAsia="Times New Roman" w:hAnsi="Times New Roman"/>
          <w:sz w:val="18"/>
          <w:szCs w:val="18"/>
          <w:color w:val="auto"/>
        </w:rPr>
        <w:t>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w:t>
      </w:r>
    </w:p>
    <w:p>
      <w:pPr>
        <w:spacing w:after="0" w:line="12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For taxpayers other than corporations in taxable years beginning after December 31, 2020, and before January 1, 2026,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(increased by the applicable inflation adjustment)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Interest Deductions</w:t>
      </w:r>
    </w:p>
    <w:p>
      <w:pPr>
        <w:spacing w:after="0" w:line="14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and in the case of taxable years beginning before January 1, 2022, any deduction allowable for depreciation, amortization, or depletion. This limitation is first applied at the</w:t>
      </w: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45" w:lineRule="auto"/>
        <w:rPr>
          <w:sz w:val="20"/>
          <w:szCs w:val="20"/>
          <w:color w:val="auto"/>
        </w:rPr>
      </w:pPr>
      <w:r>
        <w:rPr>
          <w:rFonts w:ascii="Times New Roman" w:cs="Times New Roman" w:eastAsia="Times New Roman" w:hAnsi="Times New Roman"/>
          <w:sz w:val="18"/>
          <w:szCs w:val="18"/>
          <w:color w:val="auto"/>
        </w:rPr>
        <w:t>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325"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 unitholder’s basis in his or her units will generally be increased by the amount of any excess business interest upon a disposition of such units.</w:t>
      </w:r>
    </w:p>
    <w:p>
      <w:pPr>
        <w:spacing w:after="0" w:line="11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addition to this limitation on the deductibility of a partnership’s business interest, the deductibility of a non-corporate taxpayer’s “investment interest expense” is generally limited to the amount of that taxpayer’s “net investment income.” Investment interest expense includes:</w:t>
      </w:r>
    </w:p>
    <w:p>
      <w:pPr>
        <w:spacing w:after="0" w:line="69" w:lineRule="exact"/>
        <w:rPr>
          <w:sz w:val="20"/>
          <w:szCs w:val="20"/>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indebtedness allocable to property held for investment;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allocated against portfolio income; and</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interest expense incurred to purchase or carry an interest in a passive activity to the extent allocable against portfolio income.</w:t>
      </w:r>
    </w:p>
    <w:p>
      <w:pPr>
        <w:spacing w:after="0" w:line="94"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Entity-Level Collections of Unitholder Taxes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 Administrative Matters — Information Returns and Audit Procedures.” Each unitholder is urged to consult its tax advisor to determine the consequences to them of any tax payment we make on its behalf.</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Allocation of Income, Gain, Loss and Deduction</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82" w:lineRule="auto"/>
        <w:rPr>
          <w:sz w:val="20"/>
          <w:szCs w:val="20"/>
          <w:color w:val="auto"/>
        </w:rPr>
      </w:pPr>
      <w:r>
        <w:rPr>
          <w:rFonts w:ascii="Times New Roman" w:cs="Times New Roman" w:eastAsia="Times New Roman" w:hAnsi="Times New Roman"/>
          <w:sz w:val="18"/>
          <w:szCs w:val="18"/>
          <w:color w:val="auto"/>
        </w:rPr>
        <w:t>above) to the unitholder who was allocated the deduction giving rise to that recapture income in order to minimize the recognition of ordinary income by other unitholders.</w:t>
      </w:r>
    </w:p>
    <w:p>
      <w:pPr>
        <w:spacing w:after="0" w:line="81"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 adjustments and allocations, which may include the aggregation of certain issuances of units. Our counsel, Vinson &amp; Elkins, L.L.P., is unable to opine as to the validity of such conventions.</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Securities Loans</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325"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 Disposition of Units — Recognition of Gain or Loss.”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Rates</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w:t>
      </w:r>
    </w:p>
    <w:p>
      <w:pPr>
        <w:spacing w:after="0" w:line="11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328" w:lineRule="exact"/>
        <w:rPr>
          <w:sz w:val="20"/>
          <w:szCs w:val="20"/>
          <w:color w:val="auto"/>
        </w:rPr>
      </w:pPr>
    </w:p>
    <w:p>
      <w:pPr>
        <w:jc w:val="both"/>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For taxable years beginning after December 31, 2017 and ending on or before December 31, 2025, an individual unitholder is entitled to a deduction equal to 20% of his or her allocable share of our “qualified business income.” For purposes of this deduction, our “qualified business income” is equal to the sum of:</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19" w:hanging="180"/>
        <w:spacing w:after="0" w:line="261"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amount of our U.S. items of income, gain, deduction, and loss to the extent such items are included or allowed in the determination of taxable income for the year, excluding, however, certain specified types of passive investment income (such as capital gains and dividends) and certain payments made to the unitholder for services rendered to the Partnership; and</w:t>
      </w:r>
    </w:p>
    <w:p>
      <w:pPr>
        <w:spacing w:after="0" w:line="71"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recognized upon a disposition of our units to the extent such gain is attributable to Section 751 Assets, such as depreciation recapture and our “inventory items,” and is thus treated as ordinary income under Section 751 of the Code.</w:t>
      </w:r>
    </w:p>
    <w:p>
      <w:pPr>
        <w:spacing w:after="0" w:line="10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income attributable to our Canadian business operations is not considered effectively connected to our U.S. business, and as a result our unitholders will not be entitled to a deduction equal to 20% of his or her allocable share of such income.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Section 754 Election</w:t>
      </w:r>
    </w:p>
    <w:p>
      <w:pPr>
        <w:spacing w:after="0" w:line="148"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We have made the election permitted by Section 754 of the Code that permits us to adjust the tax basis in each of our assets as to specific purchasers of our units under Section 743(b) of the Code to reflect the unit purchase price upon subsequent purchases of units and to adjust the tax basis in each of our assets under Section 734(b) of the Code in the event of our repurchase of common units in the open market.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w:t>
      </w:r>
    </w:p>
    <w:p>
      <w:pPr>
        <w:spacing w:after="0" w:line="6" w:lineRule="exact"/>
        <w:rPr>
          <w:sz w:val="20"/>
          <w:szCs w:val="20"/>
          <w:color w:val="auto"/>
        </w:rPr>
      </w:pPr>
    </w:p>
    <w:p>
      <w:pPr>
        <w:ind w:left="1260" w:right="619"/>
        <w:spacing w:after="0" w:line="260" w:lineRule="auto"/>
        <w:tabs>
          <w:tab w:leader="none" w:pos="152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share of the tax basis in our assets as to all unitholders and (2) its Section 743(b) adjustment to that tax basis (which may be positive or negative).</w:t>
      </w:r>
    </w:p>
    <w:p>
      <w:pPr>
        <w:spacing w:after="0" w:line="114"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Subject to certain limitations, a Section 743(b) adjustment may create additional depreciable basis that is eligible for bonus depreciation under 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our partnership agreement, we are authorized to take a position to preserve the uniformity</w:t>
      </w:r>
    </w:p>
    <w:p>
      <w:pPr>
        <w:spacing w:after="0" w:line="27"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color w:val="auto"/>
        </w:rPr>
        <w:t>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 Uniformity of Units.”</w:t>
      </w:r>
    </w:p>
    <w:p>
      <w:pPr>
        <w:spacing w:after="0" w:line="107"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The IRS may challenge the positions we adopt with respect to depreciating or amortizing the Section 743(b) or Section 734(b) adjustments to preserve the uniformity of units due to the lack of controlling authority. Because a unitholder’s adjusted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w:t>
      </w:r>
    </w:p>
    <w:p>
      <w:pPr>
        <w:spacing w:after="0" w:line="206" w:lineRule="exact"/>
        <w:rPr>
          <w:sz w:val="20"/>
          <w:szCs w:val="20"/>
          <w:color w:val="auto"/>
        </w:rPr>
      </w:pPr>
    </w:p>
    <w:p>
      <w:pPr>
        <w:ind w:left="1260" w:right="599"/>
        <w:spacing w:after="0" w:line="260" w:lineRule="auto"/>
        <w:rPr>
          <w:sz w:val="20"/>
          <w:szCs w:val="20"/>
          <w:color w:val="auto"/>
        </w:rPr>
      </w:pPr>
      <w:r>
        <w:rPr>
          <w:rFonts w:ascii="Times New Roman" w:cs="Times New Roman" w:eastAsia="Times New Roman" w:hAnsi="Times New Roman"/>
          <w:sz w:val="18"/>
          <w:szCs w:val="18"/>
          <w:color w:val="auto"/>
        </w:rPr>
        <w:t>“— Disposition of Units — Recognition of Gain or Loss.” If a challenge to such treatment were sustained, the gain from the sale of units may be increased without the benefit of additional deductions.</w:t>
      </w:r>
    </w:p>
    <w:p>
      <w:pPr>
        <w:spacing w:after="0" w:line="114"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calculations involved in the Section 754 election are complex and are made on the basis of assumptions as to the value of our assets and other matters. The IRS could seek to reallocate some or all of any Section 743(b) adjustment or Section 734(b) adjustment we allocated to our depreciable assets to goodwill or nondepreciable assets. Goodwill, as an intangible asset, is generally amortizable over a longer period of time or under a less accelerated method than certain of our tangible assets. We cannot assure any unitholder that the determinations we make will not be successfully challenged by the IRS or that the</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58" w:lineRule="auto"/>
        <w:rPr>
          <w:sz w:val="20"/>
          <w:szCs w:val="20"/>
          <w:color w:val="auto"/>
        </w:rPr>
      </w:pPr>
      <w:r>
        <w:rPr>
          <w:rFonts w:ascii="Times New Roman" w:cs="Times New Roman" w:eastAsia="Times New Roman" w:hAnsi="Times New Roman"/>
          <w:sz w:val="18"/>
          <w:szCs w:val="18"/>
          <w:color w:val="auto"/>
        </w:rPr>
        <w:t>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Treatment of Operations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Accounting Method and Taxable Year</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w:t>
      </w:r>
    </w:p>
    <w:p>
      <w:pPr>
        <w:spacing w:after="0" w:line="3"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 Disposition of Units — Allocations Between Transferors and Transferees.”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Basis, Depreciation and Amortization</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327"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 — Recognition of Gain or Loss.”</w:t>
      </w:r>
    </w:p>
    <w:p>
      <w:pPr>
        <w:spacing w:after="0" w:line="33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are allowed a first-year bonus depreciation deduction equal to 100% of the adjusted basis of certain depreciable property acquired and placed in service after September 27, 2017 and before January 1, 2023.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 Under a transition rule, we can also elect to apply a 50% bonus depreciation deduction instead of the 100% deduction for our first taxable year ending after September 27, 2017.</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Valuation and Tax Basis of Each of Our Properties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82" w:lineRule="auto"/>
        <w:rPr>
          <w:sz w:val="20"/>
          <w:szCs w:val="20"/>
          <w:color w:val="auto"/>
        </w:rPr>
      </w:pPr>
      <w:r>
        <w:rPr>
          <w:rFonts w:ascii="Times New Roman" w:cs="Times New Roman" w:eastAsia="Times New Roman" w:hAnsi="Times New Roman"/>
          <w:sz w:val="18"/>
          <w:szCs w:val="18"/>
          <w:color w:val="auto"/>
        </w:rPr>
        <w:t>previously reported by a unitholder could change, and such unitholder could be required to adjust its tax liability for prior years and incur interest and penalties with respect to those adjustments.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Disposition of Units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Recognition of Gain or Loss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w:t>
      </w:r>
    </w:p>
    <w:p>
      <w:pPr>
        <w:spacing w:after="0" w:line="32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32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328"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w:t>
      </w:r>
    </w:p>
    <w:p>
      <w:pPr>
        <w:spacing w:after="0" w:line="3" w:lineRule="exact"/>
        <w:rPr>
          <w:sz w:val="20"/>
          <w:szCs w:val="20"/>
          <w:color w:val="auto"/>
        </w:rPr>
      </w:pPr>
    </w:p>
    <w:p>
      <w:pPr>
        <w:jc w:val="both"/>
        <w:ind w:left="1260" w:right="479"/>
        <w:spacing w:after="0"/>
        <w:rPr>
          <w:sz w:val="20"/>
          <w:szCs w:val="20"/>
          <w:color w:val="auto"/>
        </w:rPr>
      </w:pPr>
      <w:r>
        <w:rPr>
          <w:rFonts w:ascii="Times New Roman" w:cs="Times New Roman" w:eastAsia="Times New Roman" w:hAnsi="Times New Roman"/>
          <w:sz w:val="18"/>
          <w:szCs w:val="18"/>
          <w:color w:val="auto"/>
        </w:rPr>
        <w:t>our units. A unitholder considering the purchase of additional units or a sale or exchange of units purchased in separate transactions is urged to consult its tax advisor as to the possible consequences of this ruling and application of the Treasury Regulations.</w:t>
      </w:r>
    </w:p>
    <w:p>
      <w:pPr>
        <w:spacing w:after="0" w:line="117"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83" w:lineRule="exact"/>
        <w:rPr>
          <w:sz w:val="20"/>
          <w:szCs w:val="20"/>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sale;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offsetting notional principal contract; or</w:t>
      </w:r>
    </w:p>
    <w:p>
      <w:pPr>
        <w:spacing w:after="0" w:line="117"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futures or forward contract with respect to the partnership interest or substantially identical property.</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 Tax Consequences of Unit Ownership — Treatment of Securities Loans.”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Allocations Between Transferors and Transferees</w:t>
      </w:r>
    </w:p>
    <w:p>
      <w:pPr>
        <w:spacing w:after="0" w:line="14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1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w:t>
      </w:r>
    </w:p>
    <w:p>
      <w:pPr>
        <w:spacing w:after="0" w:line="315"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Notification Requirements</w:t>
      </w:r>
    </w:p>
    <w:p>
      <w:pPr>
        <w:spacing w:after="0" w:line="14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Uniformity of Units</w:t>
      </w:r>
    </w:p>
    <w:p>
      <w:pPr>
        <w:spacing w:after="0" w:line="148" w:lineRule="exact"/>
        <w:rPr>
          <w:sz w:val="20"/>
          <w:szCs w:val="20"/>
          <w:color w:val="auto"/>
        </w:rPr>
      </w:pPr>
    </w:p>
    <w:p>
      <w:pPr>
        <w:jc w:val="both"/>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 Tax Consequences of Unit Ownership — Section 754 Election.”</w:t>
      </w:r>
    </w:p>
    <w:p>
      <w:pPr>
        <w:spacing w:after="0" w:line="11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A unitholder’s adjusted tax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and “— Tax Consequences of Unit Ownership — 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w:t>
      </w:r>
    </w:p>
    <w:p>
      <w:pPr>
        <w:spacing w:after="0" w:line="328" w:lineRule="exact"/>
        <w:rPr>
          <w:sz w:val="20"/>
          <w:szCs w:val="20"/>
          <w:color w:val="auto"/>
        </w:rPr>
      </w:pPr>
    </w:p>
    <w:p>
      <w:pPr>
        <w:jc w:val="both"/>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In addition, as described above at “— Tax Consequences of Unit Ownership — Allocation of Income, Gain, Loss and Deduction,” if we aggregate multiple issuances of units for purposes of making adjustments to “book” basis and related tax allocations, to ensure the uniformity of our units, we will treat each of</w:t>
      </w:r>
    </w:p>
    <w:p>
      <w:pPr>
        <w:spacing w:after="0" w:line="2" w:lineRule="exact"/>
        <w:rPr>
          <w:sz w:val="20"/>
          <w:szCs w:val="20"/>
          <w:color w:val="auto"/>
        </w:rPr>
      </w:pPr>
    </w:p>
    <w:p>
      <w:pPr>
        <w:jc w:val="both"/>
        <w:ind w:left="1260" w:right="459"/>
        <w:spacing w:after="0" w:line="242" w:lineRule="auto"/>
        <w:rPr>
          <w:sz w:val="20"/>
          <w:szCs w:val="20"/>
          <w:color w:val="auto"/>
        </w:rPr>
      </w:pPr>
      <w:r>
        <w:rPr>
          <w:rFonts w:ascii="Times New Roman" w:cs="Times New Roman" w:eastAsia="Times New Roman" w:hAnsi="Times New Roman"/>
          <w:sz w:val="18"/>
          <w:szCs w:val="18"/>
          <w:color w:val="auto"/>
        </w:rPr>
        <w:t>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Tax-Exempt Organizations and Other Investors</w:t>
      </w:r>
    </w:p>
    <w:p>
      <w:pPr>
        <w:spacing w:after="0" w:line="162" w:lineRule="exact"/>
        <w:rPr>
          <w:sz w:val="20"/>
          <w:szCs w:val="20"/>
          <w:color w:val="auto"/>
        </w:rPr>
      </w:pPr>
    </w:p>
    <w:p>
      <w:pPr>
        <w:jc w:val="both"/>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w:t>
      </w:r>
    </w:p>
    <w:p>
      <w:pPr>
        <w:spacing w:after="0" w:line="114"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 Tax -exempt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tax-exempt unitholders to utilize losses from an investment in the Partnership to offset unrelated business taxable income from another unrelated trade or business and vice versa.</w:t>
      </w:r>
    </w:p>
    <w:p>
      <w:pPr>
        <w:spacing w:after="0" w:line="118" w:lineRule="exact"/>
        <w:rPr>
          <w:sz w:val="20"/>
          <w:szCs w:val="20"/>
          <w:color w:val="auto"/>
        </w:rPr>
      </w:pPr>
    </w:p>
    <w:p>
      <w:pPr>
        <w:jc w:val="both"/>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w:t>
      </w:r>
    </w:p>
    <w:p>
      <w:pPr>
        <w:ind w:left="1260" w:right="519"/>
        <w:spacing w:after="0"/>
        <w:rPr>
          <w:sz w:val="20"/>
          <w:szCs w:val="20"/>
          <w:color w:val="auto"/>
        </w:rPr>
      </w:pPr>
      <w:r>
        <w:rPr>
          <w:rFonts w:ascii="Times New Roman" w:cs="Times New Roman" w:eastAsia="Times New Roman" w:hAnsi="Times New Roman"/>
          <w:sz w:val="18"/>
          <w:szCs w:val="18"/>
          <w:color w:val="auto"/>
        </w:rPr>
        <w:t>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W-8BEN-E (or other applicable or successor form) in order to obtain credit for these withholding taxes.</w:t>
      </w:r>
    </w:p>
    <w:p>
      <w:pPr>
        <w:spacing w:after="0" w:line="117"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14"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 Non-U.S. Unitholder who sells or otherwise disposes of a unit will be subject to federal income tax on gain realized from the sale or disposition of that unit to the extent the gain is effectively connected with a</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w:t>
      </w:r>
    </w:p>
    <w:p>
      <w:pPr>
        <w:spacing w:after="0" w:line="33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recently issued Treasury regulations provide that the “amount realized” on a transfer of an interest in a publicly traded partnership, such as our units, will generally be the amount of gross proceeds paid to the broker effecting the applicable transfer on behalf of the transferor, and thus will be determined without regard to any decrease in that partner’s share of a publicly traded partnership’s liabilities. The Treasury regulations, as amended by recently published IRS guidance, further provide that withholding on a transfer of an interest in a publicly traded partnership will not be imposed on a transfer that occurs prior to January 1, 2023. For a transfer of interests in a publicly traded partnership that is effected through a broker on or after January 1, 2023, the obligation to withhold is imposed on the transferor’s broker. Prospective foreign unitholders should consult their tax advisors regarding the impact of these rules on an investment in our units.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Administrative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Returns and Audit Procedures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0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16"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w:t>
      </w:r>
    </w:p>
    <w:p>
      <w:pPr>
        <w:spacing w:after="0" w:line="11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99"/>
        <w:spacing w:after="0" w:line="282" w:lineRule="auto"/>
        <w:rPr>
          <w:sz w:val="20"/>
          <w:szCs w:val="20"/>
          <w:color w:val="auto"/>
        </w:rPr>
      </w:pPr>
      <w:r>
        <w:rPr>
          <w:rFonts w:ascii="Times New Roman" w:cs="Times New Roman" w:eastAsia="Times New Roman" w:hAnsi="Times New Roman"/>
          <w:sz w:val="18"/>
          <w:szCs w:val="18"/>
          <w:color w:val="auto"/>
        </w:rPr>
        <w:t>partner, it may assess and collect any taxes (including penalties and interest) resulting from such audit adjustment directly from such entity.</w:t>
      </w:r>
    </w:p>
    <w:p>
      <w:pPr>
        <w:spacing w:after="0" w:line="81"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then our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 These rules are not applicable for</w:t>
      </w:r>
    </w:p>
    <w:p>
      <w:pPr>
        <w:spacing w:after="0" w:line="3" w:lineRule="exact"/>
        <w:rPr>
          <w:sz w:val="20"/>
          <w:szCs w:val="20"/>
          <w:color w:val="auto"/>
        </w:rPr>
      </w:pPr>
    </w:p>
    <w:p>
      <w:pPr>
        <w:jc w:val="both"/>
        <w:ind w:left="1260" w:right="459"/>
        <w:spacing w:after="0"/>
        <w:rPr>
          <w:sz w:val="20"/>
          <w:szCs w:val="20"/>
          <w:color w:val="auto"/>
        </w:rPr>
      </w:pPr>
      <w:r>
        <w:rPr>
          <w:rFonts w:ascii="Times New Roman" w:cs="Times New Roman" w:eastAsia="Times New Roman" w:hAnsi="Times New Roman"/>
          <w:sz w:val="18"/>
          <w:szCs w:val="18"/>
          <w:color w:val="auto"/>
        </w:rPr>
        <w:t>taxable years beginning on or prior to December 31, 2017. Congress has proposed changes to the Bipartisan Budget Act, and we anticipate that amendments may be made. Accordingly, the manner in which these rules may apply to us in the future is uncertain.</w:t>
      </w:r>
    </w:p>
    <w:p>
      <w:pPr>
        <w:spacing w:after="0" w:line="117"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Additionally, pursuant to the Bipartisan Budget Act of 2015, the Code will no longer require that we designate a Tax Matters Partner. Instead, for taxable years beginning after December 31, 2017, we will be required to designate a partner, or other person, with a substantial presence in the United States as the partnership representative (“Partnership Representative”). The Partnership Representative will have the sole authority to act on our behalf for purposes of, among other things, federal income tax audits and judicial review of administrative adjustments by the IRS. If we do not make such a designation, the IRS can select any person as the Partnership Representative. We currently anticipate that we will designate our general partner as the Partnership Representative. Further, any actions taken by us or by the Partnership Representative on our behalf with respect to, among other things, federal income tax audits and judicial review of administrative adjustments by the IRS, will be binding on us and all of our unitholders.</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Additional Withholding Requirements</w:t>
      </w:r>
    </w:p>
    <w:p>
      <w:pPr>
        <w:spacing w:after="0" w:line="14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Withholding taxes may apply to certain types of payments made to “foreign financial institutions” ​(as specially defined in the Code) and certain other non-U.S. entities. Specifically, a 30% withholding tax may be imposed on withholdable payments, including interest, dividends and other fixed or determinable annual or periodic gains, profits and income from sources within the United States (“FDAP Income”) paid to a foreign financial institution or to a “non-financial foreign entity” ​(as specially defined in the Code), unless</w:t>
      </w:r>
    </w:p>
    <w:p>
      <w:pPr>
        <w:spacing w:after="0" w:line="1" w:lineRule="exact"/>
        <w:rPr>
          <w:sz w:val="20"/>
          <w:szCs w:val="20"/>
          <w:color w:val="auto"/>
        </w:rPr>
      </w:pPr>
    </w:p>
    <w:p>
      <w:pPr>
        <w:ind w:left="1260" w:right="479"/>
        <w:spacing w:after="0"/>
        <w:tabs>
          <w:tab w:leader="none" w:pos="148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While withholdable payments would have originally included payments of gross proceeds from the sale or other disposition of any property of a type which could produce interest or dividends from sources within the United States (“Gross Proceeds”) on or after January 1, 2019, proposed Treasury Regulations provide that such payments of Gross Proceeds do not constitute withholdable payments. Taxpayers may rely generally on these proposed Treasury Regulations until they are revoked or final Treasury Regulations are issued.</w:t>
      </w:r>
    </w:p>
    <w:p>
      <w:pPr>
        <w:spacing w:after="0" w:line="117"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14"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To the extent we have FDAP Income that is not treated as effectively connected with a U.S. trade or business (please read “—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 income, pursuant to the rules described above. Each prospective unitholder should consult its own tax advisors regarding the potential application of these withholding provisions to its investment in our units.</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Nominee Reporting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Persons who hold an interest in us as a nominee for another person are required to furnish to us:</w:t>
      </w:r>
    </w:p>
    <w:p>
      <w:pPr>
        <w:spacing w:after="0" w:line="117" w:lineRule="exact"/>
        <w:rPr>
          <w:sz w:val="20"/>
          <w:szCs w:val="20"/>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taxpayer identification number of the beneficial owner and the nominee;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regarding whether the beneficial owner is: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person;</w:t>
      </w:r>
    </w:p>
    <w:p>
      <w:pPr>
        <w:spacing w:after="0" w:line="103" w:lineRule="exact"/>
        <w:rPr>
          <w:rFonts w:ascii="Times New Roman" w:cs="Times New Roman" w:eastAsia="Times New Roman" w:hAnsi="Times New Roman"/>
          <w:sz w:val="18"/>
          <w:szCs w:val="18"/>
          <w:color w:val="auto"/>
        </w:rPr>
      </w:pPr>
    </w:p>
    <w:p>
      <w:pPr>
        <w:ind w:left="2160" w:right="1259" w:hanging="180"/>
        <w:spacing w:after="0" w:line="282" w:lineRule="auto"/>
        <w:tabs>
          <w:tab w:leader="none" w:pos="21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government, an international organization or any wholly-owned agency or instrumentality of either of the foregoing; or</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description of units held, acquired or transferred for the beneficial owner; and</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information including the dates of acquisitions and transfers, means of acquisitions and transfers, and acquisition cost for purchases, as well as the amount of net proceeds from sales.</w:t>
      </w:r>
    </w:p>
    <w:p>
      <w:pPr>
        <w:spacing w:after="0" w:line="94"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Accuracy-Related Penalties</w:t>
      </w:r>
    </w:p>
    <w:p>
      <w:pPr>
        <w:spacing w:after="0" w:line="14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State, Local and Other Tax Considerations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w:t>
      </w:r>
    </w:p>
    <w:p>
      <w:pPr>
        <w:spacing w:after="0" w:line="12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of Ownership of Preferred Units</w:t>
      </w:r>
    </w:p>
    <w:p>
      <w:pPr>
        <w:spacing w:after="0" w:line="14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 description of the material U.S. federal income tax consequences of the acquisition, ownership, and disposition of any series of preferred units offered pursuant to this prospectus will be set forth in the prospectus supplement relating to the offering of such preferred units.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of Ownership of Debt Securities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04" w:lineRule="exact"/>
        <w:rPr>
          <w:sz w:val="20"/>
          <w:szCs w:val="20"/>
          <w:color w:val="auto"/>
        </w:rPr>
      </w:pPr>
    </w:p>
    <w:p>
      <w:pPr>
        <w:ind w:left="1260" w:right="439" w:firstLine="36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It is the responsibility of each unitholder to investigate the legal and tax consequences, under the laws of pertinent jurisdictions, of its investment in us. We strongly recommend that each prospective unitholder consult, and depend upon, its own tax counsel or other advisor with regard to those matters. Further, it is the responsibility of each unitholder to file all state, local and non-U.S., as well as federal tax returns that may be required of it. Vinson</w:t>
      </w:r>
    </w:p>
    <w:p>
      <w:pPr>
        <w:ind w:left="1260" w:right="1239"/>
        <w:spacing w:after="0" w:line="260" w:lineRule="auto"/>
        <w:tabs>
          <w:tab w:leader="none" w:pos="1438" w:val="left"/>
        </w:tabs>
        <w:numPr>
          <w:ilvl w:val="0"/>
          <w:numId w:val="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Elkins L.L.P. has not rendered an opinion on the state, local, alternative minimum tax or non-U.S. tax consequences of an investment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this prospectus, we intend to offer our securities to the public:</w:t>
      </w:r>
    </w:p>
    <w:p>
      <w:pPr>
        <w:spacing w:after="0" w:line="117" w:lineRule="exact"/>
        <w:rPr>
          <w:sz w:val="20"/>
          <w:szCs w:val="20"/>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for public offering and sale;</w:t>
      </w:r>
    </w:p>
    <w:p>
      <w:pPr>
        <w:spacing w:after="0" w:line="90"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broker-dealers who may act as agent or may purchase securities as principal and thereafter resell the securities from time to time;</w:t>
      </w:r>
    </w:p>
    <w:p>
      <w:pPr>
        <w:spacing w:after="0" w:line="40"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 through one or more transactions (which may involve crosses and block transactions) or distributions;</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NASDAQ;</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 transactions; or</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investors directly.</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price our securities at:</w:t>
      </w:r>
    </w:p>
    <w:p>
      <w:pPr>
        <w:spacing w:after="0" w:line="117" w:lineRule="exact"/>
        <w:rPr>
          <w:sz w:val="20"/>
          <w:szCs w:val="20"/>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any sale under this registration statement;</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then-current market prices;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change the price of the securities offered from time to time.</w:t>
      </w:r>
    </w:p>
    <w:p>
      <w:pPr>
        <w:spacing w:after="0" w:line="15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will pay or allow distributors’ or sellers’ commissions that will not exceed those customary in the types of transactions involved.</w:t>
      </w:r>
    </w:p>
    <w:p>
      <w:pPr>
        <w:spacing w:after="0" w:line="95"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19" w:lineRule="exact"/>
        <w:rPr>
          <w:sz w:val="20"/>
          <w:szCs w:val="20"/>
          <w:color w:val="auto"/>
        </w:rPr>
      </w:pPr>
    </w:p>
    <w:p>
      <w:pPr>
        <w:jc w:val="both"/>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10"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02"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09"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0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validity of the securities offered in this prospectus will be passed upon for us by Vinson &amp; Elkins L.L.P., Houston, Texas. Vinson &amp; Elkins L.L.P. will also render an opinion on certain material U.S.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18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659" w:firstLine="360"/>
        <w:spacing w:after="0" w:line="257"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86">
        <w:r>
          <w:rPr>
            <w:rFonts w:ascii="Times New Roman" w:cs="Times New Roman" w:eastAsia="Times New Roman" w:hAnsi="Times New Roman"/>
            <w:sz w:val="18"/>
            <w:szCs w:val="18"/>
            <w:color w:val="auto"/>
          </w:rPr>
          <w:t xml:space="preserve">Reporting) incorporated in this Prospectus by reference to the </w:t>
        </w:r>
        <w:r>
          <w:rPr>
            <w:rFonts w:ascii="Times New Roman" w:cs="Times New Roman" w:eastAsia="Times New Roman" w:hAnsi="Times New Roman"/>
            <w:sz w:val="18"/>
            <w:szCs w:val="18"/>
            <w:u w:val="single" w:color="auto"/>
            <w:color w:val="0000EE"/>
          </w:rPr>
          <w:t>Annual Report on Form 10-K for the year</w:t>
        </w:r>
      </w:hyperlink>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u w:val="single" w:color="auto"/>
            <w:color w:val="0000EE"/>
          </w:rPr>
          <w:t>ended December 31, 2020</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of PricewaterhouseCoopers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5"/>
          <w:szCs w:val="25"/>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25"/>
          <w:szCs w:val="25"/>
          <w:b w:val="1"/>
          <w:bCs w:val="1"/>
          <w:color w:val="auto"/>
        </w:rPr>
        <w:t>        % Senior Notes due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709930</wp:posOffset>
            </wp:positionV>
            <wp:extent cx="12344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2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208280</wp:posOffset>
            </wp:positionV>
            <wp:extent cx="12344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19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Citigroup</w:t>
      </w:r>
    </w:p>
    <w:p>
      <w:pPr>
        <w:spacing w:after="0" w:line="19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MUFG</w:t>
      </w:r>
    </w:p>
    <w:p>
      <w:pPr>
        <w:spacing w:after="0" w:line="19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SMBC Nikko</w:t>
      </w:r>
    </w:p>
    <w:p>
      <w:pPr>
        <w:spacing w:after="0" w:line="19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Truist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962025</wp:posOffset>
            </wp:positionV>
            <wp:extent cx="52120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1)"/>
      <w:numFmt w:val="decimal"/>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lvl w:ilvl="1">
      <w:lvlJc w:val="left"/>
      <w:lvlText w:val="(%2)"/>
      <w:numFmt w:val="lowerLetter"/>
      <w:start w:val="2"/>
    </w:lvl>
    <w:lvl w:ilvl="2">
      <w:lvlJc w:val="left"/>
      <w:lvlText w:val="•"/>
      <w:numFmt w:val="bullet"/>
      <w:start w:val="1"/>
    </w:lvl>
  </w:abstractNum>
  <w:abstractNum w:abstractNumId="11">
    <w:nsid w:val="3855585C"/>
    <w:multiLevelType w:val="hybridMultilevel"/>
    <w:lvl w:ilvl="0">
      <w:lvlJc w:val="left"/>
      <w:lvlText w:val="•"/>
      <w:numFmt w:val="bullet"/>
      <w:start w:val="1"/>
    </w:lvl>
    <w:lvl w:ilvl="1">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1)"/>
      <w:numFmt w:val="decimal"/>
      <w:start w:val="1"/>
    </w:lvl>
    <w:lvl w:ilvl="1">
      <w:lvlJc w:val="left"/>
      <w:lvlText w:val="(%2)"/>
      <w:numFmt w:val="lowerLetter"/>
      <w:start w:val="1"/>
    </w:lvl>
  </w:abstractNum>
  <w:abstractNum w:abstractNumId="18">
    <w:nsid w:val="57E4CCAF"/>
    <w:multiLevelType w:val="hybridMultilevel"/>
    <w:lvl w:ilvl="0">
      <w:lvlJc w:val="left"/>
      <w:lvlText w:val="(%1)"/>
      <w:numFmt w:val="decimal"/>
      <w:start w:val="1"/>
    </w:lvl>
  </w:abstractNum>
  <w:abstractNum w:abstractNumId="19">
    <w:nsid w:val="7A6D8D3C"/>
    <w:multiLevelType w:val="hybridMultilevel"/>
    <w:lvl w:ilvl="0">
      <w:lvlJc w:val="left"/>
      <w:lvlText w:val="(%1)"/>
      <w:numFmt w:val="decimal"/>
      <w:start w:val="8"/>
    </w:lvl>
  </w:abstractNum>
  <w:abstractNum w:abstractNumId="20">
    <w:nsid w:val="4B588F54"/>
    <w:multiLevelType w:val="hybridMultilevel"/>
    <w:lvl w:ilvl="0">
      <w:lvlJc w:val="left"/>
      <w:lvlText w:val="(%1)"/>
      <w:numFmt w:val="decimal"/>
      <w:start w:val="1"/>
    </w:lvl>
  </w:abstractNum>
  <w:abstractNum w:abstractNumId="21">
    <w:nsid w:val="542289EC"/>
    <w:multiLevelType w:val="hybridMultilevel"/>
    <w:lvl w:ilvl="0">
      <w:lvlJc w:val="left"/>
      <w:lvlText w:val="(%1)"/>
      <w:numFmt w:val="decimal"/>
      <w:start w:val="1"/>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1)"/>
      <w:numFmt w:val="lowerLetter"/>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1)"/>
      <w:numFmt w:val="decimal"/>
      <w:start w:val="8"/>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1)"/>
      <w:numFmt w:val="upperLetter"/>
      <w:start w:val="11"/>
    </w:lvl>
    <w:lvl w:ilvl="1">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1)"/>
      <w:numFmt w:val="lowerLetter"/>
      <w:start w:val="1"/>
    </w:lvl>
    <w:lvl w:ilvl="1">
      <w:lvlJc w:val="left"/>
      <w:lvlText w:val="(%2)"/>
      <w:numFmt w:val="decimal"/>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1)"/>
      <w:numFmt w:val="lowerRoman"/>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1)"/>
      <w:numFmt w:val="lowerLetter"/>
      <w:start w:val="1"/>
    </w:lvl>
  </w:abstractNum>
  <w:abstractNum w:abstractNumId="59">
    <w:nsid w:val="25A70BF7"/>
    <w:multiLevelType w:val="hybridMultilevel"/>
    <w:lvl w:ilvl="0">
      <w:lvlJc w:val="left"/>
      <w:lvlText w:val="(%1)"/>
      <w:numFmt w:val="lowerRoman"/>
      <w:start w:val="1"/>
    </w:lvl>
  </w:abstractNum>
  <w:abstractNum w:abstractNumId="60">
    <w:nsid w:val="1DBABF00"/>
    <w:multiLevelType w:val="hybridMultilevel"/>
    <w:lvl w:ilvl="0">
      <w:lvlJc w:val="left"/>
      <w:lvlText w:val="(%1)"/>
      <w:numFmt w:val="decimal"/>
      <w:start w:val="2"/>
    </w:lvl>
  </w:abstractNum>
  <w:abstractNum w:abstractNumId="61">
    <w:nsid w:val="4AD084E9"/>
    <w:multiLevelType w:val="hybridMultilevel"/>
    <w:lvl w:ilvl="0">
      <w:lvlJc w:val="left"/>
      <w:lvlText w:val="(%1)"/>
      <w:numFmt w:val="decimal"/>
      <w:start w:val="3"/>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1)"/>
      <w:numFmt w:val="decimal"/>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1)"/>
      <w:numFmt w:val="lowerRoman"/>
      <w:start w:val="1"/>
    </w:lvl>
  </w:abstractNum>
  <w:abstractNum w:abstractNumId="67">
    <w:nsid w:val="15014ACB"/>
    <w:multiLevelType w:val="hybridMultilevel"/>
    <w:lvl w:ilvl="0">
      <w:lvlJc w:val="left"/>
      <w:lvlText w:val="•"/>
      <w:numFmt w:val="bullet"/>
      <w:start w:val="1"/>
    </w:lvl>
    <w:lvl w:ilvl="1">
      <w:lvlJc w:val="left"/>
      <w:lvlText w:val="•"/>
      <w:numFmt w:val="bullet"/>
      <w:start w:val="1"/>
    </w:lvl>
  </w:abstractNum>
  <w:abstractNum w:abstractNumId="68">
    <w:nsid w:val="5F5E7FD0"/>
    <w:multiLevelType w:val="hybridMultilevel"/>
    <w:lvl w:ilvl="0">
      <w:lvlJc w:val="left"/>
      <w:lvlText w:val="&amp;"/>
      <w:numFmt w:val="bullet"/>
      <w:start w:val="1"/>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25" Type="http://schemas.openxmlformats.org/officeDocument/2006/relationships/hyperlink" Target="https://www.sec.gov/ix?doc=/Archives/edgar/data/1070423/000107042324000008/paa-20231231.htm" TargetMode="External"/><Relationship Id="rId28" Type="http://schemas.openxmlformats.org/officeDocument/2006/relationships/hyperlink" Target="https://www.sec.gov/ix?doc=/Archives/edgar/data/1070423/000107042324000014/paa-20240331.htm" TargetMode="External"/><Relationship Id="rId81" Type="http://schemas.openxmlformats.org/officeDocument/2006/relationships/hyperlink" Target="https://www.sec.gov/ix?doc=/Archives/edgar/data/1070423/000110465924046387/tm242707d2_def14a.htm" TargetMode="External"/><Relationship Id="rId82" Type="http://schemas.openxmlformats.org/officeDocument/2006/relationships/hyperlink" Target="https://www.sec.gov/ix?doc=/Archives/edgar/data/1070423/000110465924065666/tm2415729d1_8k.htm" TargetMode="External"/><Relationship Id="rId86" Type="http://schemas.openxmlformats.org/officeDocument/2006/relationships/hyperlink" Target="https://www.sec.gov/ix?doc=/Archives/edgar/data/1070423/000107042321000008/paa-20201231.htm" TargetMode="External"/><Relationship Id="rId87" Type="http://schemas.openxmlformats.org/officeDocument/2006/relationships/hyperlink" Target="https://www.sec.gov/ix?doc=/Archives/edgar/data/1070423/000107042321000014/paa-20210331.htm" TargetMode="External"/><Relationship Id="rId88" Type="http://schemas.openxmlformats.org/officeDocument/2006/relationships/hyperlink" Target="https://www.sec.gov/ix?doc=/Archives/edgar/data/1070423/000107042321000022/paa-20210630.htm" TargetMode="External"/><Relationship Id="rId89" Type="http://schemas.openxmlformats.org/officeDocument/2006/relationships/hyperlink" Target="https://www.sec.gov/ix?doc=/Archives/edgar/data/1070423/000110465921031455/tm218523d2_8k.htm" TargetMode="External"/><Relationship Id="rId90" Type="http://schemas.openxmlformats.org/officeDocument/2006/relationships/hyperlink" Target="https://www.sec.gov/ix?doc=/Archives/edgar/data/1070423/000110465921071844/tm2117447d1_8k.htm" TargetMode="External"/><Relationship Id="rId91" Type="http://schemas.openxmlformats.org/officeDocument/2006/relationships/hyperlink" Target="https://www.sec.gov/ix?doc=/Archives/edgar/data/1070423/000107042321000017/paa-20210702.htm" TargetMode="External"/><Relationship Id="rId92" Type="http://schemas.openxmlformats.org/officeDocument/2006/relationships/hyperlink" Target="https://www.sec.gov/ix?doc=/Archives/edgar/data/1070423/000110465921091443/tm2121935d1_8k.htm" TargetMode="External"/><Relationship Id="rId93" Type="http://schemas.openxmlformats.org/officeDocument/2006/relationships/hyperlink" Target="https://www.sec.gov/ix?doc=/Archives/edgar/data/1070423/000110465921108999/tm2125729d1_8k.htm" TargetMode="External"/><Relationship Id="rId94" Type="http://schemas.openxmlformats.org/officeDocument/2006/relationships/hyperlink" Target="https://www.sec.gov/ix?doc=/Archives/edgar/data/1070423/000110465921109375/tm2125729d2_8k.htm" TargetMode="External"/><Relationship Id="rId95" Type="http://schemas.openxmlformats.org/officeDocument/2006/relationships/hyperlink" Target="https://www.sec.gov/ix?doc=/Archives/edgar/data/1070423/000110465921109829/tm2125729d3_8k.htm" TargetMode="External"/><Relationship Id="rId96" Type="http://schemas.openxmlformats.org/officeDocument/2006/relationships/hyperlink" Target="https://www.sec.gov/Archives/edgar/data/1070423/000110465916157335/a16-21667_38a12ba.htm" TargetMode="External"/><Relationship Id="rId97" Type="http://schemas.openxmlformats.org/officeDocument/2006/relationships/hyperlink" Target="https://www.sec.gov/Archives/edgar/data/1070423/000110465920134597/tm2037363-3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2024-06-17T07:52:06Z</dcterms:created>
  <dcterms:modified xsi:type="dcterms:W3CDTF">2024-06-17T07:52:06Z</dcterms:modified>
</cp:coreProperties>
</file>