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ARMSTRONG GREG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333 CLAY STREET, # 1600</w:t>
      </w:r>
    </w:p>
    <w:p>
      <w:pPr>
        <w:spacing w:after="0" w:line="20" w:lineRule="exact"/>
        <w:rPr>
          <w:sz w:val="24"/>
          <w:szCs w:val="24"/>
          <w:color w:val="auto"/>
        </w:rPr>
      </w:pPr>
      <w:r>
        <w:rPr>
          <w:sz w:val="24"/>
          <w:szCs w:val="24"/>
          <w:color w:val="auto"/>
        </w:rPr>
        <w:br w:type="column"/>
      </w:r>
    </w:p>
    <w:p>
      <w:pPr>
        <w:ind w:left="7"/>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ind w:left="7"/>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PLAINS ALL AMERICAN PIPELINE LP</w:t>
        </w:r>
      </w:hyperlink>
    </w:p>
    <w:p>
      <w:pPr>
        <w:spacing w:after="0" w:line="2" w:lineRule="exact"/>
        <w:rPr>
          <w:sz w:val="24"/>
          <w:szCs w:val="24"/>
          <w:color w:val="auto"/>
        </w:rPr>
      </w:pPr>
    </w:p>
    <w:p>
      <w:pPr>
        <w:ind w:left="127" w:hanging="127"/>
        <w:spacing w:after="0"/>
        <w:tabs>
          <w:tab w:leader="none" w:pos="127" w:val="left"/>
        </w:tabs>
        <w:numPr>
          <w:ilvl w:val="0"/>
          <w:numId w:val="1"/>
        </w:numPr>
        <w:rPr>
          <w:rFonts w:ascii="Arial" w:cs="Arial" w:eastAsia="Arial" w:hAnsi="Arial"/>
          <w:sz w:val="22"/>
          <w:szCs w:val="22"/>
          <w:color w:val="auto"/>
        </w:rPr>
      </w:pPr>
      <w:r>
        <w:rPr>
          <w:rFonts w:ascii="Arial" w:cs="Arial" w:eastAsia="Arial" w:hAnsi="Arial"/>
          <w:sz w:val="18"/>
          <w:szCs w:val="18"/>
          <w:color w:val="0000FF"/>
        </w:rPr>
        <w:t xml:space="preserve">PAA </w:t>
      </w:r>
      <w:r>
        <w:rPr>
          <w:rFonts w:ascii="Arial" w:cs="Arial" w:eastAsia="Arial" w:hAnsi="Arial"/>
          <w:sz w:val="21"/>
          <w:szCs w:val="21"/>
          <w:color w:val="000000"/>
        </w:rPr>
        <w:t>]</w:t>
      </w:r>
    </w:p>
    <w:p>
      <w:pPr>
        <w:spacing w:after="0" w:line="230" w:lineRule="exact"/>
        <w:rPr>
          <w:sz w:val="24"/>
          <w:szCs w:val="24"/>
          <w:color w:val="auto"/>
        </w:rPr>
      </w:pPr>
    </w:p>
    <w:p>
      <w:pPr>
        <w:ind w:left="7"/>
        <w:spacing w:after="0"/>
        <w:rPr>
          <w:sz w:val="20"/>
          <w:szCs w:val="20"/>
          <w:color w:val="auto"/>
        </w:rPr>
      </w:pPr>
      <w:r>
        <w:rPr>
          <w:rFonts w:ascii="Arial" w:cs="Arial" w:eastAsia="Arial" w:hAnsi="Arial"/>
          <w:sz w:val="14"/>
          <w:szCs w:val="14"/>
          <w:color w:val="auto"/>
        </w:rPr>
        <w:t>3. Date of Earliest Transaction (Month/Day/Year)</w:t>
      </w:r>
    </w:p>
    <w:p>
      <w:pPr>
        <w:ind w:left="7"/>
        <w:spacing w:after="0"/>
        <w:rPr>
          <w:sz w:val="20"/>
          <w:szCs w:val="20"/>
          <w:color w:val="auto"/>
        </w:rPr>
      </w:pPr>
      <w:r>
        <w:rPr>
          <w:rFonts w:ascii="Arial" w:cs="Arial" w:eastAsia="Arial" w:hAnsi="Arial"/>
          <w:sz w:val="18"/>
          <w:szCs w:val="18"/>
          <w:color w:val="0000FF"/>
        </w:rPr>
        <w:t>02/10/2016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43"/>
        <w:spacing w:after="0"/>
        <w:rPr>
          <w:sz w:val="20"/>
          <w:szCs w:val="20"/>
          <w:color w:val="auto"/>
        </w:rPr>
      </w:pPr>
      <w:r>
        <w:rPr>
          <w:rFonts w:ascii="Arial" w:cs="Arial" w:eastAsia="Arial" w:hAnsi="Arial"/>
          <w:sz w:val="18"/>
          <w:szCs w:val="18"/>
          <w:color w:val="0000FF"/>
        </w:rPr>
        <w:t>Chairman of the Board &amp; CEO</w:t>
      </w:r>
    </w:p>
    <w:p>
      <w:pPr>
        <w:spacing w:after="0" w:line="281" w:lineRule="exact"/>
        <w:rPr>
          <w:sz w:val="24"/>
          <w:szCs w:val="24"/>
          <w:color w:val="auto"/>
        </w:rPr>
      </w:pPr>
    </w:p>
    <w:p>
      <w:pPr>
        <w:sectPr>
          <w:pgSz w:w="11900" w:h="16838" w:orient="portrait"/>
          <w:cols w:equalWidth="0" w:num="3">
            <w:col w:w="3353" w:space="720"/>
            <w:col w:w="3727" w:space="257"/>
            <w:col w:w="3363"/>
          </w:cols>
          <w:pgMar w:left="240" w:top="226" w:right="239" w:bottom="1440" w:gutter="0" w:footer="0" w:header="0"/>
          <w:type w:val="continuous"/>
        </w:sectPr>
      </w:pP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20" w:type="dxa"/>
            <w:vAlign w:val="bottom"/>
            <w:gridSpan w:val="7"/>
            <w:vMerge w:val="restart"/>
          </w:tcPr>
          <w:p>
            <w:pPr>
              <w:ind w:left="160"/>
              <w:spacing w:after="0"/>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8"/>
            <w:vMerge w:val="restart"/>
          </w:tcPr>
          <w:p>
            <w:pPr>
              <w:ind w:left="52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20" w:type="dxa"/>
            <w:vAlign w:val="bottom"/>
            <w:gridSpan w:val="7"/>
            <w:vMerge w:val="continue"/>
          </w:tcPr>
          <w:p>
            <w:pPr>
              <w:spacing w:after="0"/>
              <w:rPr>
                <w:sz w:val="11"/>
                <w:szCs w:val="11"/>
                <w:color w:val="auto"/>
              </w:rPr>
            </w:pPr>
          </w:p>
        </w:tc>
        <w:tc>
          <w:tcPr>
            <w:tcW w:w="388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40" w:type="dxa"/>
            <w:vAlign w:val="bottom"/>
            <w:gridSpan w:val="3"/>
          </w:tcPr>
          <w:p>
            <w:pPr>
              <w:ind w:left="520"/>
              <w:spacing w:after="0" w:line="155" w:lineRule="exact"/>
              <w:rPr>
                <w:sz w:val="20"/>
                <w:szCs w:val="20"/>
                <w:color w:val="auto"/>
              </w:rPr>
            </w:pPr>
            <w:r>
              <w:rPr>
                <w:rFonts w:ascii="Arial" w:cs="Arial" w:eastAsia="Arial" w:hAnsi="Arial"/>
                <w:sz w:val="14"/>
                <w:szCs w:val="14"/>
                <w:color w:val="auto"/>
              </w:rPr>
              <w:t>Line)</w:t>
            </w: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HOUSTON</w:t>
            </w:r>
          </w:p>
        </w:tc>
        <w:tc>
          <w:tcPr>
            <w:tcW w:w="280" w:type="dxa"/>
            <w:vAlign w:val="bottom"/>
          </w:tcPr>
          <w:p>
            <w:pPr>
              <w:ind w:left="40"/>
              <w:spacing w:after="0"/>
              <w:rPr>
                <w:sz w:val="20"/>
                <w:szCs w:val="20"/>
                <w:color w:val="auto"/>
              </w:rPr>
            </w:pPr>
            <w:r>
              <w:rPr>
                <w:rFonts w:ascii="Arial" w:cs="Arial" w:eastAsia="Arial" w:hAnsi="Arial"/>
                <w:sz w:val="18"/>
                <w:szCs w:val="18"/>
                <w:color w:val="0000FF"/>
                <w:w w:val="95"/>
              </w:rPr>
              <w:t>TX</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77002</w:t>
            </w:r>
          </w:p>
        </w:tc>
        <w:tc>
          <w:tcPr>
            <w:tcW w:w="3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220" w:type="dxa"/>
            <w:vAlign w:val="bottom"/>
            <w:gridSpan w:val="6"/>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940" w:type="dxa"/>
            <w:vAlign w:val="bottom"/>
            <w:gridSpan w:val="5"/>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94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Person</w:t>
            </w:r>
          </w:p>
        </w:tc>
        <w:tc>
          <w:tcPr>
            <w:tcW w:w="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tcPr>
          <w:p>
            <w:pPr>
              <w:spacing w:after="0"/>
              <w:rPr>
                <w:sz w:val="8"/>
                <w:szCs w:val="8"/>
                <w:color w:val="auto"/>
              </w:rPr>
            </w:pPr>
          </w:p>
        </w:tc>
        <w:tc>
          <w:tcPr>
            <w:tcW w:w="50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1460" w:type="dxa"/>
            <w:vAlign w:val="bottom"/>
            <w:tcBorders>
              <w:bottom w:val="single" w:sz="8" w:color="2C2C2C"/>
            </w:tcBorders>
            <w:gridSpan w:val="3"/>
          </w:tcPr>
          <w:p>
            <w:pPr>
              <w:spacing w:after="0"/>
              <w:rPr>
                <w:sz w:val="11"/>
                <w:szCs w:val="11"/>
                <w:color w:val="auto"/>
              </w:rPr>
            </w:pPr>
          </w:p>
        </w:tc>
        <w:tc>
          <w:tcPr>
            <w:tcW w:w="2780" w:type="dxa"/>
            <w:vAlign w:val="bottom"/>
            <w:tcBorders>
              <w:bottom w:val="single" w:sz="8" w:color="2C2C2C"/>
            </w:tcBorders>
            <w:gridSpan w:val="5"/>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90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8080" w:type="dxa"/>
            <w:vAlign w:val="bottom"/>
            <w:tcBorders>
              <w:top w:val="single" w:sz="8" w:color="2C2C2C"/>
            </w:tcBorders>
            <w:gridSpan w:val="14"/>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2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36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8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20" w:type="dxa"/>
            <w:vAlign w:val="bottom"/>
            <w:gridSpan w:val="2"/>
          </w:tcPr>
          <w:p>
            <w:pPr>
              <w:ind w:left="52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Units</w:t>
            </w:r>
          </w:p>
        </w:tc>
        <w:tc>
          <w:tcPr>
            <w:tcW w:w="2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2"/>
          </w:tcPr>
          <w:p>
            <w:pPr>
              <w:ind w:left="620"/>
              <w:spacing w:after="0"/>
              <w:rPr>
                <w:sz w:val="20"/>
                <w:szCs w:val="20"/>
                <w:color w:val="auto"/>
              </w:rPr>
            </w:pPr>
            <w:r>
              <w:rPr>
                <w:rFonts w:ascii="Arial" w:cs="Arial" w:eastAsia="Arial" w:hAnsi="Arial"/>
                <w:sz w:val="18"/>
                <w:szCs w:val="18"/>
                <w:color w:val="0000FF"/>
              </w:rPr>
              <w:t>02/10/2016</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P</w:t>
            </w: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158,066</w:t>
            </w:r>
          </w:p>
        </w:tc>
        <w:tc>
          <w:tcPr>
            <w:tcW w:w="500" w:type="dxa"/>
            <w:vAlign w:val="bottom"/>
            <w:tcBorders>
              <w:bottom w:val="single" w:sz="8" w:color="2C2C2C"/>
            </w:tcBorders>
          </w:tcPr>
          <w:p>
            <w:pPr>
              <w:ind w:left="200"/>
              <w:spacing w:after="0"/>
              <w:rPr>
                <w:sz w:val="20"/>
                <w:szCs w:val="20"/>
                <w:color w:val="auto"/>
              </w:rPr>
            </w:pPr>
            <w:r>
              <w:rPr>
                <w:rFonts w:ascii="Arial" w:cs="Arial" w:eastAsia="Arial" w:hAnsi="Arial"/>
                <w:sz w:val="18"/>
                <w:szCs w:val="18"/>
                <w:color w:val="0000FF"/>
              </w:rPr>
              <w:t>A</w:t>
            </w:r>
          </w:p>
        </w:tc>
        <w:tc>
          <w:tcPr>
            <w:tcW w:w="9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16.0615</w:t>
            </w:r>
            <w:r>
              <w:rPr>
                <w:rFonts w:ascii="Arial" w:cs="Arial" w:eastAsia="Arial" w:hAnsi="Arial"/>
                <w:sz w:val="22"/>
                <w:szCs w:val="22"/>
                <w:color w:val="008000"/>
                <w:w w:val="90"/>
                <w:vertAlign w:val="superscript"/>
              </w:rPr>
              <w:t>(1)</w:t>
            </w:r>
          </w:p>
        </w:tc>
        <w:tc>
          <w:tcPr>
            <w:tcW w:w="124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1,425,416</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800" w:type="dxa"/>
            <w:vAlign w:val="bottom"/>
            <w:tcBorders>
              <w:top w:val="single" w:sz="8" w:color="2C2C2C"/>
            </w:tcBorders>
          </w:tcPr>
          <w:p>
            <w:pPr>
              <w:spacing w:after="0"/>
              <w:rPr>
                <w:sz w:val="19"/>
                <w:szCs w:val="19"/>
                <w:color w:val="auto"/>
              </w:rPr>
            </w:pPr>
          </w:p>
        </w:tc>
        <w:tc>
          <w:tcPr>
            <w:tcW w:w="9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36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00" w:type="dxa"/>
            <w:vAlign w:val="bottom"/>
          </w:tcPr>
          <w:p>
            <w:pPr>
              <w:spacing w:after="0"/>
              <w:rPr>
                <w:sz w:val="4"/>
                <w:szCs w:val="4"/>
                <w:color w:val="auto"/>
              </w:rPr>
            </w:pPr>
          </w:p>
        </w:tc>
        <w:tc>
          <w:tcPr>
            <w:tcW w:w="9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36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80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60" w:firstLine="9"/>
        <w:spacing w:after="0" w:line="298" w:lineRule="auto"/>
        <w:tabs>
          <w:tab w:leader="none" w:pos="175" w:val="left"/>
        </w:tabs>
        <w:numPr>
          <w:ilvl w:val="0"/>
          <w:numId w:val="3"/>
        </w:numPr>
        <w:rPr>
          <w:rFonts w:ascii="Arial" w:cs="Arial" w:eastAsia="Arial" w:hAnsi="Arial"/>
          <w:sz w:val="12"/>
          <w:szCs w:val="12"/>
          <w:color w:val="008000"/>
        </w:rPr>
      </w:pPr>
      <w:r>
        <w:rPr>
          <w:rFonts w:ascii="Arial" w:cs="Arial" w:eastAsia="Arial" w:hAnsi="Arial"/>
          <w:sz w:val="12"/>
          <w:szCs w:val="12"/>
          <w:color w:val="008000"/>
        </w:rPr>
        <w:t>Reflects the weighted average purchase price for the Common Units. These units were purchased in multiple transactions at prices ranging from $15.13 to $16.50, inclusive. The reporting person will provide upon request by the SEC staff, the issuer or any security holder of the issuer, full information regarding the number of units purchased at each separate price.</w:t>
      </w: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Ann F. Gullion, attorney-in- </w:t>
      </w:r>
      <w:r>
        <w:rPr>
          <w:rFonts w:ascii="Arial" w:cs="Arial" w:eastAsia="Arial" w:hAnsi="Arial"/>
          <w:sz w:val="35"/>
          <w:szCs w:val="35"/>
          <w:color w:val="0000FF"/>
          <w:vertAlign w:val="subscript"/>
        </w:rPr>
        <w:t>02/11/2016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43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430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67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6700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184537" TargetMode="External"/><Relationship Id="rId13" Type="http://schemas.openxmlformats.org/officeDocument/2006/relationships/hyperlink" Target="http://www.sec.gov/cgi-bin/browse-edgar?action=getcompany&amp;CIK=00010704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2020-01-19T06:00:43Z</dcterms:created>
  <dcterms:modified xsi:type="dcterms:W3CDTF">2020-01-19T06:00:43Z</dcterms:modified>
</cp:coreProperties>
</file>