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333-184137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15, 2014</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58"/>
        </w:trPr>
        <w:tc>
          <w:tcPr>
            <w:tcW w:w="3780" w:type="dxa"/>
            <w:vAlign w:val="bottom"/>
          </w:tcPr>
          <w:p>
            <w:pPr>
              <w:spacing w:after="0"/>
              <w:rPr>
                <w:sz w:val="22"/>
                <w:szCs w:val="22"/>
                <w:color w:val="auto"/>
              </w:rPr>
            </w:pPr>
          </w:p>
        </w:tc>
        <w:tc>
          <w:tcPr>
            <w:tcW w:w="7640" w:type="dxa"/>
            <w:vAlign w:val="bottom"/>
          </w:tcPr>
          <w:p>
            <w:pPr>
              <w:ind w:left="1140"/>
              <w:spacing w:after="0"/>
              <w:rPr>
                <w:sz w:val="20"/>
                <w:szCs w:val="20"/>
                <w:color w:val="auto"/>
              </w:rPr>
            </w:pPr>
            <w:r>
              <w:rPr>
                <w:rFonts w:ascii="Times New Roman" w:cs="Times New Roman" w:eastAsia="Times New Roman" w:hAnsi="Times New Roman"/>
                <w:sz w:val="22"/>
                <w:szCs w:val="22"/>
                <w:b w:val="1"/>
                <w:bCs w:val="1"/>
                <w:color w:val="auto"/>
              </w:rPr>
              <w:t>Final Term Sheet</w:t>
            </w:r>
          </w:p>
        </w:tc>
      </w:tr>
      <w:tr>
        <w:trPr>
          <w:trHeight w:val="230"/>
        </w:trPr>
        <w:tc>
          <w:tcPr>
            <w:tcW w:w="3780" w:type="dxa"/>
            <w:vAlign w:val="bottom"/>
          </w:tcPr>
          <w:p>
            <w:pPr>
              <w:spacing w:after="0"/>
              <w:rPr>
                <w:sz w:val="20"/>
                <w:szCs w:val="20"/>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$700,000,000 4.700% Senior Notes due 2044</w:t>
            </w:r>
          </w:p>
        </w:tc>
      </w:tr>
      <w:tr>
        <w:trPr>
          <w:trHeight w:val="366"/>
        </w:trPr>
        <w:tc>
          <w:tcPr>
            <w:tcW w:w="3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Issuers:</w:t>
            </w:r>
          </w:p>
        </w:tc>
        <w:tc>
          <w:tcPr>
            <w:tcW w:w="7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Plains All American Pipeline, L.P. and PAA Finance Corp.</w:t>
            </w:r>
          </w:p>
        </w:tc>
      </w:tr>
      <w:tr>
        <w:trPr>
          <w:trHeight w:val="211"/>
        </w:trPr>
        <w:tc>
          <w:tcPr>
            <w:tcW w:w="3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Security Type:</w:t>
            </w:r>
          </w:p>
        </w:tc>
        <w:tc>
          <w:tcPr>
            <w:tcW w:w="7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Senior Unsecured Notes</w:t>
            </w:r>
          </w:p>
        </w:tc>
      </w:tr>
      <w:tr>
        <w:trPr>
          <w:trHeight w:val="210"/>
        </w:trPr>
        <w:tc>
          <w:tcPr>
            <w:tcW w:w="3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Legal Format:</w:t>
            </w:r>
          </w:p>
        </w:tc>
        <w:tc>
          <w:tcPr>
            <w:tcW w:w="7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SEC Registered</w:t>
            </w:r>
          </w:p>
        </w:tc>
      </w:tr>
      <w:tr>
        <w:trPr>
          <w:trHeight w:val="210"/>
        </w:trPr>
        <w:tc>
          <w:tcPr>
            <w:tcW w:w="3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Ratings (Moody’s / S&amp;P)*:</w:t>
            </w:r>
          </w:p>
        </w:tc>
        <w:tc>
          <w:tcPr>
            <w:tcW w:w="7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Baa2/BBB</w:t>
            </w:r>
          </w:p>
        </w:tc>
      </w:tr>
      <w:tr>
        <w:trPr>
          <w:trHeight w:val="210"/>
        </w:trPr>
        <w:tc>
          <w:tcPr>
            <w:tcW w:w="3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Pricing Date:</w:t>
            </w:r>
          </w:p>
        </w:tc>
        <w:tc>
          <w:tcPr>
            <w:tcW w:w="7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April 15, 2014</w:t>
            </w:r>
          </w:p>
        </w:tc>
      </w:tr>
      <w:tr>
        <w:trPr>
          <w:trHeight w:val="210"/>
        </w:trPr>
        <w:tc>
          <w:tcPr>
            <w:tcW w:w="3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Settlement Date (T+5):</w:t>
            </w:r>
          </w:p>
        </w:tc>
        <w:tc>
          <w:tcPr>
            <w:tcW w:w="7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April 23, 2014</w:t>
            </w:r>
          </w:p>
        </w:tc>
      </w:tr>
      <w:tr>
        <w:trPr>
          <w:trHeight w:val="210"/>
        </w:trPr>
        <w:tc>
          <w:tcPr>
            <w:tcW w:w="3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Maturity Date:</w:t>
            </w:r>
          </w:p>
        </w:tc>
        <w:tc>
          <w:tcPr>
            <w:tcW w:w="7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June 15, 2044</w:t>
            </w:r>
          </w:p>
        </w:tc>
      </w:tr>
      <w:tr>
        <w:trPr>
          <w:trHeight w:val="210"/>
        </w:trPr>
        <w:tc>
          <w:tcPr>
            <w:tcW w:w="3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Principal Amount:</w:t>
            </w:r>
          </w:p>
        </w:tc>
        <w:tc>
          <w:tcPr>
            <w:tcW w:w="7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$700,000,000</w:t>
            </w:r>
          </w:p>
        </w:tc>
      </w:tr>
      <w:tr>
        <w:trPr>
          <w:trHeight w:val="210"/>
        </w:trPr>
        <w:tc>
          <w:tcPr>
            <w:tcW w:w="3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Benchmark:</w:t>
            </w:r>
          </w:p>
        </w:tc>
        <w:tc>
          <w:tcPr>
            <w:tcW w:w="7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UST 3.750% due November 15, 2043</w:t>
            </w:r>
          </w:p>
        </w:tc>
      </w:tr>
      <w:tr>
        <w:trPr>
          <w:trHeight w:val="210"/>
        </w:trPr>
        <w:tc>
          <w:tcPr>
            <w:tcW w:w="3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Benchmark Yield:</w:t>
            </w:r>
          </w:p>
        </w:tc>
        <w:tc>
          <w:tcPr>
            <w:tcW w:w="7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3.446%</w:t>
            </w:r>
          </w:p>
        </w:tc>
      </w:tr>
      <w:tr>
        <w:trPr>
          <w:trHeight w:val="210"/>
        </w:trPr>
        <w:tc>
          <w:tcPr>
            <w:tcW w:w="3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Spread to Benchmark:</w:t>
            </w:r>
          </w:p>
        </w:tc>
        <w:tc>
          <w:tcPr>
            <w:tcW w:w="7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+127 bps</w:t>
            </w:r>
          </w:p>
        </w:tc>
      </w:tr>
      <w:tr>
        <w:trPr>
          <w:trHeight w:val="210"/>
        </w:trPr>
        <w:tc>
          <w:tcPr>
            <w:tcW w:w="3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Yield to Maturity:</w:t>
            </w:r>
          </w:p>
        </w:tc>
        <w:tc>
          <w:tcPr>
            <w:tcW w:w="7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4.716%</w:t>
            </w:r>
          </w:p>
        </w:tc>
      </w:tr>
      <w:tr>
        <w:trPr>
          <w:trHeight w:val="210"/>
        </w:trPr>
        <w:tc>
          <w:tcPr>
            <w:tcW w:w="3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Coupon:</w:t>
            </w:r>
          </w:p>
        </w:tc>
        <w:tc>
          <w:tcPr>
            <w:tcW w:w="7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4.700%</w:t>
            </w:r>
          </w:p>
        </w:tc>
      </w:tr>
      <w:tr>
        <w:trPr>
          <w:trHeight w:val="210"/>
        </w:trPr>
        <w:tc>
          <w:tcPr>
            <w:tcW w:w="3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Public Offering Price:</w:t>
            </w:r>
          </w:p>
        </w:tc>
        <w:tc>
          <w:tcPr>
            <w:tcW w:w="7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99.734%</w:t>
            </w:r>
          </w:p>
        </w:tc>
      </w:tr>
      <w:tr>
        <w:trPr>
          <w:trHeight w:val="195"/>
        </w:trPr>
        <w:tc>
          <w:tcPr>
            <w:tcW w:w="3780" w:type="dxa"/>
            <w:vAlign w:val="bottom"/>
          </w:tcPr>
          <w:p>
            <w:pPr>
              <w:ind w:left="220"/>
              <w:spacing w:after="0" w:line="195" w:lineRule="exact"/>
              <w:rPr>
                <w:sz w:val="20"/>
                <w:szCs w:val="20"/>
                <w:color w:val="auto"/>
              </w:rPr>
            </w:pPr>
            <w:r>
              <w:rPr>
                <w:rFonts w:ascii="Times New Roman" w:cs="Times New Roman" w:eastAsia="Times New Roman" w:hAnsi="Times New Roman"/>
                <w:sz w:val="18"/>
                <w:szCs w:val="18"/>
                <w:color w:val="auto"/>
              </w:rPr>
              <w:t>Net Proceeds (after estimated expenses) to the</w:t>
            </w:r>
          </w:p>
        </w:tc>
        <w:tc>
          <w:tcPr>
            <w:tcW w:w="7640" w:type="dxa"/>
            <w:vAlign w:val="bottom"/>
          </w:tcPr>
          <w:p>
            <w:pPr>
              <w:spacing w:after="0"/>
              <w:rPr>
                <w:sz w:val="16"/>
                <w:szCs w:val="16"/>
                <w:color w:val="auto"/>
              </w:rPr>
            </w:pPr>
          </w:p>
        </w:tc>
      </w:tr>
      <w:tr>
        <w:trPr>
          <w:trHeight w:val="229"/>
        </w:trPr>
        <w:tc>
          <w:tcPr>
            <w:tcW w:w="37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Partnership:</w:t>
            </w:r>
          </w:p>
        </w:tc>
        <w:tc>
          <w:tcPr>
            <w:tcW w:w="7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$690.9 million</w:t>
            </w:r>
          </w:p>
        </w:tc>
      </w:tr>
      <w:tr>
        <w:trPr>
          <w:trHeight w:val="211"/>
        </w:trPr>
        <w:tc>
          <w:tcPr>
            <w:tcW w:w="3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Make-Whole Call:</w:t>
            </w:r>
          </w:p>
        </w:tc>
        <w:tc>
          <w:tcPr>
            <w:tcW w:w="7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T+20 bps</w:t>
            </w:r>
          </w:p>
        </w:tc>
      </w:tr>
      <w:tr>
        <w:trPr>
          <w:trHeight w:val="210"/>
        </w:trPr>
        <w:tc>
          <w:tcPr>
            <w:tcW w:w="3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Call at Par:</w:t>
            </w:r>
          </w:p>
        </w:tc>
        <w:tc>
          <w:tcPr>
            <w:tcW w:w="7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On or after December 15, 2043</w:t>
            </w:r>
          </w:p>
        </w:tc>
      </w:tr>
      <w:tr>
        <w:trPr>
          <w:trHeight w:val="210"/>
        </w:trPr>
        <w:tc>
          <w:tcPr>
            <w:tcW w:w="3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Interest Payment Dates:</w:t>
            </w:r>
          </w:p>
        </w:tc>
        <w:tc>
          <w:tcPr>
            <w:tcW w:w="7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June 15 and December 15, beginning on December 15, 2014</w:t>
            </w:r>
          </w:p>
        </w:tc>
      </w:tr>
      <w:tr>
        <w:trPr>
          <w:trHeight w:val="210"/>
        </w:trPr>
        <w:tc>
          <w:tcPr>
            <w:tcW w:w="3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CUSIP / ISIN:</w:t>
            </w:r>
          </w:p>
        </w:tc>
        <w:tc>
          <w:tcPr>
            <w:tcW w:w="7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72650R BE1 / US72650RBE18</w:t>
            </w:r>
          </w:p>
        </w:tc>
      </w:tr>
      <w:tr>
        <w:trPr>
          <w:trHeight w:val="195"/>
        </w:trPr>
        <w:tc>
          <w:tcPr>
            <w:tcW w:w="3780" w:type="dxa"/>
            <w:vAlign w:val="bottom"/>
          </w:tcPr>
          <w:p>
            <w:pPr>
              <w:ind w:left="220"/>
              <w:spacing w:after="0" w:line="195" w:lineRule="exact"/>
              <w:rPr>
                <w:sz w:val="20"/>
                <w:szCs w:val="20"/>
                <w:color w:val="auto"/>
              </w:rPr>
            </w:pPr>
            <w:r>
              <w:rPr>
                <w:rFonts w:ascii="Times New Roman" w:cs="Times New Roman" w:eastAsia="Times New Roman" w:hAnsi="Times New Roman"/>
                <w:sz w:val="18"/>
                <w:szCs w:val="18"/>
                <w:color w:val="auto"/>
              </w:rPr>
              <w:t>Joint Book-Running Managers:</w:t>
            </w:r>
          </w:p>
        </w:tc>
        <w:tc>
          <w:tcPr>
            <w:tcW w:w="7640" w:type="dxa"/>
            <w:vAlign w:val="bottom"/>
          </w:tcPr>
          <w:p>
            <w:pPr>
              <w:ind w:left="680"/>
              <w:spacing w:after="0" w:line="195" w:lineRule="exact"/>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3780" w:type="dxa"/>
            <w:vAlign w:val="bottom"/>
          </w:tcPr>
          <w:p>
            <w:pPr>
              <w:spacing w:after="0"/>
              <w:rPr>
                <w:sz w:val="18"/>
                <w:szCs w:val="18"/>
                <w:color w:val="auto"/>
              </w:rPr>
            </w:pPr>
          </w:p>
        </w:tc>
        <w:tc>
          <w:tcPr>
            <w:tcW w:w="7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SunTrust Robinson Humphrey, Inc.</w:t>
            </w:r>
          </w:p>
        </w:tc>
      </w:tr>
      <w:tr>
        <w:trPr>
          <w:trHeight w:val="216"/>
        </w:trPr>
        <w:tc>
          <w:tcPr>
            <w:tcW w:w="3780" w:type="dxa"/>
            <w:vAlign w:val="bottom"/>
          </w:tcPr>
          <w:p>
            <w:pPr>
              <w:spacing w:after="0"/>
              <w:rPr>
                <w:sz w:val="18"/>
                <w:szCs w:val="18"/>
                <w:color w:val="auto"/>
              </w:rPr>
            </w:pPr>
          </w:p>
        </w:tc>
        <w:tc>
          <w:tcPr>
            <w:tcW w:w="7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UBS Securities LLC</w:t>
            </w:r>
          </w:p>
        </w:tc>
      </w:tr>
      <w:tr>
        <w:trPr>
          <w:trHeight w:val="216"/>
        </w:trPr>
        <w:tc>
          <w:tcPr>
            <w:tcW w:w="3780" w:type="dxa"/>
            <w:vAlign w:val="bottom"/>
          </w:tcPr>
          <w:p>
            <w:pPr>
              <w:spacing w:after="0"/>
              <w:rPr>
                <w:sz w:val="18"/>
                <w:szCs w:val="18"/>
                <w:color w:val="auto"/>
              </w:rPr>
            </w:pPr>
          </w:p>
        </w:tc>
        <w:tc>
          <w:tcPr>
            <w:tcW w:w="7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Wells Fargo Securities, LLC</w:t>
            </w:r>
          </w:p>
        </w:tc>
      </w:tr>
      <w:tr>
        <w:trPr>
          <w:trHeight w:val="216"/>
        </w:trPr>
        <w:tc>
          <w:tcPr>
            <w:tcW w:w="3780" w:type="dxa"/>
            <w:vAlign w:val="bottom"/>
          </w:tcPr>
          <w:p>
            <w:pPr>
              <w:spacing w:after="0"/>
              <w:rPr>
                <w:sz w:val="18"/>
                <w:szCs w:val="18"/>
                <w:color w:val="auto"/>
              </w:rPr>
            </w:pPr>
          </w:p>
        </w:tc>
        <w:tc>
          <w:tcPr>
            <w:tcW w:w="7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Mitsubishi UFJ Securities (USA), Inc.</w:t>
            </w:r>
          </w:p>
        </w:tc>
      </w:tr>
      <w:tr>
        <w:trPr>
          <w:trHeight w:val="237"/>
        </w:trPr>
        <w:tc>
          <w:tcPr>
            <w:tcW w:w="378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Scotia Capital (USA) Inc.</w:t>
            </w:r>
          </w:p>
        </w:tc>
      </w:tr>
      <w:tr>
        <w:trPr>
          <w:trHeight w:val="202"/>
        </w:trPr>
        <w:tc>
          <w:tcPr>
            <w:tcW w:w="37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Co-Managers:</w:t>
            </w:r>
          </w:p>
        </w:tc>
        <w:tc>
          <w:tcPr>
            <w:tcW w:w="7640" w:type="dxa"/>
            <w:vAlign w:val="bottom"/>
          </w:tcPr>
          <w:p>
            <w:pPr>
              <w:ind w:left="680"/>
              <w:spacing w:after="0" w:line="201" w:lineRule="exact"/>
              <w:rPr>
                <w:sz w:val="20"/>
                <w:szCs w:val="20"/>
                <w:color w:val="auto"/>
              </w:rPr>
            </w:pPr>
            <w:r>
              <w:rPr>
                <w:rFonts w:ascii="Times New Roman" w:cs="Times New Roman" w:eastAsia="Times New Roman" w:hAnsi="Times New Roman"/>
                <w:sz w:val="18"/>
                <w:szCs w:val="18"/>
                <w:color w:val="auto"/>
              </w:rPr>
              <w:t>BBVA Securities Inc.</w:t>
            </w:r>
          </w:p>
        </w:tc>
      </w:tr>
      <w:tr>
        <w:trPr>
          <w:trHeight w:val="216"/>
        </w:trPr>
        <w:tc>
          <w:tcPr>
            <w:tcW w:w="3780" w:type="dxa"/>
            <w:vAlign w:val="bottom"/>
          </w:tcPr>
          <w:p>
            <w:pPr>
              <w:spacing w:after="0"/>
              <w:rPr>
                <w:sz w:val="18"/>
                <w:szCs w:val="18"/>
                <w:color w:val="auto"/>
              </w:rPr>
            </w:pPr>
          </w:p>
        </w:tc>
        <w:tc>
          <w:tcPr>
            <w:tcW w:w="7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SMBC Nikko Securities America, Inc.</w:t>
            </w:r>
          </w:p>
        </w:tc>
      </w:tr>
      <w:tr>
        <w:trPr>
          <w:trHeight w:val="216"/>
        </w:trPr>
        <w:tc>
          <w:tcPr>
            <w:tcW w:w="3780" w:type="dxa"/>
            <w:vAlign w:val="bottom"/>
          </w:tcPr>
          <w:p>
            <w:pPr>
              <w:spacing w:after="0"/>
              <w:rPr>
                <w:sz w:val="18"/>
                <w:szCs w:val="18"/>
                <w:color w:val="auto"/>
              </w:rPr>
            </w:pPr>
          </w:p>
        </w:tc>
        <w:tc>
          <w:tcPr>
            <w:tcW w:w="7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CIBC World Markets Corp.</w:t>
            </w:r>
          </w:p>
        </w:tc>
      </w:tr>
      <w:tr>
        <w:trPr>
          <w:trHeight w:val="216"/>
        </w:trPr>
        <w:tc>
          <w:tcPr>
            <w:tcW w:w="3780" w:type="dxa"/>
            <w:vAlign w:val="bottom"/>
          </w:tcPr>
          <w:p>
            <w:pPr>
              <w:spacing w:after="0"/>
              <w:rPr>
                <w:sz w:val="18"/>
                <w:szCs w:val="18"/>
                <w:color w:val="auto"/>
              </w:rPr>
            </w:pPr>
          </w:p>
        </w:tc>
        <w:tc>
          <w:tcPr>
            <w:tcW w:w="7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Fifth Third Securities, Inc.</w:t>
            </w:r>
          </w:p>
        </w:tc>
      </w:tr>
      <w:tr>
        <w:trPr>
          <w:trHeight w:val="216"/>
        </w:trPr>
        <w:tc>
          <w:tcPr>
            <w:tcW w:w="3780" w:type="dxa"/>
            <w:vAlign w:val="bottom"/>
          </w:tcPr>
          <w:p>
            <w:pPr>
              <w:spacing w:after="0"/>
              <w:rPr>
                <w:sz w:val="18"/>
                <w:szCs w:val="18"/>
                <w:color w:val="auto"/>
              </w:rPr>
            </w:pPr>
          </w:p>
        </w:tc>
        <w:tc>
          <w:tcPr>
            <w:tcW w:w="7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ING Bank N.V.</w:t>
            </w:r>
          </w:p>
        </w:tc>
      </w:tr>
      <w:tr>
        <w:trPr>
          <w:trHeight w:val="216"/>
        </w:trPr>
        <w:tc>
          <w:tcPr>
            <w:tcW w:w="3780" w:type="dxa"/>
            <w:vAlign w:val="bottom"/>
          </w:tcPr>
          <w:p>
            <w:pPr>
              <w:spacing w:after="0"/>
              <w:rPr>
                <w:sz w:val="18"/>
                <w:szCs w:val="18"/>
                <w:color w:val="auto"/>
              </w:rPr>
            </w:pPr>
          </w:p>
        </w:tc>
        <w:tc>
          <w:tcPr>
            <w:tcW w:w="7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PNC Capital Markets LLC</w:t>
            </w:r>
          </w:p>
        </w:tc>
      </w:tr>
      <w:tr>
        <w:trPr>
          <w:trHeight w:val="216"/>
        </w:trPr>
        <w:tc>
          <w:tcPr>
            <w:tcW w:w="3780" w:type="dxa"/>
            <w:vAlign w:val="bottom"/>
          </w:tcPr>
          <w:p>
            <w:pPr>
              <w:spacing w:after="0"/>
              <w:rPr>
                <w:sz w:val="18"/>
                <w:szCs w:val="18"/>
                <w:color w:val="auto"/>
              </w:rPr>
            </w:pPr>
          </w:p>
        </w:tc>
        <w:tc>
          <w:tcPr>
            <w:tcW w:w="7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Regions Securities LLC</w:t>
            </w:r>
          </w:p>
        </w:tc>
      </w:tr>
      <w:tr>
        <w:trPr>
          <w:trHeight w:val="237"/>
        </w:trPr>
        <w:tc>
          <w:tcPr>
            <w:tcW w:w="378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U.S. Bancorp Investments, Inc.</w:t>
            </w:r>
          </w:p>
        </w:tc>
      </w:tr>
    </w:tbl>
    <w:p>
      <w:pPr>
        <w:spacing w:after="0" w:line="53" w:lineRule="exact"/>
        <w:rPr>
          <w:sz w:val="24"/>
          <w:szCs w:val="24"/>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revised or withdrawn at any time.</w:t>
      </w:r>
    </w:p>
    <w:p>
      <w:pPr>
        <w:spacing w:after="0" w:line="158"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Delivery of the notes is expected to be made against payment therefor on or about April 23, 2014, which is the 5th business day following the date of pricing of the notes (such settlement being referred to as “T+5”). Under Rule 15c6-1 of the Securities Exchange Act of 1934, as amended (the “Exchange Act”), trades in the secondary market generally are required to settle in three business days unless the parties to any such trade expressly agree otherwise. Accordingly, purchasers who wish to trade the notes on the date of</w:t>
      </w:r>
    </w:p>
    <w:p>
      <w:pPr>
        <w:sectPr>
          <w:pgSz w:w="11900" w:h="16838" w:orient="portrait"/>
          <w:cols w:equalWidth="0" w:num="1">
            <w:col w:w="11420"/>
          </w:cols>
          <w:pgMar w:left="240" w:top="233" w:right="239" w:bottom="1440" w:gutter="0" w:footer="0" w:header="0"/>
        </w:sectPr>
      </w:pPr>
    </w:p>
    <w:bookmarkStart w:id="1" w:name="page2"/>
    <w:bookmarkEnd w:id="1"/>
    <w:p>
      <w:pPr>
        <w:ind w:right="3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pricing of the notes or the next succeeding business day will be required, by virtue of the fact that the notes initially will settle in T+5, to specify an alternate settlement cycle at the time of any such trade to prevent failed settlement and should consult their own advisers.</w:t>
      </w:r>
    </w:p>
    <w:p>
      <w:pPr>
        <w:spacing w:after="0" w:line="10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Citigroup Global Markets Inc. at 1-800-831-9146, SunTrust Robinson Humphrey, Inc. at 1-800-685-4786, UBS Securities LLC at 1-877-827-6444, ext. 5613884, or Wells Fargo Securities, LLC at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1-800-326-5897.</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2020-01-26T20:25:30Z</dcterms:created>
  <dcterms:modified xsi:type="dcterms:W3CDTF">2020-01-26T20:25:30Z</dcterms:modified>
</cp:coreProperties>
</file>