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213360</wp:posOffset>
            </wp:positionH>
            <wp:positionV relativeFrom="page">
              <wp:posOffset>712470</wp:posOffset>
            </wp:positionV>
            <wp:extent cx="71215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1525" cy="8255"/>
                    </a:xfrm>
                    <a:prstGeom prst="rect">
                      <a:avLst/>
                    </a:prstGeom>
                    <a:noFill/>
                  </pic:spPr>
                </pic:pic>
              </a:graphicData>
            </a:graphic>
          </wp:anchor>
        </w:drawing>
        <w:drawing>
          <wp:anchor simplePos="0" relativeHeight="251657728" behindDoc="1" locked="0" layoutInCell="0" allowOverlap="1">
            <wp:simplePos x="0" y="0"/>
            <wp:positionH relativeFrom="page">
              <wp:posOffset>213360</wp:posOffset>
            </wp:positionH>
            <wp:positionV relativeFrom="page">
              <wp:posOffset>638810</wp:posOffset>
            </wp:positionV>
            <wp:extent cx="7121525"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1525" cy="16510"/>
                    </a:xfrm>
                    <a:prstGeom prst="rect">
                      <a:avLst/>
                    </a:prstGeom>
                    <a:noFill/>
                  </pic:spPr>
                </pic:pic>
              </a:graphicData>
            </a:graphic>
          </wp:anchor>
        </w:drawing>
        <w:t>UNITED STATES</w:t>
      </w:r>
    </w:p>
    <w:p>
      <w:pPr>
        <w:spacing w:after="0" w:line="40" w:lineRule="exact"/>
        <w:rPr>
          <w:sz w:val="24"/>
          <w:szCs w:val="24"/>
          <w:color w:val="auto"/>
        </w:rPr>
      </w:pPr>
    </w:p>
    <w:p>
      <w:pPr>
        <w:jc w:val="center"/>
        <w:ind w:right="-15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159"/>
        <w:spacing w:after="0"/>
        <w:rPr>
          <w:sz w:val="20"/>
          <w:szCs w:val="20"/>
          <w:color w:val="auto"/>
        </w:rPr>
      </w:pPr>
      <w:r>
        <w:rPr>
          <w:rFonts w:ascii="Arial" w:cs="Arial" w:eastAsia="Arial" w:hAnsi="Arial"/>
          <w:sz w:val="17"/>
          <w:szCs w:val="17"/>
          <w:b w:val="1"/>
          <w:bCs w:val="1"/>
          <w:color w:val="auto"/>
        </w:rPr>
        <w:t>Washington, D.C. 20549</w:t>
      </w:r>
    </w:p>
    <w:p>
      <w:pPr>
        <w:spacing w:after="0" w:line="214" w:lineRule="exact"/>
        <w:rPr>
          <w:sz w:val="24"/>
          <w:szCs w:val="24"/>
          <w:color w:val="auto"/>
        </w:rPr>
      </w:pPr>
    </w:p>
    <w:p>
      <w:pPr>
        <w:jc w:val="center"/>
        <w:ind w:right="-159"/>
        <w:spacing w:after="0"/>
        <w:rPr>
          <w:sz w:val="20"/>
          <w:szCs w:val="20"/>
          <w:color w:val="auto"/>
        </w:rPr>
      </w:pPr>
      <w:r>
        <w:rPr>
          <w:rFonts w:ascii="Arial" w:cs="Arial" w:eastAsia="Arial" w:hAnsi="Arial"/>
          <w:sz w:val="31"/>
          <w:szCs w:val="31"/>
          <w:b w:val="1"/>
          <w:bCs w:val="1"/>
          <w:color w:val="auto"/>
        </w:rPr>
        <w:t>FORM 8-K</w:t>
      </w:r>
    </w:p>
    <w:p>
      <w:pPr>
        <w:spacing w:after="0" w:line="252" w:lineRule="exact"/>
        <w:rPr>
          <w:sz w:val="24"/>
          <w:szCs w:val="24"/>
          <w:color w:val="auto"/>
        </w:rPr>
      </w:pPr>
    </w:p>
    <w:p>
      <w:pPr>
        <w:jc w:val="center"/>
        <w:ind w:right="-159"/>
        <w:spacing w:after="0"/>
        <w:rPr>
          <w:sz w:val="20"/>
          <w:szCs w:val="20"/>
          <w:color w:val="auto"/>
        </w:rPr>
      </w:pPr>
      <w:r>
        <w:rPr>
          <w:rFonts w:ascii="Arial" w:cs="Arial" w:eastAsia="Arial" w:hAnsi="Arial"/>
          <w:sz w:val="21"/>
          <w:szCs w:val="21"/>
          <w:b w:val="1"/>
          <w:bCs w:val="1"/>
          <w:color w:val="auto"/>
        </w:rPr>
        <w:t>CURRENT REPORT</w:t>
      </w:r>
    </w:p>
    <w:p>
      <w:pPr>
        <w:spacing w:after="0" w:line="28"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32"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 xml:space="preserve">Date of Report (Date of earliest event reported) — </w:t>
      </w:r>
      <w:r>
        <w:rPr>
          <w:rFonts w:ascii="Arial" w:cs="Arial" w:eastAsia="Arial" w:hAnsi="Arial"/>
          <w:sz w:val="17"/>
          <w:szCs w:val="17"/>
          <w:b w:val="1"/>
          <w:bCs w:val="1"/>
          <w:color w:val="auto"/>
        </w:rPr>
        <w:t>August 3, 2021</w:t>
      </w:r>
    </w:p>
    <w:p>
      <w:pPr>
        <w:spacing w:after="0" w:line="234" w:lineRule="exact"/>
        <w:rPr>
          <w:sz w:val="24"/>
          <w:szCs w:val="24"/>
          <w:color w:val="auto"/>
        </w:rPr>
      </w:pPr>
    </w:p>
    <w:p>
      <w:pPr>
        <w:jc w:val="center"/>
        <w:ind w:right="-159"/>
        <w:spacing w:after="0"/>
        <w:rPr>
          <w:sz w:val="20"/>
          <w:szCs w:val="20"/>
          <w:color w:val="auto"/>
        </w:rPr>
      </w:pPr>
      <w:r>
        <w:rPr>
          <w:rFonts w:ascii="Arial" w:cs="Arial" w:eastAsia="Arial" w:hAnsi="Arial"/>
          <w:sz w:val="31"/>
          <w:szCs w:val="31"/>
          <w:b w:val="1"/>
          <w:bCs w:val="1"/>
          <w:color w:val="auto"/>
        </w:rPr>
        <w:t>Plains GP Holdings, L.P.</w:t>
      </w:r>
    </w:p>
    <w:p>
      <w:pPr>
        <w:spacing w:after="0" w:line="35"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(Exact name of registrant as specified in its charter)</w:t>
      </w:r>
    </w:p>
    <w:p>
      <w:pPr>
        <w:sectPr>
          <w:pgSz w:w="11900" w:h="16838" w:orient="portrait"/>
          <w:cols w:equalWidth="0" w:num="1">
            <w:col w:w="11080"/>
          </w:cols>
          <w:pgMar w:left="320" w:top="1274" w:right="499" w:bottom="1440" w:gutter="0" w:footer="0" w:header="0"/>
        </w:sectPr>
      </w:pPr>
    </w:p>
    <w:p>
      <w:pPr>
        <w:spacing w:after="0" w:line="30" w:lineRule="exact"/>
        <w:rPr>
          <w:sz w:val="24"/>
          <w:szCs w:val="24"/>
          <w:color w:val="auto"/>
        </w:rPr>
      </w:pPr>
    </w:p>
    <w:p>
      <w:pPr>
        <w:jc w:val="center"/>
        <w:ind w:left="300"/>
        <w:spacing w:after="0"/>
        <w:rPr>
          <w:sz w:val="20"/>
          <w:szCs w:val="20"/>
          <w:color w:val="auto"/>
        </w:rPr>
      </w:pPr>
      <w:r>
        <w:rPr>
          <w:rFonts w:ascii="Arial" w:cs="Arial" w:eastAsia="Arial" w:hAnsi="Arial"/>
          <w:sz w:val="17"/>
          <w:szCs w:val="17"/>
          <w:b w:val="1"/>
          <w:bCs w:val="1"/>
          <w:color w:val="auto"/>
        </w:rPr>
        <w:t>Delaware</w:t>
      </w:r>
    </w:p>
    <w:p>
      <w:pPr>
        <w:spacing w:after="0" w:line="30" w:lineRule="exact"/>
        <w:rPr>
          <w:sz w:val="24"/>
          <w:szCs w:val="24"/>
          <w:color w:val="auto"/>
        </w:rPr>
      </w:pPr>
    </w:p>
    <w:p>
      <w:pPr>
        <w:jc w:val="center"/>
        <w:ind w:left="300"/>
        <w:spacing w:after="0"/>
        <w:rPr>
          <w:sz w:val="20"/>
          <w:szCs w:val="20"/>
          <w:color w:val="auto"/>
        </w:rPr>
      </w:pPr>
      <w:r>
        <w:rPr>
          <w:rFonts w:ascii="Arial" w:cs="Arial" w:eastAsia="Arial" w:hAnsi="Arial"/>
          <w:sz w:val="15"/>
          <w:szCs w:val="15"/>
          <w:color w:val="auto"/>
        </w:rPr>
        <w:t>(State or other jurisdiction of</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ind w:right="640"/>
        <w:spacing w:after="0"/>
        <w:rPr>
          <w:sz w:val="20"/>
          <w:szCs w:val="20"/>
          <w:color w:val="auto"/>
        </w:rPr>
      </w:pPr>
      <w:r>
        <w:rPr>
          <w:rFonts w:ascii="Arial" w:cs="Arial" w:eastAsia="Arial" w:hAnsi="Arial"/>
          <w:sz w:val="17"/>
          <w:szCs w:val="17"/>
          <w:b w:val="1"/>
          <w:bCs w:val="1"/>
          <w:color w:val="auto"/>
        </w:rPr>
        <w:t>1-36132</w:t>
      </w:r>
    </w:p>
    <w:p>
      <w:pPr>
        <w:spacing w:after="0" w:line="30" w:lineRule="exact"/>
        <w:rPr>
          <w:sz w:val="24"/>
          <w:szCs w:val="24"/>
          <w:color w:val="auto"/>
        </w:rPr>
      </w:pPr>
    </w:p>
    <w:p>
      <w:pPr>
        <w:jc w:val="center"/>
        <w:ind w:right="640"/>
        <w:spacing w:after="0"/>
        <w:rPr>
          <w:sz w:val="20"/>
          <w:szCs w:val="20"/>
          <w:color w:val="auto"/>
        </w:rPr>
      </w:pPr>
      <w:r>
        <w:rPr>
          <w:rFonts w:ascii="Arial" w:cs="Arial" w:eastAsia="Arial" w:hAnsi="Arial"/>
          <w:sz w:val="15"/>
          <w:szCs w:val="15"/>
          <w:color w:val="auto"/>
        </w:rPr>
        <w:t>(Commission File Number)</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ind w:right="780"/>
        <w:spacing w:after="0"/>
        <w:rPr>
          <w:sz w:val="20"/>
          <w:szCs w:val="20"/>
          <w:color w:val="auto"/>
        </w:rPr>
      </w:pPr>
      <w:r>
        <w:rPr>
          <w:rFonts w:ascii="Arial" w:cs="Arial" w:eastAsia="Arial" w:hAnsi="Arial"/>
          <w:sz w:val="17"/>
          <w:szCs w:val="17"/>
          <w:b w:val="1"/>
          <w:bCs w:val="1"/>
          <w:color w:val="auto"/>
        </w:rPr>
        <w:t>90-1005472</w:t>
      </w:r>
    </w:p>
    <w:p>
      <w:pPr>
        <w:spacing w:after="0" w:line="30" w:lineRule="exact"/>
        <w:rPr>
          <w:sz w:val="24"/>
          <w:szCs w:val="24"/>
          <w:color w:val="auto"/>
        </w:rPr>
      </w:pPr>
    </w:p>
    <w:p>
      <w:pPr>
        <w:jc w:val="center"/>
        <w:ind w:right="780"/>
        <w:spacing w:after="0"/>
        <w:rPr>
          <w:sz w:val="20"/>
          <w:szCs w:val="20"/>
          <w:color w:val="auto"/>
        </w:rPr>
      </w:pPr>
      <w:r>
        <w:rPr>
          <w:rFonts w:ascii="Arial" w:cs="Arial" w:eastAsia="Arial" w:hAnsi="Arial"/>
          <w:sz w:val="16"/>
          <w:szCs w:val="16"/>
          <w:color w:val="auto"/>
        </w:rPr>
        <w:t>(IRS Employer Identification No.)</w:t>
      </w:r>
    </w:p>
    <w:p>
      <w:pPr>
        <w:spacing w:after="0" w:line="8" w:lineRule="exact"/>
        <w:rPr>
          <w:sz w:val="24"/>
          <w:szCs w:val="24"/>
          <w:color w:val="auto"/>
        </w:rPr>
      </w:pPr>
    </w:p>
    <w:p>
      <w:pPr>
        <w:sectPr>
          <w:pgSz w:w="11900" w:h="16838" w:orient="portrait"/>
          <w:cols w:equalWidth="0" w:num="3">
            <w:col w:w="3940" w:space="720"/>
            <w:col w:w="2540" w:space="720"/>
            <w:col w:w="3160"/>
          </w:cols>
          <w:pgMar w:left="320" w:top="1274" w:right="499" w:bottom="1440" w:gutter="0" w:footer="0" w:header="0"/>
          <w:type w:val="continuous"/>
        </w:sectPr>
      </w:pPr>
    </w:p>
    <w:p>
      <w:pPr>
        <w:ind w:left="1640"/>
        <w:spacing w:after="0"/>
        <w:rPr>
          <w:sz w:val="20"/>
          <w:szCs w:val="20"/>
          <w:color w:val="auto"/>
        </w:rPr>
      </w:pPr>
      <w:r>
        <w:rPr>
          <w:rFonts w:ascii="Arial" w:cs="Arial" w:eastAsia="Arial" w:hAnsi="Arial"/>
          <w:sz w:val="17"/>
          <w:szCs w:val="17"/>
          <w:color w:val="auto"/>
        </w:rPr>
        <w:t>incorporation)</w:t>
      </w:r>
    </w:p>
    <w:p>
      <w:pPr>
        <w:spacing w:after="0" w:line="304" w:lineRule="exact"/>
        <w:rPr>
          <w:sz w:val="24"/>
          <w:szCs w:val="24"/>
          <w:color w:val="auto"/>
        </w:rPr>
      </w:pPr>
    </w:p>
    <w:p>
      <w:pPr>
        <w:ind w:left="3800"/>
        <w:spacing w:after="0"/>
        <w:rPr>
          <w:sz w:val="20"/>
          <w:szCs w:val="20"/>
          <w:color w:val="auto"/>
        </w:rPr>
      </w:pPr>
      <w:r>
        <w:rPr>
          <w:rFonts w:ascii="Arial" w:cs="Arial" w:eastAsia="Arial" w:hAnsi="Arial"/>
          <w:sz w:val="15"/>
          <w:szCs w:val="15"/>
          <w:b w:val="1"/>
          <w:bCs w:val="1"/>
          <w:color w:val="auto"/>
        </w:rPr>
        <w:t>333 Clay Street, Suite 1600, Houston, Texas 77002</w:t>
      </w:r>
    </w:p>
    <w:p>
      <w:pPr>
        <w:spacing w:after="0" w:line="53" w:lineRule="exact"/>
        <w:rPr>
          <w:sz w:val="24"/>
          <w:szCs w:val="24"/>
          <w:color w:val="auto"/>
        </w:rPr>
      </w:pPr>
    </w:p>
    <w:p>
      <w:pPr>
        <w:ind w:left="3860"/>
        <w:spacing w:after="0"/>
        <w:rPr>
          <w:sz w:val="20"/>
          <w:szCs w:val="20"/>
          <w:color w:val="auto"/>
        </w:rPr>
      </w:pPr>
      <w:r>
        <w:rPr>
          <w:rFonts w:ascii="Arial" w:cs="Arial" w:eastAsia="Arial" w:hAnsi="Arial"/>
          <w:sz w:val="16"/>
          <w:szCs w:val="16"/>
          <w:color w:val="auto"/>
        </w:rPr>
        <w:t>(Address of principal executive offices) (Zip Code)</w:t>
      </w:r>
    </w:p>
    <w:p>
      <w:pPr>
        <w:sectPr>
          <w:pgSz w:w="11900" w:h="16838" w:orient="portrait"/>
          <w:cols w:equalWidth="0" w:num="1">
            <w:col w:w="11080"/>
          </w:cols>
          <w:pgMar w:left="320" w:top="1274" w:right="499" w:bottom="1440" w:gutter="0" w:footer="0" w:header="0"/>
          <w:type w:val="continuous"/>
        </w:sectPr>
      </w:pPr>
    </w:p>
    <w:p>
      <w:pPr>
        <w:spacing w:after="0" w:line="237" w:lineRule="exact"/>
        <w:rPr>
          <w:sz w:val="24"/>
          <w:szCs w:val="24"/>
          <w:color w:val="auto"/>
        </w:rPr>
      </w:pPr>
    </w:p>
    <w:p>
      <w:pPr>
        <w:jc w:val="center"/>
        <w:ind w:right="-159"/>
        <w:spacing w:after="0"/>
        <w:rPr>
          <w:sz w:val="20"/>
          <w:szCs w:val="20"/>
          <w:color w:val="auto"/>
        </w:rPr>
      </w:pPr>
      <w:r>
        <w:rPr>
          <w:rFonts w:ascii="Arial" w:cs="Arial" w:eastAsia="Arial" w:hAnsi="Arial"/>
          <w:sz w:val="17"/>
          <w:szCs w:val="17"/>
          <w:b w:val="1"/>
          <w:bCs w:val="1"/>
          <w:color w:val="auto"/>
        </w:rPr>
        <w:t>713-646-4100</w:t>
      </w:r>
    </w:p>
    <w:p>
      <w:pPr>
        <w:spacing w:after="0" w:line="30"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(Registrant’s telephone number, including area code)</w:t>
      </w:r>
    </w:p>
    <w:p>
      <w:pPr>
        <w:spacing w:after="0" w:line="23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(Former name or former address, if changed since last report)</w:t>
      </w:r>
    </w:p>
    <w:p>
      <w:pPr>
        <w:spacing w:after="0" w:line="244" w:lineRule="exact"/>
        <w:rPr>
          <w:sz w:val="24"/>
          <w:szCs w:val="24"/>
          <w:color w:val="auto"/>
        </w:rPr>
      </w:pPr>
    </w:p>
    <w:p>
      <w:pPr>
        <w:ind w:right="280"/>
        <w:spacing w:after="0" w:line="283"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185" w:lineRule="exact"/>
        <w:rPr>
          <w:sz w:val="24"/>
          <w:szCs w:val="24"/>
          <w:color w:val="auto"/>
        </w:rPr>
      </w:pPr>
    </w:p>
    <w:p>
      <w:pPr>
        <w:ind w:left="200" w:hanging="197"/>
        <w:spacing w:after="0"/>
        <w:tabs>
          <w:tab w:leader="none" w:pos="2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243" w:lineRule="exact"/>
        <w:rPr>
          <w:rFonts w:ascii="MS PGothic" w:cs="MS PGothic" w:eastAsia="MS PGothic" w:hAnsi="MS PGothic"/>
          <w:sz w:val="17"/>
          <w:szCs w:val="17"/>
          <w:color w:val="auto"/>
        </w:rPr>
      </w:pPr>
    </w:p>
    <w:p>
      <w:pPr>
        <w:ind w:left="200" w:hanging="197"/>
        <w:spacing w:after="0"/>
        <w:tabs>
          <w:tab w:leader="none" w:pos="2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243" w:lineRule="exact"/>
        <w:rPr>
          <w:rFonts w:ascii="MS PGothic" w:cs="MS PGothic" w:eastAsia="MS PGothic" w:hAnsi="MS PGothic"/>
          <w:sz w:val="17"/>
          <w:szCs w:val="17"/>
          <w:color w:val="auto"/>
        </w:rPr>
      </w:pPr>
    </w:p>
    <w:p>
      <w:pPr>
        <w:ind w:left="200" w:hanging="197"/>
        <w:spacing w:after="0"/>
        <w:tabs>
          <w:tab w:leader="none" w:pos="2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243" w:lineRule="exact"/>
        <w:rPr>
          <w:rFonts w:ascii="MS PGothic" w:cs="MS PGothic" w:eastAsia="MS PGothic" w:hAnsi="MS PGothic"/>
          <w:sz w:val="17"/>
          <w:szCs w:val="17"/>
          <w:color w:val="auto"/>
        </w:rPr>
      </w:pPr>
    </w:p>
    <w:p>
      <w:pPr>
        <w:ind w:right="3180" w:firstLine="3"/>
        <w:spacing w:after="0" w:line="559" w:lineRule="auto"/>
        <w:tabs>
          <w:tab w:leader="none" w:pos="203"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7"/>
              </w:rPr>
              <w:t>Title of each class</w:t>
            </w:r>
          </w:p>
        </w:tc>
        <w:tc>
          <w:tcPr>
            <w:tcW w:w="120" w:type="dxa"/>
            <w:vAlign w:val="bottom"/>
          </w:tcPr>
          <w:p>
            <w:pPr>
              <w:spacing w:after="0"/>
              <w:rPr>
                <w:sz w:val="19"/>
                <w:szCs w:val="19"/>
                <w:color w:val="auto"/>
              </w:rPr>
            </w:pP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Trading Symbol(s)</w:t>
            </w:r>
          </w:p>
        </w:tc>
        <w:tc>
          <w:tcPr>
            <w:tcW w:w="100" w:type="dxa"/>
            <w:vAlign w:val="bottom"/>
          </w:tcPr>
          <w:p>
            <w:pPr>
              <w:spacing w:after="0"/>
              <w:rPr>
                <w:sz w:val="19"/>
                <w:szCs w:val="19"/>
                <w:color w:val="auto"/>
              </w:rPr>
            </w:pPr>
          </w:p>
        </w:tc>
        <w:tc>
          <w:tcPr>
            <w:tcW w:w="41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Name of each exchange on which registered</w:t>
            </w:r>
          </w:p>
        </w:tc>
      </w:tr>
      <w:tr>
        <w:trPr>
          <w:trHeight w:val="213"/>
        </w:trPr>
        <w:tc>
          <w:tcPr>
            <w:tcW w:w="3460" w:type="dxa"/>
            <w:vAlign w:val="bottom"/>
            <w:gridSpan w:val="2"/>
          </w:tcPr>
          <w:p>
            <w:pPr>
              <w:jc w:val="center"/>
              <w:ind w:right="100"/>
              <w:spacing w:after="0"/>
              <w:rPr>
                <w:sz w:val="20"/>
                <w:szCs w:val="20"/>
                <w:color w:val="auto"/>
              </w:rPr>
            </w:pPr>
            <w:r>
              <w:rPr>
                <w:rFonts w:ascii="Arial" w:cs="Arial" w:eastAsia="Arial" w:hAnsi="Arial"/>
                <w:sz w:val="17"/>
                <w:szCs w:val="17"/>
                <w:color w:val="auto"/>
                <w:w w:val="88"/>
              </w:rPr>
              <w:t>Class A Shares</w:t>
            </w:r>
          </w:p>
        </w:tc>
        <w:tc>
          <w:tcPr>
            <w:tcW w:w="3460" w:type="dxa"/>
            <w:vAlign w:val="bottom"/>
            <w:gridSpan w:val="2"/>
          </w:tcPr>
          <w:p>
            <w:pPr>
              <w:jc w:val="center"/>
              <w:ind w:right="120"/>
              <w:spacing w:after="0"/>
              <w:rPr>
                <w:sz w:val="20"/>
                <w:szCs w:val="20"/>
                <w:color w:val="auto"/>
              </w:rPr>
            </w:pPr>
            <w:r>
              <w:rPr>
                <w:rFonts w:ascii="Arial" w:cs="Arial" w:eastAsia="Arial" w:hAnsi="Arial"/>
                <w:sz w:val="17"/>
                <w:szCs w:val="17"/>
                <w:color w:val="auto"/>
                <w:w w:val="88"/>
              </w:rPr>
              <w:t>PAGP</w:t>
            </w:r>
          </w:p>
        </w:tc>
        <w:tc>
          <w:tcPr>
            <w:tcW w:w="4160" w:type="dxa"/>
            <w:vAlign w:val="bottom"/>
          </w:tcPr>
          <w:p>
            <w:pPr>
              <w:jc w:val="center"/>
              <w:spacing w:after="0"/>
              <w:rPr>
                <w:sz w:val="20"/>
                <w:szCs w:val="20"/>
                <w:color w:val="auto"/>
              </w:rPr>
            </w:pPr>
            <w:r>
              <w:rPr>
                <w:rFonts w:ascii="Arial" w:cs="Arial" w:eastAsia="Arial" w:hAnsi="Arial"/>
                <w:sz w:val="17"/>
                <w:szCs w:val="17"/>
                <w:color w:val="auto"/>
                <w:w w:val="88"/>
              </w:rPr>
              <w:t>Nasdaq</w:t>
            </w:r>
          </w:p>
        </w:tc>
      </w:tr>
    </w:tbl>
    <w:p>
      <w:pPr>
        <w:spacing w:after="0" w:line="233" w:lineRule="exact"/>
        <w:rPr>
          <w:sz w:val="24"/>
          <w:szCs w:val="24"/>
          <w:color w:val="auto"/>
        </w:rPr>
      </w:pPr>
    </w:p>
    <w:p>
      <w:pPr>
        <w:ind w:right="20"/>
        <w:spacing w:after="0" w:line="283"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5"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80" w:lineRule="exact"/>
        <w:rPr>
          <w:sz w:val="24"/>
          <w:szCs w:val="24"/>
          <w:color w:val="auto"/>
        </w:rPr>
      </w:pPr>
    </w:p>
    <w:p>
      <w:pPr>
        <w:ind w:right="40"/>
        <w:spacing w:after="0" w:line="214"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944245</wp:posOffset>
            </wp:positionV>
            <wp:extent cx="716343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drawing>
          <wp:anchor simplePos="0" relativeHeight="251657728" behindDoc="1" locked="0" layoutInCell="0" allowOverlap="1">
            <wp:simplePos x="0" y="0"/>
            <wp:positionH relativeFrom="column">
              <wp:posOffset>26670</wp:posOffset>
            </wp:positionH>
            <wp:positionV relativeFrom="paragraph">
              <wp:posOffset>210185</wp:posOffset>
            </wp:positionV>
            <wp:extent cx="708914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16510"/>
                    </a:xfrm>
                    <a:prstGeom prst="rect">
                      <a:avLst/>
                    </a:prstGeom>
                    <a:noFill/>
                  </pic:spPr>
                </pic:pic>
              </a:graphicData>
            </a:graphic>
          </wp:anchor>
        </w:drawing>
        <w:drawing>
          <wp:anchor simplePos="0" relativeHeight="251657728" behindDoc="1" locked="0" layoutInCell="0" allowOverlap="1">
            <wp:simplePos x="0" y="0"/>
            <wp:positionH relativeFrom="column">
              <wp:posOffset>26670</wp:posOffset>
            </wp:positionH>
            <wp:positionV relativeFrom="paragraph">
              <wp:posOffset>153035</wp:posOffset>
            </wp:positionV>
            <wp:extent cx="7089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080"/>
          </w:cols>
          <w:pgMar w:left="320" w:top="1274" w:right="4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color w:val="auto"/>
        </w:rPr>
        <w:t>Item 2.02 and Item 7.01. Results of Operations and Financial Condition; Regulation FD Disclosure.</w:t>
      </w:r>
    </w:p>
    <w:p>
      <w:pPr>
        <w:spacing w:after="0" w:line="250" w:lineRule="exact"/>
        <w:rPr>
          <w:sz w:val="20"/>
          <w:szCs w:val="20"/>
          <w:color w:val="auto"/>
        </w:rPr>
      </w:pPr>
    </w:p>
    <w:p>
      <w:pPr>
        <w:ind w:right="120" w:firstLine="172"/>
        <w:spacing w:after="0" w:line="285" w:lineRule="auto"/>
        <w:rPr>
          <w:sz w:val="20"/>
          <w:szCs w:val="20"/>
          <w:color w:val="auto"/>
        </w:rPr>
      </w:pPr>
      <w:r>
        <w:rPr>
          <w:rFonts w:ascii="Arial" w:cs="Arial" w:eastAsia="Arial" w:hAnsi="Arial"/>
          <w:sz w:val="16"/>
          <w:szCs w:val="16"/>
          <w:color w:val="auto"/>
        </w:rPr>
        <w:t>On August 3, 2021, the Registrant issued a press release reporting its second-quarter 2021 results. A copy of the press release is furnished as Exhibit 99.1 hereto. In accordance with General Instruction B.2 of Form 8-K, the information presented herein under Item 2.02 and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9.01. Financial Statements and Exhibits.</w:t>
      </w:r>
    </w:p>
    <w:p>
      <w:pPr>
        <w:spacing w:after="0" w:line="237" w:lineRule="exact"/>
        <w:rPr>
          <w:sz w:val="20"/>
          <w:szCs w:val="20"/>
          <w:color w:val="auto"/>
        </w:rPr>
      </w:pPr>
    </w:p>
    <w:p>
      <w:pPr>
        <w:ind w:left="180"/>
        <w:spacing w:after="0"/>
        <w:rPr>
          <w:sz w:val="20"/>
          <w:szCs w:val="20"/>
          <w:color w:val="auto"/>
        </w:rPr>
      </w:pPr>
      <w:r>
        <w:rPr>
          <w:rFonts w:ascii="Arial" w:cs="Arial" w:eastAsia="Arial" w:hAnsi="Arial"/>
          <w:sz w:val="17"/>
          <w:szCs w:val="17"/>
          <w:color w:val="auto"/>
        </w:rPr>
        <w:t>(d) Exhibits.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0" w:type="dxa"/>
            <w:vAlign w:val="bottom"/>
          </w:tcPr>
          <w:p>
            <w:pPr>
              <w:spacing w:after="0"/>
              <w:rPr>
                <w:sz w:val="16"/>
                <w:szCs w:val="16"/>
                <w:color w:val="auto"/>
              </w:rPr>
            </w:pPr>
          </w:p>
        </w:tc>
        <w:tc>
          <w:tcPr>
            <w:tcW w:w="1240" w:type="dxa"/>
            <w:vAlign w:val="bottom"/>
            <w:gridSpan w:val="2"/>
          </w:tcPr>
          <w:p>
            <w:pPr>
              <w:ind w:left="640"/>
              <w:spacing w:after="0"/>
              <w:rPr>
                <w:sz w:val="20"/>
                <w:szCs w:val="20"/>
                <w:color w:val="auto"/>
              </w:rPr>
            </w:pPr>
            <w:r>
              <w:rPr>
                <w:rFonts w:ascii="Arial" w:cs="Arial" w:eastAsia="Arial" w:hAnsi="Arial"/>
                <w:sz w:val="16"/>
                <w:szCs w:val="16"/>
                <w:b w:val="1"/>
                <w:bCs w:val="1"/>
                <w:color w:val="auto"/>
              </w:rPr>
              <w:t>Exhibit</w:t>
            </w:r>
          </w:p>
        </w:tc>
        <w:tc>
          <w:tcPr>
            <w:tcW w:w="6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4320" w:type="dxa"/>
            <w:vAlign w:val="bottom"/>
            <w:vMerge w:val="restart"/>
          </w:tcPr>
          <w:p>
            <w:pPr>
              <w:jc w:val="right"/>
              <w:ind w:right="2922"/>
              <w:spacing w:after="0"/>
              <w:rPr>
                <w:sz w:val="20"/>
                <w:szCs w:val="20"/>
                <w:color w:val="auto"/>
              </w:rPr>
            </w:pPr>
            <w:r>
              <w:rPr>
                <w:rFonts w:ascii="Arial" w:cs="Arial" w:eastAsia="Arial" w:hAnsi="Arial"/>
                <w:sz w:val="16"/>
                <w:szCs w:val="16"/>
                <w:b w:val="1"/>
                <w:bCs w:val="1"/>
                <w:color w:val="auto"/>
              </w:rPr>
              <w:t>Description</w:t>
            </w:r>
          </w:p>
        </w:tc>
        <w:tc>
          <w:tcPr>
            <w:tcW w:w="198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1160" w:type="dxa"/>
            <w:vAlign w:val="bottom"/>
            <w:tcBorders>
              <w:bottom w:val="single" w:sz="8" w:color="auto"/>
            </w:tcBorders>
          </w:tcPr>
          <w:p>
            <w:pPr>
              <w:ind w:left="300"/>
              <w:spacing w:after="0"/>
              <w:rPr>
                <w:sz w:val="20"/>
                <w:szCs w:val="20"/>
                <w:color w:val="auto"/>
              </w:rPr>
            </w:pPr>
            <w:r>
              <w:rPr>
                <w:rFonts w:ascii="Arial" w:cs="Arial" w:eastAsia="Arial" w:hAnsi="Arial"/>
                <w:sz w:val="16"/>
                <w:szCs w:val="16"/>
                <w:b w:val="1"/>
                <w:bCs w:val="1"/>
                <w:color w:val="auto"/>
              </w:rPr>
              <w:t>Number</w:t>
            </w:r>
          </w:p>
        </w:tc>
        <w:tc>
          <w:tcPr>
            <w:tcW w:w="8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tcPr>
          <w:p>
            <w:pPr>
              <w:spacing w:after="0"/>
              <w:rPr>
                <w:sz w:val="17"/>
                <w:szCs w:val="17"/>
                <w:color w:val="auto"/>
              </w:rPr>
            </w:pPr>
          </w:p>
        </w:tc>
        <w:tc>
          <w:tcPr>
            <w:tcW w:w="4320" w:type="dxa"/>
            <w:vAlign w:val="bottom"/>
            <w:tcBorders>
              <w:bottom w:val="single" w:sz="8" w:color="auto"/>
            </w:tcBorders>
            <w:vMerge w:val="continue"/>
          </w:tcPr>
          <w:p>
            <w:pPr>
              <w:spacing w:after="0"/>
              <w:rPr>
                <w:sz w:val="17"/>
                <w:szCs w:val="17"/>
                <w:color w:val="auto"/>
              </w:rPr>
            </w:pPr>
          </w:p>
        </w:tc>
        <w:tc>
          <w:tcPr>
            <w:tcW w:w="1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780" w:type="dxa"/>
            <w:vAlign w:val="bottom"/>
            <w:gridSpan w:val="2"/>
          </w:tcPr>
          <w:p>
            <w:pPr>
              <w:jc w:val="right"/>
              <w:ind w:right="42"/>
              <w:spacing w:after="0" w:line="176" w:lineRule="exact"/>
              <w:rPr>
                <w:sz w:val="20"/>
                <w:szCs w:val="20"/>
                <w:color w:val="auto"/>
              </w:rPr>
            </w:pPr>
            <w:r>
              <w:rPr>
                <w:rFonts w:ascii="Arial" w:cs="Arial" w:eastAsia="Arial" w:hAnsi="Arial"/>
                <w:sz w:val="17"/>
                <w:szCs w:val="17"/>
                <w:color w:val="auto"/>
              </w:rPr>
              <w:t>99.1</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760" w:type="dxa"/>
            <w:vAlign w:val="bottom"/>
            <w:gridSpan w:val="3"/>
          </w:tcPr>
          <w:p>
            <w:pPr>
              <w:spacing w:after="0" w:line="176" w:lineRule="exact"/>
              <w:rPr>
                <w:rFonts w:ascii="Arial" w:cs="Arial" w:eastAsia="Arial" w:hAnsi="Arial"/>
                <w:sz w:val="17"/>
                <w:szCs w:val="17"/>
                <w:color w:val="0000FF"/>
              </w:rPr>
            </w:pPr>
            <w:hyperlink w:anchor="page4">
              <w:r>
                <w:rPr>
                  <w:rFonts w:ascii="Arial" w:cs="Arial" w:eastAsia="Arial" w:hAnsi="Arial"/>
                  <w:sz w:val="17"/>
                  <w:szCs w:val="17"/>
                  <w:color w:val="0000FF"/>
                </w:rPr>
                <w:t>Press Release dated August 3, 2021</w:t>
              </w:r>
            </w:hyperlink>
          </w:p>
        </w:tc>
        <w:tc>
          <w:tcPr>
            <w:tcW w:w="0" w:type="dxa"/>
            <w:vAlign w:val="bottom"/>
          </w:tcPr>
          <w:p>
            <w:pPr>
              <w:spacing w:after="0"/>
              <w:rPr>
                <w:sz w:val="1"/>
                <w:szCs w:val="1"/>
                <w:color w:val="auto"/>
              </w:rPr>
            </w:pPr>
          </w:p>
        </w:tc>
      </w:tr>
      <w:tr>
        <w:trPr>
          <w:trHeight w:val="20"/>
        </w:trPr>
        <w:tc>
          <w:tcPr>
            <w:tcW w:w="17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6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1780" w:type="dxa"/>
            <w:vAlign w:val="bottom"/>
            <w:gridSpan w:val="2"/>
          </w:tcPr>
          <w:p>
            <w:pPr>
              <w:jc w:val="right"/>
              <w:ind w:right="62"/>
              <w:spacing w:after="0"/>
              <w:rPr>
                <w:sz w:val="20"/>
                <w:szCs w:val="20"/>
                <w:color w:val="auto"/>
              </w:rPr>
            </w:pPr>
            <w:r>
              <w:rPr>
                <w:rFonts w:ascii="Arial" w:cs="Arial" w:eastAsia="Arial" w:hAnsi="Arial"/>
                <w:sz w:val="17"/>
                <w:szCs w:val="17"/>
                <w:color w:val="auto"/>
              </w:rPr>
              <w:t>104</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760" w:type="dxa"/>
            <w:vAlign w:val="bottom"/>
            <w:gridSpan w:val="3"/>
          </w:tcPr>
          <w:p>
            <w:pPr>
              <w:spacing w:after="0"/>
              <w:rPr>
                <w:sz w:val="20"/>
                <w:szCs w:val="20"/>
                <w:color w:val="auto"/>
              </w:rPr>
            </w:pPr>
            <w:r>
              <w:rPr>
                <w:rFonts w:ascii="Arial" w:cs="Arial" w:eastAsia="Arial" w:hAnsi="Arial"/>
                <w:sz w:val="17"/>
                <w:szCs w:val="17"/>
                <w:color w:val="auto"/>
              </w:rPr>
              <w:t>Cover Page Interactive Data File (embedded within the Inline XBRL document)</w:t>
            </w:r>
          </w:p>
        </w:tc>
        <w:tc>
          <w:tcPr>
            <w:tcW w:w="0" w:type="dxa"/>
            <w:vAlign w:val="bottom"/>
          </w:tcPr>
          <w:p>
            <w:pPr>
              <w:spacing w:after="0"/>
              <w:rPr>
                <w:sz w:val="1"/>
                <w:szCs w:val="1"/>
                <w:color w:val="auto"/>
              </w:rPr>
            </w:pPr>
          </w:p>
        </w:tc>
      </w:tr>
      <w:tr>
        <w:trPr>
          <w:trHeight w:val="1292"/>
        </w:trPr>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0" w:type="dxa"/>
            <w:vAlign w:val="bottom"/>
            <w:gridSpan w:val="3"/>
          </w:tcPr>
          <w:p>
            <w:pPr>
              <w:jc w:val="right"/>
              <w:ind w:right="3522"/>
              <w:spacing w:after="0"/>
              <w:rPr>
                <w:sz w:val="20"/>
                <w:szCs w:val="20"/>
                <w:color w:val="auto"/>
              </w:rPr>
            </w:pPr>
            <w:r>
              <w:rPr>
                <w:rFonts w:ascii="Arial" w:cs="Arial" w:eastAsia="Arial" w:hAnsi="Arial"/>
                <w:sz w:val="17"/>
                <w:szCs w:val="17"/>
                <w:color w:val="auto"/>
              </w:rPr>
              <w:t>2</w:t>
            </w: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6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460" w:type="dxa"/>
            <w:vAlign w:val="bottom"/>
            <w:tcBorders>
              <w:bottom w:val="single" w:sz="8" w:color="9A9A9A"/>
            </w:tcBorders>
          </w:tcPr>
          <w:p>
            <w:pPr>
              <w:spacing w:after="0"/>
              <w:rPr>
                <w:sz w:val="9"/>
                <w:szCs w:val="9"/>
                <w:color w:val="auto"/>
              </w:rPr>
            </w:pPr>
          </w:p>
        </w:tc>
        <w:tc>
          <w:tcPr>
            <w:tcW w:w="4320" w:type="dxa"/>
            <w:vAlign w:val="bottom"/>
            <w:tcBorders>
              <w:bottom w:val="single" w:sz="8" w:color="9A9A9A"/>
            </w:tcBorders>
          </w:tcPr>
          <w:p>
            <w:pPr>
              <w:spacing w:after="0"/>
              <w:rPr>
                <w:sz w:val="9"/>
                <w:szCs w:val="9"/>
                <w:color w:val="auto"/>
              </w:rPr>
            </w:pPr>
          </w:p>
        </w:tc>
        <w:tc>
          <w:tcPr>
            <w:tcW w:w="19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2" w:name="page3"/>
    <w:bookmarkEnd w:id="2"/>
    <w:p>
      <w:pPr>
        <w:jc w:val="center"/>
        <w:ind w:right="100"/>
        <w:spacing w:after="0"/>
        <w:rPr>
          <w:sz w:val="20"/>
          <w:szCs w:val="20"/>
          <w:color w:val="auto"/>
        </w:rPr>
      </w:pPr>
      <w:r>
        <w:rPr>
          <w:rFonts w:ascii="Arial" w:cs="Arial" w:eastAsia="Arial" w:hAnsi="Arial"/>
          <w:sz w:val="17"/>
          <w:szCs w:val="17"/>
          <w:b w:val="1"/>
          <w:bCs w:val="1"/>
          <w:color w:val="auto"/>
        </w:rPr>
        <w:t>SIGNATURES</w:t>
      </w:r>
    </w:p>
    <w:p>
      <w:pPr>
        <w:spacing w:after="0" w:line="95" w:lineRule="exact"/>
        <w:rPr>
          <w:sz w:val="20"/>
          <w:szCs w:val="20"/>
          <w:color w:val="auto"/>
        </w:rPr>
      </w:pPr>
    </w:p>
    <w:p>
      <w:pPr>
        <w:ind w:right="320" w:firstLine="233"/>
        <w:spacing w:after="0" w:line="283"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82" w:lineRule="exact"/>
        <w:rPr>
          <w:sz w:val="20"/>
          <w:szCs w:val="20"/>
          <w:color w:val="auto"/>
        </w:rPr>
      </w:pPr>
    </w:p>
    <w:tbl>
      <w:tblPr>
        <w:tblLayout w:type="fixed"/>
        <w:tblInd w:w="1260" w:type="dxa"/>
        <w:tblCellMar>
          <w:top w:w="0" w:type="dxa"/>
          <w:left w:w="0" w:type="dxa"/>
          <w:bottom w:w="0" w:type="dxa"/>
          <w:right w:w="0" w:type="dxa"/>
        </w:tblCellMar>
      </w:tblPr>
      <w:tr>
        <w:trPr>
          <w:trHeight w:val="219"/>
        </w:trPr>
        <w:tc>
          <w:tcPr>
            <w:tcW w:w="2820" w:type="dxa"/>
            <w:vAlign w:val="bottom"/>
          </w:tcPr>
          <w:p>
            <w:pPr>
              <w:spacing w:after="0"/>
              <w:rPr>
                <w:sz w:val="19"/>
                <w:szCs w:val="19"/>
                <w:color w:val="auto"/>
              </w:rPr>
            </w:pPr>
          </w:p>
        </w:tc>
        <w:tc>
          <w:tcPr>
            <w:tcW w:w="7260" w:type="dxa"/>
            <w:vAlign w:val="bottom"/>
            <w:gridSpan w:val="3"/>
          </w:tcPr>
          <w:p>
            <w:pPr>
              <w:ind w:left="1320"/>
              <w:spacing w:after="0"/>
              <w:rPr>
                <w:sz w:val="20"/>
                <w:szCs w:val="20"/>
                <w:color w:val="auto"/>
              </w:rPr>
            </w:pPr>
            <w:r>
              <w:rPr>
                <w:rFonts w:ascii="Arial" w:cs="Arial" w:eastAsia="Arial" w:hAnsi="Arial"/>
                <w:sz w:val="17"/>
                <w:szCs w:val="17"/>
                <w:color w:val="auto"/>
              </w:rPr>
              <w:t>PLAINS GP HOLDINGS, L.P.</w:t>
            </w:r>
          </w:p>
        </w:tc>
      </w:tr>
      <w:tr>
        <w:trPr>
          <w:trHeight w:val="478"/>
        </w:trPr>
        <w:tc>
          <w:tcPr>
            <w:tcW w:w="2820" w:type="dxa"/>
            <w:vAlign w:val="bottom"/>
          </w:tcPr>
          <w:p>
            <w:pPr>
              <w:spacing w:after="0"/>
              <w:rPr>
                <w:sz w:val="24"/>
                <w:szCs w:val="24"/>
                <w:color w:val="auto"/>
              </w:rPr>
            </w:pPr>
          </w:p>
        </w:tc>
        <w:tc>
          <w:tcPr>
            <w:tcW w:w="1600" w:type="dxa"/>
            <w:vAlign w:val="bottom"/>
          </w:tcPr>
          <w:p>
            <w:pPr>
              <w:ind w:left="1320"/>
              <w:spacing w:after="0"/>
              <w:rPr>
                <w:sz w:val="20"/>
                <w:szCs w:val="20"/>
                <w:color w:val="auto"/>
              </w:rPr>
            </w:pPr>
            <w:r>
              <w:rPr>
                <w:rFonts w:ascii="Arial" w:cs="Arial" w:eastAsia="Arial" w:hAnsi="Arial"/>
                <w:sz w:val="17"/>
                <w:szCs w:val="17"/>
                <w:color w:val="auto"/>
              </w:rPr>
              <w:t>By:</w:t>
            </w:r>
          </w:p>
        </w:tc>
        <w:tc>
          <w:tcPr>
            <w:tcW w:w="5660" w:type="dxa"/>
            <w:vAlign w:val="bottom"/>
            <w:gridSpan w:val="2"/>
          </w:tcPr>
          <w:p>
            <w:pPr>
              <w:ind w:left="640"/>
              <w:spacing w:after="0"/>
              <w:rPr>
                <w:sz w:val="20"/>
                <w:szCs w:val="20"/>
                <w:color w:val="auto"/>
              </w:rPr>
            </w:pPr>
            <w:r>
              <w:rPr>
                <w:rFonts w:ascii="Arial" w:cs="Arial" w:eastAsia="Arial" w:hAnsi="Arial"/>
                <w:sz w:val="17"/>
                <w:szCs w:val="17"/>
                <w:color w:val="auto"/>
              </w:rPr>
              <w:t>PAA GP Holdings LLC, its general partner</w:t>
            </w:r>
          </w:p>
        </w:tc>
      </w:tr>
      <w:tr>
        <w:trPr>
          <w:trHeight w:val="478"/>
        </w:trPr>
        <w:tc>
          <w:tcPr>
            <w:tcW w:w="2820" w:type="dxa"/>
            <w:vAlign w:val="bottom"/>
          </w:tcPr>
          <w:p>
            <w:pPr>
              <w:spacing w:after="0"/>
              <w:rPr>
                <w:sz w:val="20"/>
                <w:szCs w:val="20"/>
                <w:color w:val="auto"/>
              </w:rPr>
            </w:pPr>
            <w:r>
              <w:rPr>
                <w:rFonts w:ascii="Arial" w:cs="Arial" w:eastAsia="Arial" w:hAnsi="Arial"/>
                <w:sz w:val="17"/>
                <w:szCs w:val="17"/>
                <w:color w:val="auto"/>
              </w:rPr>
              <w:t>Date: August 3, 2021</w:t>
            </w:r>
          </w:p>
        </w:tc>
        <w:tc>
          <w:tcPr>
            <w:tcW w:w="1600" w:type="dxa"/>
            <w:vAlign w:val="bottom"/>
          </w:tcPr>
          <w:p>
            <w:pPr>
              <w:ind w:left="1320"/>
              <w:spacing w:after="0"/>
              <w:rPr>
                <w:sz w:val="20"/>
                <w:szCs w:val="20"/>
                <w:color w:val="auto"/>
              </w:rPr>
            </w:pPr>
            <w:r>
              <w:rPr>
                <w:rFonts w:ascii="Arial" w:cs="Arial" w:eastAsia="Arial" w:hAnsi="Arial"/>
                <w:sz w:val="17"/>
                <w:szCs w:val="17"/>
                <w:color w:val="auto"/>
              </w:rPr>
              <w:t>By:</w:t>
            </w:r>
          </w:p>
        </w:tc>
        <w:tc>
          <w:tcPr>
            <w:tcW w:w="1720" w:type="dxa"/>
            <w:vAlign w:val="bottom"/>
            <w:tcBorders>
              <w:bottom w:val="single" w:sz="8" w:color="auto"/>
            </w:tcBorders>
          </w:tcPr>
          <w:p>
            <w:pPr>
              <w:ind w:left="640"/>
              <w:spacing w:after="0"/>
              <w:rPr>
                <w:sz w:val="20"/>
                <w:szCs w:val="20"/>
                <w:color w:val="auto"/>
              </w:rPr>
            </w:pPr>
            <w:r>
              <w:rPr>
                <w:rFonts w:ascii="Arial" w:cs="Arial" w:eastAsia="Arial" w:hAnsi="Arial"/>
                <w:sz w:val="17"/>
                <w:szCs w:val="17"/>
                <w:color w:val="auto"/>
                <w:w w:val="94"/>
              </w:rPr>
              <w:t>/s/ Al Swanson</w:t>
            </w:r>
          </w:p>
        </w:tc>
        <w:tc>
          <w:tcPr>
            <w:tcW w:w="3940" w:type="dxa"/>
            <w:vAlign w:val="bottom"/>
            <w:tcBorders>
              <w:bottom w:val="single" w:sz="8" w:color="auto"/>
            </w:tcBorders>
          </w:tcPr>
          <w:p>
            <w:pPr>
              <w:spacing w:after="0"/>
              <w:rPr>
                <w:sz w:val="24"/>
                <w:szCs w:val="24"/>
                <w:color w:val="auto"/>
              </w:rPr>
            </w:pPr>
          </w:p>
        </w:tc>
      </w:tr>
      <w:tr>
        <w:trPr>
          <w:trHeight w:val="213"/>
        </w:trPr>
        <w:tc>
          <w:tcPr>
            <w:tcW w:w="28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720" w:type="dxa"/>
            <w:vAlign w:val="bottom"/>
          </w:tcPr>
          <w:p>
            <w:pPr>
              <w:ind w:left="640"/>
              <w:spacing w:after="0"/>
              <w:rPr>
                <w:sz w:val="20"/>
                <w:szCs w:val="20"/>
                <w:color w:val="auto"/>
              </w:rPr>
            </w:pPr>
            <w:r>
              <w:rPr>
                <w:rFonts w:ascii="Arial" w:cs="Arial" w:eastAsia="Arial" w:hAnsi="Arial"/>
                <w:sz w:val="17"/>
                <w:szCs w:val="17"/>
                <w:color w:val="auto"/>
              </w:rPr>
              <w:t>Name:</w:t>
            </w:r>
          </w:p>
        </w:tc>
        <w:tc>
          <w:tcPr>
            <w:tcW w:w="3940" w:type="dxa"/>
            <w:vAlign w:val="bottom"/>
          </w:tcPr>
          <w:p>
            <w:pPr>
              <w:ind w:left="40"/>
              <w:spacing w:after="0"/>
              <w:rPr>
                <w:sz w:val="20"/>
                <w:szCs w:val="20"/>
                <w:color w:val="auto"/>
              </w:rPr>
            </w:pPr>
            <w:r>
              <w:rPr>
                <w:rFonts w:ascii="Arial" w:cs="Arial" w:eastAsia="Arial" w:hAnsi="Arial"/>
                <w:sz w:val="17"/>
                <w:szCs w:val="17"/>
                <w:color w:val="auto"/>
              </w:rPr>
              <w:t>Al Swanson</w:t>
            </w:r>
          </w:p>
        </w:tc>
      </w:tr>
      <w:tr>
        <w:trPr>
          <w:trHeight w:val="220"/>
        </w:trPr>
        <w:tc>
          <w:tcPr>
            <w:tcW w:w="28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720" w:type="dxa"/>
            <w:vAlign w:val="bottom"/>
          </w:tcPr>
          <w:p>
            <w:pPr>
              <w:ind w:left="640"/>
              <w:spacing w:after="0"/>
              <w:rPr>
                <w:sz w:val="20"/>
                <w:szCs w:val="20"/>
                <w:color w:val="auto"/>
              </w:rPr>
            </w:pPr>
            <w:r>
              <w:rPr>
                <w:rFonts w:ascii="Arial" w:cs="Arial" w:eastAsia="Arial" w:hAnsi="Arial"/>
                <w:sz w:val="17"/>
                <w:szCs w:val="17"/>
                <w:color w:val="auto"/>
              </w:rPr>
              <w:t>Title:</w:t>
            </w:r>
          </w:p>
        </w:tc>
        <w:tc>
          <w:tcPr>
            <w:tcW w:w="3940" w:type="dxa"/>
            <w:vAlign w:val="bottom"/>
          </w:tcPr>
          <w:p>
            <w:pPr>
              <w:ind w:left="40"/>
              <w:spacing w:after="0"/>
              <w:rPr>
                <w:sz w:val="20"/>
                <w:szCs w:val="20"/>
                <w:color w:val="auto"/>
              </w:rPr>
            </w:pPr>
            <w:r>
              <w:rPr>
                <w:rFonts w:ascii="Arial" w:cs="Arial" w:eastAsia="Arial" w:hAnsi="Arial"/>
                <w:sz w:val="17"/>
                <w:szCs w:val="17"/>
                <w:i w:val="1"/>
                <w:iCs w:val="1"/>
                <w:color w:val="auto"/>
                <w:w w:val="98"/>
              </w:rPr>
              <w:t>Executive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340"/>
          </w:cols>
          <w:pgMar w:left="320" w:top="948"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1208405</wp:posOffset>
            </wp:positionH>
            <wp:positionV relativeFrom="paragraph">
              <wp:posOffset>429260</wp:posOffset>
            </wp:positionV>
            <wp:extent cx="4733925" cy="7467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733925" cy="746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Plains All American Reports Second-Quarter 2021 Results</w:t>
      </w:r>
    </w:p>
    <w:p>
      <w:pPr>
        <w:spacing w:after="0" w:line="240" w:lineRule="exact"/>
        <w:rPr>
          <w:sz w:val="20"/>
          <w:szCs w:val="20"/>
          <w:color w:val="auto"/>
        </w:rPr>
      </w:pPr>
    </w:p>
    <w:p>
      <w:pPr>
        <w:ind w:right="640"/>
        <w:spacing w:after="0" w:line="265" w:lineRule="auto"/>
        <w:rPr>
          <w:sz w:val="20"/>
          <w:szCs w:val="20"/>
          <w:color w:val="auto"/>
        </w:rPr>
      </w:pPr>
      <w:r>
        <w:rPr>
          <w:rFonts w:ascii="Arial" w:cs="Arial" w:eastAsia="Arial" w:hAnsi="Arial"/>
          <w:sz w:val="19"/>
          <w:szCs w:val="19"/>
          <w:color w:val="auto"/>
        </w:rPr>
        <w:t>Houston, TX – August 3, 2021– Plains All American Pipeline, L.P. (Nasdaq: PAA) and Plains GP Holdings (Nasdaq: PAGP) today reported second-quarter 2021 results and provided various other updates.</w:t>
      </w:r>
    </w:p>
    <w:p>
      <w:pPr>
        <w:spacing w:after="0" w:line="202" w:lineRule="exact"/>
        <w:rPr>
          <w:sz w:val="20"/>
          <w:szCs w:val="20"/>
          <w:color w:val="auto"/>
        </w:rPr>
      </w:pPr>
    </w:p>
    <w:p>
      <w:pPr>
        <w:ind w:left="620" w:right="40" w:hanging="307"/>
        <w:spacing w:after="0" w:line="232" w:lineRule="auto"/>
        <w:tabs>
          <w:tab w:leader="none" w:pos="615" w:val="left"/>
        </w:tabs>
        <w:numPr>
          <w:ilvl w:val="0"/>
          <w:numId w:val="2"/>
        </w:numPr>
        <w:rPr>
          <w:rFonts w:ascii="Arial" w:cs="Arial" w:eastAsia="Arial" w:hAnsi="Arial"/>
          <w:sz w:val="21"/>
          <w:szCs w:val="21"/>
          <w:b w:val="1"/>
          <w:bCs w:val="1"/>
          <w:color w:val="auto"/>
        </w:rPr>
      </w:pPr>
      <w:r>
        <w:rPr>
          <w:rFonts w:ascii="Arial" w:cs="Arial" w:eastAsia="Arial" w:hAnsi="Arial"/>
          <w:sz w:val="19"/>
          <w:szCs w:val="19"/>
          <w:color w:val="auto"/>
        </w:rPr>
        <w:t>Completed the sale of Plains’ natural gas storage assets (transaction announced June 8</w:t>
      </w:r>
      <w:r>
        <w:rPr>
          <w:rFonts w:ascii="Arial" w:cs="Arial" w:eastAsia="Arial" w:hAnsi="Arial"/>
          <w:sz w:val="22"/>
          <w:szCs w:val="22"/>
          <w:color w:val="auto"/>
          <w:vertAlign w:val="superscript"/>
        </w:rPr>
        <w:t>th</w:t>
      </w:r>
      <w:r>
        <w:rPr>
          <w:rFonts w:ascii="Arial" w:cs="Arial" w:eastAsia="Arial" w:hAnsi="Arial"/>
          <w:sz w:val="19"/>
          <w:szCs w:val="19"/>
          <w:color w:val="auto"/>
        </w:rPr>
        <w:t xml:space="preserve"> and closed August 2</w:t>
      </w:r>
      <w:r>
        <w:rPr>
          <w:rFonts w:ascii="Arial" w:cs="Arial" w:eastAsia="Arial" w:hAnsi="Arial"/>
          <w:sz w:val="22"/>
          <w:szCs w:val="22"/>
          <w:color w:val="auto"/>
          <w:vertAlign w:val="superscript"/>
        </w:rPr>
        <w:t>nd</w:t>
      </w:r>
      <w:r>
        <w:rPr>
          <w:rFonts w:ascii="Arial" w:cs="Arial" w:eastAsia="Arial" w:hAnsi="Arial"/>
          <w:sz w:val="19"/>
          <w:szCs w:val="19"/>
          <w:color w:val="auto"/>
        </w:rPr>
        <w:t>) resulting in net sales proceeds of approximately $850 million, a corresponding non-cash impairment charge of approximately $475 million, and a net loss for the second-quarter of $220 million</w:t>
      </w:r>
    </w:p>
    <w:p>
      <w:pPr>
        <w:spacing w:after="0" w:line="211" w:lineRule="exact"/>
        <w:rPr>
          <w:rFonts w:ascii="Arial" w:cs="Arial" w:eastAsia="Arial" w:hAnsi="Arial"/>
          <w:sz w:val="21"/>
          <w:szCs w:val="21"/>
          <w:b w:val="1"/>
          <w:bCs w:val="1"/>
          <w:color w:val="auto"/>
        </w:rPr>
      </w:pPr>
    </w:p>
    <w:p>
      <w:pPr>
        <w:ind w:left="620" w:right="300" w:hanging="307"/>
        <w:spacing w:after="0" w:line="226" w:lineRule="auto"/>
        <w:tabs>
          <w:tab w:leader="none" w:pos="615" w:val="left"/>
        </w:tabs>
        <w:numPr>
          <w:ilvl w:val="0"/>
          <w:numId w:val="2"/>
        </w:numPr>
        <w:rPr>
          <w:rFonts w:ascii="Arial" w:cs="Arial" w:eastAsia="Arial" w:hAnsi="Arial"/>
          <w:sz w:val="21"/>
          <w:szCs w:val="21"/>
          <w:color w:val="auto"/>
        </w:rPr>
      </w:pPr>
      <w:r>
        <w:rPr>
          <w:rFonts w:ascii="Arial" w:cs="Arial" w:eastAsia="Arial" w:hAnsi="Arial"/>
          <w:sz w:val="19"/>
          <w:szCs w:val="19"/>
          <w:color w:val="auto"/>
        </w:rPr>
        <w:t>Reported second-quarter Adjusted EBITDA of $579 million, increased full-year 2021 Adjusted EBITDA guidance by $25 million to +/-$2.175 billion, and reduced 2021 investment capital guidance by $50 million to +/- $325 million</w:t>
      </w:r>
    </w:p>
    <w:p>
      <w:pPr>
        <w:spacing w:after="0" w:line="212" w:lineRule="exact"/>
        <w:rPr>
          <w:rFonts w:ascii="Arial" w:cs="Arial" w:eastAsia="Arial" w:hAnsi="Arial"/>
          <w:sz w:val="21"/>
          <w:szCs w:val="21"/>
          <w:color w:val="auto"/>
        </w:rPr>
      </w:pPr>
    </w:p>
    <w:p>
      <w:pPr>
        <w:ind w:left="620" w:hanging="307"/>
        <w:spacing w:after="0"/>
        <w:tabs>
          <w:tab w:leader="none" w:pos="620" w:val="left"/>
        </w:tabs>
        <w:numPr>
          <w:ilvl w:val="0"/>
          <w:numId w:val="2"/>
        </w:numPr>
        <w:rPr>
          <w:rFonts w:ascii="Arial" w:cs="Arial" w:eastAsia="Arial" w:hAnsi="Arial"/>
          <w:sz w:val="19"/>
          <w:szCs w:val="19"/>
          <w:color w:val="auto"/>
        </w:rPr>
      </w:pPr>
      <w:r>
        <w:rPr>
          <w:rFonts w:ascii="Arial" w:cs="Arial" w:eastAsia="Arial" w:hAnsi="Arial"/>
          <w:sz w:val="17"/>
          <w:szCs w:val="17"/>
          <w:color w:val="auto"/>
        </w:rPr>
        <w:t>Increased forecasted 2021 Free Cash Flow after Distributions to +/- $1.35 billion, or +/- $450 million excluding proceeds from asset sales</w:t>
      </w:r>
    </w:p>
    <w:p>
      <w:pPr>
        <w:spacing w:after="0" w:line="233" w:lineRule="exact"/>
        <w:rPr>
          <w:rFonts w:ascii="Arial" w:cs="Arial" w:eastAsia="Arial" w:hAnsi="Arial"/>
          <w:sz w:val="19"/>
          <w:szCs w:val="19"/>
          <w:color w:val="auto"/>
        </w:rPr>
      </w:pPr>
    </w:p>
    <w:p>
      <w:pPr>
        <w:ind w:left="620" w:right="560" w:hanging="307"/>
        <w:spacing w:after="0" w:line="238" w:lineRule="auto"/>
        <w:tabs>
          <w:tab w:leader="none" w:pos="615" w:val="left"/>
        </w:tabs>
        <w:numPr>
          <w:ilvl w:val="0"/>
          <w:numId w:val="2"/>
        </w:numPr>
        <w:rPr>
          <w:rFonts w:ascii="Arial" w:cs="Arial" w:eastAsia="Arial" w:hAnsi="Arial"/>
          <w:sz w:val="20"/>
          <w:szCs w:val="20"/>
          <w:color w:val="auto"/>
        </w:rPr>
      </w:pPr>
      <w:r>
        <w:rPr>
          <w:rFonts w:ascii="Arial" w:cs="Arial" w:eastAsia="Arial" w:hAnsi="Arial"/>
          <w:sz w:val="18"/>
          <w:szCs w:val="18"/>
          <w:color w:val="auto"/>
        </w:rPr>
        <w:t>Announced definitive agreement to form strategic Permian Basin joint venture with Oryx Midstream – highly complementary assets, significant value for customers (cashless transaction, debt-free entity, near-term free-cash-flow accretive)</w:t>
      </w:r>
    </w:p>
    <w:p>
      <w:pPr>
        <w:spacing w:after="0" w:line="212" w:lineRule="exact"/>
        <w:rPr>
          <w:rFonts w:ascii="Arial" w:cs="Arial" w:eastAsia="Arial" w:hAnsi="Arial"/>
          <w:sz w:val="20"/>
          <w:szCs w:val="20"/>
          <w:color w:val="auto"/>
        </w:rPr>
      </w:pPr>
    </w:p>
    <w:p>
      <w:pPr>
        <w:ind w:left="620" w:right="40" w:hanging="307"/>
        <w:spacing w:after="0" w:line="226" w:lineRule="auto"/>
        <w:tabs>
          <w:tab w:leader="none" w:pos="615" w:val="left"/>
        </w:tabs>
        <w:numPr>
          <w:ilvl w:val="0"/>
          <w:numId w:val="2"/>
        </w:numPr>
        <w:rPr>
          <w:rFonts w:ascii="Arial" w:cs="Arial" w:eastAsia="Arial" w:hAnsi="Arial"/>
          <w:sz w:val="21"/>
          <w:szCs w:val="21"/>
          <w:color w:val="auto"/>
        </w:rPr>
      </w:pPr>
      <w:r>
        <w:rPr>
          <w:rFonts w:ascii="Arial" w:cs="Arial" w:eastAsia="Arial" w:hAnsi="Arial"/>
          <w:sz w:val="19"/>
          <w:szCs w:val="19"/>
          <w:color w:val="auto"/>
        </w:rPr>
        <w:t>Published 2020 Sustainability Report with enhanced data disclosure, including Scope 1 &amp; 2 GHG emissions data, and additional context on environmental, social, and governance factors relevant to Plains’ business and stakeholders</w:t>
      </w:r>
    </w:p>
    <w:p>
      <w:pPr>
        <w:spacing w:after="0" w:line="200" w:lineRule="exact"/>
        <w:rPr>
          <w:sz w:val="20"/>
          <w:szCs w:val="20"/>
          <w:color w:val="auto"/>
        </w:rPr>
      </w:pPr>
    </w:p>
    <w:p>
      <w:pPr>
        <w:spacing w:after="0" w:line="233" w:lineRule="exact"/>
        <w:rPr>
          <w:sz w:val="20"/>
          <w:szCs w:val="20"/>
          <w:color w:val="auto"/>
        </w:rPr>
      </w:pPr>
    </w:p>
    <w:p>
      <w:pPr>
        <w:ind w:right="260" w:firstLine="620"/>
        <w:spacing w:after="0" w:line="235" w:lineRule="auto"/>
        <w:rPr>
          <w:sz w:val="20"/>
          <w:szCs w:val="20"/>
          <w:color w:val="auto"/>
        </w:rPr>
      </w:pPr>
      <w:r>
        <w:rPr>
          <w:rFonts w:ascii="Arial" w:cs="Arial" w:eastAsia="Arial" w:hAnsi="Arial"/>
          <w:sz w:val="19"/>
          <w:szCs w:val="19"/>
          <w:color w:val="auto"/>
        </w:rPr>
        <w:t>“We delivered second-quarter results that exceeded the high-end of our expectations, reflecting timing-related benefits in our Supply &amp; Logistics segment and over performance in our Transportation segment,” stated Willie Chiang, Chairman and CEO of Plains. “Importantly, since our first-quarter earnings call in May, we have advanced several key initiatives that maximize free cash flow to strengthen our balance sheet and improve returns to equity holders.”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88265</wp:posOffset>
            </wp:positionV>
            <wp:extent cx="71215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30"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54"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u w:val="single" w:color="auto"/>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Summary Financial Information</w:t>
      </w:r>
      <w:r>
        <w:rPr>
          <w:rFonts w:ascii="Arial" w:cs="Arial" w:eastAsia="Arial" w:hAnsi="Arial"/>
          <w:sz w:val="17"/>
          <w:szCs w:val="17"/>
          <w:b w:val="1"/>
          <w:bCs w:val="1"/>
          <w:color w:val="auto"/>
        </w:rPr>
        <w:t xml:space="preserve"> </w:t>
      </w:r>
      <w:r>
        <w:rPr>
          <w:rFonts w:ascii="Arial" w:cs="Arial" w:eastAsia="Arial" w:hAnsi="Arial"/>
          <w:sz w:val="17"/>
          <w:szCs w:val="17"/>
          <w:color w:val="auto"/>
        </w:rPr>
        <w:t>(unaudited)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 millions, except per unit data)</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gridSpan w:val="5"/>
          </w:tcPr>
          <w:p>
            <w:pPr>
              <w:ind w:left="200"/>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9"/>
        </w:trPr>
        <w:tc>
          <w:tcPr>
            <w:tcW w:w="5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GAAP Results</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4"/>
        </w:trPr>
        <w:tc>
          <w:tcPr>
            <w:tcW w:w="5120" w:type="dxa"/>
            <w:vAlign w:val="bottom"/>
            <w:shd w:val="clear" w:color="auto" w:fill="CCEEFF"/>
          </w:tcPr>
          <w:p>
            <w:pPr>
              <w:ind w:left="20"/>
              <w:spacing w:after="0" w:line="213" w:lineRule="exact"/>
              <w:rPr>
                <w:sz w:val="20"/>
                <w:szCs w:val="20"/>
                <w:color w:val="auto"/>
              </w:rPr>
            </w:pPr>
            <w:r>
              <w:rPr>
                <w:rFonts w:ascii="Arial" w:cs="Arial" w:eastAsia="Arial" w:hAnsi="Arial"/>
                <w:sz w:val="17"/>
                <w:szCs w:val="17"/>
                <w:color w:val="auto"/>
              </w:rPr>
              <w:t xml:space="preserve">Net income/(loss) attributable to PAA </w:t>
            </w:r>
            <w:r>
              <w:rPr>
                <w:rFonts w:ascii="Arial" w:cs="Arial" w:eastAsia="Arial" w:hAnsi="Arial"/>
                <w:sz w:val="22"/>
                <w:szCs w:val="22"/>
                <w:color w:val="auto"/>
                <w:vertAlign w:val="superscript"/>
              </w:rPr>
              <w:t>(1)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auto"/>
            </w:tcBorders>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(2,705)</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5220" w:type="dxa"/>
            <w:vAlign w:val="bottom"/>
            <w:gridSpan w:val="2"/>
          </w:tcPr>
          <w:p>
            <w:pPr>
              <w:ind w:left="20"/>
              <w:spacing w:after="0"/>
              <w:rPr>
                <w:sz w:val="20"/>
                <w:szCs w:val="20"/>
                <w:color w:val="auto"/>
              </w:rPr>
            </w:pPr>
            <w:r>
              <w:rPr>
                <w:rFonts w:ascii="Arial" w:cs="Arial" w:eastAsia="Arial" w:hAnsi="Arial"/>
                <w:sz w:val="17"/>
                <w:szCs w:val="17"/>
                <w:color w:val="auto"/>
              </w:rPr>
              <w:t>Diluted net income/(loss) per common unit</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(0.37)</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0.13</w:t>
            </w:r>
          </w:p>
        </w:tc>
        <w:tc>
          <w:tcPr>
            <w:tcW w:w="120" w:type="dxa"/>
            <w:vAlign w:val="bottom"/>
          </w:tcPr>
          <w:p>
            <w:pPr>
              <w:spacing w:after="0"/>
              <w:rPr>
                <w:sz w:val="19"/>
                <w:szCs w:val="19"/>
                <w:color w:val="auto"/>
              </w:rPr>
            </w:pPr>
          </w:p>
        </w:tc>
        <w:tc>
          <w:tcPr>
            <w:tcW w:w="900" w:type="dxa"/>
            <w:vAlign w:val="bottom"/>
          </w:tcPr>
          <w:p>
            <w:pPr>
              <w:jc w:val="right"/>
              <w:ind w:right="139"/>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auto"/>
            </w:tcBorders>
          </w:tcPr>
          <w:p>
            <w:pPr>
              <w:spacing w:after="0"/>
              <w:rPr>
                <w:sz w:val="19"/>
                <w:szCs w:val="19"/>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0.14</w:t>
            </w:r>
          </w:p>
        </w:tc>
        <w:tc>
          <w:tcPr>
            <w:tcW w:w="120" w:type="dxa"/>
            <w:vAlign w:val="bottom"/>
          </w:tcPr>
          <w:p>
            <w:pPr>
              <w:spacing w:after="0"/>
              <w:rPr>
                <w:sz w:val="19"/>
                <w:szCs w:val="19"/>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(3.85)</w:t>
            </w:r>
          </w:p>
        </w:tc>
        <w:tc>
          <w:tcPr>
            <w:tcW w:w="100" w:type="dxa"/>
            <w:vAlign w:val="bottom"/>
          </w:tcPr>
          <w:p>
            <w:pPr>
              <w:spacing w:after="0"/>
              <w:rPr>
                <w:sz w:val="19"/>
                <w:szCs w:val="19"/>
                <w:color w:val="auto"/>
              </w:rPr>
            </w:pPr>
          </w:p>
        </w:tc>
        <w:tc>
          <w:tcPr>
            <w:tcW w:w="900" w:type="dxa"/>
            <w:vAlign w:val="bottom"/>
          </w:tcPr>
          <w:p>
            <w:pPr>
              <w:jc w:val="right"/>
              <w:ind w:right="139"/>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Diluted weighted average common units outstanding</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728</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728</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20"/>
        </w:trPr>
        <w:tc>
          <w:tcPr>
            <w:tcW w:w="5220" w:type="dxa"/>
            <w:vAlign w:val="bottom"/>
            <w:gridSpan w:val="2"/>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235</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84</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180 %</w:t>
            </w:r>
          </w:p>
        </w:tc>
        <w:tc>
          <w:tcPr>
            <w:tcW w:w="120" w:type="dxa"/>
            <w:vAlign w:val="bottom"/>
            <w:tcBorders>
              <w:right w:val="single" w:sz="8" w:color="auto"/>
            </w:tcBorders>
          </w:tcPr>
          <w:p>
            <w:pPr>
              <w:spacing w:after="0"/>
              <w:rPr>
                <w:sz w:val="19"/>
                <w:szCs w:val="19"/>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1,026</w:t>
            </w:r>
          </w:p>
        </w:tc>
        <w:tc>
          <w:tcPr>
            <w:tcW w:w="120" w:type="dxa"/>
            <w:vAlign w:val="bottom"/>
          </w:tcPr>
          <w:p>
            <w:pPr>
              <w:spacing w:after="0"/>
              <w:rPr>
                <w:sz w:val="19"/>
                <w:szCs w:val="19"/>
                <w:color w:val="auto"/>
              </w:rPr>
            </w:pPr>
          </w:p>
        </w:tc>
        <w:tc>
          <w:tcPr>
            <w:tcW w:w="240" w:type="dxa"/>
            <w:vAlign w:val="bottom"/>
          </w:tcPr>
          <w:p>
            <w:pPr>
              <w:jc w:val="right"/>
              <w:ind w:right="55"/>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974</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5 %</w:t>
            </w:r>
          </w:p>
        </w:tc>
        <w:tc>
          <w:tcPr>
            <w:tcW w:w="0" w:type="dxa"/>
            <w:vAlign w:val="bottom"/>
          </w:tcPr>
          <w:p>
            <w:pPr>
              <w:spacing w:after="0"/>
              <w:rPr>
                <w:sz w:val="1"/>
                <w:szCs w:val="1"/>
                <w:color w:val="auto"/>
              </w:rPr>
            </w:pPr>
          </w:p>
        </w:tc>
      </w:tr>
      <w:tr>
        <w:trPr>
          <w:trHeight w:val="220"/>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Distribution per common unit declared for the period</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0.18</w:t>
            </w:r>
          </w:p>
        </w:tc>
        <w:tc>
          <w:tcPr>
            <w:tcW w:w="120" w:type="dxa"/>
            <w:vAlign w:val="bottom"/>
            <w:shd w:val="clear" w:color="auto" w:fill="CCEEFF"/>
          </w:tcPr>
          <w:p>
            <w:pPr>
              <w:spacing w:after="0"/>
              <w:rPr>
                <w:sz w:val="19"/>
                <w:szCs w:val="19"/>
                <w:color w:val="auto"/>
              </w:rPr>
            </w:pPr>
          </w:p>
        </w:tc>
        <w:tc>
          <w:tcPr>
            <w:tcW w:w="10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 %</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0.36</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106680</wp:posOffset>
            </wp:positionV>
            <wp:extent cx="24612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61260" cy="8255"/>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 Indicates that variance as a percentage is not meaningful.</w:t>
      </w:r>
    </w:p>
    <w:p>
      <w:pPr>
        <w:spacing w:after="0" w:line="115" w:lineRule="exact"/>
        <w:rPr>
          <w:sz w:val="20"/>
          <w:szCs w:val="20"/>
          <w:color w:val="auto"/>
        </w:rPr>
      </w:pPr>
    </w:p>
    <w:p>
      <w:pPr>
        <w:ind w:left="320" w:right="80" w:hanging="317"/>
        <w:spacing w:after="0" w:line="235" w:lineRule="auto"/>
        <w:tabs>
          <w:tab w:leader="none" w:pos="308" w:val="left"/>
        </w:tabs>
        <w:numPr>
          <w:ilvl w:val="0"/>
          <w:numId w:val="3"/>
        </w:numPr>
        <w:rPr>
          <w:rFonts w:ascii="Arial" w:cs="Arial" w:eastAsia="Arial" w:hAnsi="Arial"/>
          <w:sz w:val="22"/>
          <w:szCs w:val="22"/>
          <w:color w:val="auto"/>
          <w:vertAlign w:val="superscript"/>
        </w:rPr>
      </w:pPr>
      <w:r>
        <w:rPr>
          <w:rFonts w:ascii="Arial" w:cs="Arial" w:eastAsia="Arial" w:hAnsi="Arial"/>
          <w:sz w:val="17"/>
          <w:szCs w:val="17"/>
          <w:color w:val="auto"/>
        </w:rPr>
        <w:t>Reported results for the three and six months ended June 30, 2021 include a non-cash impairment of approximately $475 million related to the sale of our gas storage assets. Reported results for the six months ended June 30, 2020 include aggregate non-cash goodwill and asset impairments totaling $3.2 billion, representing a net loss of $4.42 after tax per common unit.</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vMerge w:val="restart"/>
          </w:tcPr>
          <w:p>
            <w:pPr>
              <w:jc w:val="right"/>
              <w:ind w:right="29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gridSpan w:val="5"/>
          </w:tcPr>
          <w:p>
            <w:pPr>
              <w:ind w:left="200"/>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vMerge w:val="restart"/>
          </w:tcPr>
          <w:p>
            <w:pPr>
              <w:jc w:val="right"/>
              <w:ind w:right="29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9"/>
        </w:trPr>
        <w:tc>
          <w:tcPr>
            <w:tcW w:w="3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i w:val="1"/>
                <w:iCs w:val="1"/>
                <w:color w:val="auto"/>
              </w:rPr>
              <w:t xml:space="preserve">Non-GAAP Results </w:t>
            </w:r>
            <w:r>
              <w:rPr>
                <w:rFonts w:ascii="Arial" w:cs="Arial" w:eastAsia="Arial" w:hAnsi="Arial"/>
                <w:sz w:val="8"/>
                <w:szCs w:val="8"/>
                <w:b w:val="1"/>
                <w:bCs w:val="1"/>
                <w:i w:val="1"/>
                <w:iCs w:val="1"/>
                <w:color w:val="auto"/>
              </w:rPr>
              <w:t>(1)</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4"/>
        </w:trPr>
        <w:tc>
          <w:tcPr>
            <w:tcW w:w="52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Adjusted net income attributable to PAA</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20" w:type="dxa"/>
            <w:vAlign w:val="bottom"/>
            <w:tcBorders>
              <w:right w:val="single" w:sz="8" w:color="auto"/>
            </w:tcBorders>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688</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20"/>
        </w:trPr>
        <w:tc>
          <w:tcPr>
            <w:tcW w:w="5220" w:type="dxa"/>
            <w:vAlign w:val="bottom"/>
            <w:gridSpan w:val="3"/>
          </w:tcPr>
          <w:p>
            <w:pPr>
              <w:ind w:left="20"/>
              <w:spacing w:after="0"/>
              <w:rPr>
                <w:sz w:val="20"/>
                <w:szCs w:val="20"/>
                <w:color w:val="auto"/>
              </w:rPr>
            </w:pPr>
            <w:r>
              <w:rPr>
                <w:rFonts w:ascii="Arial" w:cs="Arial" w:eastAsia="Arial" w:hAnsi="Arial"/>
                <w:sz w:val="17"/>
                <w:szCs w:val="17"/>
                <w:color w:val="auto"/>
              </w:rPr>
              <w:t>Diluted adjusted net income per common unit</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0.23</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0.25</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w:t>
            </w:r>
          </w:p>
        </w:tc>
        <w:tc>
          <w:tcPr>
            <w:tcW w:w="120" w:type="dxa"/>
            <w:vAlign w:val="bottom"/>
            <w:tcBorders>
              <w:right w:val="single" w:sz="8" w:color="auto"/>
            </w:tcBorders>
          </w:tcPr>
          <w:p>
            <w:pPr>
              <w:spacing w:after="0"/>
              <w:rPr>
                <w:sz w:val="19"/>
                <w:szCs w:val="19"/>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0.48</w:t>
            </w:r>
          </w:p>
        </w:tc>
        <w:tc>
          <w:tcPr>
            <w:tcW w:w="12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0.81</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220"/>
        </w:trPr>
        <w:tc>
          <w:tcPr>
            <w:tcW w:w="52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Adjusted EBITDA</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524</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10 %</w:t>
            </w:r>
          </w:p>
        </w:tc>
        <w:tc>
          <w:tcPr>
            <w:tcW w:w="120" w:type="dxa"/>
            <w:vAlign w:val="bottom"/>
            <w:tcBorders>
              <w:right w:val="single" w:sz="8" w:color="auto"/>
            </w:tcBorders>
            <w:shd w:val="clear" w:color="auto" w:fill="CCEEFF"/>
          </w:tcPr>
          <w:p>
            <w:pPr>
              <w:spacing w:after="0"/>
              <w:rPr>
                <w:sz w:val="19"/>
                <w:szCs w:val="19"/>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1,319</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20"/>
        </w:trPr>
        <w:tc>
          <w:tcPr>
            <w:tcW w:w="5220" w:type="dxa"/>
            <w:vAlign w:val="bottom"/>
            <w:gridSpan w:val="3"/>
          </w:tcPr>
          <w:p>
            <w:pPr>
              <w:ind w:left="20"/>
              <w:spacing w:after="0"/>
              <w:rPr>
                <w:sz w:val="20"/>
                <w:szCs w:val="20"/>
                <w:color w:val="auto"/>
              </w:rPr>
            </w:pPr>
            <w:r>
              <w:rPr>
                <w:rFonts w:ascii="Arial" w:cs="Arial" w:eastAsia="Arial" w:hAnsi="Arial"/>
                <w:sz w:val="17"/>
                <w:szCs w:val="17"/>
                <w:color w:val="auto"/>
              </w:rPr>
              <w:t>Implied DCF per common unit and common unit equivalent</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0.52</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0.42</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24 %</w:t>
            </w:r>
          </w:p>
        </w:tc>
        <w:tc>
          <w:tcPr>
            <w:tcW w:w="120" w:type="dxa"/>
            <w:vAlign w:val="bottom"/>
            <w:tcBorders>
              <w:right w:val="single" w:sz="8" w:color="auto"/>
            </w:tcBorders>
          </w:tcPr>
          <w:p>
            <w:pPr>
              <w:spacing w:after="0"/>
              <w:rPr>
                <w:sz w:val="19"/>
                <w:szCs w:val="19"/>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1.03</w:t>
            </w:r>
          </w:p>
        </w:tc>
        <w:tc>
          <w:tcPr>
            <w:tcW w:w="12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1.21</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20"/>
        </w:trPr>
        <w:tc>
          <w:tcPr>
            <w:tcW w:w="52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Free Cash Flow</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8"/>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5220" w:type="dxa"/>
            <w:vAlign w:val="bottom"/>
            <w:gridSpan w:val="3"/>
          </w:tcPr>
          <w:p>
            <w:pPr>
              <w:ind w:left="20"/>
              <w:spacing w:after="0"/>
              <w:rPr>
                <w:sz w:val="20"/>
                <w:szCs w:val="20"/>
                <w:color w:val="auto"/>
              </w:rPr>
            </w:pPr>
            <w:r>
              <w:rPr>
                <w:rFonts w:ascii="Arial" w:cs="Arial" w:eastAsia="Arial" w:hAnsi="Arial"/>
                <w:sz w:val="17"/>
                <w:szCs w:val="17"/>
                <w:color w:val="auto"/>
              </w:rPr>
              <w:t>Free Cash Flow after Distributions</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(132)</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(359)</w:t>
            </w:r>
          </w:p>
        </w:tc>
        <w:tc>
          <w:tcPr>
            <w:tcW w:w="120" w:type="dxa"/>
            <w:vAlign w:val="bottom"/>
          </w:tcPr>
          <w:p>
            <w:pPr>
              <w:spacing w:after="0"/>
              <w:rPr>
                <w:sz w:val="19"/>
                <w:szCs w:val="19"/>
                <w:color w:val="auto"/>
              </w:rPr>
            </w:pPr>
          </w:p>
        </w:tc>
        <w:tc>
          <w:tcPr>
            <w:tcW w:w="900" w:type="dxa"/>
            <w:vAlign w:val="bottom"/>
          </w:tcPr>
          <w:p>
            <w:pPr>
              <w:jc w:val="right"/>
              <w:ind w:right="138"/>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auto"/>
            </w:tcBorders>
          </w:tcPr>
          <w:p>
            <w:pPr>
              <w:spacing w:after="0"/>
              <w:rPr>
                <w:sz w:val="19"/>
                <w:szCs w:val="19"/>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379</w:t>
            </w:r>
          </w:p>
        </w:tc>
        <w:tc>
          <w:tcPr>
            <w:tcW w:w="12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(370)</w:t>
            </w:r>
          </w:p>
        </w:tc>
        <w:tc>
          <w:tcPr>
            <w:tcW w:w="100" w:type="dxa"/>
            <w:vAlign w:val="bottom"/>
          </w:tcPr>
          <w:p>
            <w:pPr>
              <w:spacing w:after="0"/>
              <w:rPr>
                <w:sz w:val="19"/>
                <w:szCs w:val="19"/>
                <w:color w:val="auto"/>
              </w:rPr>
            </w:pPr>
          </w:p>
        </w:tc>
        <w:tc>
          <w:tcPr>
            <w:tcW w:w="900" w:type="dxa"/>
            <w:vAlign w:val="bottom"/>
          </w:tcPr>
          <w:p>
            <w:pPr>
              <w:jc w:val="right"/>
              <w:ind w:right="13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8"/>
        </w:trPr>
        <w:tc>
          <w:tcPr>
            <w:tcW w:w="3880" w:type="dxa"/>
            <w:vAlign w:val="bottom"/>
            <w:tcBorders>
              <w:bottom w:val="single" w:sz="8" w:color="auto"/>
            </w:tcBorders>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 Indicates that variance as a percentage is not meaningful.</w:t>
      </w:r>
    </w:p>
    <w:p>
      <w:pPr>
        <w:spacing w:after="0" w:line="63" w:lineRule="exact"/>
        <w:rPr>
          <w:sz w:val="20"/>
          <w:szCs w:val="20"/>
          <w:color w:val="auto"/>
        </w:rPr>
      </w:pPr>
    </w:p>
    <w:p>
      <w:pPr>
        <w:ind w:left="320" w:right="160" w:hanging="317"/>
        <w:spacing w:after="0" w:line="234" w:lineRule="auto"/>
        <w:tabs>
          <w:tab w:leader="none" w:pos="308"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See the section of this release entitled “Non-GAAP Financial Measures and Selected Items Impacting Comparability” and the tables attached hereto for information regarding our Non-GAAP financial measures, including their reconciliation to the most directly comparable measures as reported in accordance with GAAP, and certain selected items that PAA believes impact comparability of financial results between reporting periods.</w:t>
      </w:r>
    </w:p>
    <w:p>
      <w:pPr>
        <w:spacing w:after="0" w:line="1" w:lineRule="exact"/>
        <w:rPr>
          <w:rFonts w:ascii="Arial" w:cs="Arial" w:eastAsia="Arial" w:hAnsi="Arial"/>
          <w:sz w:val="21"/>
          <w:szCs w:val="21"/>
          <w:color w:val="auto"/>
          <w:vertAlign w:val="superscript"/>
        </w:rPr>
      </w:pPr>
    </w:p>
    <w:p>
      <w:pPr>
        <w:ind w:left="5440" w:hanging="93"/>
        <w:spacing w:after="0"/>
        <w:tabs>
          <w:tab w:leader="none" w:pos="5440" w:val="left"/>
        </w:tabs>
        <w:numPr>
          <w:ilvl w:val="1"/>
          <w:numId w:val="4"/>
        </w:numPr>
        <w:rPr>
          <w:rFonts w:ascii="Arial" w:cs="Arial" w:eastAsia="Arial" w:hAnsi="Arial"/>
          <w:sz w:val="17"/>
          <w:szCs w:val="17"/>
          <w:color w:val="auto"/>
        </w:rPr>
      </w:pPr>
      <w:r>
        <w:rPr>
          <w:rFonts w:ascii="Arial" w:cs="Arial" w:eastAsia="Arial" w:hAnsi="Arial"/>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88265</wp:posOffset>
            </wp:positionV>
            <wp:extent cx="71215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30"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5" w:name="page6"/>
    <w:bookmarkEnd w:id="5"/>
    <w:p>
      <w:pPr>
        <w:spacing w:after="0"/>
        <w:rPr>
          <w:sz w:val="20"/>
          <w:szCs w:val="20"/>
          <w:color w:val="auto"/>
        </w:rPr>
      </w:pPr>
      <w:r>
        <w:rPr>
          <w:rFonts w:ascii="Arial" w:cs="Arial" w:eastAsia="Arial" w:hAnsi="Arial"/>
          <w:sz w:val="17"/>
          <w:szCs w:val="17"/>
          <w:u w:val="single" w:color="auto"/>
          <w:color w:val="auto"/>
        </w:rPr>
        <w:t>Page 3</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Summary of Selected Financial Data by Segment</w:t>
      </w:r>
      <w:r>
        <w:rPr>
          <w:rFonts w:ascii="Arial" w:cs="Arial" w:eastAsia="Arial" w:hAnsi="Arial"/>
          <w:sz w:val="17"/>
          <w:szCs w:val="17"/>
          <w:b w:val="1"/>
          <w:bCs w:val="1"/>
          <w:color w:val="auto"/>
        </w:rPr>
        <w:t xml:space="preserve"> </w:t>
      </w:r>
      <w:r>
        <w:rPr>
          <w:rFonts w:ascii="Arial" w:cs="Arial" w:eastAsia="Arial" w:hAnsi="Arial"/>
          <w:sz w:val="17"/>
          <w:szCs w:val="17"/>
          <w:color w:val="auto"/>
        </w:rPr>
        <w:t>(unaudited)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 millions)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300" w:type="dxa"/>
            <w:vAlign w:val="bottom"/>
            <w:tcBorders>
              <w:bottom w:val="single" w:sz="8" w:color="auto"/>
            </w:tcBorders>
            <w:gridSpan w:val="5"/>
          </w:tcPr>
          <w:p>
            <w:pPr>
              <w:ind w:left="1360"/>
              <w:spacing w:after="0"/>
              <w:rPr>
                <w:sz w:val="20"/>
                <w:szCs w:val="20"/>
                <w:color w:val="auto"/>
              </w:rPr>
            </w:pPr>
            <w:r>
              <w:rPr>
                <w:rFonts w:ascii="Arial" w:cs="Arial" w:eastAsia="Arial" w:hAnsi="Arial"/>
                <w:sz w:val="16"/>
                <w:szCs w:val="16"/>
                <w:b w:val="1"/>
                <w:bCs w:val="1"/>
                <w:color w:val="auto"/>
                <w:w w:val="93"/>
              </w:rPr>
              <w:t>Segment Adjusted EBITDA</w:t>
            </w:r>
          </w:p>
        </w:tc>
        <w:tc>
          <w:tcPr>
            <w:tcW w:w="6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gridSpan w:val="2"/>
          </w:tcPr>
          <w:p>
            <w:pPr>
              <w:ind w:left="100"/>
              <w:spacing w:after="0"/>
              <w:rPr>
                <w:sz w:val="20"/>
                <w:szCs w:val="20"/>
                <w:color w:val="auto"/>
              </w:rPr>
            </w:pPr>
            <w:r>
              <w:rPr>
                <w:rFonts w:ascii="Arial" w:cs="Arial" w:eastAsia="Arial" w:hAnsi="Arial"/>
                <w:sz w:val="16"/>
                <w:szCs w:val="16"/>
                <w:b w:val="1"/>
                <w:bCs w:val="1"/>
                <w:color w:val="auto"/>
              </w:rPr>
              <w:t>Transportation</w:t>
            </w:r>
          </w:p>
        </w:tc>
        <w:tc>
          <w:tcPr>
            <w:tcW w:w="320" w:type="dxa"/>
            <w:vAlign w:val="bottom"/>
          </w:tcPr>
          <w:p>
            <w:pPr>
              <w:spacing w:after="0"/>
              <w:rPr>
                <w:sz w:val="17"/>
                <w:szCs w:val="17"/>
                <w:color w:val="auto"/>
              </w:rPr>
            </w:pPr>
          </w:p>
        </w:tc>
        <w:tc>
          <w:tcPr>
            <w:tcW w:w="1440" w:type="dxa"/>
            <w:vAlign w:val="bottom"/>
            <w:gridSpan w:val="2"/>
          </w:tcPr>
          <w:p>
            <w:pPr>
              <w:ind w:left="200"/>
              <w:spacing w:after="0"/>
              <w:rPr>
                <w:sz w:val="20"/>
                <w:szCs w:val="20"/>
                <w:color w:val="auto"/>
              </w:rPr>
            </w:pPr>
            <w:r>
              <w:rPr>
                <w:rFonts w:ascii="Arial" w:cs="Arial" w:eastAsia="Arial" w:hAnsi="Arial"/>
                <w:sz w:val="16"/>
                <w:szCs w:val="16"/>
                <w:b w:val="1"/>
                <w:bCs w:val="1"/>
                <w:color w:val="auto"/>
              </w:rPr>
              <w:t>Facilities</w:t>
            </w:r>
          </w:p>
        </w:tc>
        <w:tc>
          <w:tcPr>
            <w:tcW w:w="1500" w:type="dxa"/>
            <w:vAlign w:val="bottom"/>
            <w:gridSpan w:val="2"/>
          </w:tcPr>
          <w:p>
            <w:pPr>
              <w:jc w:val="right"/>
              <w:spacing w:after="0"/>
              <w:rPr>
                <w:sz w:val="20"/>
                <w:szCs w:val="20"/>
                <w:color w:val="auto"/>
              </w:rPr>
            </w:pPr>
            <w:r>
              <w:rPr>
                <w:rFonts w:ascii="Arial" w:cs="Arial" w:eastAsia="Arial" w:hAnsi="Arial"/>
                <w:sz w:val="16"/>
                <w:szCs w:val="16"/>
                <w:b w:val="1"/>
                <w:bCs w:val="1"/>
                <w:color w:val="auto"/>
                <w:w w:val="86"/>
              </w:rPr>
              <w:t>Supply and Logistics</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62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Three Months Ended June 30, 2021</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433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140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ind w:right="464"/>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6220" w:type="dxa"/>
            <w:vAlign w:val="bottom"/>
            <w:gridSpan w:val="2"/>
          </w:tcPr>
          <w:p>
            <w:pPr>
              <w:ind w:left="20"/>
              <w:spacing w:after="0" w:line="191" w:lineRule="exact"/>
              <w:rPr>
                <w:sz w:val="20"/>
                <w:szCs w:val="20"/>
                <w:color w:val="auto"/>
              </w:rPr>
            </w:pPr>
            <w:r>
              <w:rPr>
                <w:rFonts w:ascii="Arial" w:cs="Arial" w:eastAsia="Arial" w:hAnsi="Arial"/>
                <w:sz w:val="17"/>
                <w:szCs w:val="17"/>
                <w:color w:val="auto"/>
              </w:rPr>
              <w:t>Three Months Ended June 30, 2020</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ind w:right="137"/>
              <w:spacing w:after="0" w:line="191" w:lineRule="exact"/>
              <w:rPr>
                <w:sz w:val="20"/>
                <w:szCs w:val="20"/>
                <w:color w:val="auto"/>
              </w:rPr>
            </w:pPr>
            <w:r>
              <w:rPr>
                <w:rFonts w:ascii="Arial" w:cs="Arial" w:eastAsia="Arial" w:hAnsi="Arial"/>
                <w:sz w:val="17"/>
                <w:szCs w:val="17"/>
                <w:color w:val="auto"/>
              </w:rPr>
              <w:t>346</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34"/>
              <w:spacing w:after="0" w:line="191" w:lineRule="exact"/>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tcPr>
          <w:p>
            <w:pPr>
              <w:jc w:val="right"/>
              <w:ind w:right="116"/>
              <w:spacing w:after="0" w:line="191" w:lineRule="exact"/>
              <w:rPr>
                <w:sz w:val="20"/>
                <w:szCs w:val="20"/>
                <w:color w:val="auto"/>
              </w:rPr>
            </w:pPr>
            <w:r>
              <w:rPr>
                <w:rFonts w:ascii="Arial" w:cs="Arial" w:eastAsia="Arial" w:hAnsi="Arial"/>
                <w:sz w:val="17"/>
                <w:szCs w:val="17"/>
                <w:color w:val="auto"/>
              </w:rPr>
              <w:t>174</w:t>
            </w:r>
          </w:p>
        </w:tc>
        <w:tc>
          <w:tcPr>
            <w:tcW w:w="120" w:type="dxa"/>
            <w:vAlign w:val="bottom"/>
          </w:tcPr>
          <w:p>
            <w:pPr>
              <w:spacing w:after="0"/>
              <w:rPr>
                <w:sz w:val="16"/>
                <w:szCs w:val="16"/>
                <w:color w:val="auto"/>
              </w:rPr>
            </w:pPr>
          </w:p>
        </w:tc>
        <w:tc>
          <w:tcPr>
            <w:tcW w:w="620" w:type="dxa"/>
            <w:vAlign w:val="bottom"/>
            <w:tcBorders>
              <w:bottom w:val="single" w:sz="8" w:color="auto"/>
            </w:tcBorders>
          </w:tcPr>
          <w:p>
            <w:pPr>
              <w:jc w:val="right"/>
              <w:ind w:right="464"/>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Percentage change in Segment Adjusted EBITDA versus 2020 period</w:t>
            </w:r>
          </w:p>
        </w:tc>
        <w:tc>
          <w:tcPr>
            <w:tcW w:w="20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i w:val="1"/>
                <w:iCs w:val="1"/>
                <w:color w:val="auto"/>
              </w:rPr>
              <w:t>25 %</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i w:val="1"/>
                <w:iCs w:val="1"/>
                <w:color w:val="auto"/>
              </w:rPr>
              <w:t>(20)%</w:t>
            </w: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i w:val="1"/>
                <w:i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Borders>
              <w:top w:val="single" w:sz="8" w:color="CCEEFF"/>
              <w:bottom w:val="single" w:sz="8" w:color="CCEEFF"/>
            </w:tcBorders>
            <w:gridSpan w:val="2"/>
            <w:vMerge w:val="restart"/>
          </w:tcPr>
          <w:p>
            <w:pPr>
              <w:ind w:left="20"/>
              <w:spacing w:after="0" w:line="154" w:lineRule="exact"/>
              <w:rPr>
                <w:sz w:val="20"/>
                <w:szCs w:val="20"/>
                <w:color w:val="auto"/>
              </w:rPr>
            </w:pPr>
            <w:r>
              <w:rPr>
                <w:rFonts w:ascii="Arial" w:cs="Arial" w:eastAsia="Arial" w:hAnsi="Arial"/>
                <w:sz w:val="17"/>
                <w:szCs w:val="17"/>
                <w:b w:val="1"/>
                <w:bCs w:val="1"/>
                <w:i w:val="1"/>
                <w:iCs w:val="1"/>
                <w:color w:val="auto"/>
                <w:w w:val="89"/>
              </w:rPr>
              <w:t>Percentage change in Segment Adjusted EBITDA versus 2020 period further adjusted</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62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440" w:type="dxa"/>
            <w:vAlign w:val="bottom"/>
            <w:vMerge w:val="restart"/>
          </w:tcPr>
          <w:p>
            <w:pPr>
              <w:jc w:val="right"/>
              <w:spacing w:after="0"/>
              <w:rPr>
                <w:sz w:val="20"/>
                <w:szCs w:val="20"/>
                <w:color w:val="auto"/>
              </w:rPr>
            </w:pPr>
            <w:r>
              <w:rPr>
                <w:rFonts w:ascii="Arial" w:cs="Arial" w:eastAsia="Arial" w:hAnsi="Arial"/>
                <w:sz w:val="17"/>
                <w:szCs w:val="17"/>
                <w:b w:val="1"/>
                <w:bCs w:val="1"/>
                <w:i w:val="1"/>
                <w:iCs w:val="1"/>
                <w:color w:val="auto"/>
              </w:rPr>
              <w:t>25 %</w:t>
            </w: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20" w:type="dxa"/>
            <w:vAlign w:val="bottom"/>
            <w:vMerge w:val="restart"/>
          </w:tcPr>
          <w:p>
            <w:pPr>
              <w:jc w:val="right"/>
              <w:spacing w:after="0"/>
              <w:rPr>
                <w:sz w:val="20"/>
                <w:szCs w:val="20"/>
                <w:color w:val="auto"/>
              </w:rPr>
            </w:pPr>
            <w:r>
              <w:rPr>
                <w:rFonts w:ascii="Arial" w:cs="Arial" w:eastAsia="Arial" w:hAnsi="Arial"/>
                <w:sz w:val="17"/>
                <w:szCs w:val="17"/>
                <w:b w:val="1"/>
                <w:bCs w:val="1"/>
                <w:i w:val="1"/>
                <w:iCs w:val="1"/>
                <w:color w:val="auto"/>
              </w:rPr>
              <w:t>(12)%</w:t>
            </w: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80" w:type="dxa"/>
            <w:vAlign w:val="bottom"/>
            <w:vMerge w:val="restart"/>
          </w:tcPr>
          <w:p>
            <w:pPr>
              <w:jc w:val="right"/>
              <w:spacing w:after="0"/>
              <w:rPr>
                <w:sz w:val="20"/>
                <w:szCs w:val="20"/>
                <w:color w:val="auto"/>
              </w:rPr>
            </w:pPr>
            <w:r>
              <w:rPr>
                <w:rFonts w:ascii="Arial" w:cs="Arial" w:eastAsia="Arial" w:hAnsi="Arial"/>
                <w:sz w:val="17"/>
                <w:szCs w:val="17"/>
                <w:b w:val="1"/>
                <w:bCs w:val="1"/>
                <w:i w:val="1"/>
                <w:iCs w:val="1"/>
                <w:color w:val="auto"/>
              </w:rPr>
              <w:t>N/A</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220" w:type="dxa"/>
            <w:vAlign w:val="bottom"/>
            <w:gridSpan w:val="2"/>
          </w:tcPr>
          <w:p>
            <w:pPr>
              <w:ind w:left="180"/>
              <w:spacing w:after="0" w:line="193" w:lineRule="exact"/>
              <w:rPr>
                <w:sz w:val="20"/>
                <w:szCs w:val="20"/>
                <w:color w:val="auto"/>
              </w:rPr>
            </w:pPr>
            <w:r>
              <w:rPr>
                <w:rFonts w:ascii="Arial" w:cs="Arial" w:eastAsia="Arial" w:hAnsi="Arial"/>
                <w:sz w:val="17"/>
                <w:szCs w:val="17"/>
                <w:b w:val="1"/>
                <w:bCs w:val="1"/>
                <w:i w:val="1"/>
                <w:iCs w:val="1"/>
                <w:color w:val="auto"/>
              </w:rPr>
              <w:t xml:space="preserve">for impact of divested assets </w:t>
            </w:r>
            <w:r>
              <w:rPr>
                <w:rFonts w:ascii="Arial" w:cs="Arial" w:eastAsia="Arial" w:hAnsi="Arial"/>
                <w:sz w:val="22"/>
                <w:szCs w:val="22"/>
                <w:b w:val="1"/>
                <w:bCs w:val="1"/>
                <w:i w:val="1"/>
                <w:iCs w:val="1"/>
                <w:color w:val="auto"/>
                <w:vertAlign w:val="superscript"/>
              </w:rPr>
              <w:t>(1)</w:t>
            </w: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8"/>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5"/>
          </w:tcPr>
          <w:p>
            <w:pPr>
              <w:ind w:left="1360"/>
              <w:spacing w:after="0"/>
              <w:rPr>
                <w:sz w:val="20"/>
                <w:szCs w:val="20"/>
                <w:color w:val="auto"/>
              </w:rPr>
            </w:pPr>
            <w:r>
              <w:rPr>
                <w:rFonts w:ascii="Arial" w:cs="Arial" w:eastAsia="Arial" w:hAnsi="Arial"/>
                <w:sz w:val="16"/>
                <w:szCs w:val="16"/>
                <w:b w:val="1"/>
                <w:bCs w:val="1"/>
                <w:color w:val="auto"/>
                <w:w w:val="93"/>
              </w:rPr>
              <w:t>Segment Adjusted EBITDA</w:t>
            </w:r>
          </w:p>
        </w:tc>
        <w:tc>
          <w:tcPr>
            <w:tcW w:w="6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gridSpan w:val="2"/>
          </w:tcPr>
          <w:p>
            <w:pPr>
              <w:ind w:left="100"/>
              <w:spacing w:after="0"/>
              <w:rPr>
                <w:sz w:val="20"/>
                <w:szCs w:val="20"/>
                <w:color w:val="auto"/>
              </w:rPr>
            </w:pPr>
            <w:r>
              <w:rPr>
                <w:rFonts w:ascii="Arial" w:cs="Arial" w:eastAsia="Arial" w:hAnsi="Arial"/>
                <w:sz w:val="16"/>
                <w:szCs w:val="16"/>
                <w:b w:val="1"/>
                <w:bCs w:val="1"/>
                <w:color w:val="auto"/>
              </w:rPr>
              <w:t>Transportation</w:t>
            </w:r>
          </w:p>
        </w:tc>
        <w:tc>
          <w:tcPr>
            <w:tcW w:w="320" w:type="dxa"/>
            <w:vAlign w:val="bottom"/>
          </w:tcPr>
          <w:p>
            <w:pPr>
              <w:spacing w:after="0"/>
              <w:rPr>
                <w:sz w:val="17"/>
                <w:szCs w:val="17"/>
                <w:color w:val="auto"/>
              </w:rPr>
            </w:pPr>
          </w:p>
        </w:tc>
        <w:tc>
          <w:tcPr>
            <w:tcW w:w="1440" w:type="dxa"/>
            <w:vAlign w:val="bottom"/>
            <w:gridSpan w:val="2"/>
          </w:tcPr>
          <w:p>
            <w:pPr>
              <w:ind w:left="200"/>
              <w:spacing w:after="0"/>
              <w:rPr>
                <w:sz w:val="20"/>
                <w:szCs w:val="20"/>
                <w:color w:val="auto"/>
              </w:rPr>
            </w:pPr>
            <w:r>
              <w:rPr>
                <w:rFonts w:ascii="Arial" w:cs="Arial" w:eastAsia="Arial" w:hAnsi="Arial"/>
                <w:sz w:val="16"/>
                <w:szCs w:val="16"/>
                <w:b w:val="1"/>
                <w:bCs w:val="1"/>
                <w:color w:val="auto"/>
              </w:rPr>
              <w:t>Facilities</w:t>
            </w:r>
          </w:p>
        </w:tc>
        <w:tc>
          <w:tcPr>
            <w:tcW w:w="1500" w:type="dxa"/>
            <w:vAlign w:val="bottom"/>
            <w:gridSpan w:val="2"/>
          </w:tcPr>
          <w:p>
            <w:pPr>
              <w:jc w:val="right"/>
              <w:spacing w:after="0"/>
              <w:rPr>
                <w:sz w:val="20"/>
                <w:szCs w:val="20"/>
                <w:color w:val="auto"/>
              </w:rPr>
            </w:pPr>
            <w:r>
              <w:rPr>
                <w:rFonts w:ascii="Arial" w:cs="Arial" w:eastAsia="Arial" w:hAnsi="Arial"/>
                <w:sz w:val="16"/>
                <w:szCs w:val="16"/>
                <w:b w:val="1"/>
                <w:bCs w:val="1"/>
                <w:color w:val="auto"/>
                <w:w w:val="86"/>
              </w:rPr>
              <w:t>Supply and Logistics</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62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Six Months Ended June 30, 2021</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821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311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ind w:right="464"/>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6220" w:type="dxa"/>
            <w:vAlign w:val="bottom"/>
            <w:gridSpan w:val="2"/>
          </w:tcPr>
          <w:p>
            <w:pPr>
              <w:ind w:left="20"/>
              <w:spacing w:after="0" w:line="191" w:lineRule="exact"/>
              <w:rPr>
                <w:sz w:val="20"/>
                <w:szCs w:val="20"/>
                <w:color w:val="auto"/>
              </w:rPr>
            </w:pPr>
            <w:r>
              <w:rPr>
                <w:rFonts w:ascii="Arial" w:cs="Arial" w:eastAsia="Arial" w:hAnsi="Arial"/>
                <w:sz w:val="17"/>
                <w:szCs w:val="17"/>
                <w:color w:val="auto"/>
              </w:rPr>
              <w:t>Six Months Ended June 30, 2020</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ind w:right="137"/>
              <w:spacing w:after="0" w:line="191" w:lineRule="exact"/>
              <w:rPr>
                <w:sz w:val="20"/>
                <w:szCs w:val="20"/>
                <w:color w:val="auto"/>
              </w:rPr>
            </w:pPr>
            <w:r>
              <w:rPr>
                <w:rFonts w:ascii="Arial" w:cs="Arial" w:eastAsia="Arial" w:hAnsi="Arial"/>
                <w:sz w:val="17"/>
                <w:szCs w:val="17"/>
                <w:color w:val="auto"/>
              </w:rPr>
              <w:t>788</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34"/>
              <w:spacing w:after="0" w:line="191" w:lineRule="exact"/>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tcPr>
          <w:p>
            <w:pPr>
              <w:jc w:val="right"/>
              <w:ind w:right="116"/>
              <w:spacing w:after="0" w:line="191" w:lineRule="exact"/>
              <w:rPr>
                <w:sz w:val="20"/>
                <w:szCs w:val="20"/>
                <w:color w:val="auto"/>
              </w:rPr>
            </w:pPr>
            <w:r>
              <w:rPr>
                <w:rFonts w:ascii="Arial" w:cs="Arial" w:eastAsia="Arial" w:hAnsi="Arial"/>
                <w:sz w:val="17"/>
                <w:szCs w:val="17"/>
                <w:color w:val="auto"/>
              </w:rPr>
              <w:t>384</w:t>
            </w:r>
          </w:p>
        </w:tc>
        <w:tc>
          <w:tcPr>
            <w:tcW w:w="120" w:type="dxa"/>
            <w:vAlign w:val="bottom"/>
          </w:tcPr>
          <w:p>
            <w:pPr>
              <w:spacing w:after="0"/>
              <w:rPr>
                <w:sz w:val="16"/>
                <w:szCs w:val="16"/>
                <w:color w:val="auto"/>
              </w:rPr>
            </w:pPr>
          </w:p>
        </w:tc>
        <w:tc>
          <w:tcPr>
            <w:tcW w:w="620" w:type="dxa"/>
            <w:vAlign w:val="bottom"/>
            <w:tcBorders>
              <w:bottom w:val="single" w:sz="8" w:color="auto"/>
            </w:tcBorders>
          </w:tcPr>
          <w:p>
            <w:pPr>
              <w:jc w:val="right"/>
              <w:ind w:right="464"/>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144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Percentage change in Segment Adjusted EBITDA versus 2020 period</w:t>
            </w:r>
          </w:p>
        </w:tc>
        <w:tc>
          <w:tcPr>
            <w:tcW w:w="20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i w:val="1"/>
                <w:iCs w:val="1"/>
                <w:color w:val="auto"/>
              </w:rPr>
              <w:t>4 %</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i w:val="1"/>
                <w:iCs w:val="1"/>
                <w:color w:val="auto"/>
              </w:rPr>
              <w:t>(19)%</w:t>
            </w: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i w:val="1"/>
                <w:i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Borders>
              <w:top w:val="single" w:sz="8" w:color="CCEEFF"/>
              <w:bottom w:val="single" w:sz="8" w:color="CCEEFF"/>
            </w:tcBorders>
            <w:gridSpan w:val="2"/>
            <w:vMerge w:val="restart"/>
          </w:tcPr>
          <w:p>
            <w:pPr>
              <w:ind w:left="20"/>
              <w:spacing w:after="0" w:line="154" w:lineRule="exact"/>
              <w:rPr>
                <w:sz w:val="20"/>
                <w:szCs w:val="20"/>
                <w:color w:val="auto"/>
              </w:rPr>
            </w:pPr>
            <w:r>
              <w:rPr>
                <w:rFonts w:ascii="Arial" w:cs="Arial" w:eastAsia="Arial" w:hAnsi="Arial"/>
                <w:sz w:val="17"/>
                <w:szCs w:val="17"/>
                <w:b w:val="1"/>
                <w:bCs w:val="1"/>
                <w:i w:val="1"/>
                <w:iCs w:val="1"/>
                <w:color w:val="auto"/>
                <w:w w:val="89"/>
              </w:rPr>
              <w:t>Percentage change in Segment Adjusted EBITDA versus 2020 period further adjusted</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62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440" w:type="dxa"/>
            <w:vAlign w:val="bottom"/>
            <w:vMerge w:val="restart"/>
          </w:tcPr>
          <w:p>
            <w:pPr>
              <w:jc w:val="right"/>
              <w:spacing w:after="0"/>
              <w:rPr>
                <w:sz w:val="20"/>
                <w:szCs w:val="20"/>
                <w:color w:val="auto"/>
              </w:rPr>
            </w:pPr>
            <w:r>
              <w:rPr>
                <w:rFonts w:ascii="Arial" w:cs="Arial" w:eastAsia="Arial" w:hAnsi="Arial"/>
                <w:sz w:val="17"/>
                <w:szCs w:val="17"/>
                <w:b w:val="1"/>
                <w:bCs w:val="1"/>
                <w:i w:val="1"/>
                <w:iCs w:val="1"/>
                <w:color w:val="auto"/>
              </w:rPr>
              <w:t>4 %</w:t>
            </w: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20" w:type="dxa"/>
            <w:vAlign w:val="bottom"/>
            <w:vMerge w:val="restart"/>
          </w:tcPr>
          <w:p>
            <w:pPr>
              <w:jc w:val="right"/>
              <w:spacing w:after="0"/>
              <w:rPr>
                <w:sz w:val="20"/>
                <w:szCs w:val="20"/>
                <w:color w:val="auto"/>
              </w:rPr>
            </w:pPr>
            <w:r>
              <w:rPr>
                <w:rFonts w:ascii="Arial" w:cs="Arial" w:eastAsia="Arial" w:hAnsi="Arial"/>
                <w:sz w:val="17"/>
                <w:szCs w:val="17"/>
                <w:b w:val="1"/>
                <w:bCs w:val="1"/>
                <w:i w:val="1"/>
                <w:iCs w:val="1"/>
                <w:color w:val="auto"/>
              </w:rPr>
              <w:t>(11)%</w:t>
            </w: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80" w:type="dxa"/>
            <w:vAlign w:val="bottom"/>
            <w:vMerge w:val="restart"/>
          </w:tcPr>
          <w:p>
            <w:pPr>
              <w:jc w:val="right"/>
              <w:spacing w:after="0"/>
              <w:rPr>
                <w:sz w:val="20"/>
                <w:szCs w:val="20"/>
                <w:color w:val="auto"/>
              </w:rPr>
            </w:pPr>
            <w:r>
              <w:rPr>
                <w:rFonts w:ascii="Arial" w:cs="Arial" w:eastAsia="Arial" w:hAnsi="Arial"/>
                <w:sz w:val="17"/>
                <w:szCs w:val="17"/>
                <w:b w:val="1"/>
                <w:bCs w:val="1"/>
                <w:i w:val="1"/>
                <w:iCs w:val="1"/>
                <w:color w:val="auto"/>
              </w:rPr>
              <w:t>N/A</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220" w:type="dxa"/>
            <w:vAlign w:val="bottom"/>
            <w:gridSpan w:val="2"/>
          </w:tcPr>
          <w:p>
            <w:pPr>
              <w:ind w:left="180"/>
              <w:spacing w:after="0" w:line="193" w:lineRule="exact"/>
              <w:rPr>
                <w:sz w:val="20"/>
                <w:szCs w:val="20"/>
                <w:color w:val="auto"/>
              </w:rPr>
            </w:pPr>
            <w:r>
              <w:rPr>
                <w:rFonts w:ascii="Arial" w:cs="Arial" w:eastAsia="Arial" w:hAnsi="Arial"/>
                <w:sz w:val="17"/>
                <w:szCs w:val="17"/>
                <w:b w:val="1"/>
                <w:bCs w:val="1"/>
                <w:i w:val="1"/>
                <w:iCs w:val="1"/>
                <w:color w:val="auto"/>
              </w:rPr>
              <w:t xml:space="preserve">for impact of divested assets </w:t>
            </w:r>
            <w:r>
              <w:rPr>
                <w:rFonts w:ascii="Arial" w:cs="Arial" w:eastAsia="Arial" w:hAnsi="Arial"/>
                <w:sz w:val="22"/>
                <w:szCs w:val="22"/>
                <w:b w:val="1"/>
                <w:bCs w:val="1"/>
                <w:i w:val="1"/>
                <w:iCs w:val="1"/>
                <w:color w:val="auto"/>
                <w:vertAlign w:val="superscript"/>
              </w:rPr>
              <w:t>(1)</w:t>
            </w: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Borders>
              <w:bottom w:val="single" w:sz="8" w:color="auto"/>
            </w:tcBorders>
          </w:tcPr>
          <w:p>
            <w:pPr>
              <w:spacing w:after="0"/>
              <w:rPr>
                <w:sz w:val="13"/>
                <w:szCs w:val="13"/>
                <w:color w:val="auto"/>
              </w:rPr>
            </w:pPr>
          </w:p>
        </w:tc>
        <w:tc>
          <w:tcPr>
            <w:tcW w:w="3860" w:type="dxa"/>
            <w:vAlign w:val="bottom"/>
            <w:tcBorders>
              <w:bottom w:val="single" w:sz="8" w:color="auto"/>
            </w:tcBorders>
          </w:tcPr>
          <w:p>
            <w:pPr>
              <w:spacing w:after="0"/>
              <w:rPr>
                <w:sz w:val="13"/>
                <w:szCs w:val="13"/>
                <w:color w:val="auto"/>
              </w:rPr>
            </w:pPr>
          </w:p>
        </w:tc>
        <w:tc>
          <w:tcPr>
            <w:tcW w:w="2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 Indicates that variance as a percentage is not meaningful.</w:t>
      </w:r>
    </w:p>
    <w:p>
      <w:pPr>
        <w:spacing w:after="0" w:line="296" w:lineRule="exact"/>
        <w:rPr>
          <w:sz w:val="20"/>
          <w:szCs w:val="20"/>
          <w:color w:val="auto"/>
        </w:rPr>
      </w:pPr>
    </w:p>
    <w:p>
      <w:pPr>
        <w:ind w:left="320" w:right="120" w:hanging="317"/>
        <w:spacing w:after="0" w:line="235" w:lineRule="auto"/>
        <w:tabs>
          <w:tab w:leader="none" w:pos="308" w:val="left"/>
        </w:tabs>
        <w:numPr>
          <w:ilvl w:val="0"/>
          <w:numId w:val="5"/>
        </w:numPr>
        <w:rPr>
          <w:rFonts w:ascii="Arial" w:cs="Arial" w:eastAsia="Arial" w:hAnsi="Arial"/>
          <w:sz w:val="22"/>
          <w:szCs w:val="22"/>
          <w:color w:val="auto"/>
          <w:vertAlign w:val="superscript"/>
        </w:rPr>
      </w:pPr>
      <w:r>
        <w:rPr>
          <w:rFonts w:ascii="Arial" w:cs="Arial" w:eastAsia="Arial" w:hAnsi="Arial"/>
          <w:sz w:val="17"/>
          <w:szCs w:val="17"/>
          <w:color w:val="auto"/>
        </w:rPr>
        <w:t>Estimated impact of divestitures completed during 2020 and 2021, assuming an effective date of January 1, 2020. Divested assets primarily included certain NGL storage terminals and Los Angeles Basin crude oil storage terminals that were previously included in our Facilities segment and the sale of a portion of our interest in a joint venture pipeline that was previously reported in our Transportation segment.</w:t>
      </w:r>
    </w:p>
    <w:p>
      <w:pPr>
        <w:spacing w:after="0" w:line="326" w:lineRule="exact"/>
        <w:rPr>
          <w:sz w:val="20"/>
          <w:szCs w:val="20"/>
          <w:color w:val="auto"/>
        </w:rPr>
      </w:pPr>
    </w:p>
    <w:p>
      <w:pPr>
        <w:ind w:right="60" w:firstLine="620"/>
        <w:spacing w:after="0" w:line="292" w:lineRule="auto"/>
        <w:rPr>
          <w:sz w:val="20"/>
          <w:szCs w:val="20"/>
          <w:color w:val="auto"/>
        </w:rPr>
      </w:pPr>
      <w:r>
        <w:rPr>
          <w:rFonts w:ascii="Arial" w:cs="Arial" w:eastAsia="Arial" w:hAnsi="Arial"/>
          <w:sz w:val="16"/>
          <w:szCs w:val="16"/>
          <w:color w:val="auto"/>
        </w:rPr>
        <w:t>Second-quarter 2021 Transportation Segment Adjusted EBITDA increased 25% versus comparable 2020 results due to increased tariff volumes in multiple regions primarily driven by improved crude oil demand and production versus the COVID-related reset to North American production experienced in the second quarter of 2020 as well as the benefit from the collection of deficiency payments associated with minimum volume commitments.</w:t>
      </w:r>
    </w:p>
    <w:p>
      <w:pPr>
        <w:spacing w:after="0" w:line="181" w:lineRule="exact"/>
        <w:rPr>
          <w:sz w:val="20"/>
          <w:szCs w:val="20"/>
          <w:color w:val="auto"/>
        </w:rPr>
      </w:pPr>
    </w:p>
    <w:p>
      <w:pPr>
        <w:ind w:right="520" w:firstLine="172"/>
        <w:spacing w:after="0" w:line="283" w:lineRule="auto"/>
        <w:rPr>
          <w:sz w:val="20"/>
          <w:szCs w:val="20"/>
          <w:color w:val="auto"/>
        </w:rPr>
      </w:pPr>
      <w:r>
        <w:rPr>
          <w:rFonts w:ascii="Arial" w:cs="Arial" w:eastAsia="Arial" w:hAnsi="Arial"/>
          <w:sz w:val="17"/>
          <w:szCs w:val="17"/>
          <w:color w:val="auto"/>
        </w:rPr>
        <w:t>Second-quarter 2021 Facilities Segment Adjusted EBITDA decreased 20% versus comparable 2020 results primarily due to the impact of asset sales and reduced NGL intersegment fee structure based on market conditions.</w:t>
      </w:r>
    </w:p>
    <w:p>
      <w:pPr>
        <w:spacing w:after="0" w:line="159" w:lineRule="exact"/>
        <w:rPr>
          <w:sz w:val="20"/>
          <w:szCs w:val="20"/>
          <w:color w:val="auto"/>
        </w:rPr>
      </w:pPr>
    </w:p>
    <w:p>
      <w:pPr>
        <w:ind w:left="180"/>
        <w:spacing w:after="0"/>
        <w:rPr>
          <w:sz w:val="20"/>
          <w:szCs w:val="20"/>
          <w:color w:val="auto"/>
        </w:rPr>
      </w:pPr>
      <w:r>
        <w:rPr>
          <w:rFonts w:ascii="Arial" w:cs="Arial" w:eastAsia="Arial" w:hAnsi="Arial"/>
          <w:sz w:val="17"/>
          <w:szCs w:val="17"/>
          <w:color w:val="auto"/>
        </w:rPr>
        <w:t>Second-quarter 2021 Supply and Logistics Segment Adjusted EBITDA was in line with comparable 2020 results.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6" w:name="page7"/>
    <w:bookmarkEnd w:id="6"/>
    <w:p>
      <w:pPr>
        <w:spacing w:after="0"/>
        <w:rPr>
          <w:sz w:val="20"/>
          <w:szCs w:val="20"/>
          <w:color w:val="auto"/>
        </w:rPr>
      </w:pPr>
      <w:r>
        <w:rPr>
          <w:rFonts w:ascii="Arial" w:cs="Arial" w:eastAsia="Arial" w:hAnsi="Arial"/>
          <w:sz w:val="17"/>
          <w:szCs w:val="17"/>
          <w:u w:val="single" w:color="auto"/>
          <w:color w:val="auto"/>
        </w:rPr>
        <w:t>Page 4</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Financial and Operating Guidance</w:t>
      </w:r>
      <w:r>
        <w:rPr>
          <w:rFonts w:ascii="Arial" w:cs="Arial" w:eastAsia="Arial" w:hAnsi="Arial"/>
          <w:sz w:val="17"/>
          <w:szCs w:val="17"/>
          <w:b w:val="1"/>
          <w:bCs w:val="1"/>
          <w:color w:val="auto"/>
        </w:rPr>
        <w:t xml:space="preserve"> </w:t>
      </w:r>
      <w:r>
        <w:rPr>
          <w:rFonts w:ascii="Arial" w:cs="Arial" w:eastAsia="Arial" w:hAnsi="Arial"/>
          <w:sz w:val="17"/>
          <w:szCs w:val="17"/>
          <w:color w:val="auto"/>
        </w:rPr>
        <w:t>(unaudited)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 millions, except volumes, per unit and per barrel data)</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24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6"/>
          </w:tcPr>
          <w:p>
            <w:pPr>
              <w:jc w:val="right"/>
              <w:ind w:right="14"/>
              <w:spacing w:after="0"/>
              <w:rPr>
                <w:sz w:val="20"/>
                <w:szCs w:val="20"/>
                <w:color w:val="auto"/>
              </w:rPr>
            </w:pPr>
            <w:r>
              <w:rPr>
                <w:rFonts w:ascii="Arial" w:cs="Arial" w:eastAsia="Arial" w:hAnsi="Arial"/>
                <w:sz w:val="16"/>
                <w:szCs w:val="16"/>
                <w:b w:val="1"/>
                <w:bCs w:val="1"/>
                <w:color w:val="auto"/>
                <w:w w:val="94"/>
              </w:rPr>
              <w:t>Twelve Months Ended December 31,</w:t>
            </w: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240" w:type="dxa"/>
            <w:vAlign w:val="bottom"/>
          </w:tcPr>
          <w:p>
            <w:pPr>
              <w:spacing w:after="0"/>
              <w:rPr>
                <w:sz w:val="17"/>
                <w:szCs w:val="17"/>
                <w:color w:val="auto"/>
              </w:rPr>
            </w:pP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6"/>
                <w:szCs w:val="16"/>
                <w:b w:val="1"/>
                <w:bCs w:val="1"/>
                <w:color w:val="auto"/>
              </w:rPr>
              <w:t>2019</w:t>
            </w:r>
          </w:p>
        </w:tc>
        <w:tc>
          <w:tcPr>
            <w:tcW w:w="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4"/>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2021 (G)</w:t>
            </w:r>
          </w:p>
        </w:tc>
        <w:tc>
          <w:tcPr>
            <w:tcW w:w="0" w:type="dxa"/>
            <w:vAlign w:val="bottom"/>
          </w:tcPr>
          <w:p>
            <w:pPr>
              <w:spacing w:after="0"/>
              <w:rPr>
                <w:sz w:val="1"/>
                <w:szCs w:val="1"/>
                <w:color w:val="auto"/>
              </w:rPr>
            </w:pPr>
          </w:p>
        </w:tc>
      </w:tr>
      <w:tr>
        <w:trPr>
          <w:trHeight w:val="199"/>
        </w:trPr>
        <w:tc>
          <w:tcPr>
            <w:tcW w:w="6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jc w:val="right"/>
              <w:ind w:right="575"/>
              <w:spacing w:after="0"/>
              <w:rPr>
                <w:sz w:val="20"/>
                <w:szCs w:val="20"/>
                <w:color w:val="auto"/>
              </w:rPr>
            </w:pPr>
            <w:r>
              <w:rPr>
                <w:rFonts w:ascii="Arial" w:cs="Arial" w:eastAsia="Arial" w:hAnsi="Arial"/>
                <w:sz w:val="16"/>
                <w:szCs w:val="16"/>
                <w:color w:val="auto"/>
              </w:rPr>
              <w:t>+ / -</w:t>
            </w:r>
          </w:p>
        </w:tc>
        <w:tc>
          <w:tcPr>
            <w:tcW w:w="0" w:type="dxa"/>
            <w:vAlign w:val="bottom"/>
          </w:tcPr>
          <w:p>
            <w:pPr>
              <w:spacing w:after="0"/>
              <w:rPr>
                <w:sz w:val="1"/>
                <w:szCs w:val="1"/>
                <w:color w:val="auto"/>
              </w:rPr>
            </w:pPr>
          </w:p>
        </w:tc>
      </w:tr>
      <w:tr>
        <w:trPr>
          <w:trHeight w:val="222"/>
        </w:trPr>
        <w:tc>
          <w:tcPr>
            <w:tcW w:w="6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Segment Adjusted EBITDA</w:t>
            </w: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40" w:type="dxa"/>
            <w:vAlign w:val="bottom"/>
          </w:tcPr>
          <w:p>
            <w:pPr>
              <w:ind w:left="180"/>
              <w:spacing w:after="0"/>
              <w:rPr>
                <w:sz w:val="20"/>
                <w:szCs w:val="20"/>
                <w:color w:val="auto"/>
              </w:rPr>
            </w:pPr>
            <w:r>
              <w:rPr>
                <w:rFonts w:ascii="Arial" w:cs="Arial" w:eastAsia="Arial" w:hAnsi="Arial"/>
                <w:sz w:val="17"/>
                <w:szCs w:val="17"/>
                <w:color w:val="auto"/>
              </w:rPr>
              <w:t>Transportation</w:t>
            </w:r>
          </w:p>
        </w:tc>
        <w:tc>
          <w:tcPr>
            <w:tcW w:w="1040" w:type="dxa"/>
            <w:vAlign w:val="bottom"/>
          </w:tcPr>
          <w:p>
            <w:pPr>
              <w:jc w:val="right"/>
              <w:ind w:right="855"/>
              <w:spacing w:after="0"/>
              <w:rPr>
                <w:sz w:val="20"/>
                <w:szCs w:val="20"/>
                <w:color w:val="auto"/>
              </w:rPr>
            </w:pPr>
            <w:r>
              <w:rPr>
                <w:rFonts w:ascii="Arial" w:cs="Arial" w:eastAsia="Arial" w:hAnsi="Arial"/>
                <w:sz w:val="17"/>
                <w:szCs w:val="17"/>
                <w:color w:val="auto"/>
                <w:w w:val="84"/>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1,722</w:t>
            </w:r>
          </w:p>
        </w:tc>
        <w:tc>
          <w:tcPr>
            <w:tcW w:w="100" w:type="dxa"/>
            <w:vAlign w:val="bottom"/>
          </w:tcPr>
          <w:p>
            <w:pPr>
              <w:spacing w:after="0"/>
              <w:rPr>
                <w:sz w:val="19"/>
                <w:szCs w:val="19"/>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1,616</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1,635</w:t>
            </w:r>
          </w:p>
        </w:tc>
        <w:tc>
          <w:tcPr>
            <w:tcW w:w="0" w:type="dxa"/>
            <w:vAlign w:val="bottom"/>
          </w:tcPr>
          <w:p>
            <w:pPr>
              <w:spacing w:after="0"/>
              <w:rPr>
                <w:sz w:val="1"/>
                <w:szCs w:val="1"/>
                <w:color w:val="auto"/>
              </w:rPr>
            </w:pPr>
          </w:p>
        </w:tc>
      </w:tr>
      <w:tr>
        <w:trPr>
          <w:trHeight w:val="220"/>
        </w:trPr>
        <w:tc>
          <w:tcPr>
            <w:tcW w:w="62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Facilities</w:t>
            </w:r>
          </w:p>
        </w:tc>
        <w:tc>
          <w:tcPr>
            <w:tcW w:w="10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540</w:t>
            </w:r>
          </w:p>
        </w:tc>
        <w:tc>
          <w:tcPr>
            <w:tcW w:w="0" w:type="dxa"/>
            <w:vAlign w:val="bottom"/>
          </w:tcPr>
          <w:p>
            <w:pPr>
              <w:spacing w:after="0"/>
              <w:rPr>
                <w:sz w:val="1"/>
                <w:szCs w:val="1"/>
                <w:color w:val="auto"/>
              </w:rPr>
            </w:pPr>
          </w:p>
        </w:tc>
      </w:tr>
      <w:tr>
        <w:trPr>
          <w:trHeight w:val="213"/>
        </w:trPr>
        <w:tc>
          <w:tcPr>
            <w:tcW w:w="6240" w:type="dxa"/>
            <w:vAlign w:val="bottom"/>
          </w:tcPr>
          <w:p>
            <w:pPr>
              <w:ind w:left="300"/>
              <w:spacing w:after="0"/>
              <w:rPr>
                <w:sz w:val="20"/>
                <w:szCs w:val="20"/>
                <w:color w:val="auto"/>
              </w:rPr>
            </w:pPr>
            <w:r>
              <w:rPr>
                <w:rFonts w:ascii="Arial" w:cs="Arial" w:eastAsia="Arial" w:hAnsi="Arial"/>
                <w:sz w:val="17"/>
                <w:szCs w:val="17"/>
                <w:b w:val="1"/>
                <w:bCs w:val="1"/>
                <w:color w:val="auto"/>
              </w:rPr>
              <w:t>Fee-Based</w:t>
            </w:r>
          </w:p>
        </w:tc>
        <w:tc>
          <w:tcPr>
            <w:tcW w:w="1040" w:type="dxa"/>
            <w:vAlign w:val="bottom"/>
          </w:tcPr>
          <w:p>
            <w:pPr>
              <w:jc w:val="right"/>
              <w:ind w:right="855"/>
              <w:spacing w:after="0"/>
              <w:rPr>
                <w:sz w:val="20"/>
                <w:szCs w:val="20"/>
                <w:color w:val="auto"/>
              </w:rPr>
            </w:pPr>
            <w:r>
              <w:rPr>
                <w:rFonts w:ascii="Arial" w:cs="Arial" w:eastAsia="Arial" w:hAnsi="Arial"/>
                <w:sz w:val="17"/>
                <w:szCs w:val="17"/>
                <w:b w:val="1"/>
                <w:bCs w:val="1"/>
                <w:color w:val="auto"/>
                <w:w w:val="84"/>
              </w:rPr>
              <w:t>$</w:t>
            </w:r>
          </w:p>
        </w:tc>
        <w:tc>
          <w:tcPr>
            <w:tcW w:w="540" w:type="dxa"/>
            <w:vAlign w:val="bottom"/>
          </w:tcPr>
          <w:p>
            <w:pPr>
              <w:jc w:val="right"/>
              <w:spacing w:after="0"/>
              <w:rPr>
                <w:sz w:val="20"/>
                <w:szCs w:val="20"/>
                <w:color w:val="auto"/>
              </w:rPr>
            </w:pPr>
            <w:r>
              <w:rPr>
                <w:rFonts w:ascii="Arial" w:cs="Arial" w:eastAsia="Arial" w:hAnsi="Arial"/>
                <w:sz w:val="17"/>
                <w:szCs w:val="17"/>
                <w:b w:val="1"/>
                <w:bCs w:val="1"/>
                <w:color w:val="auto"/>
              </w:rPr>
              <w:t>2,427</w:t>
            </w:r>
          </w:p>
        </w:tc>
        <w:tc>
          <w:tcPr>
            <w:tcW w:w="100" w:type="dxa"/>
            <w:vAlign w:val="bottom"/>
          </w:tcPr>
          <w:p>
            <w:pPr>
              <w:spacing w:after="0"/>
              <w:rPr>
                <w:sz w:val="18"/>
                <w:szCs w:val="18"/>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b w:val="1"/>
                <w:bCs w:val="1"/>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2,347</w:t>
            </w:r>
          </w:p>
        </w:tc>
        <w:tc>
          <w:tcPr>
            <w:tcW w:w="100" w:type="dxa"/>
            <w:vAlign w:val="bottom"/>
          </w:tcPr>
          <w:p>
            <w:pPr>
              <w:spacing w:after="0"/>
              <w:rPr>
                <w:sz w:val="18"/>
                <w:szCs w:val="18"/>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2,175</w:t>
            </w:r>
          </w:p>
        </w:tc>
        <w:tc>
          <w:tcPr>
            <w:tcW w:w="0" w:type="dxa"/>
            <w:vAlign w:val="bottom"/>
          </w:tcPr>
          <w:p>
            <w:pPr>
              <w:spacing w:after="0"/>
              <w:rPr>
                <w:sz w:val="1"/>
                <w:szCs w:val="1"/>
                <w:color w:val="auto"/>
              </w:rPr>
            </w:pPr>
          </w:p>
        </w:tc>
      </w:tr>
      <w:tr>
        <w:trPr>
          <w:trHeight w:val="220"/>
        </w:trPr>
        <w:tc>
          <w:tcPr>
            <w:tcW w:w="62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Supply and Logistics</w:t>
            </w: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6240" w:type="dxa"/>
            <w:vAlign w:val="bottom"/>
            <w:tcBorders>
              <w:bottom w:val="single" w:sz="8" w:color="CCEEFF"/>
            </w:tcBorders>
          </w:tcPr>
          <w:p>
            <w:pPr>
              <w:ind w:left="180"/>
              <w:spacing w:after="0" w:line="220" w:lineRule="exact"/>
              <w:rPr>
                <w:sz w:val="20"/>
                <w:szCs w:val="20"/>
                <w:color w:val="auto"/>
              </w:rPr>
            </w:pPr>
            <w:r>
              <w:rPr>
                <w:rFonts w:ascii="Arial" w:cs="Arial" w:eastAsia="Arial" w:hAnsi="Arial"/>
                <w:sz w:val="17"/>
                <w:szCs w:val="17"/>
                <w:color w:val="auto"/>
              </w:rPr>
              <w:t xml:space="preserve">Adjusted other income/(expense), net </w:t>
            </w:r>
            <w:r>
              <w:rPr>
                <w:rFonts w:ascii="Arial" w:cs="Arial" w:eastAsia="Arial" w:hAnsi="Arial"/>
                <w:sz w:val="22"/>
                <w:szCs w:val="22"/>
                <w:color w:val="auto"/>
                <w:vertAlign w:val="superscript"/>
              </w:rPr>
              <w:t>(1)</w:t>
            </w:r>
          </w:p>
        </w:tc>
        <w:tc>
          <w:tcPr>
            <w:tcW w:w="10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8"/>
        </w:trPr>
        <w:tc>
          <w:tcPr>
            <w:tcW w:w="6240" w:type="dxa"/>
            <w:vAlign w:val="bottom"/>
            <w:tcBorders>
              <w:bottom w:val="single" w:sz="8" w:color="CCEEFF"/>
            </w:tcBorders>
            <w:shd w:val="clear" w:color="auto" w:fill="CCEEFF"/>
          </w:tcPr>
          <w:p>
            <w:pPr>
              <w:ind w:left="20"/>
              <w:spacing w:after="0" w:line="212" w:lineRule="exact"/>
              <w:rPr>
                <w:sz w:val="20"/>
                <w:szCs w:val="20"/>
                <w:color w:val="auto"/>
              </w:rPr>
            </w:pPr>
            <w:r>
              <w:rPr>
                <w:rFonts w:ascii="Arial" w:cs="Arial" w:eastAsia="Arial" w:hAnsi="Arial"/>
                <w:sz w:val="17"/>
                <w:szCs w:val="17"/>
                <w:b w:val="1"/>
                <w:bCs w:val="1"/>
                <w:color w:val="auto"/>
              </w:rPr>
              <w:t xml:space="preserve">Adjusted EBITDA </w:t>
            </w:r>
            <w:r>
              <w:rPr>
                <w:rFonts w:ascii="Arial" w:cs="Arial" w:eastAsia="Arial" w:hAnsi="Arial"/>
                <w:sz w:val="22"/>
                <w:szCs w:val="22"/>
                <w:b w:val="1"/>
                <w:bCs w:val="1"/>
                <w:color w:val="auto"/>
                <w:vertAlign w:val="superscript"/>
              </w:rPr>
              <w:t>(2)</w:t>
            </w:r>
          </w:p>
        </w:tc>
        <w:tc>
          <w:tcPr>
            <w:tcW w:w="1040" w:type="dxa"/>
            <w:vAlign w:val="bottom"/>
            <w:tcBorders>
              <w:bottom w:val="single" w:sz="8" w:color="auto"/>
            </w:tcBorders>
            <w:shd w:val="clear" w:color="auto" w:fill="CCEEFF"/>
          </w:tcPr>
          <w:p>
            <w:pPr>
              <w:jc w:val="right"/>
              <w:ind w:right="855"/>
              <w:spacing w:after="0"/>
              <w:rPr>
                <w:sz w:val="20"/>
                <w:szCs w:val="20"/>
                <w:color w:val="auto"/>
              </w:rPr>
            </w:pPr>
            <w:r>
              <w:rPr>
                <w:rFonts w:ascii="Arial" w:cs="Arial" w:eastAsia="Arial" w:hAnsi="Arial"/>
                <w:sz w:val="17"/>
                <w:szCs w:val="17"/>
                <w:b w:val="1"/>
                <w:bCs w:val="1"/>
                <w:color w:val="auto"/>
                <w:w w:val="8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3,237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b w:val="1"/>
                <w:bCs w:val="1"/>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2,560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2,175</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bottom w:val="single" w:sz="8" w:color="CCEEFF"/>
            </w:tcBorders>
            <w:vMerge w:val="restart"/>
          </w:tcPr>
          <w:p>
            <w:pPr>
              <w:ind w:left="180"/>
              <w:spacing w:after="0" w:line="231" w:lineRule="exact"/>
              <w:rPr>
                <w:sz w:val="20"/>
                <w:szCs w:val="20"/>
                <w:color w:val="auto"/>
              </w:rPr>
            </w:pPr>
            <w:r>
              <w:rPr>
                <w:rFonts w:ascii="Arial" w:cs="Arial" w:eastAsia="Arial" w:hAnsi="Arial"/>
                <w:sz w:val="17"/>
                <w:szCs w:val="17"/>
                <w:color w:val="auto"/>
              </w:rPr>
              <w:t xml:space="preserve">Interest expense, net of certain non-cash items </w:t>
            </w:r>
            <w:r>
              <w:rPr>
                <w:rFonts w:ascii="Arial" w:cs="Arial" w:eastAsia="Arial" w:hAnsi="Arial"/>
                <w:sz w:val="22"/>
                <w:szCs w:val="22"/>
                <w:color w:val="auto"/>
                <w:vertAlign w:val="superscript"/>
              </w:rPr>
              <w:t>(3)</w:t>
            </w: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24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540" w:type="dxa"/>
            <w:vAlign w:val="bottom"/>
          </w:tcPr>
          <w:p>
            <w:pPr>
              <w:jc w:val="right"/>
              <w:spacing w:after="0" w:line="191" w:lineRule="exact"/>
              <w:rPr>
                <w:sz w:val="20"/>
                <w:szCs w:val="20"/>
                <w:color w:val="auto"/>
              </w:rPr>
            </w:pPr>
            <w:r>
              <w:rPr>
                <w:rFonts w:ascii="Arial" w:cs="Arial" w:eastAsia="Arial" w:hAnsi="Arial"/>
                <w:sz w:val="17"/>
                <w:szCs w:val="17"/>
                <w:color w:val="auto"/>
              </w:rPr>
              <w:t>(407)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line="191" w:lineRule="exact"/>
              <w:rPr>
                <w:sz w:val="20"/>
                <w:szCs w:val="20"/>
                <w:color w:val="auto"/>
              </w:rPr>
            </w:pPr>
            <w:r>
              <w:rPr>
                <w:rFonts w:ascii="Arial" w:cs="Arial" w:eastAsia="Arial" w:hAnsi="Arial"/>
                <w:sz w:val="17"/>
                <w:szCs w:val="17"/>
                <w:color w:val="auto"/>
              </w:rPr>
              <w:t>(415)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80" w:type="dxa"/>
            <w:vAlign w:val="bottom"/>
          </w:tcPr>
          <w:p>
            <w:pPr>
              <w:jc w:val="right"/>
              <w:spacing w:after="0" w:line="191" w:lineRule="exact"/>
              <w:rPr>
                <w:sz w:val="20"/>
                <w:szCs w:val="20"/>
                <w:color w:val="auto"/>
              </w:rPr>
            </w:pPr>
            <w:r>
              <w:rPr>
                <w:rFonts w:ascii="Arial" w:cs="Arial" w:eastAsia="Arial" w:hAnsi="Arial"/>
                <w:sz w:val="17"/>
                <w:szCs w:val="17"/>
                <w:color w:val="auto"/>
              </w:rPr>
              <w:t>(405)</w:t>
            </w:r>
          </w:p>
        </w:tc>
        <w:tc>
          <w:tcPr>
            <w:tcW w:w="0" w:type="dxa"/>
            <w:vAlign w:val="bottom"/>
          </w:tcPr>
          <w:p>
            <w:pPr>
              <w:spacing w:after="0"/>
              <w:rPr>
                <w:sz w:val="1"/>
                <w:szCs w:val="1"/>
                <w:color w:val="auto"/>
              </w:rPr>
            </w:pPr>
          </w:p>
        </w:tc>
      </w:tr>
      <w:tr>
        <w:trPr>
          <w:trHeight w:val="220"/>
        </w:trPr>
        <w:tc>
          <w:tcPr>
            <w:tcW w:w="62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Maintenance capital</w:t>
            </w: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w:t>
            </w:r>
          </w:p>
        </w:tc>
        <w:tc>
          <w:tcPr>
            <w:tcW w:w="0" w:type="dxa"/>
            <w:vAlign w:val="bottom"/>
          </w:tcPr>
          <w:p>
            <w:pPr>
              <w:spacing w:after="0"/>
              <w:rPr>
                <w:sz w:val="1"/>
                <w:szCs w:val="1"/>
                <w:color w:val="auto"/>
              </w:rPr>
            </w:pPr>
          </w:p>
        </w:tc>
      </w:tr>
      <w:tr>
        <w:trPr>
          <w:trHeight w:val="220"/>
        </w:trPr>
        <w:tc>
          <w:tcPr>
            <w:tcW w:w="6240" w:type="dxa"/>
            <w:vAlign w:val="bottom"/>
          </w:tcPr>
          <w:p>
            <w:pPr>
              <w:ind w:left="180"/>
              <w:spacing w:after="0"/>
              <w:rPr>
                <w:sz w:val="20"/>
                <w:szCs w:val="20"/>
                <w:color w:val="auto"/>
              </w:rPr>
            </w:pPr>
            <w:r>
              <w:rPr>
                <w:rFonts w:ascii="Arial" w:cs="Arial" w:eastAsia="Arial" w:hAnsi="Arial"/>
                <w:sz w:val="17"/>
                <w:szCs w:val="17"/>
                <w:color w:val="auto"/>
              </w:rPr>
              <w:t>Current income tax expense</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(112)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20"/>
        </w:trPr>
        <w:tc>
          <w:tcPr>
            <w:tcW w:w="62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w:t>
            </w:r>
          </w:p>
        </w:tc>
        <w:tc>
          <w:tcPr>
            <w:tcW w:w="10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13"/>
        </w:trPr>
        <w:tc>
          <w:tcPr>
            <w:tcW w:w="6240" w:type="dxa"/>
            <w:vAlign w:val="bottom"/>
          </w:tcPr>
          <w:p>
            <w:pPr>
              <w:ind w:left="20"/>
              <w:spacing w:after="0" w:line="212" w:lineRule="exact"/>
              <w:rPr>
                <w:sz w:val="20"/>
                <w:szCs w:val="20"/>
                <w:color w:val="auto"/>
              </w:rPr>
            </w:pPr>
            <w:r>
              <w:rPr>
                <w:rFonts w:ascii="Arial" w:cs="Arial" w:eastAsia="Arial" w:hAnsi="Arial"/>
                <w:sz w:val="17"/>
                <w:szCs w:val="17"/>
                <w:b w:val="1"/>
                <w:bCs w:val="1"/>
                <w:color w:val="auto"/>
              </w:rPr>
              <w:t xml:space="preserve">Implied DCF </w:t>
            </w:r>
            <w:r>
              <w:rPr>
                <w:rFonts w:ascii="Arial" w:cs="Arial" w:eastAsia="Arial" w:hAnsi="Arial"/>
                <w:sz w:val="22"/>
                <w:szCs w:val="22"/>
                <w:b w:val="1"/>
                <w:bCs w:val="1"/>
                <w:color w:val="auto"/>
                <w:vertAlign w:val="superscript"/>
              </w:rPr>
              <w:t>(2)</w:t>
            </w:r>
          </w:p>
        </w:tc>
        <w:tc>
          <w:tcPr>
            <w:tcW w:w="1040" w:type="dxa"/>
            <w:vAlign w:val="bottom"/>
          </w:tcPr>
          <w:p>
            <w:pPr>
              <w:jc w:val="right"/>
              <w:ind w:right="855"/>
              <w:spacing w:after="0"/>
              <w:rPr>
                <w:sz w:val="20"/>
                <w:szCs w:val="20"/>
                <w:color w:val="auto"/>
              </w:rPr>
            </w:pPr>
            <w:r>
              <w:rPr>
                <w:rFonts w:ascii="Arial" w:cs="Arial" w:eastAsia="Arial" w:hAnsi="Arial"/>
                <w:sz w:val="17"/>
                <w:szCs w:val="17"/>
                <w:b w:val="1"/>
                <w:bCs w:val="1"/>
                <w:color w:val="auto"/>
                <w:w w:val="84"/>
              </w:rPr>
              <w:t>$</w:t>
            </w:r>
          </w:p>
        </w:tc>
        <w:tc>
          <w:tcPr>
            <w:tcW w:w="540" w:type="dxa"/>
            <w:vAlign w:val="bottom"/>
          </w:tcPr>
          <w:p>
            <w:pPr>
              <w:jc w:val="right"/>
              <w:spacing w:after="0"/>
              <w:rPr>
                <w:sz w:val="20"/>
                <w:szCs w:val="20"/>
                <w:color w:val="auto"/>
              </w:rPr>
            </w:pPr>
            <w:r>
              <w:rPr>
                <w:rFonts w:ascii="Arial" w:cs="Arial" w:eastAsia="Arial" w:hAnsi="Arial"/>
                <w:sz w:val="17"/>
                <w:szCs w:val="17"/>
                <w:b w:val="1"/>
                <w:bCs w:val="1"/>
                <w:color w:val="auto"/>
              </w:rPr>
              <w:t>2,376</w:t>
            </w:r>
          </w:p>
        </w:tc>
        <w:tc>
          <w:tcPr>
            <w:tcW w:w="100" w:type="dxa"/>
            <w:vAlign w:val="bottom"/>
          </w:tcPr>
          <w:p>
            <w:pPr>
              <w:spacing w:after="0"/>
              <w:rPr>
                <w:sz w:val="18"/>
                <w:szCs w:val="18"/>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b w:val="1"/>
                <w:bCs w:val="1"/>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1,881</w:t>
            </w:r>
          </w:p>
        </w:tc>
        <w:tc>
          <w:tcPr>
            <w:tcW w:w="100" w:type="dxa"/>
            <w:vAlign w:val="bottom"/>
          </w:tcPr>
          <w:p>
            <w:pPr>
              <w:spacing w:after="0"/>
              <w:rPr>
                <w:sz w:val="18"/>
                <w:szCs w:val="18"/>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1,550</w:t>
            </w:r>
          </w:p>
        </w:tc>
        <w:tc>
          <w:tcPr>
            <w:tcW w:w="0" w:type="dxa"/>
            <w:vAlign w:val="bottom"/>
          </w:tcPr>
          <w:p>
            <w:pPr>
              <w:spacing w:after="0"/>
              <w:rPr>
                <w:sz w:val="1"/>
                <w:szCs w:val="1"/>
                <w:color w:val="auto"/>
              </w:rPr>
            </w:pPr>
          </w:p>
        </w:tc>
      </w:tr>
      <w:tr>
        <w:trPr>
          <w:trHeight w:val="220"/>
        </w:trPr>
        <w:tc>
          <w:tcPr>
            <w:tcW w:w="6240" w:type="dxa"/>
            <w:vAlign w:val="bottom"/>
            <w:shd w:val="clear" w:color="auto" w:fill="CCEEFF"/>
          </w:tcPr>
          <w:p>
            <w:pPr>
              <w:ind w:left="180"/>
              <w:spacing w:after="0" w:line="220" w:lineRule="exact"/>
              <w:rPr>
                <w:sz w:val="20"/>
                <w:szCs w:val="20"/>
                <w:color w:val="auto"/>
              </w:rPr>
            </w:pPr>
            <w:r>
              <w:rPr>
                <w:rFonts w:ascii="Arial" w:cs="Arial" w:eastAsia="Arial" w:hAnsi="Arial"/>
                <w:sz w:val="17"/>
                <w:szCs w:val="17"/>
                <w:color w:val="auto"/>
              </w:rPr>
              <w:t xml:space="preserve">Preferred unit distributions paid </w:t>
            </w:r>
            <w:r>
              <w:rPr>
                <w:rFonts w:ascii="Arial" w:cs="Arial" w:eastAsia="Arial" w:hAnsi="Arial"/>
                <w:sz w:val="22"/>
                <w:szCs w:val="22"/>
                <w:color w:val="auto"/>
                <w:vertAlign w:val="superscript"/>
              </w:rPr>
              <w:t>(4)</w:t>
            </w:r>
          </w:p>
        </w:tc>
        <w:tc>
          <w:tcPr>
            <w:tcW w:w="10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(200)</w:t>
            </w:r>
          </w:p>
        </w:tc>
        <w:tc>
          <w:tcPr>
            <w:tcW w:w="0" w:type="dxa"/>
            <w:vAlign w:val="bottom"/>
          </w:tcPr>
          <w:p>
            <w:pPr>
              <w:spacing w:after="0"/>
              <w:rPr>
                <w:sz w:val="1"/>
                <w:szCs w:val="1"/>
                <w:color w:val="auto"/>
              </w:rPr>
            </w:pPr>
          </w:p>
        </w:tc>
      </w:tr>
      <w:tr>
        <w:trPr>
          <w:trHeight w:val="213"/>
        </w:trPr>
        <w:tc>
          <w:tcPr>
            <w:tcW w:w="6240" w:type="dxa"/>
            <w:vAlign w:val="bottom"/>
          </w:tcPr>
          <w:p>
            <w:pPr>
              <w:ind w:left="20"/>
              <w:spacing w:after="0"/>
              <w:rPr>
                <w:sz w:val="20"/>
                <w:szCs w:val="20"/>
                <w:color w:val="auto"/>
              </w:rPr>
            </w:pPr>
            <w:r>
              <w:rPr>
                <w:rFonts w:ascii="Arial" w:cs="Arial" w:eastAsia="Arial" w:hAnsi="Arial"/>
                <w:sz w:val="17"/>
                <w:szCs w:val="17"/>
                <w:b w:val="1"/>
                <w:bCs w:val="1"/>
                <w:color w:val="auto"/>
              </w:rPr>
              <w:t>Implied DCF Available to Common Unitholders</w:t>
            </w:r>
          </w:p>
        </w:tc>
        <w:tc>
          <w:tcPr>
            <w:tcW w:w="1040" w:type="dxa"/>
            <w:vAlign w:val="bottom"/>
            <w:tcBorders>
              <w:bottom w:val="single" w:sz="8" w:color="auto"/>
            </w:tcBorders>
          </w:tcPr>
          <w:p>
            <w:pPr>
              <w:jc w:val="right"/>
              <w:ind w:right="855"/>
              <w:spacing w:after="0"/>
              <w:rPr>
                <w:sz w:val="20"/>
                <w:szCs w:val="20"/>
                <w:color w:val="auto"/>
              </w:rPr>
            </w:pPr>
            <w:r>
              <w:rPr>
                <w:rFonts w:ascii="Arial" w:cs="Arial" w:eastAsia="Arial" w:hAnsi="Arial"/>
                <w:sz w:val="17"/>
                <w:szCs w:val="17"/>
                <w:b w:val="1"/>
                <w:bCs w:val="1"/>
                <w:color w:val="auto"/>
                <w:w w:val="84"/>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2,178</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b w:val="1"/>
                <w:bCs w:val="1"/>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1,683</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1,350</w:t>
            </w:r>
          </w:p>
        </w:tc>
        <w:tc>
          <w:tcPr>
            <w:tcW w:w="0" w:type="dxa"/>
            <w:vAlign w:val="bottom"/>
          </w:tcPr>
          <w:p>
            <w:pPr>
              <w:spacing w:after="0"/>
              <w:rPr>
                <w:sz w:val="1"/>
                <w:szCs w:val="1"/>
                <w:color w:val="auto"/>
              </w:rPr>
            </w:pP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6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6240" w:type="dxa"/>
            <w:vAlign w:val="bottom"/>
          </w:tcPr>
          <w:p>
            <w:pPr>
              <w:ind w:left="20"/>
              <w:spacing w:after="0" w:line="220" w:lineRule="exact"/>
              <w:rPr>
                <w:sz w:val="20"/>
                <w:szCs w:val="20"/>
                <w:color w:val="auto"/>
              </w:rPr>
            </w:pPr>
            <w:r>
              <w:rPr>
                <w:rFonts w:ascii="Arial" w:cs="Arial" w:eastAsia="Arial" w:hAnsi="Arial"/>
                <w:sz w:val="17"/>
                <w:szCs w:val="17"/>
                <w:b w:val="1"/>
                <w:bCs w:val="1"/>
                <w:color w:val="auto"/>
              </w:rPr>
              <w:t xml:space="preserve">Implied DCF per Common Unit and Common Unit Equivalent </w:t>
            </w:r>
            <w:r>
              <w:rPr>
                <w:rFonts w:ascii="Arial" w:cs="Arial" w:eastAsia="Arial" w:hAnsi="Arial"/>
                <w:sz w:val="22"/>
                <w:szCs w:val="22"/>
                <w:b w:val="1"/>
                <w:bCs w:val="1"/>
                <w:color w:val="auto"/>
                <w:vertAlign w:val="superscript"/>
              </w:rPr>
              <w:t>(2)</w:t>
            </w:r>
          </w:p>
        </w:tc>
        <w:tc>
          <w:tcPr>
            <w:tcW w:w="1040" w:type="dxa"/>
            <w:vAlign w:val="bottom"/>
          </w:tcPr>
          <w:p>
            <w:pPr>
              <w:jc w:val="right"/>
              <w:ind w:right="855"/>
              <w:spacing w:after="0"/>
              <w:rPr>
                <w:sz w:val="20"/>
                <w:szCs w:val="20"/>
                <w:color w:val="auto"/>
              </w:rPr>
            </w:pPr>
            <w:r>
              <w:rPr>
                <w:rFonts w:ascii="Arial" w:cs="Arial" w:eastAsia="Arial" w:hAnsi="Arial"/>
                <w:sz w:val="17"/>
                <w:szCs w:val="17"/>
                <w:color w:val="auto"/>
                <w:w w:val="84"/>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2.91</w:t>
            </w:r>
          </w:p>
        </w:tc>
        <w:tc>
          <w:tcPr>
            <w:tcW w:w="100" w:type="dxa"/>
            <w:vAlign w:val="bottom"/>
          </w:tcPr>
          <w:p>
            <w:pPr>
              <w:spacing w:after="0"/>
              <w:rPr>
                <w:sz w:val="19"/>
                <w:szCs w:val="19"/>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2.29</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1.90</w:t>
            </w:r>
          </w:p>
        </w:tc>
        <w:tc>
          <w:tcPr>
            <w:tcW w:w="0" w:type="dxa"/>
            <w:vAlign w:val="bottom"/>
          </w:tcPr>
          <w:p>
            <w:pPr>
              <w:spacing w:after="0"/>
              <w:rPr>
                <w:sz w:val="1"/>
                <w:szCs w:val="1"/>
                <w:color w:val="auto"/>
              </w:rPr>
            </w:pPr>
          </w:p>
        </w:tc>
      </w:tr>
      <w:tr>
        <w:trPr>
          <w:trHeight w:val="207"/>
        </w:trPr>
        <w:tc>
          <w:tcPr>
            <w:tcW w:w="6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240" w:type="dxa"/>
            <w:vAlign w:val="bottom"/>
          </w:tcPr>
          <w:p>
            <w:pPr>
              <w:ind w:left="20"/>
              <w:spacing w:after="0" w:line="220" w:lineRule="exact"/>
              <w:rPr>
                <w:sz w:val="20"/>
                <w:szCs w:val="20"/>
                <w:color w:val="auto"/>
              </w:rPr>
            </w:pPr>
            <w:r>
              <w:rPr>
                <w:rFonts w:ascii="Arial" w:cs="Arial" w:eastAsia="Arial" w:hAnsi="Arial"/>
                <w:sz w:val="17"/>
                <w:szCs w:val="17"/>
                <w:b w:val="1"/>
                <w:bCs w:val="1"/>
                <w:color w:val="auto"/>
              </w:rPr>
              <w:t xml:space="preserve">Distributions per Common Unit </w:t>
            </w:r>
            <w:r>
              <w:rPr>
                <w:rFonts w:ascii="Arial" w:cs="Arial" w:eastAsia="Arial" w:hAnsi="Arial"/>
                <w:sz w:val="22"/>
                <w:szCs w:val="22"/>
                <w:b w:val="1"/>
                <w:bCs w:val="1"/>
                <w:color w:val="auto"/>
                <w:vertAlign w:val="superscript"/>
              </w:rPr>
              <w:t>(5)</w:t>
            </w:r>
          </w:p>
        </w:tc>
        <w:tc>
          <w:tcPr>
            <w:tcW w:w="1040" w:type="dxa"/>
            <w:vAlign w:val="bottom"/>
          </w:tcPr>
          <w:p>
            <w:pPr>
              <w:jc w:val="right"/>
              <w:ind w:right="855"/>
              <w:spacing w:after="0"/>
              <w:rPr>
                <w:sz w:val="20"/>
                <w:szCs w:val="20"/>
                <w:color w:val="auto"/>
              </w:rPr>
            </w:pPr>
            <w:r>
              <w:rPr>
                <w:rFonts w:ascii="Arial" w:cs="Arial" w:eastAsia="Arial" w:hAnsi="Arial"/>
                <w:sz w:val="17"/>
                <w:szCs w:val="17"/>
                <w:color w:val="auto"/>
                <w:w w:val="84"/>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1.38</w:t>
            </w:r>
          </w:p>
        </w:tc>
        <w:tc>
          <w:tcPr>
            <w:tcW w:w="100" w:type="dxa"/>
            <w:vAlign w:val="bottom"/>
          </w:tcPr>
          <w:p>
            <w:pPr>
              <w:spacing w:after="0"/>
              <w:rPr>
                <w:sz w:val="19"/>
                <w:szCs w:val="19"/>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0.90</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0.72</w:t>
            </w:r>
          </w:p>
        </w:tc>
        <w:tc>
          <w:tcPr>
            <w:tcW w:w="0" w:type="dxa"/>
            <w:vAlign w:val="bottom"/>
          </w:tcPr>
          <w:p>
            <w:pPr>
              <w:spacing w:after="0"/>
              <w:rPr>
                <w:sz w:val="1"/>
                <w:szCs w:val="1"/>
                <w:color w:val="auto"/>
              </w:rPr>
            </w:pPr>
          </w:p>
        </w:tc>
      </w:tr>
      <w:tr>
        <w:trPr>
          <w:trHeight w:val="220"/>
        </w:trPr>
        <w:tc>
          <w:tcPr>
            <w:tcW w:w="6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Common Unit Distribution Coverage Ratio</w:t>
            </w:r>
          </w:p>
        </w:tc>
        <w:tc>
          <w:tcPr>
            <w:tcW w:w="10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2.17x</w:t>
            </w: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2.57x</w:t>
            </w: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2.61x</w:t>
            </w:r>
          </w:p>
        </w:tc>
        <w:tc>
          <w:tcPr>
            <w:tcW w:w="0" w:type="dxa"/>
            <w:vAlign w:val="bottom"/>
          </w:tcPr>
          <w:p>
            <w:pPr>
              <w:spacing w:after="0"/>
              <w:rPr>
                <w:sz w:val="1"/>
                <w:szCs w:val="1"/>
                <w:color w:val="auto"/>
              </w:rPr>
            </w:pPr>
          </w:p>
        </w:tc>
      </w:tr>
      <w:tr>
        <w:trPr>
          <w:trHeight w:val="207"/>
        </w:trPr>
        <w:tc>
          <w:tcPr>
            <w:tcW w:w="6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24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b w:val="1"/>
                <w:bCs w:val="1"/>
                <w:color w:val="auto"/>
              </w:rPr>
              <w:t xml:space="preserve">Diluted Adjusted Net Income per Common Unit </w:t>
            </w:r>
            <w:r>
              <w:rPr>
                <w:rFonts w:ascii="Arial" w:cs="Arial" w:eastAsia="Arial" w:hAnsi="Arial"/>
                <w:sz w:val="22"/>
                <w:szCs w:val="22"/>
                <w:b w:val="1"/>
                <w:bCs w:val="1"/>
                <w:color w:val="auto"/>
                <w:vertAlign w:val="superscript"/>
              </w:rPr>
              <w:t>(2)</w:t>
            </w:r>
          </w:p>
        </w:tc>
        <w:tc>
          <w:tcPr>
            <w:tcW w:w="1040" w:type="dxa"/>
            <w:vAlign w:val="bottom"/>
            <w:shd w:val="clear" w:color="auto" w:fill="CCEEFF"/>
          </w:tcPr>
          <w:p>
            <w:pPr>
              <w:jc w:val="right"/>
              <w:ind w:right="855"/>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0.96</w:t>
            </w:r>
          </w:p>
        </w:tc>
        <w:tc>
          <w:tcPr>
            <w:tcW w:w="0" w:type="dxa"/>
            <w:vAlign w:val="bottom"/>
          </w:tcPr>
          <w:p>
            <w:pPr>
              <w:spacing w:after="0"/>
              <w:rPr>
                <w:sz w:val="1"/>
                <w:szCs w:val="1"/>
                <w:color w:val="auto"/>
              </w:rPr>
            </w:pPr>
          </w:p>
        </w:tc>
      </w:tr>
      <w:tr>
        <w:trPr>
          <w:trHeight w:val="207"/>
        </w:trPr>
        <w:tc>
          <w:tcPr>
            <w:tcW w:w="6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Operating Data</w:t>
            </w: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40" w:type="dxa"/>
            <w:vAlign w:val="bottom"/>
          </w:tcPr>
          <w:p>
            <w:pPr>
              <w:ind w:left="180"/>
              <w:spacing w:after="0"/>
              <w:rPr>
                <w:sz w:val="20"/>
                <w:szCs w:val="20"/>
                <w:color w:val="auto"/>
              </w:rPr>
            </w:pPr>
            <w:r>
              <w:rPr>
                <w:rFonts w:ascii="Arial" w:cs="Arial" w:eastAsia="Arial" w:hAnsi="Arial"/>
                <w:sz w:val="17"/>
                <w:szCs w:val="17"/>
                <w:b w:val="1"/>
                <w:bCs w:val="1"/>
                <w:color w:val="auto"/>
              </w:rPr>
              <w:t>Transportation</w:t>
            </w: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Average daily volumes (MBbls/d)</w:t>
            </w: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6,893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6,340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6,050</w:t>
            </w:r>
          </w:p>
        </w:tc>
        <w:tc>
          <w:tcPr>
            <w:tcW w:w="0" w:type="dxa"/>
            <w:vAlign w:val="bottom"/>
          </w:tcPr>
          <w:p>
            <w:pPr>
              <w:spacing w:after="0"/>
              <w:rPr>
                <w:sz w:val="1"/>
                <w:szCs w:val="1"/>
                <w:color w:val="auto"/>
              </w:rPr>
            </w:pPr>
          </w:p>
        </w:tc>
      </w:tr>
      <w:tr>
        <w:trPr>
          <w:trHeight w:val="220"/>
        </w:trPr>
        <w:tc>
          <w:tcPr>
            <w:tcW w:w="6240" w:type="dxa"/>
            <w:vAlign w:val="bottom"/>
          </w:tcPr>
          <w:p>
            <w:pPr>
              <w:ind w:left="340"/>
              <w:spacing w:after="0"/>
              <w:rPr>
                <w:sz w:val="20"/>
                <w:szCs w:val="20"/>
                <w:color w:val="auto"/>
              </w:rPr>
            </w:pPr>
            <w:r>
              <w:rPr>
                <w:rFonts w:ascii="Arial" w:cs="Arial" w:eastAsia="Arial" w:hAnsi="Arial"/>
                <w:sz w:val="17"/>
                <w:szCs w:val="17"/>
                <w:color w:val="auto"/>
              </w:rPr>
              <w:t>Segment Adjusted EBITDA per barrel</w:t>
            </w:r>
          </w:p>
        </w:tc>
        <w:tc>
          <w:tcPr>
            <w:tcW w:w="1040" w:type="dxa"/>
            <w:vAlign w:val="bottom"/>
          </w:tcPr>
          <w:p>
            <w:pPr>
              <w:jc w:val="right"/>
              <w:ind w:right="855"/>
              <w:spacing w:after="0"/>
              <w:rPr>
                <w:sz w:val="20"/>
                <w:szCs w:val="20"/>
                <w:color w:val="auto"/>
              </w:rPr>
            </w:pPr>
            <w:r>
              <w:rPr>
                <w:rFonts w:ascii="Arial" w:cs="Arial" w:eastAsia="Arial" w:hAnsi="Arial"/>
                <w:sz w:val="17"/>
                <w:szCs w:val="17"/>
                <w:color w:val="auto"/>
                <w:w w:val="84"/>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0.68</w:t>
            </w:r>
          </w:p>
        </w:tc>
        <w:tc>
          <w:tcPr>
            <w:tcW w:w="100" w:type="dxa"/>
            <w:vAlign w:val="bottom"/>
          </w:tcPr>
          <w:p>
            <w:pPr>
              <w:spacing w:after="0"/>
              <w:rPr>
                <w:sz w:val="19"/>
                <w:szCs w:val="19"/>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0.70</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0.74</w:t>
            </w:r>
          </w:p>
        </w:tc>
        <w:tc>
          <w:tcPr>
            <w:tcW w:w="0" w:type="dxa"/>
            <w:vAlign w:val="bottom"/>
          </w:tcPr>
          <w:p>
            <w:pPr>
              <w:spacing w:after="0"/>
              <w:rPr>
                <w:sz w:val="1"/>
                <w:szCs w:val="1"/>
                <w:color w:val="auto"/>
              </w:rPr>
            </w:pPr>
          </w:p>
        </w:tc>
      </w:tr>
      <w:tr>
        <w:trPr>
          <w:trHeight w:val="207"/>
        </w:trPr>
        <w:tc>
          <w:tcPr>
            <w:tcW w:w="6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240" w:type="dxa"/>
            <w:vAlign w:val="bottom"/>
          </w:tcPr>
          <w:p>
            <w:pPr>
              <w:ind w:left="180"/>
              <w:spacing w:after="0"/>
              <w:rPr>
                <w:sz w:val="20"/>
                <w:szCs w:val="20"/>
                <w:color w:val="auto"/>
              </w:rPr>
            </w:pPr>
            <w:r>
              <w:rPr>
                <w:rFonts w:ascii="Arial" w:cs="Arial" w:eastAsia="Arial" w:hAnsi="Arial"/>
                <w:sz w:val="17"/>
                <w:szCs w:val="17"/>
                <w:b w:val="1"/>
                <w:bCs w:val="1"/>
                <w:color w:val="auto"/>
              </w:rPr>
              <w:t>Facilities</w:t>
            </w: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Average capacity (MMBbls/Mo)</w:t>
            </w: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w:t>
            </w:r>
          </w:p>
        </w:tc>
        <w:tc>
          <w:tcPr>
            <w:tcW w:w="0" w:type="dxa"/>
            <w:vAlign w:val="bottom"/>
          </w:tcPr>
          <w:p>
            <w:pPr>
              <w:spacing w:after="0"/>
              <w:rPr>
                <w:sz w:val="1"/>
                <w:szCs w:val="1"/>
                <w:color w:val="auto"/>
              </w:rPr>
            </w:pPr>
          </w:p>
        </w:tc>
      </w:tr>
      <w:tr>
        <w:trPr>
          <w:trHeight w:val="220"/>
        </w:trPr>
        <w:tc>
          <w:tcPr>
            <w:tcW w:w="6240" w:type="dxa"/>
            <w:vAlign w:val="bottom"/>
          </w:tcPr>
          <w:p>
            <w:pPr>
              <w:ind w:left="340"/>
              <w:spacing w:after="0"/>
              <w:rPr>
                <w:sz w:val="20"/>
                <w:szCs w:val="20"/>
                <w:color w:val="auto"/>
              </w:rPr>
            </w:pPr>
            <w:r>
              <w:rPr>
                <w:rFonts w:ascii="Arial" w:cs="Arial" w:eastAsia="Arial" w:hAnsi="Arial"/>
                <w:sz w:val="17"/>
                <w:szCs w:val="17"/>
                <w:color w:val="auto"/>
              </w:rPr>
              <w:t>Segment Adjusted EBITDA per barrel</w:t>
            </w:r>
          </w:p>
        </w:tc>
        <w:tc>
          <w:tcPr>
            <w:tcW w:w="1040" w:type="dxa"/>
            <w:vAlign w:val="bottom"/>
          </w:tcPr>
          <w:p>
            <w:pPr>
              <w:jc w:val="right"/>
              <w:ind w:right="855"/>
              <w:spacing w:after="0"/>
              <w:rPr>
                <w:sz w:val="20"/>
                <w:szCs w:val="20"/>
                <w:color w:val="auto"/>
              </w:rPr>
            </w:pPr>
            <w:r>
              <w:rPr>
                <w:rFonts w:ascii="Arial" w:cs="Arial" w:eastAsia="Arial" w:hAnsi="Arial"/>
                <w:sz w:val="17"/>
                <w:szCs w:val="17"/>
                <w:color w:val="auto"/>
                <w:w w:val="84"/>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0.47</w:t>
            </w:r>
          </w:p>
        </w:tc>
        <w:tc>
          <w:tcPr>
            <w:tcW w:w="100" w:type="dxa"/>
            <w:vAlign w:val="bottom"/>
          </w:tcPr>
          <w:p>
            <w:pPr>
              <w:spacing w:after="0"/>
              <w:rPr>
                <w:sz w:val="19"/>
                <w:szCs w:val="19"/>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0.49</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0.41</w:t>
            </w:r>
          </w:p>
        </w:tc>
        <w:tc>
          <w:tcPr>
            <w:tcW w:w="0" w:type="dxa"/>
            <w:vAlign w:val="bottom"/>
          </w:tcPr>
          <w:p>
            <w:pPr>
              <w:spacing w:after="0"/>
              <w:rPr>
                <w:sz w:val="1"/>
                <w:szCs w:val="1"/>
                <w:color w:val="auto"/>
              </w:rPr>
            </w:pPr>
          </w:p>
        </w:tc>
      </w:tr>
      <w:tr>
        <w:trPr>
          <w:trHeight w:val="207"/>
        </w:trPr>
        <w:tc>
          <w:tcPr>
            <w:tcW w:w="6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240" w:type="dxa"/>
            <w:vAlign w:val="bottom"/>
          </w:tcPr>
          <w:p>
            <w:pPr>
              <w:ind w:left="180"/>
              <w:spacing w:after="0"/>
              <w:rPr>
                <w:sz w:val="20"/>
                <w:szCs w:val="20"/>
                <w:color w:val="auto"/>
              </w:rPr>
            </w:pPr>
            <w:r>
              <w:rPr>
                <w:rFonts w:ascii="Arial" w:cs="Arial" w:eastAsia="Arial" w:hAnsi="Arial"/>
                <w:sz w:val="17"/>
                <w:szCs w:val="17"/>
                <w:b w:val="1"/>
                <w:bCs w:val="1"/>
                <w:color w:val="auto"/>
              </w:rPr>
              <w:t>Supply and Logistics</w:t>
            </w: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Average daily volumes (MBbls/d)</w:t>
            </w: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1,400</w:t>
            </w:r>
          </w:p>
        </w:tc>
        <w:tc>
          <w:tcPr>
            <w:tcW w:w="0" w:type="dxa"/>
            <w:vAlign w:val="bottom"/>
          </w:tcPr>
          <w:p>
            <w:pPr>
              <w:spacing w:after="0"/>
              <w:rPr>
                <w:sz w:val="1"/>
                <w:szCs w:val="1"/>
                <w:color w:val="auto"/>
              </w:rPr>
            </w:pPr>
          </w:p>
        </w:tc>
      </w:tr>
      <w:tr>
        <w:trPr>
          <w:trHeight w:val="220"/>
        </w:trPr>
        <w:tc>
          <w:tcPr>
            <w:tcW w:w="6240" w:type="dxa"/>
            <w:vAlign w:val="bottom"/>
          </w:tcPr>
          <w:p>
            <w:pPr>
              <w:ind w:left="340"/>
              <w:spacing w:after="0"/>
              <w:rPr>
                <w:sz w:val="20"/>
                <w:szCs w:val="20"/>
                <w:color w:val="auto"/>
              </w:rPr>
            </w:pPr>
            <w:r>
              <w:rPr>
                <w:rFonts w:ascii="Arial" w:cs="Arial" w:eastAsia="Arial" w:hAnsi="Arial"/>
                <w:sz w:val="17"/>
                <w:szCs w:val="17"/>
                <w:color w:val="auto"/>
              </w:rPr>
              <w:t>Segment Adjusted EBITDA per barrel</w:t>
            </w:r>
          </w:p>
        </w:tc>
        <w:tc>
          <w:tcPr>
            <w:tcW w:w="1040" w:type="dxa"/>
            <w:vAlign w:val="bottom"/>
          </w:tcPr>
          <w:p>
            <w:pPr>
              <w:jc w:val="right"/>
              <w:ind w:right="855"/>
              <w:spacing w:after="0"/>
              <w:rPr>
                <w:sz w:val="20"/>
                <w:szCs w:val="20"/>
                <w:color w:val="auto"/>
              </w:rPr>
            </w:pPr>
            <w:r>
              <w:rPr>
                <w:rFonts w:ascii="Arial" w:cs="Arial" w:eastAsia="Arial" w:hAnsi="Arial"/>
                <w:sz w:val="17"/>
                <w:szCs w:val="17"/>
                <w:color w:val="auto"/>
                <w:w w:val="84"/>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1.61</w:t>
            </w:r>
          </w:p>
        </w:tc>
        <w:tc>
          <w:tcPr>
            <w:tcW w:w="100" w:type="dxa"/>
            <w:vAlign w:val="bottom"/>
          </w:tcPr>
          <w:p>
            <w:pPr>
              <w:spacing w:after="0"/>
              <w:rPr>
                <w:sz w:val="19"/>
                <w:szCs w:val="19"/>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0.43</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6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240" w:type="dxa"/>
            <w:vAlign w:val="bottom"/>
          </w:tcPr>
          <w:p>
            <w:pPr>
              <w:ind w:left="20"/>
              <w:spacing w:after="0"/>
              <w:rPr>
                <w:sz w:val="20"/>
                <w:szCs w:val="20"/>
                <w:color w:val="auto"/>
              </w:rPr>
            </w:pPr>
            <w:r>
              <w:rPr>
                <w:rFonts w:ascii="Arial" w:cs="Arial" w:eastAsia="Arial" w:hAnsi="Arial"/>
                <w:sz w:val="17"/>
                <w:szCs w:val="17"/>
                <w:b w:val="1"/>
                <w:bCs w:val="1"/>
                <w:color w:val="auto"/>
              </w:rPr>
              <w:t>Investment Capital</w:t>
            </w:r>
          </w:p>
        </w:tc>
        <w:tc>
          <w:tcPr>
            <w:tcW w:w="1040" w:type="dxa"/>
            <w:vAlign w:val="bottom"/>
          </w:tcPr>
          <w:p>
            <w:pPr>
              <w:jc w:val="right"/>
              <w:ind w:right="855"/>
              <w:spacing w:after="0"/>
              <w:rPr>
                <w:sz w:val="20"/>
                <w:szCs w:val="20"/>
                <w:color w:val="auto"/>
              </w:rPr>
            </w:pPr>
            <w:r>
              <w:rPr>
                <w:rFonts w:ascii="Arial" w:cs="Arial" w:eastAsia="Arial" w:hAnsi="Arial"/>
                <w:sz w:val="17"/>
                <w:szCs w:val="17"/>
                <w:b w:val="1"/>
                <w:bCs w:val="1"/>
                <w:color w:val="auto"/>
                <w:w w:val="84"/>
              </w:rPr>
              <w:t>$</w:t>
            </w:r>
          </w:p>
        </w:tc>
        <w:tc>
          <w:tcPr>
            <w:tcW w:w="540" w:type="dxa"/>
            <w:vAlign w:val="bottom"/>
          </w:tcPr>
          <w:p>
            <w:pPr>
              <w:jc w:val="right"/>
              <w:spacing w:after="0"/>
              <w:rPr>
                <w:sz w:val="20"/>
                <w:szCs w:val="20"/>
                <w:color w:val="auto"/>
              </w:rPr>
            </w:pPr>
            <w:r>
              <w:rPr>
                <w:rFonts w:ascii="Arial" w:cs="Arial" w:eastAsia="Arial" w:hAnsi="Arial"/>
                <w:sz w:val="17"/>
                <w:szCs w:val="17"/>
                <w:b w:val="1"/>
                <w:bCs w:val="1"/>
                <w:color w:val="auto"/>
              </w:rPr>
              <w:t>1,340</w:t>
            </w:r>
          </w:p>
        </w:tc>
        <w:tc>
          <w:tcPr>
            <w:tcW w:w="100" w:type="dxa"/>
            <w:vAlign w:val="bottom"/>
          </w:tcPr>
          <w:p>
            <w:pPr>
              <w:spacing w:after="0"/>
              <w:rPr>
                <w:sz w:val="19"/>
                <w:szCs w:val="19"/>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b w:val="1"/>
                <w:bCs w:val="1"/>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921</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325</w:t>
            </w:r>
          </w:p>
        </w:tc>
        <w:tc>
          <w:tcPr>
            <w:tcW w:w="0" w:type="dxa"/>
            <w:vAlign w:val="bottom"/>
          </w:tcPr>
          <w:p>
            <w:pPr>
              <w:spacing w:after="0"/>
              <w:rPr>
                <w:sz w:val="1"/>
                <w:szCs w:val="1"/>
                <w:color w:val="auto"/>
              </w:rPr>
            </w:pPr>
          </w:p>
        </w:tc>
      </w:tr>
      <w:tr>
        <w:trPr>
          <w:trHeight w:val="207"/>
        </w:trPr>
        <w:tc>
          <w:tcPr>
            <w:tcW w:w="6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93"/>
        </w:trPr>
        <w:tc>
          <w:tcPr>
            <w:tcW w:w="6240" w:type="dxa"/>
            <w:vAlign w:val="bottom"/>
          </w:tcPr>
          <w:p>
            <w:pPr>
              <w:ind w:left="20"/>
              <w:spacing w:after="0"/>
              <w:rPr>
                <w:sz w:val="20"/>
                <w:szCs w:val="20"/>
                <w:color w:val="auto"/>
              </w:rPr>
            </w:pPr>
            <w:r>
              <w:rPr>
                <w:rFonts w:ascii="Arial" w:cs="Arial" w:eastAsia="Arial" w:hAnsi="Arial"/>
                <w:sz w:val="17"/>
                <w:szCs w:val="17"/>
                <w:b w:val="1"/>
                <w:bCs w:val="1"/>
                <w:color w:val="auto"/>
              </w:rPr>
              <w:t xml:space="preserve">Third-Quarter Adjusted EBITDA as a Percentage of Full Year </w:t>
            </w:r>
            <w:r>
              <w:rPr>
                <w:rFonts w:ascii="Arial" w:cs="Arial" w:eastAsia="Arial" w:hAnsi="Arial"/>
                <w:sz w:val="22"/>
                <w:szCs w:val="22"/>
                <w:b w:val="1"/>
                <w:bCs w:val="1"/>
                <w:color w:val="auto"/>
                <w:vertAlign w:val="superscript"/>
              </w:rPr>
              <w:t>(6)</w:t>
            </w:r>
          </w:p>
        </w:tc>
        <w:tc>
          <w:tcPr>
            <w:tcW w:w="10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7"/>
                <w:szCs w:val="17"/>
                <w:b w:val="1"/>
                <w:bCs w:val="1"/>
                <w:color w:val="auto"/>
              </w:rPr>
              <w:t>23%</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27%</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24612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61260" cy="82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(G) 2021 Guidance forecasts are intended to be + / - amounts.</w:t>
      </w:r>
    </w:p>
    <w:p>
      <w:pPr>
        <w:spacing w:after="0" w:line="8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00"/>
          </w:cols>
          <w:pgMar w:left="320" w:top="360" w:right="379" w:bottom="1440" w:gutter="0" w:footer="0" w:header="0"/>
        </w:sectPr>
      </w:pPr>
    </w:p>
    <w:bookmarkStart w:id="7" w:name="page8"/>
    <w:bookmarkEnd w:id="7"/>
    <w:p>
      <w:pPr>
        <w:spacing w:after="0"/>
        <w:rPr>
          <w:sz w:val="20"/>
          <w:szCs w:val="20"/>
          <w:color w:val="auto"/>
        </w:rPr>
      </w:pPr>
      <w:r>
        <w:rPr>
          <w:rFonts w:ascii="Arial" w:cs="Arial" w:eastAsia="Arial" w:hAnsi="Arial"/>
          <w:sz w:val="17"/>
          <w:szCs w:val="17"/>
          <w:u w:val="single" w:color="auto"/>
          <w:color w:val="auto"/>
        </w:rPr>
        <w:t>Page 5</w:t>
      </w:r>
    </w:p>
    <w:p>
      <w:pPr>
        <w:spacing w:after="0" w:line="200" w:lineRule="exact"/>
        <w:rPr>
          <w:sz w:val="20"/>
          <w:szCs w:val="20"/>
          <w:color w:val="auto"/>
        </w:rPr>
      </w:pPr>
    </w:p>
    <w:p>
      <w:pPr>
        <w:spacing w:after="0" w:line="276" w:lineRule="exact"/>
        <w:rPr>
          <w:sz w:val="20"/>
          <w:szCs w:val="20"/>
          <w:color w:val="auto"/>
        </w:rPr>
      </w:pPr>
    </w:p>
    <w:p>
      <w:pPr>
        <w:ind w:left="320" w:right="80" w:hanging="317"/>
        <w:spacing w:after="0" w:line="235" w:lineRule="auto"/>
        <w:tabs>
          <w:tab w:leader="none" w:pos="308" w:val="left"/>
        </w:tabs>
        <w:numPr>
          <w:ilvl w:val="0"/>
          <w:numId w:val="6"/>
        </w:numPr>
        <w:rPr>
          <w:rFonts w:ascii="Arial" w:cs="Arial" w:eastAsia="Arial" w:hAnsi="Arial"/>
          <w:sz w:val="22"/>
          <w:szCs w:val="22"/>
          <w:color w:val="auto"/>
          <w:vertAlign w:val="superscript"/>
        </w:rPr>
      </w:pPr>
      <w:r>
        <w:rPr>
          <w:rFonts w:ascii="Arial" w:cs="Arial" w:eastAsia="Arial" w:hAnsi="Arial"/>
          <w:sz w:val="17"/>
          <w:szCs w:val="17"/>
          <w:color w:val="auto"/>
        </w:rPr>
        <w:t>Represents “Other income, net” as reported on our Condensed Consolidated Statements of Operations, adjusted for selected items impacting comparability of $(17) million and $(36) million for the twelve months ended December 31, 2019 and 2020, respectively. See the “Selected Items Impacting Comparability” table for additional information.</w:t>
      </w:r>
    </w:p>
    <w:p>
      <w:pPr>
        <w:spacing w:after="0" w:line="80" w:lineRule="exact"/>
        <w:rPr>
          <w:rFonts w:ascii="Arial" w:cs="Arial" w:eastAsia="Arial" w:hAnsi="Arial"/>
          <w:sz w:val="22"/>
          <w:szCs w:val="22"/>
          <w:color w:val="auto"/>
          <w:vertAlign w:val="superscript"/>
        </w:rPr>
      </w:pPr>
    </w:p>
    <w:p>
      <w:pPr>
        <w:ind w:left="320" w:right="60" w:hanging="317"/>
        <w:spacing w:after="0" w:line="263" w:lineRule="auto"/>
        <w:tabs>
          <w:tab w:leader="none" w:pos="308"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See the section of this release entitled “Non-GAAP Financial Measures and Selected Items Impacting Comparability” for information regarding non-GAAP financial measures and, for the historical 2019 and 2020 periods, see the Non-GAAP Reconciliation tables attached hereto for a reconciliation of such non-GAAP financial measures to the most directly comparable measures as reported in accordance with GAAP. We do not provide a reconciliation of non-GAAP financial measures to the equivalent GAAP financial measures on a forward-looking basis as it is impractical to forecast certain items that we have defined as “Selected Items Impacting Comparability” without unreasonable effort, due to the uncertainty and inherent difficulty of predicting the occurrence and financial impact of such items and the periods in which such items may be recognized. Thus, a reconciliation of non-GAAP financial measures to the equivalent GAAP financial measures could result in disclosure that could be imprecise or potentially misleading.</w:t>
      </w:r>
    </w:p>
    <w:p>
      <w:pPr>
        <w:spacing w:after="0" w:line="16" w:lineRule="exact"/>
        <w:rPr>
          <w:rFonts w:ascii="Arial" w:cs="Arial" w:eastAsia="Arial" w:hAnsi="Arial"/>
          <w:sz w:val="21"/>
          <w:szCs w:val="21"/>
          <w:color w:val="auto"/>
          <w:vertAlign w:val="superscript"/>
        </w:rPr>
      </w:pPr>
    </w:p>
    <w:p>
      <w:pPr>
        <w:ind w:left="300" w:hanging="297"/>
        <w:spacing w:after="0"/>
        <w:tabs>
          <w:tab w:leader="none" w:pos="300" w:val="left"/>
        </w:tabs>
        <w:numPr>
          <w:ilvl w:val="0"/>
          <w:numId w:val="6"/>
        </w:numPr>
        <w:rPr>
          <w:rFonts w:ascii="Arial" w:cs="Arial" w:eastAsia="Arial" w:hAnsi="Arial"/>
          <w:sz w:val="22"/>
          <w:szCs w:val="22"/>
          <w:color w:val="auto"/>
          <w:vertAlign w:val="superscript"/>
        </w:rPr>
      </w:pPr>
      <w:r>
        <w:rPr>
          <w:rFonts w:ascii="Arial" w:cs="Arial" w:eastAsia="Arial" w:hAnsi="Arial"/>
          <w:sz w:val="17"/>
          <w:szCs w:val="17"/>
          <w:color w:val="auto"/>
        </w:rPr>
        <w:t>Excludes certain non-cash items impacting interest expense such as amortization of debt issuance costs and terminated interest rate swaps.</w:t>
      </w:r>
    </w:p>
    <w:p>
      <w:pPr>
        <w:spacing w:after="0" w:line="77" w:lineRule="exact"/>
        <w:rPr>
          <w:rFonts w:ascii="Arial" w:cs="Arial" w:eastAsia="Arial" w:hAnsi="Arial"/>
          <w:sz w:val="22"/>
          <w:szCs w:val="22"/>
          <w:color w:val="auto"/>
          <w:vertAlign w:val="superscript"/>
        </w:rPr>
      </w:pPr>
    </w:p>
    <w:p>
      <w:pPr>
        <w:ind w:left="320" w:right="460" w:hanging="317"/>
        <w:spacing w:after="0" w:line="228" w:lineRule="auto"/>
        <w:tabs>
          <w:tab w:leader="none" w:pos="308" w:val="left"/>
        </w:tabs>
        <w:numPr>
          <w:ilvl w:val="0"/>
          <w:numId w:val="6"/>
        </w:numPr>
        <w:rPr>
          <w:rFonts w:ascii="Arial" w:cs="Arial" w:eastAsia="Arial" w:hAnsi="Arial"/>
          <w:sz w:val="22"/>
          <w:szCs w:val="22"/>
          <w:color w:val="auto"/>
          <w:vertAlign w:val="superscript"/>
        </w:rPr>
      </w:pPr>
      <w:r>
        <w:rPr>
          <w:rFonts w:ascii="Arial" w:cs="Arial" w:eastAsia="Arial" w:hAnsi="Arial"/>
          <w:sz w:val="17"/>
          <w:szCs w:val="17"/>
          <w:color w:val="auto"/>
        </w:rPr>
        <w:t>Cash distributions paid to our preferred unitholders during 2019 and 2020. 2021(G) reflects the current annualized distribution requirement of $2.10 per Series A preferred unit and the current annualized distribution requirement of $61.25 per Series B preferred unit.</w:t>
      </w:r>
    </w:p>
    <w:p>
      <w:pPr>
        <w:spacing w:after="0" w:line="55" w:lineRule="exact"/>
        <w:rPr>
          <w:rFonts w:ascii="Arial" w:cs="Arial" w:eastAsia="Arial" w:hAnsi="Arial"/>
          <w:sz w:val="22"/>
          <w:szCs w:val="22"/>
          <w:color w:val="auto"/>
          <w:vertAlign w:val="superscript"/>
        </w:rPr>
      </w:pPr>
    </w:p>
    <w:p>
      <w:pPr>
        <w:ind w:left="300" w:hanging="297"/>
        <w:spacing w:after="0"/>
        <w:tabs>
          <w:tab w:leader="none" w:pos="300"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Cash distributions per common unit paid during 2019 and 2020. 2021(G) reflects the current annualized distribution rate of $0.72 per common unit.</w:t>
      </w:r>
    </w:p>
    <w:p>
      <w:pPr>
        <w:spacing w:after="0" w:line="64" w:lineRule="exact"/>
        <w:rPr>
          <w:rFonts w:ascii="Arial" w:cs="Arial" w:eastAsia="Arial" w:hAnsi="Arial"/>
          <w:sz w:val="21"/>
          <w:szCs w:val="21"/>
          <w:color w:val="auto"/>
          <w:vertAlign w:val="superscript"/>
        </w:rPr>
      </w:pPr>
    </w:p>
    <w:p>
      <w:pPr>
        <w:ind w:left="320" w:right="680" w:hanging="317"/>
        <w:spacing w:after="0" w:line="228" w:lineRule="auto"/>
        <w:tabs>
          <w:tab w:leader="none" w:pos="308" w:val="left"/>
        </w:tabs>
        <w:numPr>
          <w:ilvl w:val="0"/>
          <w:numId w:val="6"/>
        </w:numPr>
        <w:rPr>
          <w:rFonts w:ascii="Arial" w:cs="Arial" w:eastAsia="Arial" w:hAnsi="Arial"/>
          <w:sz w:val="22"/>
          <w:szCs w:val="22"/>
          <w:color w:val="auto"/>
          <w:vertAlign w:val="superscript"/>
        </w:rPr>
      </w:pPr>
      <w:r>
        <w:rPr>
          <w:rFonts w:ascii="Arial" w:cs="Arial" w:eastAsia="Arial" w:hAnsi="Arial"/>
          <w:sz w:val="17"/>
          <w:szCs w:val="17"/>
          <w:color w:val="auto"/>
        </w:rPr>
        <w:t>2021 (G) includes our +/- forecast for the full year based on a certain set of assumptions as of the date of this earnings release and acknowledges that uncertainties under the current market environment could result in timing shifts across individual quarters.</w:t>
      </w:r>
    </w:p>
    <w:p>
      <w:pPr>
        <w:spacing w:after="0" w:line="3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GP Holdings</w:t>
      </w:r>
    </w:p>
    <w:p>
      <w:pPr>
        <w:spacing w:after="0" w:line="250" w:lineRule="exact"/>
        <w:rPr>
          <w:sz w:val="20"/>
          <w:szCs w:val="20"/>
          <w:color w:val="auto"/>
        </w:rPr>
      </w:pPr>
    </w:p>
    <w:p>
      <w:pPr>
        <w:ind w:right="40" w:firstLine="172"/>
        <w:spacing w:after="0" w:line="268" w:lineRule="auto"/>
        <w:rPr>
          <w:sz w:val="20"/>
          <w:szCs w:val="20"/>
          <w:color w:val="auto"/>
        </w:rPr>
      </w:pPr>
      <w:r>
        <w:rPr>
          <w:rFonts w:ascii="Arial" w:cs="Arial" w:eastAsia="Arial" w:hAnsi="Arial"/>
          <w:sz w:val="17"/>
          <w:szCs w:val="17"/>
          <w:color w:val="auto"/>
        </w:rPr>
        <w:t>PAGP owns an indirect non-economic controlling interest in PAA’s general partner and an indirect limited partner interest in PAA. As the control entity of PAA, PAGP consolidates PAA’s results into its financial statements, which is reflected in the condensed consolidating balance sheet and income statement tables attached hereto.</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Conference Call</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7"/>
          <w:szCs w:val="17"/>
          <w:color w:val="auto"/>
        </w:rPr>
        <w:t>PAA and PAGP will hold a joint conference call at 4:30 p.m. CT on Tuesday, August 3, 2021 to discuss the following items:</w:t>
      </w:r>
    </w:p>
    <w:p>
      <w:pPr>
        <w:spacing w:after="0" w:line="115" w:lineRule="exact"/>
        <w:rPr>
          <w:sz w:val="20"/>
          <w:szCs w:val="20"/>
          <w:color w:val="auto"/>
        </w:rPr>
      </w:pPr>
    </w:p>
    <w:p>
      <w:pPr>
        <w:ind w:left="1080" w:hanging="301"/>
        <w:spacing w:after="0"/>
        <w:tabs>
          <w:tab w:leader="none" w:pos="1080" w:val="left"/>
        </w:tabs>
        <w:numPr>
          <w:ilvl w:val="0"/>
          <w:numId w:val="7"/>
        </w:numPr>
        <w:rPr>
          <w:rFonts w:ascii="Arial" w:cs="Arial" w:eastAsia="Arial" w:hAnsi="Arial"/>
          <w:sz w:val="17"/>
          <w:szCs w:val="17"/>
          <w:color w:val="auto"/>
        </w:rPr>
      </w:pPr>
      <w:r>
        <w:rPr>
          <w:rFonts w:ascii="Arial" w:cs="Arial" w:eastAsia="Arial" w:hAnsi="Arial"/>
          <w:sz w:val="17"/>
          <w:szCs w:val="17"/>
          <w:color w:val="auto"/>
        </w:rPr>
        <w:t>PAA’s second-quarter 2021 performance;</w:t>
      </w:r>
    </w:p>
    <w:p>
      <w:pPr>
        <w:spacing w:after="0" w:line="62" w:lineRule="exact"/>
        <w:rPr>
          <w:rFonts w:ascii="Arial" w:cs="Arial" w:eastAsia="Arial" w:hAnsi="Arial"/>
          <w:sz w:val="17"/>
          <w:szCs w:val="17"/>
          <w:color w:val="auto"/>
        </w:rPr>
      </w:pPr>
    </w:p>
    <w:p>
      <w:pPr>
        <w:ind w:left="1080" w:hanging="301"/>
        <w:spacing w:after="0"/>
        <w:tabs>
          <w:tab w:leader="none" w:pos="1080" w:val="left"/>
        </w:tabs>
        <w:numPr>
          <w:ilvl w:val="0"/>
          <w:numId w:val="7"/>
        </w:numPr>
        <w:rPr>
          <w:rFonts w:ascii="Arial" w:cs="Arial" w:eastAsia="Arial" w:hAnsi="Arial"/>
          <w:sz w:val="17"/>
          <w:szCs w:val="17"/>
          <w:color w:val="auto"/>
        </w:rPr>
      </w:pPr>
      <w:r>
        <w:rPr>
          <w:rFonts w:ascii="Arial" w:cs="Arial" w:eastAsia="Arial" w:hAnsi="Arial"/>
          <w:sz w:val="17"/>
          <w:szCs w:val="17"/>
          <w:color w:val="auto"/>
        </w:rPr>
        <w:t>Capitalization and liquidity; and</w:t>
      </w:r>
    </w:p>
    <w:p>
      <w:pPr>
        <w:spacing w:after="0" w:line="62" w:lineRule="exact"/>
        <w:rPr>
          <w:rFonts w:ascii="Arial" w:cs="Arial" w:eastAsia="Arial" w:hAnsi="Arial"/>
          <w:sz w:val="17"/>
          <w:szCs w:val="17"/>
          <w:color w:val="auto"/>
        </w:rPr>
      </w:pPr>
    </w:p>
    <w:p>
      <w:pPr>
        <w:ind w:left="1080" w:hanging="301"/>
        <w:spacing w:after="0"/>
        <w:tabs>
          <w:tab w:leader="none" w:pos="1080" w:val="left"/>
        </w:tabs>
        <w:numPr>
          <w:ilvl w:val="0"/>
          <w:numId w:val="7"/>
        </w:numPr>
        <w:rPr>
          <w:rFonts w:ascii="Arial" w:cs="Arial" w:eastAsia="Arial" w:hAnsi="Arial"/>
          <w:sz w:val="17"/>
          <w:szCs w:val="17"/>
          <w:color w:val="auto"/>
        </w:rPr>
      </w:pPr>
      <w:r>
        <w:rPr>
          <w:rFonts w:ascii="Arial" w:cs="Arial" w:eastAsia="Arial" w:hAnsi="Arial"/>
          <w:sz w:val="17"/>
          <w:szCs w:val="17"/>
          <w:color w:val="auto"/>
        </w:rPr>
        <w:t>Financial and operating guidance.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Conference Call Webcast Instructions</w:t>
      </w:r>
    </w:p>
    <w:p>
      <w:pPr>
        <w:spacing w:after="0" w:line="16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To access the internet webcast, please go to https://edge.media-server.com/mmc/p/3wef49ho.</w:t>
      </w:r>
    </w:p>
    <w:p>
      <w:pPr>
        <w:spacing w:after="0" w:line="244" w:lineRule="exact"/>
        <w:rPr>
          <w:sz w:val="20"/>
          <w:szCs w:val="20"/>
          <w:color w:val="auto"/>
        </w:rPr>
      </w:pPr>
    </w:p>
    <w:p>
      <w:pPr>
        <w:jc w:val="both"/>
        <w:ind w:firstLine="620"/>
        <w:spacing w:after="0" w:line="320" w:lineRule="auto"/>
        <w:rPr>
          <w:sz w:val="20"/>
          <w:szCs w:val="20"/>
          <w:color w:val="auto"/>
        </w:rPr>
      </w:pPr>
      <w:r>
        <w:rPr>
          <w:rFonts w:ascii="Arial" w:cs="Arial" w:eastAsia="Arial" w:hAnsi="Arial"/>
          <w:sz w:val="15"/>
          <w:szCs w:val="15"/>
          <w:color w:val="auto"/>
        </w:rPr>
        <w:t>Alternatively, the webcast can be accessed on our website (www.plainsallamerican.com) under Investor Relations (Navigate to: Investor Relations / either “PAA” or “PAGP” / News &amp; Events / Quarterly Earnings). Following the live webcast, an audio replay in MP3 format will be available on our website within two hours after the end of the call and will be accessible for a period of 365 days. A transcript will also be available after the call at the above referenced website.</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Non-GAAP Financial Measures and Selected Items Impacting Comparability</w:t>
      </w:r>
    </w:p>
    <w:p>
      <w:pPr>
        <w:spacing w:after="0" w:line="166" w:lineRule="exact"/>
        <w:rPr>
          <w:sz w:val="20"/>
          <w:szCs w:val="20"/>
          <w:color w:val="auto"/>
        </w:rPr>
      </w:pPr>
    </w:p>
    <w:p>
      <w:pPr>
        <w:ind w:right="200" w:firstLine="620"/>
        <w:spacing w:after="0" w:line="268" w:lineRule="auto"/>
        <w:rPr>
          <w:sz w:val="20"/>
          <w:szCs w:val="20"/>
          <w:color w:val="auto"/>
        </w:rPr>
      </w:pPr>
      <w:r>
        <w:rPr>
          <w:rFonts w:ascii="Arial" w:cs="Arial" w:eastAsia="Arial" w:hAnsi="Arial"/>
          <w:sz w:val="17"/>
          <w:szCs w:val="17"/>
          <w:color w:val="auto"/>
        </w:rPr>
        <w:t>To supplement our financial information presented in accordance with GAAP, management uses additional measures known as “non-GAAP financial measures” in its evaluation of past performance and prospects for the future and to assess the amount of cash that is available for distributions, debt repayments, common equity repurchases and other general partnership purposes.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8" w:name="page9"/>
    <w:bookmarkEnd w:id="8"/>
    <w:p>
      <w:pPr>
        <w:spacing w:after="0"/>
        <w:rPr>
          <w:sz w:val="20"/>
          <w:szCs w:val="20"/>
          <w:color w:val="auto"/>
        </w:rPr>
      </w:pPr>
      <w:r>
        <w:rPr>
          <w:rFonts w:ascii="Arial" w:cs="Arial" w:eastAsia="Arial" w:hAnsi="Arial"/>
          <w:sz w:val="17"/>
          <w:szCs w:val="17"/>
          <w:u w:val="single" w:color="auto"/>
          <w:color w:val="auto"/>
        </w:rPr>
        <w:t>Page 6</w:t>
      </w:r>
    </w:p>
    <w:p>
      <w:pPr>
        <w:spacing w:after="0" w:line="200" w:lineRule="exact"/>
        <w:rPr>
          <w:sz w:val="20"/>
          <w:szCs w:val="20"/>
          <w:color w:val="auto"/>
        </w:rPr>
      </w:pPr>
    </w:p>
    <w:p>
      <w:pPr>
        <w:spacing w:after="0" w:line="225" w:lineRule="exact"/>
        <w:rPr>
          <w:sz w:val="20"/>
          <w:szCs w:val="20"/>
          <w:color w:val="auto"/>
        </w:rPr>
      </w:pPr>
    </w:p>
    <w:p>
      <w:pPr>
        <w:ind w:firstLine="620"/>
        <w:spacing w:after="0" w:line="256" w:lineRule="auto"/>
        <w:rPr>
          <w:sz w:val="20"/>
          <w:szCs w:val="20"/>
          <w:color w:val="auto"/>
        </w:rPr>
      </w:pPr>
      <w:r>
        <w:rPr>
          <w:rFonts w:ascii="Arial" w:cs="Arial" w:eastAsia="Arial" w:hAnsi="Arial"/>
          <w:sz w:val="17"/>
          <w:szCs w:val="17"/>
          <w:color w:val="auto"/>
        </w:rPr>
        <w:t>The primary additional measures used by management are earnings before interest, taxes, depreciation and amortization (including our proportionate share of depreciation and amortization and write-downs related to cancelled projects of unconsolidated entities), gains and losses on asset sales and asset impairments, goodwill impairment losses and gains on and impairments of investments in unconsolidated entities, adjusted for certain selected items impacting comparability (“Adjusted EBITDA”), Implied Distributable Cash Flow (“DCF”), Free Cash Flow and Free Cash Flow after Distributions. Our definition and calculation of certain non-GAAP financial measures may not be comparable to similarly-titled measures of other companies. Adjusted EBITDA, Implied DCF and certain other non-GAAP financial performance measures are reconciled to Net Income/(Loss), and Free Cash Flow and Free Cash Flow after Distributions are reconciled to Net Cash Provided by Operating Activities (the most directly comparable measures as reported in accordance with GAAP) for the historical periods presented in the tables attached to this release, and should be viewed in addition to, and not in lieu of, our Condensed Consolidated Financial Statements and accompanying notes. In addition, we encourage you to visit our website at www.plainsallamerican.com (in particular the section under “Financial Information” entitled “Non-GAAP Reconciliations” within the Investor Relations tab), which presents a reconciliation of our commonly used non-GAAP and supplemental financial measures.</w:t>
      </w:r>
    </w:p>
    <w:p>
      <w:pPr>
        <w:spacing w:after="0" w:line="207"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Performance Measures</w:t>
      </w:r>
    </w:p>
    <w:p>
      <w:pPr>
        <w:spacing w:after="0" w:line="250" w:lineRule="exact"/>
        <w:rPr>
          <w:sz w:val="20"/>
          <w:szCs w:val="20"/>
          <w:color w:val="auto"/>
        </w:rPr>
      </w:pPr>
    </w:p>
    <w:p>
      <w:pPr>
        <w:ind w:firstLine="620"/>
        <w:spacing w:after="0" w:line="289" w:lineRule="auto"/>
        <w:rPr>
          <w:sz w:val="20"/>
          <w:szCs w:val="20"/>
          <w:color w:val="auto"/>
        </w:rPr>
      </w:pPr>
      <w:r>
        <w:rPr>
          <w:rFonts w:ascii="Arial" w:cs="Arial" w:eastAsia="Arial" w:hAnsi="Arial"/>
          <w:sz w:val="15"/>
          <w:szCs w:val="15"/>
          <w:color w:val="auto"/>
        </w:rPr>
        <w:t>Management believes that the presentation of Adjusted EBITDA and Implied DCF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and (ii) provide investors with the same financial analytical framework upon which management bases financial, operational, compensation and planning/budgeting decisions. We also present these and additional non-GAAP financial measures, including adjusted net income attributable to PAA and basic and diluted adjusted net income per common unit, as they are measures that investors, rating agencies and debt holders have indicated are useful in assessing us and our results of operations. These non-GAAP measures may exclude, for example, (i) charges for obligations that are expected to be settled with the issuance of equity instruments, (ii) gains and losses on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(iii) long-term inventory costing adjustments,</w:t>
      </w:r>
    </w:p>
    <w:p>
      <w:pPr>
        <w:spacing w:after="0" w:line="4" w:lineRule="exact"/>
        <w:rPr>
          <w:sz w:val="20"/>
          <w:szCs w:val="20"/>
          <w:color w:val="auto"/>
        </w:rPr>
      </w:pPr>
    </w:p>
    <w:p>
      <w:pPr>
        <w:ind w:firstLine="3"/>
        <w:spacing w:after="0" w:line="271" w:lineRule="auto"/>
        <w:tabs>
          <w:tab w:leader="none" w:pos="292" w:val="left"/>
        </w:tabs>
        <w:numPr>
          <w:ilvl w:val="0"/>
          <w:numId w:val="8"/>
        </w:numPr>
        <w:rPr>
          <w:rFonts w:ascii="Arial" w:cs="Arial" w:eastAsia="Arial" w:hAnsi="Arial"/>
          <w:sz w:val="16"/>
          <w:szCs w:val="16"/>
          <w:color w:val="auto"/>
        </w:rPr>
      </w:pPr>
      <w:r>
        <w:rPr>
          <w:rFonts w:ascii="Arial" w:cs="Arial" w:eastAsia="Arial" w:hAnsi="Arial"/>
          <w:sz w:val="16"/>
          <w:szCs w:val="16"/>
          <w:color w:val="auto"/>
        </w:rPr>
        <w:t>items that are not indicative of our core operating results and/or (v) other items that we believe should be excluded in understanding our core operating performance. These measures may be further adjusted to include amounts related to deficiencies associated with minimum volume commitments whereby we have billed the counterparties for their deficiency obligation and such amounts are recognized as deferred revenue in “Other current liabilities” in our Condensed Consolidated Financial Statements. We also adjust for amounts billed by our equity method investees related to deficiencies under minimum volume commitments. All such amounts are presented net of applicable amounts subsequently recognized into revenue. Furthermore, the calculation of these measures contemplates tax effects as a separate reconciling item, where applicable. We have defined all such items as “selected items impacting comparability.” Due to the nature of the selected items, certain selected items impacting comparability may impact certain non-GAAP financial measures, referred to as adjusted results, but not impact other non-GAAP financial measures. We do not necessarily consider all of our selected items impacting comparability to be non-recurring, infrequent or unusual, but we believe that an understanding of these selected items impacting comparability is material to the evaluation of our operating results and prospects. 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investment capital projects and numerous other factors. These types of variations may not be separately identified in this release, but will be discussed, as applicable, in management’s discussion and analysis of operating results in our Quarterly Report on Form 10-Q.</w:t>
      </w:r>
    </w:p>
    <w:p>
      <w:pPr>
        <w:spacing w:after="0" w:line="200"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Liquidity Measures</w:t>
      </w:r>
    </w:p>
    <w:p>
      <w:pPr>
        <w:spacing w:after="0" w:line="250" w:lineRule="exact"/>
        <w:rPr>
          <w:sz w:val="20"/>
          <w:szCs w:val="20"/>
          <w:color w:val="auto"/>
        </w:rPr>
      </w:pPr>
    </w:p>
    <w:p>
      <w:pPr>
        <w:ind w:right="100" w:firstLine="620"/>
        <w:spacing w:after="0" w:line="259" w:lineRule="auto"/>
        <w:rPr>
          <w:sz w:val="20"/>
          <w:szCs w:val="20"/>
          <w:color w:val="auto"/>
        </w:rPr>
      </w:pPr>
      <w:r>
        <w:rPr>
          <w:rFonts w:ascii="Arial" w:cs="Arial" w:eastAsia="Arial" w:hAnsi="Arial"/>
          <w:sz w:val="17"/>
          <w:szCs w:val="17"/>
          <w:color w:val="auto"/>
        </w:rPr>
        <w:t>Management also uses the non-GAAP financial measures Free Cash Flow and Free Cash Flow after Distributions to assess the amount of cash that is available for distributions, debt repayments, common equity repurchases and other general partnership purposes. Free Cash Flow is defined as Net Cash Provided by Operating Activities, less Net Cash Used in Investing Activities, which primarily includes acquisition, investment and maintenance capital expenditures, investments in unconsolidated entities and the impact from the purchase and sale of linefill and base gas, net of proceeds from the sales of assets and further impacted by cash received from or paid to noncontrolling interests. Free Cash Flow is further reduced by cash distributions paid to our preferred and common unitholders to arrive at Free Cash Flow after Distributions.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u w:val="single" w:color="auto"/>
          <w:color w:val="auto"/>
        </w:rPr>
        <w:t>Page 7</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CONDENSED CONSOLIDATED STATEMENTS OF OPERATIONS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 millions, except per unit data)</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160" w:type="dxa"/>
            <w:vAlign w:val="bottom"/>
            <w:gridSpan w:val="4"/>
          </w:tcPr>
          <w:p>
            <w:pPr>
              <w:jc w:val="right"/>
              <w:ind w:right="575"/>
              <w:spacing w:after="0"/>
              <w:rPr>
                <w:sz w:val="20"/>
                <w:szCs w:val="20"/>
                <w:color w:val="auto"/>
              </w:rPr>
            </w:pPr>
            <w:r>
              <w:rPr>
                <w:rFonts w:ascii="Arial" w:cs="Arial" w:eastAsia="Arial" w:hAnsi="Arial"/>
                <w:sz w:val="14"/>
                <w:szCs w:val="14"/>
                <w:b w:val="1"/>
                <w:bCs w:val="1"/>
                <w:color w:val="auto"/>
              </w:rPr>
              <w:t>Six Months Ended</w:t>
            </w:r>
          </w:p>
        </w:tc>
      </w:tr>
      <w:tr>
        <w:trPr>
          <w:trHeight w:val="180"/>
        </w:trPr>
        <w:tc>
          <w:tcPr>
            <w:tcW w:w="2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ind w:right="34"/>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5"/>
                <w:szCs w:val="15"/>
                <w:color w:val="auto"/>
              </w:rPr>
            </w:pPr>
          </w:p>
        </w:tc>
      </w:tr>
      <w:tr>
        <w:trPr>
          <w:trHeight w:val="174"/>
        </w:trPr>
        <w:tc>
          <w:tcPr>
            <w:tcW w:w="20" w:type="dxa"/>
            <w:vAlign w:val="bottom"/>
            <w:tcBorders>
              <w:bottom w:val="single" w:sz="8" w:color="CCEEFF"/>
            </w:tcBorders>
          </w:tcPr>
          <w:p>
            <w:pPr>
              <w:spacing w:after="0"/>
              <w:rPr>
                <w:sz w:val="15"/>
                <w:szCs w:val="15"/>
                <w:color w:val="auto"/>
              </w:rPr>
            </w:pPr>
          </w:p>
        </w:tc>
        <w:tc>
          <w:tcPr>
            <w:tcW w:w="472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2020</w:t>
            </w:r>
          </w:p>
        </w:tc>
      </w:tr>
      <w:tr>
        <w:trPr>
          <w:trHeight w:val="214"/>
        </w:trPr>
        <w:tc>
          <w:tcPr>
            <w:tcW w:w="20" w:type="dxa"/>
            <w:vAlign w:val="bottom"/>
            <w:shd w:val="clear" w:color="auto" w:fill="CCEEFF"/>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REVENUES</w:t>
            </w:r>
          </w:p>
        </w:tc>
        <w:tc>
          <w:tcPr>
            <w:tcW w:w="5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9,930</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18,313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11,494</w:t>
            </w:r>
          </w:p>
        </w:tc>
      </w:tr>
      <w:tr>
        <w:trPr>
          <w:trHeight w:val="207"/>
        </w:trPr>
        <w:tc>
          <w:tcPr>
            <w:tcW w:w="2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20"/>
        </w:trPr>
        <w:tc>
          <w:tcPr>
            <w:tcW w:w="20" w:type="dxa"/>
            <w:vAlign w:val="bottom"/>
            <w:shd w:val="clear" w:color="auto" w:fill="CCEEFF"/>
          </w:tcPr>
          <w:p>
            <w:pPr>
              <w:spacing w:after="0"/>
              <w:rPr>
                <w:sz w:val="19"/>
                <w:szCs w:val="19"/>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COSTS AND EXPENSES</w:t>
            </w: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7"/>
                <w:szCs w:val="17"/>
                <w:color w:val="auto"/>
              </w:rPr>
              <w:t>Purchases and related costs</w:t>
            </w: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9,277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2,525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16,669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9,893</w:t>
            </w:r>
          </w:p>
        </w:tc>
      </w:tr>
      <w:tr>
        <w:trPr>
          <w:trHeight w:val="220"/>
        </w:trPr>
        <w:tc>
          <w:tcPr>
            <w:tcW w:w="20" w:type="dxa"/>
            <w:vAlign w:val="bottom"/>
            <w:shd w:val="clear" w:color="auto" w:fill="CCEEFF"/>
          </w:tcPr>
          <w:p>
            <w:pPr>
              <w:spacing w:after="0"/>
              <w:rPr>
                <w:sz w:val="19"/>
                <w:szCs w:val="19"/>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7"/>
                <w:szCs w:val="17"/>
                <w:color w:val="auto"/>
              </w:rPr>
              <w:t>Field operating costs</w:t>
            </w: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557</w:t>
            </w:r>
          </w:p>
        </w:tc>
      </w:tr>
      <w:tr>
        <w:trPr>
          <w:trHeight w:val="220"/>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7"/>
                <w:szCs w:val="17"/>
                <w:color w:val="auto"/>
              </w:rPr>
              <w:t>General and administrative expenses</w:t>
            </w: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141</w:t>
            </w:r>
          </w:p>
        </w:tc>
      </w:tr>
      <w:tr>
        <w:trPr>
          <w:trHeight w:val="220"/>
        </w:trPr>
        <w:tc>
          <w:tcPr>
            <w:tcW w:w="20" w:type="dxa"/>
            <w:vAlign w:val="bottom"/>
            <w:shd w:val="clear" w:color="auto" w:fill="CCEEFF"/>
          </w:tcPr>
          <w:p>
            <w:pPr>
              <w:spacing w:after="0"/>
              <w:rPr>
                <w:sz w:val="19"/>
                <w:szCs w:val="19"/>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333</w:t>
            </w:r>
          </w:p>
        </w:tc>
      </w:tr>
      <w:tr>
        <w:trPr>
          <w:trHeight w:val="220"/>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7"/>
                <w:szCs w:val="17"/>
                <w:color w:val="auto"/>
              </w:rPr>
              <w:t>(Gains)/losses on asset sales and asset impairments, net</w:t>
            </w: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370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618</w:t>
            </w:r>
          </w:p>
        </w:tc>
      </w:tr>
      <w:tr>
        <w:trPr>
          <w:trHeight w:val="220"/>
        </w:trPr>
        <w:tc>
          <w:tcPr>
            <w:tcW w:w="20" w:type="dxa"/>
            <w:vAlign w:val="bottom"/>
            <w:shd w:val="clear" w:color="auto" w:fill="CCEEFF"/>
          </w:tcPr>
          <w:p>
            <w:pPr>
              <w:spacing w:after="0"/>
              <w:rPr>
                <w:sz w:val="19"/>
                <w:szCs w:val="19"/>
                <w:color w:val="auto"/>
              </w:rPr>
            </w:pPr>
          </w:p>
        </w:tc>
        <w:tc>
          <w:tcPr>
            <w:tcW w:w="4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 impairment losses</w:t>
            </w: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2,515</w:t>
            </w:r>
          </w:p>
        </w:tc>
      </w:tr>
      <w:tr>
        <w:trPr>
          <w:trHeight w:val="213"/>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7"/>
                <w:szCs w:val="17"/>
                <w:color w:val="auto"/>
              </w:rPr>
              <w:t>Total costs and expenses</w:t>
            </w: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10,166</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3,015</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18,023</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14,057</w:t>
            </w:r>
          </w:p>
        </w:tc>
      </w:tr>
      <w:tr>
        <w:trPr>
          <w:trHeight w:val="207"/>
        </w:trPr>
        <w:tc>
          <w:tcPr>
            <w:tcW w:w="20" w:type="dxa"/>
            <w:vAlign w:val="bottom"/>
            <w:shd w:val="clear" w:color="auto" w:fill="CCEEFF"/>
          </w:tcPr>
          <w:p>
            <w:pPr>
              <w:spacing w:after="0"/>
              <w:rPr>
                <w:sz w:val="17"/>
                <w:szCs w:val="17"/>
                <w:color w:val="auto"/>
              </w:rPr>
            </w:pPr>
          </w:p>
        </w:tc>
        <w:tc>
          <w:tcPr>
            <w:tcW w:w="47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7"/>
                <w:szCs w:val="17"/>
                <w:b w:val="1"/>
                <w:bCs w:val="1"/>
                <w:color w:val="auto"/>
              </w:rPr>
              <w:t>OPERATING INCOME/(LOSS)</w:t>
            </w: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(2,563)</w:t>
            </w:r>
          </w:p>
        </w:tc>
      </w:tr>
      <w:tr>
        <w:trPr>
          <w:trHeight w:val="207"/>
        </w:trPr>
        <w:tc>
          <w:tcPr>
            <w:tcW w:w="20" w:type="dxa"/>
            <w:vAlign w:val="bottom"/>
            <w:shd w:val="clear" w:color="auto" w:fill="CCEEFF"/>
          </w:tcPr>
          <w:p>
            <w:pPr>
              <w:spacing w:after="0"/>
              <w:rPr>
                <w:sz w:val="17"/>
                <w:szCs w:val="17"/>
                <w:color w:val="auto"/>
              </w:rPr>
            </w:pPr>
          </w:p>
        </w:tc>
        <w:tc>
          <w:tcPr>
            <w:tcW w:w="47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7"/>
                <w:szCs w:val="17"/>
                <w:b w:val="1"/>
                <w:bCs w:val="1"/>
                <w:color w:val="auto"/>
              </w:rPr>
              <w:t>OTHER INCOME/(EXPENSE)</w:t>
            </w: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0"/>
        </w:trPr>
        <w:tc>
          <w:tcPr>
            <w:tcW w:w="20" w:type="dxa"/>
            <w:vAlign w:val="bottom"/>
            <w:shd w:val="clear" w:color="auto" w:fill="CCEEFF"/>
          </w:tcPr>
          <w:p>
            <w:pPr>
              <w:spacing w:after="0"/>
              <w:rPr>
                <w:sz w:val="19"/>
                <w:szCs w:val="19"/>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7"/>
                <w:szCs w:val="17"/>
                <w:color w:val="auto"/>
              </w:rPr>
              <w:t>Equity earnings in unconsolidated entities</w:t>
            </w: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w:t>
            </w:r>
          </w:p>
        </w:tc>
      </w:tr>
      <w:tr>
        <w:trPr>
          <w:trHeight w:val="220"/>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7"/>
                <w:szCs w:val="17"/>
                <w:color w:val="auto"/>
                <w:w w:val="93"/>
              </w:rPr>
              <w:t>Gain on/(impairment of) investments in unconsolidated entities, net</w:t>
            </w: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(91)</w:t>
            </w:r>
          </w:p>
        </w:tc>
      </w:tr>
      <w:tr>
        <w:trPr>
          <w:trHeight w:val="220"/>
        </w:trPr>
        <w:tc>
          <w:tcPr>
            <w:tcW w:w="20" w:type="dxa"/>
            <w:vAlign w:val="bottom"/>
            <w:shd w:val="clear" w:color="auto" w:fill="CCEEFF"/>
          </w:tcPr>
          <w:p>
            <w:pPr>
              <w:spacing w:after="0"/>
              <w:rPr>
                <w:sz w:val="19"/>
                <w:szCs w:val="19"/>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 net</w:t>
            </w: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w:t>
            </w:r>
          </w:p>
        </w:tc>
      </w:tr>
      <w:tr>
        <w:trPr>
          <w:trHeight w:val="220"/>
        </w:trPr>
        <w:tc>
          <w:tcPr>
            <w:tcW w:w="20" w:type="dxa"/>
            <w:vAlign w:val="bottom"/>
            <w:tcBorders>
              <w:bottom w:val="single" w:sz="8" w:color="CCEEFF"/>
            </w:tcBorders>
          </w:tcPr>
          <w:p>
            <w:pPr>
              <w:spacing w:after="0"/>
              <w:rPr>
                <w:sz w:val="19"/>
                <w:szCs w:val="19"/>
                <w:color w:val="auto"/>
              </w:rPr>
            </w:pPr>
          </w:p>
        </w:tc>
        <w:tc>
          <w:tcPr>
            <w:tcW w:w="47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Other income/(expense), net</w:t>
            </w:r>
          </w:p>
        </w:tc>
        <w:tc>
          <w:tcPr>
            <w:tcW w:w="52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w:t>
            </w:r>
          </w:p>
        </w:tc>
      </w:tr>
      <w:tr>
        <w:trPr>
          <w:trHeight w:val="187"/>
        </w:trPr>
        <w:tc>
          <w:tcPr>
            <w:tcW w:w="20" w:type="dxa"/>
            <w:vAlign w:val="bottom"/>
            <w:shd w:val="clear" w:color="auto" w:fill="CCEEFF"/>
          </w:tcPr>
          <w:p>
            <w:pPr>
              <w:spacing w:after="0"/>
              <w:rPr>
                <w:sz w:val="16"/>
                <w:szCs w:val="16"/>
                <w:color w:val="auto"/>
              </w:rPr>
            </w:pPr>
          </w:p>
        </w:tc>
        <w:tc>
          <w:tcPr>
            <w:tcW w:w="47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220"/>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7"/>
                <w:szCs w:val="17"/>
                <w:b w:val="1"/>
                <w:bCs w:val="1"/>
                <w:color w:val="auto"/>
              </w:rPr>
              <w:t>INCOME/(LOSS) BEFORE TAX</w:t>
            </w: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(2,691)</w:t>
            </w:r>
          </w:p>
        </w:tc>
      </w:tr>
      <w:tr>
        <w:trPr>
          <w:trHeight w:val="220"/>
        </w:trPr>
        <w:tc>
          <w:tcPr>
            <w:tcW w:w="20" w:type="dxa"/>
            <w:vAlign w:val="bottom"/>
            <w:shd w:val="clear" w:color="auto" w:fill="CCEEFF"/>
          </w:tcPr>
          <w:p>
            <w:pPr>
              <w:spacing w:after="0"/>
              <w:rPr>
                <w:sz w:val="19"/>
                <w:szCs w:val="19"/>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7"/>
                <w:szCs w:val="17"/>
                <w:color w:val="auto"/>
              </w:rPr>
              <w:t>Current income tax expense</w:t>
            </w: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r>
      <w:tr>
        <w:trPr>
          <w:trHeight w:val="220"/>
        </w:trPr>
        <w:tc>
          <w:tcPr>
            <w:tcW w:w="20" w:type="dxa"/>
            <w:vAlign w:val="bottom"/>
            <w:tcBorders>
              <w:bottom w:val="single" w:sz="8" w:color="CCEEFF"/>
            </w:tcBorders>
          </w:tcPr>
          <w:p>
            <w:pPr>
              <w:spacing w:after="0"/>
              <w:rPr>
                <w:sz w:val="19"/>
                <w:szCs w:val="19"/>
                <w:color w:val="auto"/>
              </w:rPr>
            </w:pPr>
          </w:p>
        </w:tc>
        <w:tc>
          <w:tcPr>
            <w:tcW w:w="47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Deferred income tax (expense)/benefit</w:t>
            </w:r>
          </w:p>
        </w:tc>
        <w:tc>
          <w:tcPr>
            <w:tcW w:w="52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r>
      <w:tr>
        <w:trPr>
          <w:trHeight w:val="187"/>
        </w:trPr>
        <w:tc>
          <w:tcPr>
            <w:tcW w:w="20" w:type="dxa"/>
            <w:vAlign w:val="bottom"/>
            <w:shd w:val="clear" w:color="auto" w:fill="CCEEFF"/>
          </w:tcPr>
          <w:p>
            <w:pPr>
              <w:spacing w:after="0"/>
              <w:rPr>
                <w:sz w:val="16"/>
                <w:szCs w:val="16"/>
                <w:color w:val="auto"/>
              </w:rPr>
            </w:pPr>
          </w:p>
        </w:tc>
        <w:tc>
          <w:tcPr>
            <w:tcW w:w="47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220"/>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7"/>
                <w:szCs w:val="17"/>
                <w:b w:val="1"/>
                <w:bCs w:val="1"/>
                <w:color w:val="auto"/>
              </w:rPr>
              <w:t>NET INCOME/(LOSS)</w:t>
            </w: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(2,701)</w:t>
            </w:r>
          </w:p>
        </w:tc>
      </w:tr>
      <w:tr>
        <w:trPr>
          <w:trHeight w:val="220"/>
        </w:trPr>
        <w:tc>
          <w:tcPr>
            <w:tcW w:w="20" w:type="dxa"/>
            <w:vAlign w:val="bottom"/>
            <w:shd w:val="clear" w:color="auto" w:fill="CCEEFF"/>
          </w:tcPr>
          <w:p>
            <w:pPr>
              <w:spacing w:after="0"/>
              <w:rPr>
                <w:sz w:val="19"/>
                <w:szCs w:val="19"/>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Net income attributable to noncontrolling interests</w:t>
            </w: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r>
      <w:tr>
        <w:trPr>
          <w:trHeight w:val="213"/>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7"/>
                <w:szCs w:val="17"/>
                <w:b w:val="1"/>
                <w:bCs w:val="1"/>
                <w:color w:val="auto"/>
              </w:rPr>
              <w:t>NET INCOME/(LOSS) ATTRIBUTABLE TO PAA</w:t>
            </w:r>
          </w:p>
        </w:tc>
        <w:tc>
          <w:tcPr>
            <w:tcW w:w="5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(220)</w:t>
            </w:r>
          </w:p>
        </w:tc>
        <w:tc>
          <w:tcPr>
            <w:tcW w:w="4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142</w:t>
            </w:r>
          </w:p>
        </w:tc>
        <w:tc>
          <w:tcPr>
            <w:tcW w:w="10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202</w:t>
            </w:r>
          </w:p>
        </w:tc>
        <w:tc>
          <w:tcPr>
            <w:tcW w:w="10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(2,705)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7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173"/>
        </w:trPr>
        <w:tc>
          <w:tcPr>
            <w:tcW w:w="20" w:type="dxa"/>
            <w:vAlign w:val="bottom"/>
            <w:shd w:val="clear" w:color="auto" w:fill="CCEEFF"/>
          </w:tcPr>
          <w:p>
            <w:pPr>
              <w:spacing w:after="0"/>
              <w:rPr>
                <w:sz w:val="15"/>
                <w:szCs w:val="15"/>
                <w:color w:val="auto"/>
              </w:rPr>
            </w:pPr>
          </w:p>
        </w:tc>
        <w:tc>
          <w:tcPr>
            <w:tcW w:w="47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20"/>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7"/>
                <w:szCs w:val="17"/>
                <w:b w:val="1"/>
                <w:bCs w:val="1"/>
                <w:color w:val="auto"/>
              </w:rPr>
              <w:t>NET INCOME/(LOSS) PER COMMON UNIT:</w:t>
            </w: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0"/>
        </w:trPr>
        <w:tc>
          <w:tcPr>
            <w:tcW w:w="20" w:type="dxa"/>
            <w:vAlign w:val="bottom"/>
            <w:shd w:val="clear" w:color="auto" w:fill="CCEEFF"/>
          </w:tcPr>
          <w:p>
            <w:pPr>
              <w:spacing w:after="0"/>
              <w:rPr>
                <w:sz w:val="19"/>
                <w:szCs w:val="19"/>
                <w:color w:val="auto"/>
              </w:rPr>
            </w:pPr>
          </w:p>
        </w:tc>
        <w:tc>
          <w:tcPr>
            <w:tcW w:w="52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w w:val="94"/>
              </w:rPr>
              <w:t>Net income/(loss) allocated to common unitholders — Basic and Diluted</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(269)</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(2,805)</w:t>
            </w:r>
          </w:p>
        </w:tc>
      </w:tr>
      <w:tr>
        <w:trPr>
          <w:trHeight w:val="220"/>
        </w:trPr>
        <w:tc>
          <w:tcPr>
            <w:tcW w:w="20" w:type="dxa"/>
            <w:vAlign w:val="bottom"/>
          </w:tcPr>
          <w:p>
            <w:pPr>
              <w:spacing w:after="0"/>
              <w:rPr>
                <w:sz w:val="19"/>
                <w:szCs w:val="19"/>
                <w:color w:val="auto"/>
              </w:rPr>
            </w:pPr>
          </w:p>
        </w:tc>
        <w:tc>
          <w:tcPr>
            <w:tcW w:w="4720" w:type="dxa"/>
            <w:vAlign w:val="bottom"/>
          </w:tcPr>
          <w:p>
            <w:pPr>
              <w:ind w:left="120"/>
              <w:spacing w:after="0"/>
              <w:rPr>
                <w:sz w:val="20"/>
                <w:szCs w:val="20"/>
                <w:color w:val="auto"/>
              </w:rPr>
            </w:pPr>
            <w:r>
              <w:rPr>
                <w:rFonts w:ascii="Arial" w:cs="Arial" w:eastAsia="Arial" w:hAnsi="Arial"/>
                <w:sz w:val="17"/>
                <w:szCs w:val="17"/>
                <w:color w:val="auto"/>
                <w:w w:val="97"/>
              </w:rPr>
              <w:t>Basic and diluted weighted average common units outstanding</w:t>
            </w: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728</w:t>
            </w:r>
          </w:p>
        </w:tc>
      </w:tr>
      <w:tr>
        <w:trPr>
          <w:trHeight w:val="220"/>
        </w:trPr>
        <w:tc>
          <w:tcPr>
            <w:tcW w:w="20" w:type="dxa"/>
            <w:vAlign w:val="bottom"/>
            <w:shd w:val="clear" w:color="auto" w:fill="CCEEFF"/>
          </w:tcPr>
          <w:p>
            <w:pPr>
              <w:spacing w:after="0"/>
              <w:rPr>
                <w:sz w:val="19"/>
                <w:szCs w:val="19"/>
                <w:color w:val="auto"/>
              </w:rPr>
            </w:pPr>
          </w:p>
        </w:tc>
        <w:tc>
          <w:tcPr>
            <w:tcW w:w="47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Basic and diluted net income/(loss) per common unit</w:t>
            </w:r>
          </w:p>
        </w:tc>
        <w:tc>
          <w:tcPr>
            <w:tcW w:w="5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(0.37)</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(3.85)</w:t>
            </w:r>
          </w:p>
        </w:tc>
      </w:tr>
      <w:tr>
        <w:trPr>
          <w:trHeight w:val="491"/>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7"/>
                <w:szCs w:val="17"/>
                <w:color w:val="auto"/>
              </w:rPr>
              <w:t>- more -</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29"/>
        </w:trPr>
        <w:tc>
          <w:tcPr>
            <w:tcW w:w="20" w:type="dxa"/>
            <w:vAlign w:val="bottom"/>
          </w:tcPr>
          <w:p>
            <w:pPr>
              <w:spacing w:after="0"/>
              <w:rPr>
                <w:sz w:val="11"/>
                <w:szCs w:val="11"/>
                <w:color w:val="auto"/>
              </w:rPr>
            </w:pPr>
          </w:p>
        </w:tc>
        <w:tc>
          <w:tcPr>
            <w:tcW w:w="472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gridSpan w:val="3"/>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540" w:type="dxa"/>
            <w:vAlign w:val="bottom"/>
            <w:tcBorders>
              <w:bottom w:val="single" w:sz="8" w:color="auto"/>
            </w:tcBorders>
            <w:gridSpan w:val="6"/>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r>
      <w:tr>
        <w:trPr>
          <w:trHeight w:val="316"/>
        </w:trPr>
        <w:tc>
          <w:tcPr>
            <w:tcW w:w="20" w:type="dxa"/>
            <w:vAlign w:val="bottom"/>
          </w:tcPr>
          <w:p>
            <w:pPr>
              <w:spacing w:after="0"/>
              <w:rPr>
                <w:sz w:val="24"/>
                <w:szCs w:val="24"/>
                <w:color w:val="auto"/>
              </w:rPr>
            </w:pPr>
          </w:p>
        </w:tc>
        <w:tc>
          <w:tcPr>
            <w:tcW w:w="4720" w:type="dxa"/>
            <w:vAlign w:val="bottom"/>
          </w:tcPr>
          <w:p>
            <w:pPr>
              <w:ind w:left="1720"/>
              <w:spacing w:after="0"/>
              <w:rPr>
                <w:sz w:val="20"/>
                <w:szCs w:val="20"/>
                <w:color w:val="auto"/>
              </w:rPr>
            </w:pPr>
            <w:r>
              <w:rPr>
                <w:rFonts w:ascii="Arial" w:cs="Arial" w:eastAsia="Arial" w:hAnsi="Arial"/>
                <w:sz w:val="17"/>
                <w:szCs w:val="17"/>
                <w:b w:val="1"/>
                <w:bCs w:val="1"/>
                <w:color w:val="auto"/>
              </w:rPr>
              <w:t>333 Clay Street, Suite 1600</w:t>
            </w:r>
          </w:p>
        </w:tc>
        <w:tc>
          <w:tcPr>
            <w:tcW w:w="1820" w:type="dxa"/>
            <w:vAlign w:val="bottom"/>
            <w:gridSpan w:val="3"/>
          </w:tcPr>
          <w:p>
            <w:pPr>
              <w:jc w:val="right"/>
              <w:ind w:right="160"/>
              <w:spacing w:after="0"/>
              <w:rPr>
                <w:sz w:val="20"/>
                <w:szCs w:val="20"/>
                <w:color w:val="auto"/>
              </w:rPr>
            </w:pPr>
            <w:r>
              <w:rPr>
                <w:rFonts w:ascii="Arial" w:cs="Arial" w:eastAsia="Arial" w:hAnsi="Arial"/>
                <w:sz w:val="17"/>
                <w:szCs w:val="17"/>
                <w:b w:val="1"/>
                <w:bCs w:val="1"/>
                <w:color w:val="auto"/>
                <w:w w:val="91"/>
              </w:rPr>
              <w:t>Houston, Texas 77002</w:t>
            </w:r>
          </w:p>
        </w:tc>
        <w:tc>
          <w:tcPr>
            <w:tcW w:w="880" w:type="dxa"/>
            <w:vAlign w:val="bottom"/>
          </w:tcPr>
          <w:p>
            <w:pPr>
              <w:spacing w:after="0"/>
              <w:rPr>
                <w:sz w:val="24"/>
                <w:szCs w:val="24"/>
                <w:color w:val="auto"/>
              </w:rPr>
            </w:pPr>
          </w:p>
        </w:tc>
        <w:tc>
          <w:tcPr>
            <w:tcW w:w="2540" w:type="dxa"/>
            <w:vAlign w:val="bottom"/>
            <w:gridSpan w:val="6"/>
          </w:tcPr>
          <w:p>
            <w:pPr>
              <w:jc w:val="right"/>
              <w:ind w:right="316"/>
              <w:spacing w:after="0"/>
              <w:rPr>
                <w:sz w:val="20"/>
                <w:szCs w:val="20"/>
                <w:color w:val="auto"/>
              </w:rPr>
            </w:pPr>
            <w:r>
              <w:rPr>
                <w:rFonts w:ascii="Arial" w:cs="Arial" w:eastAsia="Arial" w:hAnsi="Arial"/>
                <w:sz w:val="17"/>
                <w:szCs w:val="17"/>
                <w:b w:val="1"/>
                <w:bCs w:val="1"/>
                <w:color w:val="auto"/>
                <w:w w:val="93"/>
              </w:rPr>
              <w:t>713-646-4100 / 866-809-1291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1240"/>
          </w:cols>
          <w:pgMar w:left="320" w:top="360"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u w:val="single" w:color="auto"/>
          <w:color w:val="auto"/>
        </w:rPr>
        <w:t>Page 8</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CONDENSED CONSOLIDATED BALANCE SHEET DATA</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 millions)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June 30,</w:t>
            </w:r>
          </w:p>
        </w:tc>
        <w:tc>
          <w:tcPr>
            <w:tcW w:w="180" w:type="dxa"/>
            <w:vAlign w:val="bottom"/>
          </w:tcPr>
          <w:p>
            <w:pPr>
              <w:spacing w:after="0"/>
              <w:rPr>
                <w:sz w:val="14"/>
                <w:szCs w:val="14"/>
                <w:color w:val="auto"/>
              </w:rPr>
            </w:pPr>
          </w:p>
        </w:tc>
        <w:tc>
          <w:tcPr>
            <w:tcW w:w="1180" w:type="dxa"/>
            <w:vAlign w:val="bottom"/>
          </w:tcPr>
          <w:p>
            <w:pPr>
              <w:jc w:val="center"/>
              <w:ind w:right="96"/>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2680" w:type="dxa"/>
            <w:vAlign w:val="bottom"/>
            <w:tcBorders>
              <w:bottom w:val="single" w:sz="8" w:color="CCEEFF"/>
            </w:tcBorders>
          </w:tcPr>
          <w:p>
            <w:pPr>
              <w:spacing w:after="0"/>
              <w:rPr>
                <w:sz w:val="15"/>
                <w:szCs w:val="15"/>
                <w:color w:val="auto"/>
              </w:rPr>
            </w:pPr>
          </w:p>
        </w:tc>
        <w:tc>
          <w:tcPr>
            <w:tcW w:w="1940" w:type="dxa"/>
            <w:vAlign w:val="bottom"/>
            <w:tcBorders>
              <w:bottom w:val="single" w:sz="8" w:color="CCEEFF"/>
            </w:tcBorders>
          </w:tcPr>
          <w:p>
            <w:pPr>
              <w:spacing w:after="0"/>
              <w:rPr>
                <w:sz w:val="15"/>
                <w:szCs w:val="15"/>
                <w:color w:val="auto"/>
              </w:rPr>
            </w:pPr>
          </w:p>
        </w:tc>
        <w:tc>
          <w:tcPr>
            <w:tcW w:w="2320" w:type="dxa"/>
            <w:vAlign w:val="bottom"/>
            <w:tcBorders>
              <w:bottom w:val="single" w:sz="8" w:color="CCEEFF"/>
            </w:tcBorders>
          </w:tcPr>
          <w:p>
            <w:pPr>
              <w:spacing w:after="0"/>
              <w:rPr>
                <w:sz w:val="15"/>
                <w:szCs w:val="15"/>
                <w:color w:val="auto"/>
              </w:rPr>
            </w:pPr>
          </w:p>
        </w:tc>
        <w:tc>
          <w:tcPr>
            <w:tcW w:w="14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23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940" w:type="dxa"/>
            <w:vAlign w:val="bottom"/>
            <w:gridSpan w:val="3"/>
          </w:tcPr>
          <w:p>
            <w:pPr>
              <w:spacing w:after="0"/>
              <w:rPr>
                <w:sz w:val="20"/>
                <w:szCs w:val="20"/>
                <w:color w:val="auto"/>
              </w:rPr>
            </w:pPr>
            <w:r>
              <w:rPr>
                <w:rFonts w:ascii="Arial" w:cs="Arial" w:eastAsia="Arial" w:hAnsi="Arial"/>
                <w:sz w:val="17"/>
                <w:szCs w:val="17"/>
                <w:color w:val="auto"/>
              </w:rPr>
              <w:t>Current assets (including Cash and cash equivalents of $24 and $22, respectively)</w:t>
            </w:r>
          </w:p>
        </w:tc>
        <w:tc>
          <w:tcPr>
            <w:tcW w:w="1720" w:type="dxa"/>
            <w:vAlign w:val="bottom"/>
            <w:gridSpan w:val="2"/>
          </w:tcPr>
          <w:p>
            <w:pPr>
              <w:jc w:val="right"/>
              <w:ind w:right="7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5,676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3,665</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Property and equipment, net</w:t>
            </w:r>
          </w:p>
        </w:tc>
        <w:tc>
          <w:tcPr>
            <w:tcW w:w="23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14,611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7"/>
                <w:szCs w:val="17"/>
                <w:color w:val="auto"/>
              </w:rPr>
              <w:t>Investments in unconsolidated entities</w:t>
            </w:r>
          </w:p>
        </w:tc>
        <w:tc>
          <w:tcPr>
            <w:tcW w:w="23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3,745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3,764</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Linefill and base gas</w:t>
            </w:r>
          </w:p>
        </w:tc>
        <w:tc>
          <w:tcPr>
            <w:tcW w:w="23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982</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7"/>
                <w:szCs w:val="17"/>
                <w:color w:val="auto"/>
              </w:rPr>
              <w:t>Long-term operating lease right-of-use assets, net</w:t>
            </w:r>
          </w:p>
        </w:tc>
        <w:tc>
          <w:tcPr>
            <w:tcW w:w="23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378</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Long-term inventory</w:t>
            </w:r>
          </w:p>
        </w:tc>
        <w:tc>
          <w:tcPr>
            <w:tcW w:w="23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462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Other long-term assets, net</w:t>
            </w:r>
          </w:p>
        </w:tc>
        <w:tc>
          <w:tcPr>
            <w:tcW w:w="232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967</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46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Total assets</w:t>
            </w:r>
          </w:p>
        </w:tc>
        <w:tc>
          <w:tcPr>
            <w:tcW w:w="232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25,391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24,497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LIABILITIES AND PARTNERS’ CAPITAL</w:t>
            </w:r>
          </w:p>
        </w:tc>
        <w:tc>
          <w:tcPr>
            <w:tcW w:w="23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7"/>
                <w:szCs w:val="17"/>
                <w:color w:val="auto"/>
              </w:rPr>
              <w:t>Current liabilities</w:t>
            </w:r>
          </w:p>
        </w:tc>
        <w:tc>
          <w:tcPr>
            <w:tcW w:w="2320" w:type="dxa"/>
            <w:vAlign w:val="bottom"/>
          </w:tcPr>
          <w:p>
            <w:pPr>
              <w:spacing w:after="0"/>
              <w:rPr>
                <w:sz w:val="19"/>
                <w:szCs w:val="19"/>
                <w:color w:val="auto"/>
              </w:rPr>
            </w:pPr>
          </w:p>
        </w:tc>
        <w:tc>
          <w:tcPr>
            <w:tcW w:w="1720" w:type="dxa"/>
            <w:vAlign w:val="bottom"/>
            <w:gridSpan w:val="2"/>
          </w:tcPr>
          <w:p>
            <w:pPr>
              <w:jc w:val="right"/>
              <w:ind w:right="7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6,163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4,253</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Senior notes, net</w:t>
            </w:r>
          </w:p>
        </w:tc>
        <w:tc>
          <w:tcPr>
            <w:tcW w:w="23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9,071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7"/>
                <w:szCs w:val="17"/>
                <w:color w:val="auto"/>
              </w:rPr>
              <w:t>Other long-term debt, net</w:t>
            </w:r>
          </w:p>
        </w:tc>
        <w:tc>
          <w:tcPr>
            <w:tcW w:w="23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311</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Long-term operating lease liabilities</w:t>
            </w:r>
          </w:p>
        </w:tc>
        <w:tc>
          <w:tcPr>
            <w:tcW w:w="23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317</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462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Other long-term liabilities and deferred credits</w:t>
            </w:r>
          </w:p>
        </w:tc>
        <w:tc>
          <w:tcPr>
            <w:tcW w:w="232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807</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46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Total liabilities</w:t>
            </w:r>
          </w:p>
        </w:tc>
        <w:tc>
          <w:tcPr>
            <w:tcW w:w="23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15,751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14,759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Partners’ capital excluding noncontrolling interests</w:t>
            </w:r>
          </w:p>
        </w:tc>
        <w:tc>
          <w:tcPr>
            <w:tcW w:w="23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9,593</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462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Noncontrolling interests</w:t>
            </w:r>
          </w:p>
        </w:tc>
        <w:tc>
          <w:tcPr>
            <w:tcW w:w="232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46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Total partners’ capital</w:t>
            </w:r>
          </w:p>
        </w:tc>
        <w:tc>
          <w:tcPr>
            <w:tcW w:w="23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9,640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9,738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20" w:type="dxa"/>
            <w:vAlign w:val="bottom"/>
            <w:gridSpan w:val="2"/>
          </w:tcPr>
          <w:p>
            <w:pPr>
              <w:ind w:left="160"/>
              <w:spacing w:after="0"/>
              <w:rPr>
                <w:sz w:val="20"/>
                <w:szCs w:val="20"/>
                <w:color w:val="auto"/>
              </w:rPr>
            </w:pPr>
            <w:r>
              <w:rPr>
                <w:rFonts w:ascii="Arial" w:cs="Arial" w:eastAsia="Arial" w:hAnsi="Arial"/>
                <w:sz w:val="17"/>
                <w:szCs w:val="17"/>
                <w:color w:val="auto"/>
              </w:rPr>
              <w:t>Total liabilities and partners’ capital</w:t>
            </w:r>
          </w:p>
        </w:tc>
        <w:tc>
          <w:tcPr>
            <w:tcW w:w="2320" w:type="dxa"/>
            <w:vAlign w:val="bottom"/>
          </w:tcPr>
          <w:p>
            <w:pPr>
              <w:spacing w:after="0"/>
              <w:rPr>
                <w:sz w:val="18"/>
                <w:szCs w:val="18"/>
                <w:color w:val="auto"/>
              </w:rPr>
            </w:pPr>
          </w:p>
        </w:tc>
        <w:tc>
          <w:tcPr>
            <w:tcW w:w="1720" w:type="dxa"/>
            <w:vAlign w:val="bottom"/>
            <w:gridSpan w:val="2"/>
          </w:tcPr>
          <w:p>
            <w:pPr>
              <w:jc w:val="right"/>
              <w:ind w:right="7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25,391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24,497</w:t>
            </w:r>
          </w:p>
        </w:tc>
        <w:tc>
          <w:tcPr>
            <w:tcW w:w="0" w:type="dxa"/>
            <w:vAlign w:val="bottom"/>
          </w:tcPr>
          <w:p>
            <w:pPr>
              <w:spacing w:after="0"/>
              <w:rPr>
                <w:sz w:val="1"/>
                <w:szCs w:val="1"/>
                <w:color w:val="auto"/>
              </w:rPr>
            </w:pPr>
          </w:p>
        </w:tc>
      </w:tr>
      <w:tr>
        <w:trPr>
          <w:trHeight w:val="20"/>
        </w:trPr>
        <w:tc>
          <w:tcPr>
            <w:tcW w:w="464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DEBT CAPITALIZATION RATIOS</w:t>
            </w:r>
          </w:p>
        </w:tc>
        <w:tc>
          <w:tcPr>
            <w:tcW w:w="2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4640" w:type="dxa"/>
            <w:vAlign w:val="bottom"/>
            <w:gridSpan w:val="3"/>
            <w:vMerge w:val="continue"/>
          </w:tcPr>
          <w:p>
            <w:pPr>
              <w:spacing w:after="0"/>
              <w:rPr>
                <w:sz w:val="24"/>
                <w:szCs w:val="24"/>
                <w:color w:val="auto"/>
              </w:rPr>
            </w:pPr>
          </w:p>
        </w:tc>
        <w:tc>
          <w:tcPr>
            <w:tcW w:w="2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70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(in millions)</w:t>
            </w:r>
          </w:p>
        </w:tc>
        <w:tc>
          <w:tcPr>
            <w:tcW w:w="19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2"/>
          </w:tcPr>
          <w:p>
            <w:pPr>
              <w:jc w:val="center"/>
              <w:ind w:right="380"/>
              <w:spacing w:after="0" w:line="155" w:lineRule="exact"/>
              <w:rPr>
                <w:sz w:val="20"/>
                <w:szCs w:val="20"/>
                <w:color w:val="auto"/>
              </w:rPr>
            </w:pPr>
            <w:r>
              <w:rPr>
                <w:rFonts w:ascii="Arial" w:cs="Arial" w:eastAsia="Arial" w:hAnsi="Arial"/>
                <w:sz w:val="14"/>
                <w:szCs w:val="14"/>
                <w:b w:val="1"/>
                <w:bCs w:val="1"/>
                <w:color w:val="auto"/>
                <w:w w:val="89"/>
              </w:rPr>
              <w:t>June 30,</w:t>
            </w:r>
          </w:p>
        </w:tc>
        <w:tc>
          <w:tcPr>
            <w:tcW w:w="180" w:type="dxa"/>
            <w:vAlign w:val="bottom"/>
          </w:tcPr>
          <w:p>
            <w:pPr>
              <w:spacing w:after="0"/>
              <w:rPr>
                <w:sz w:val="13"/>
                <w:szCs w:val="13"/>
                <w:color w:val="auto"/>
              </w:rPr>
            </w:pPr>
          </w:p>
        </w:tc>
        <w:tc>
          <w:tcPr>
            <w:tcW w:w="1180" w:type="dxa"/>
            <w:vAlign w:val="bottom"/>
          </w:tcPr>
          <w:p>
            <w:pPr>
              <w:jc w:val="center"/>
              <w:ind w:right="96"/>
              <w:spacing w:after="0" w:line="155"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2680" w:type="dxa"/>
            <w:vAlign w:val="bottom"/>
            <w:tcBorders>
              <w:bottom w:val="single" w:sz="8" w:color="CCEEFF"/>
            </w:tcBorders>
          </w:tcPr>
          <w:p>
            <w:pPr>
              <w:spacing w:after="0"/>
              <w:rPr>
                <w:sz w:val="15"/>
                <w:szCs w:val="15"/>
                <w:color w:val="auto"/>
              </w:rPr>
            </w:pPr>
          </w:p>
        </w:tc>
        <w:tc>
          <w:tcPr>
            <w:tcW w:w="1940" w:type="dxa"/>
            <w:vAlign w:val="bottom"/>
            <w:tcBorders>
              <w:bottom w:val="single" w:sz="8" w:color="CCEEFF"/>
            </w:tcBorders>
          </w:tcPr>
          <w:p>
            <w:pPr>
              <w:spacing w:after="0"/>
              <w:rPr>
                <w:sz w:val="15"/>
                <w:szCs w:val="15"/>
                <w:color w:val="auto"/>
              </w:rPr>
            </w:pPr>
          </w:p>
        </w:tc>
        <w:tc>
          <w:tcPr>
            <w:tcW w:w="2320" w:type="dxa"/>
            <w:vAlign w:val="bottom"/>
            <w:tcBorders>
              <w:bottom w:val="single" w:sz="8" w:color="CCEEFF"/>
            </w:tcBorders>
          </w:tcPr>
          <w:p>
            <w:pPr>
              <w:spacing w:after="0"/>
              <w:rPr>
                <w:sz w:val="15"/>
                <w:szCs w:val="15"/>
                <w:color w:val="auto"/>
              </w:rPr>
            </w:pPr>
          </w:p>
        </w:tc>
        <w:tc>
          <w:tcPr>
            <w:tcW w:w="14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Short-term debt</w:t>
            </w:r>
          </w:p>
        </w:tc>
        <w:tc>
          <w:tcPr>
            <w:tcW w:w="23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831</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462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Long-term debt</w:t>
            </w:r>
          </w:p>
        </w:tc>
        <w:tc>
          <w:tcPr>
            <w:tcW w:w="232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8,389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9,382</w:t>
            </w:r>
          </w:p>
        </w:tc>
        <w:tc>
          <w:tcPr>
            <w:tcW w:w="0" w:type="dxa"/>
            <w:vAlign w:val="bottom"/>
          </w:tcPr>
          <w:p>
            <w:pPr>
              <w:spacing w:after="0"/>
              <w:rPr>
                <w:sz w:val="1"/>
                <w:szCs w:val="1"/>
                <w:color w:val="auto"/>
              </w:rPr>
            </w:pPr>
          </w:p>
        </w:tc>
      </w:tr>
      <w:tr>
        <w:trPr>
          <w:trHeight w:val="233"/>
        </w:trPr>
        <w:tc>
          <w:tcPr>
            <w:tcW w:w="20" w:type="dxa"/>
            <w:vAlign w:val="bottom"/>
            <w:tcBorders>
              <w:bottom w:val="single" w:sz="8" w:color="CCEEFF"/>
            </w:tcBorders>
            <w:shd w:val="clear" w:color="auto" w:fill="CCEEFF"/>
          </w:tcPr>
          <w:p>
            <w:pPr>
              <w:spacing w:after="0"/>
              <w:rPr>
                <w:sz w:val="20"/>
                <w:szCs w:val="20"/>
                <w:color w:val="auto"/>
              </w:rPr>
            </w:pPr>
          </w:p>
        </w:tc>
        <w:tc>
          <w:tcPr>
            <w:tcW w:w="46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Total debt</w:t>
            </w:r>
          </w:p>
        </w:tc>
        <w:tc>
          <w:tcPr>
            <w:tcW w:w="23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9,845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Long-term debt</w:t>
            </w:r>
          </w:p>
        </w:tc>
        <w:tc>
          <w:tcPr>
            <w:tcW w:w="232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9,382</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462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Partners’ capital</w:t>
            </w:r>
          </w:p>
        </w:tc>
        <w:tc>
          <w:tcPr>
            <w:tcW w:w="232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9,640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9,738</w:t>
            </w:r>
          </w:p>
        </w:tc>
        <w:tc>
          <w:tcPr>
            <w:tcW w:w="0" w:type="dxa"/>
            <w:vAlign w:val="bottom"/>
          </w:tcPr>
          <w:p>
            <w:pPr>
              <w:spacing w:after="0"/>
              <w:rPr>
                <w:sz w:val="1"/>
                <w:szCs w:val="1"/>
                <w:color w:val="auto"/>
              </w:rPr>
            </w:pPr>
          </w:p>
        </w:tc>
      </w:tr>
      <w:tr>
        <w:trPr>
          <w:trHeight w:val="233"/>
        </w:trPr>
        <w:tc>
          <w:tcPr>
            <w:tcW w:w="20" w:type="dxa"/>
            <w:vAlign w:val="bottom"/>
            <w:tcBorders>
              <w:bottom w:val="single" w:sz="8" w:color="CCEEFF"/>
            </w:tcBorders>
            <w:shd w:val="clear" w:color="auto" w:fill="CCEEFF"/>
          </w:tcPr>
          <w:p>
            <w:pPr>
              <w:spacing w:after="0"/>
              <w:rPr>
                <w:sz w:val="20"/>
                <w:szCs w:val="20"/>
                <w:color w:val="auto"/>
              </w:rPr>
            </w:pPr>
          </w:p>
        </w:tc>
        <w:tc>
          <w:tcPr>
            <w:tcW w:w="46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Total book capitalization</w:t>
            </w:r>
          </w:p>
        </w:tc>
        <w:tc>
          <w:tcPr>
            <w:tcW w:w="23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18,029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19,120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4620" w:type="dxa"/>
            <w:vAlign w:val="bottom"/>
            <w:gridSpan w:val="2"/>
          </w:tcPr>
          <w:p>
            <w:pPr>
              <w:ind w:left="320"/>
              <w:spacing w:after="0" w:line="191" w:lineRule="exact"/>
              <w:rPr>
                <w:sz w:val="20"/>
                <w:szCs w:val="20"/>
                <w:color w:val="auto"/>
              </w:rPr>
            </w:pPr>
            <w:r>
              <w:rPr>
                <w:rFonts w:ascii="Arial" w:cs="Arial" w:eastAsia="Arial" w:hAnsi="Arial"/>
                <w:sz w:val="17"/>
                <w:szCs w:val="17"/>
                <w:color w:val="auto"/>
              </w:rPr>
              <w:t>Total book capitalization, including short-term debt</w:t>
            </w:r>
          </w:p>
        </w:tc>
        <w:tc>
          <w:tcPr>
            <w:tcW w:w="2320" w:type="dxa"/>
            <w:vAlign w:val="bottom"/>
          </w:tcPr>
          <w:p>
            <w:pPr>
              <w:spacing w:after="0"/>
              <w:rPr>
                <w:sz w:val="16"/>
                <w:szCs w:val="16"/>
                <w:color w:val="auto"/>
              </w:rPr>
            </w:pPr>
          </w:p>
        </w:tc>
        <w:tc>
          <w:tcPr>
            <w:tcW w:w="1720" w:type="dxa"/>
            <w:vAlign w:val="bottom"/>
            <w:gridSpan w:val="2"/>
          </w:tcPr>
          <w:p>
            <w:pPr>
              <w:jc w:val="right"/>
              <w:ind w:right="74"/>
              <w:spacing w:after="0" w:line="191" w:lineRule="exact"/>
              <w:rPr>
                <w:sz w:val="20"/>
                <w:szCs w:val="20"/>
                <w:color w:val="auto"/>
              </w:rPr>
            </w:pPr>
            <w:r>
              <w:rPr>
                <w:rFonts w:ascii="Arial" w:cs="Arial" w:eastAsia="Arial" w:hAnsi="Arial"/>
                <w:sz w:val="17"/>
                <w:szCs w:val="17"/>
                <w:color w:val="auto"/>
              </w:rPr>
              <w:t>$</w:t>
            </w:r>
          </w:p>
        </w:tc>
        <w:tc>
          <w:tcPr>
            <w:tcW w:w="1100" w:type="dxa"/>
            <w:vAlign w:val="bottom"/>
          </w:tcPr>
          <w:p>
            <w:pPr>
              <w:jc w:val="right"/>
              <w:spacing w:after="0" w:line="191" w:lineRule="exact"/>
              <w:rPr>
                <w:sz w:val="20"/>
                <w:szCs w:val="20"/>
                <w:color w:val="auto"/>
              </w:rPr>
            </w:pPr>
            <w:r>
              <w:rPr>
                <w:rFonts w:ascii="Arial" w:cs="Arial" w:eastAsia="Arial" w:hAnsi="Arial"/>
                <w:sz w:val="17"/>
                <w:szCs w:val="17"/>
                <w:color w:val="auto"/>
              </w:rPr>
              <w:t>19,485</w:t>
            </w:r>
          </w:p>
        </w:tc>
        <w:tc>
          <w:tcPr>
            <w:tcW w:w="100" w:type="dxa"/>
            <w:vAlign w:val="bottom"/>
          </w:tcPr>
          <w:p>
            <w:pPr>
              <w:spacing w:after="0"/>
              <w:rPr>
                <w:sz w:val="16"/>
                <w:szCs w:val="16"/>
                <w:color w:val="auto"/>
              </w:rPr>
            </w:pPr>
          </w:p>
        </w:tc>
        <w:tc>
          <w:tcPr>
            <w:tcW w:w="180" w:type="dxa"/>
            <w:vAlign w:val="bottom"/>
          </w:tcPr>
          <w:p>
            <w:pPr>
              <w:jc w:val="right"/>
              <w:spacing w:after="0" w:line="191" w:lineRule="exact"/>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line="191" w:lineRule="exact"/>
              <w:rPr>
                <w:sz w:val="20"/>
                <w:szCs w:val="20"/>
                <w:color w:val="auto"/>
              </w:rPr>
            </w:pPr>
            <w:r>
              <w:rPr>
                <w:rFonts w:ascii="Arial" w:cs="Arial" w:eastAsia="Arial" w:hAnsi="Arial"/>
                <w:sz w:val="17"/>
                <w:szCs w:val="17"/>
                <w:color w:val="auto"/>
              </w:rPr>
              <w:t>19,951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7"/>
                <w:szCs w:val="17"/>
                <w:color w:val="auto"/>
              </w:rPr>
              <w:t>Long-term debt-to-total book capitalization</w:t>
            </w:r>
          </w:p>
        </w:tc>
        <w:tc>
          <w:tcPr>
            <w:tcW w:w="23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6"/>
              </w:rPr>
              <w:t>Total debt-to-total book capitalization, including short-term debt</w:t>
            </w:r>
          </w:p>
        </w:tc>
        <w:tc>
          <w:tcPr>
            <w:tcW w:w="23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543"/>
        </w:trPr>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320" w:type="dxa"/>
            <w:vAlign w:val="bottom"/>
          </w:tcPr>
          <w:p>
            <w:pPr>
              <w:jc w:val="center"/>
              <w:ind w:right="274"/>
              <w:spacing w:after="0"/>
              <w:rPr>
                <w:sz w:val="20"/>
                <w:szCs w:val="20"/>
                <w:color w:val="auto"/>
              </w:rPr>
            </w:pPr>
            <w:r>
              <w:rPr>
                <w:rFonts w:ascii="Arial" w:cs="Arial" w:eastAsia="Arial" w:hAnsi="Arial"/>
                <w:sz w:val="17"/>
                <w:szCs w:val="17"/>
                <w:color w:val="auto"/>
                <w:w w:val="94"/>
              </w:rPr>
              <w:t>- more -</w:t>
            </w: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20" w:type="dxa"/>
            <w:vAlign w:val="bottom"/>
            <w:tcBorders>
              <w:bottom w:val="single" w:sz="8" w:color="auto"/>
            </w:tcBorders>
            <w:gridSpan w:val="2"/>
          </w:tcPr>
          <w:p>
            <w:pPr>
              <w:spacing w:after="0"/>
              <w:rPr>
                <w:sz w:val="11"/>
                <w:szCs w:val="11"/>
                <w:color w:val="auto"/>
              </w:rPr>
            </w:pPr>
          </w:p>
        </w:tc>
        <w:tc>
          <w:tcPr>
            <w:tcW w:w="2320" w:type="dxa"/>
            <w:vAlign w:val="bottom"/>
            <w:tcBorders>
              <w:bottom w:val="single" w:sz="8" w:color="auto"/>
            </w:tcBorders>
          </w:tcPr>
          <w:p>
            <w:pPr>
              <w:spacing w:after="0"/>
              <w:rPr>
                <w:sz w:val="11"/>
                <w:szCs w:val="11"/>
                <w:color w:val="auto"/>
              </w:rPr>
            </w:pPr>
          </w:p>
        </w:tc>
        <w:tc>
          <w:tcPr>
            <w:tcW w:w="2820" w:type="dxa"/>
            <w:vAlign w:val="bottom"/>
            <w:tcBorders>
              <w:bottom w:val="single" w:sz="8" w:color="auto"/>
            </w:tcBorders>
            <w:gridSpan w:val="3"/>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620" w:type="dxa"/>
            <w:vAlign w:val="bottom"/>
            <w:gridSpan w:val="2"/>
          </w:tcPr>
          <w:p>
            <w:pPr>
              <w:ind w:left="1720"/>
              <w:spacing w:after="0"/>
              <w:rPr>
                <w:sz w:val="20"/>
                <w:szCs w:val="20"/>
                <w:color w:val="auto"/>
              </w:rPr>
            </w:pPr>
            <w:r>
              <w:rPr>
                <w:rFonts w:ascii="Arial" w:cs="Arial" w:eastAsia="Arial" w:hAnsi="Arial"/>
                <w:sz w:val="17"/>
                <w:szCs w:val="17"/>
                <w:b w:val="1"/>
                <w:bCs w:val="1"/>
                <w:color w:val="auto"/>
              </w:rPr>
              <w:t>333 Clay Street, Suite 1600</w:t>
            </w:r>
          </w:p>
        </w:tc>
        <w:tc>
          <w:tcPr>
            <w:tcW w:w="2320" w:type="dxa"/>
            <w:vAlign w:val="bottom"/>
          </w:tcPr>
          <w:p>
            <w:pPr>
              <w:jc w:val="center"/>
              <w:ind w:right="294"/>
              <w:spacing w:after="0"/>
              <w:rPr>
                <w:sz w:val="20"/>
                <w:szCs w:val="20"/>
                <w:color w:val="auto"/>
              </w:rPr>
            </w:pPr>
            <w:r>
              <w:rPr>
                <w:rFonts w:ascii="Arial" w:cs="Arial" w:eastAsia="Arial" w:hAnsi="Arial"/>
                <w:sz w:val="17"/>
                <w:szCs w:val="17"/>
                <w:b w:val="1"/>
                <w:bCs w:val="1"/>
                <w:color w:val="auto"/>
                <w:w w:val="88"/>
              </w:rPr>
              <w:t>Houston, Texas 77002</w:t>
            </w:r>
          </w:p>
        </w:tc>
        <w:tc>
          <w:tcPr>
            <w:tcW w:w="2820" w:type="dxa"/>
            <w:vAlign w:val="bottom"/>
            <w:gridSpan w:val="3"/>
          </w:tcPr>
          <w:p>
            <w:pPr>
              <w:jc w:val="right"/>
              <w:ind w:right="116"/>
              <w:spacing w:after="0"/>
              <w:rPr>
                <w:sz w:val="20"/>
                <w:szCs w:val="20"/>
                <w:color w:val="auto"/>
              </w:rPr>
            </w:pPr>
            <w:r>
              <w:rPr>
                <w:rFonts w:ascii="Arial" w:cs="Arial" w:eastAsia="Arial" w:hAnsi="Arial"/>
                <w:sz w:val="17"/>
                <w:szCs w:val="17"/>
                <w:b w:val="1"/>
                <w:bCs w:val="1"/>
                <w:color w:val="auto"/>
              </w:rPr>
              <w:t>713-646-4100 / 866-809-1291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60"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u w:val="single" w:color="auto"/>
          <w:color w:val="auto"/>
        </w:rPr>
        <w:t>Page 9</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COMPUTATION OF BASIC AND DILUTED NET INCOME/(LOSS) PER COMMON UNIT</w:t>
      </w:r>
      <w:r>
        <w:rPr>
          <w:rFonts w:ascii="Arial" w:cs="Arial" w:eastAsia="Arial" w:hAnsi="Arial"/>
          <w:sz w:val="17"/>
          <w:szCs w:val="17"/>
          <w:b w:val="1"/>
          <w:bCs w:val="1"/>
          <w:color w:val="auto"/>
        </w:rPr>
        <w:t xml:space="preserve"> </w:t>
      </w:r>
      <w:r>
        <w:rPr>
          <w:rFonts w:ascii="Arial" w:cs="Arial" w:eastAsia="Arial" w:hAnsi="Arial"/>
          <w:sz w:val="22"/>
          <w:szCs w:val="22"/>
          <w:b w:val="1"/>
          <w:bCs w:val="1"/>
          <w:color w:val="auto"/>
          <w:vertAlign w:val="superscript"/>
        </w:rPr>
        <w:t>(1)</w:t>
      </w:r>
    </w:p>
    <w:p>
      <w:pPr>
        <w:spacing w:after="0"/>
        <w:rPr>
          <w:sz w:val="20"/>
          <w:szCs w:val="20"/>
          <w:color w:val="auto"/>
        </w:rPr>
      </w:pPr>
      <w:r>
        <w:rPr>
          <w:rFonts w:ascii="Arial" w:cs="Arial" w:eastAsia="Arial" w:hAnsi="Arial"/>
          <w:sz w:val="17"/>
          <w:szCs w:val="17"/>
          <w:color w:val="auto"/>
        </w:rPr>
        <w:t>(in millions, except per unit data)</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020" w:type="dxa"/>
            <w:vAlign w:val="bottom"/>
            <w:gridSpan w:val="4"/>
          </w:tcPr>
          <w:p>
            <w:pPr>
              <w:jc w:val="right"/>
              <w:ind w:right="98"/>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4"/>
          </w:tcPr>
          <w:p>
            <w:pPr>
              <w:jc w:val="right"/>
              <w:ind w:right="576"/>
              <w:spacing w:after="0"/>
              <w:rPr>
                <w:sz w:val="20"/>
                <w:szCs w:val="20"/>
                <w:color w:val="auto"/>
              </w:rPr>
            </w:pPr>
            <w:r>
              <w:rPr>
                <w:rFonts w:ascii="Arial" w:cs="Arial" w:eastAsia="Arial" w:hAnsi="Arial"/>
                <w:sz w:val="14"/>
                <w:szCs w:val="14"/>
                <w:b w:val="1"/>
                <w:bCs w:val="1"/>
                <w:color w:val="auto"/>
              </w:rPr>
              <w:t>Six Months Ended</w:t>
            </w:r>
          </w:p>
        </w:tc>
      </w:tr>
      <w:tr>
        <w:trPr>
          <w:trHeight w:val="180"/>
        </w:trPr>
        <w:tc>
          <w:tcPr>
            <w:tcW w:w="38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right"/>
              <w:ind w:right="478"/>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ind w:right="34"/>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5"/>
                <w:szCs w:val="15"/>
                <w:color w:val="auto"/>
              </w:rPr>
            </w:pPr>
          </w:p>
        </w:tc>
      </w:tr>
      <w:tr>
        <w:trPr>
          <w:trHeight w:val="174"/>
        </w:trPr>
        <w:tc>
          <w:tcPr>
            <w:tcW w:w="3880" w:type="dxa"/>
            <w:vAlign w:val="bottom"/>
            <w:tcBorders>
              <w:bottom w:val="single" w:sz="8" w:color="CCEEFF"/>
            </w:tcBorders>
          </w:tcPr>
          <w:p>
            <w:pPr>
              <w:spacing w:after="0"/>
              <w:rPr>
                <w:sz w:val="15"/>
                <w:szCs w:val="15"/>
                <w:color w:val="auto"/>
              </w:rPr>
            </w:pPr>
          </w:p>
        </w:tc>
        <w:tc>
          <w:tcPr>
            <w:tcW w:w="240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2020</w:t>
            </w:r>
          </w:p>
        </w:tc>
      </w:tr>
      <w:tr>
        <w:trPr>
          <w:trHeight w:val="201"/>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Basic and Diluted Net Income/(Loss) per Common Unit</w:t>
            </w:r>
          </w:p>
        </w:tc>
        <w:tc>
          <w:tcPr>
            <w:tcW w:w="7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20"/>
        </w:trPr>
        <w:tc>
          <w:tcPr>
            <w:tcW w:w="6280" w:type="dxa"/>
            <w:vAlign w:val="bottom"/>
            <w:gridSpan w:val="2"/>
          </w:tcPr>
          <w:p>
            <w:pPr>
              <w:ind w:left="20"/>
              <w:spacing w:after="0"/>
              <w:rPr>
                <w:sz w:val="20"/>
                <w:szCs w:val="20"/>
                <w:color w:val="auto"/>
              </w:rPr>
            </w:pPr>
            <w:r>
              <w:rPr>
                <w:rFonts w:ascii="Arial" w:cs="Arial" w:eastAsia="Arial" w:hAnsi="Arial"/>
                <w:sz w:val="17"/>
                <w:szCs w:val="17"/>
                <w:color w:val="auto"/>
              </w:rPr>
              <w:t>Net income/(loss) attributable to PAA</w:t>
            </w:r>
          </w:p>
        </w:tc>
        <w:tc>
          <w:tcPr>
            <w:tcW w:w="720" w:type="dxa"/>
            <w:vAlign w:val="bottom"/>
          </w:tcPr>
          <w:p>
            <w:pPr>
              <w:jc w:val="right"/>
              <w:ind w:right="541"/>
              <w:spacing w:after="0"/>
              <w:rPr>
                <w:sz w:val="20"/>
                <w:szCs w:val="20"/>
                <w:color w:val="auto"/>
              </w:rPr>
            </w:pPr>
            <w:r>
              <w:rPr>
                <w:rFonts w:ascii="Arial" w:cs="Arial" w:eastAsia="Arial" w:hAnsi="Arial"/>
                <w:sz w:val="17"/>
                <w:szCs w:val="17"/>
                <w:color w:val="auto"/>
                <w:w w:val="84"/>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(220)</w:t>
            </w:r>
          </w:p>
        </w:tc>
        <w:tc>
          <w:tcPr>
            <w:tcW w:w="100" w:type="dxa"/>
            <w:vAlign w:val="bottom"/>
          </w:tcPr>
          <w:p>
            <w:pPr>
              <w:spacing w:after="0"/>
              <w:rPr>
                <w:sz w:val="19"/>
                <w:szCs w:val="19"/>
                <w:color w:val="auto"/>
              </w:rPr>
            </w:pPr>
          </w:p>
        </w:tc>
        <w:tc>
          <w:tcPr>
            <w:tcW w:w="760" w:type="dxa"/>
            <w:vAlign w:val="bottom"/>
          </w:tcPr>
          <w:p>
            <w:pPr>
              <w:jc w:val="right"/>
              <w:ind w:right="558"/>
              <w:spacing w:after="0"/>
              <w:rPr>
                <w:sz w:val="20"/>
                <w:szCs w:val="20"/>
                <w:color w:val="auto"/>
              </w:rPr>
            </w:pPr>
            <w:r>
              <w:rPr>
                <w:rFonts w:ascii="Arial" w:cs="Arial" w:eastAsia="Arial" w:hAnsi="Arial"/>
                <w:sz w:val="17"/>
                <w:szCs w:val="17"/>
                <w:color w:val="auto"/>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142</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202</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(2,705)</w:t>
            </w:r>
          </w:p>
        </w:tc>
      </w:tr>
      <w:tr>
        <w:trPr>
          <w:trHeight w:val="220"/>
        </w:trPr>
        <w:tc>
          <w:tcPr>
            <w:tcW w:w="62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Distributions to Series A preferred unitholders</w:t>
            </w: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r>
      <w:tr>
        <w:trPr>
          <w:trHeight w:val="220"/>
        </w:trPr>
        <w:tc>
          <w:tcPr>
            <w:tcW w:w="6280" w:type="dxa"/>
            <w:vAlign w:val="bottom"/>
            <w:gridSpan w:val="2"/>
          </w:tcPr>
          <w:p>
            <w:pPr>
              <w:ind w:left="180"/>
              <w:spacing w:after="0"/>
              <w:rPr>
                <w:sz w:val="20"/>
                <w:szCs w:val="20"/>
                <w:color w:val="auto"/>
              </w:rPr>
            </w:pPr>
            <w:r>
              <w:rPr>
                <w:rFonts w:ascii="Arial" w:cs="Arial" w:eastAsia="Arial" w:hAnsi="Arial"/>
                <w:sz w:val="17"/>
                <w:szCs w:val="17"/>
                <w:color w:val="auto"/>
              </w:rPr>
              <w:t>Distributions to Series B preferred unitholders</w:t>
            </w:r>
          </w:p>
        </w:tc>
        <w:tc>
          <w:tcPr>
            <w:tcW w:w="7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220"/>
        </w:trPr>
        <w:tc>
          <w:tcPr>
            <w:tcW w:w="62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Other</w:t>
            </w:r>
          </w:p>
        </w:tc>
        <w:tc>
          <w:tcPr>
            <w:tcW w:w="7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13"/>
        </w:trPr>
        <w:tc>
          <w:tcPr>
            <w:tcW w:w="6280" w:type="dxa"/>
            <w:vAlign w:val="bottom"/>
            <w:gridSpan w:val="2"/>
          </w:tcPr>
          <w:p>
            <w:pPr>
              <w:ind w:left="20"/>
              <w:spacing w:after="0"/>
              <w:rPr>
                <w:sz w:val="20"/>
                <w:szCs w:val="20"/>
                <w:color w:val="auto"/>
              </w:rPr>
            </w:pPr>
            <w:r>
              <w:rPr>
                <w:rFonts w:ascii="Arial" w:cs="Arial" w:eastAsia="Arial" w:hAnsi="Arial"/>
                <w:sz w:val="17"/>
                <w:szCs w:val="17"/>
                <w:color w:val="auto"/>
              </w:rPr>
              <w:t>Net income/(loss) allocated to common unitholders</w:t>
            </w:r>
          </w:p>
        </w:tc>
        <w:tc>
          <w:tcPr>
            <w:tcW w:w="720" w:type="dxa"/>
            <w:vAlign w:val="bottom"/>
            <w:tcBorders>
              <w:top w:val="single" w:sz="8" w:color="auto"/>
              <w:bottom w:val="single" w:sz="8" w:color="auto"/>
            </w:tcBorders>
          </w:tcPr>
          <w:p>
            <w:pPr>
              <w:jc w:val="right"/>
              <w:ind w:right="541"/>
              <w:spacing w:after="0"/>
              <w:rPr>
                <w:sz w:val="20"/>
                <w:szCs w:val="20"/>
                <w:color w:val="auto"/>
              </w:rPr>
            </w:pPr>
            <w:r>
              <w:rPr>
                <w:rFonts w:ascii="Arial" w:cs="Arial" w:eastAsia="Arial" w:hAnsi="Arial"/>
                <w:sz w:val="17"/>
                <w:szCs w:val="17"/>
                <w:color w:val="auto"/>
                <w:w w:val="84"/>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(269)</w:t>
            </w:r>
          </w:p>
        </w:tc>
        <w:tc>
          <w:tcPr>
            <w:tcW w:w="10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ind w:right="558"/>
              <w:spacing w:after="0"/>
              <w:rPr>
                <w:sz w:val="20"/>
                <w:szCs w:val="20"/>
                <w:color w:val="auto"/>
              </w:rPr>
            </w:pPr>
            <w:r>
              <w:rPr>
                <w:rFonts w:ascii="Arial" w:cs="Arial" w:eastAsia="Arial" w:hAnsi="Arial"/>
                <w:sz w:val="17"/>
                <w:szCs w:val="17"/>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92</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103</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(2,805)</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73"/>
        </w:trPr>
        <w:tc>
          <w:tcPr>
            <w:tcW w:w="388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20"/>
        </w:trPr>
        <w:tc>
          <w:tcPr>
            <w:tcW w:w="6280" w:type="dxa"/>
            <w:vAlign w:val="bottom"/>
            <w:gridSpan w:val="2"/>
          </w:tcPr>
          <w:p>
            <w:pPr>
              <w:ind w:left="20"/>
              <w:spacing w:after="0" w:line="220" w:lineRule="exact"/>
              <w:rPr>
                <w:sz w:val="20"/>
                <w:szCs w:val="20"/>
                <w:color w:val="auto"/>
              </w:rPr>
            </w:pPr>
            <w:r>
              <w:rPr>
                <w:rFonts w:ascii="Arial" w:cs="Arial" w:eastAsia="Arial" w:hAnsi="Arial"/>
                <w:sz w:val="17"/>
                <w:szCs w:val="17"/>
                <w:color w:val="auto"/>
              </w:rPr>
              <w:t xml:space="preserve">Basic and diluted weighted average common units outstanding </w:t>
            </w:r>
            <w:r>
              <w:rPr>
                <w:rFonts w:ascii="Arial" w:cs="Arial" w:eastAsia="Arial" w:hAnsi="Arial"/>
                <w:sz w:val="22"/>
                <w:szCs w:val="22"/>
                <w:color w:val="auto"/>
                <w:vertAlign w:val="superscript"/>
              </w:rPr>
              <w:t>(2) (3)</w:t>
            </w:r>
          </w:p>
        </w:tc>
        <w:tc>
          <w:tcPr>
            <w:tcW w:w="7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720</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728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728</w:t>
            </w:r>
          </w:p>
        </w:tc>
      </w:tr>
      <w:tr>
        <w:trPr>
          <w:trHeight w:val="207"/>
        </w:trPr>
        <w:tc>
          <w:tcPr>
            <w:tcW w:w="388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20"/>
        </w:trPr>
        <w:tc>
          <w:tcPr>
            <w:tcW w:w="6280" w:type="dxa"/>
            <w:vAlign w:val="bottom"/>
            <w:gridSpan w:val="2"/>
          </w:tcPr>
          <w:p>
            <w:pPr>
              <w:ind w:left="20"/>
              <w:spacing w:after="0"/>
              <w:rPr>
                <w:sz w:val="20"/>
                <w:szCs w:val="20"/>
                <w:color w:val="auto"/>
              </w:rPr>
            </w:pPr>
            <w:r>
              <w:rPr>
                <w:rFonts w:ascii="Arial" w:cs="Arial" w:eastAsia="Arial" w:hAnsi="Arial"/>
                <w:sz w:val="17"/>
                <w:szCs w:val="17"/>
                <w:color w:val="auto"/>
              </w:rPr>
              <w:t>Basic and diluted net income/(loss) per common unit</w:t>
            </w:r>
          </w:p>
        </w:tc>
        <w:tc>
          <w:tcPr>
            <w:tcW w:w="720" w:type="dxa"/>
            <w:vAlign w:val="bottom"/>
            <w:tcBorders>
              <w:bottom w:val="single" w:sz="8" w:color="auto"/>
            </w:tcBorders>
          </w:tcPr>
          <w:p>
            <w:pPr>
              <w:jc w:val="right"/>
              <w:ind w:right="541"/>
              <w:spacing w:after="0"/>
              <w:rPr>
                <w:sz w:val="20"/>
                <w:szCs w:val="20"/>
                <w:color w:val="auto"/>
              </w:rPr>
            </w:pPr>
            <w:r>
              <w:rPr>
                <w:rFonts w:ascii="Arial" w:cs="Arial" w:eastAsia="Arial" w:hAnsi="Arial"/>
                <w:sz w:val="17"/>
                <w:szCs w:val="17"/>
                <w:color w:val="auto"/>
                <w:w w:val="84"/>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(0.37)</w:t>
            </w:r>
          </w:p>
        </w:tc>
        <w:tc>
          <w:tcPr>
            <w:tcW w:w="100" w:type="dxa"/>
            <w:vAlign w:val="bottom"/>
          </w:tcPr>
          <w:p>
            <w:pPr>
              <w:spacing w:after="0"/>
              <w:rPr>
                <w:sz w:val="19"/>
                <w:szCs w:val="19"/>
                <w:color w:val="auto"/>
              </w:rPr>
            </w:pPr>
          </w:p>
        </w:tc>
        <w:tc>
          <w:tcPr>
            <w:tcW w:w="760" w:type="dxa"/>
            <w:vAlign w:val="bottom"/>
            <w:tcBorders>
              <w:bottom w:val="single" w:sz="8" w:color="auto"/>
            </w:tcBorders>
          </w:tcPr>
          <w:p>
            <w:pPr>
              <w:jc w:val="right"/>
              <w:ind w:right="558"/>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0.13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(3.85)</w:t>
            </w:r>
          </w:p>
        </w:tc>
      </w:tr>
      <w:tr>
        <w:trPr>
          <w:trHeight w:val="20"/>
        </w:trPr>
        <w:tc>
          <w:tcPr>
            <w:tcW w:w="38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21"/>
        </w:trPr>
        <w:tc>
          <w:tcPr>
            <w:tcW w:w="3880" w:type="dxa"/>
            <w:vAlign w:val="bottom"/>
            <w:tcBorders>
              <w:bottom w:val="single" w:sz="8" w:color="auto"/>
            </w:tcBorders>
          </w:tcPr>
          <w:p>
            <w:pPr>
              <w:spacing w:after="0"/>
              <w:rPr>
                <w:sz w:val="10"/>
                <w:szCs w:val="10"/>
                <w:color w:val="auto"/>
              </w:rPr>
            </w:pPr>
          </w:p>
        </w:tc>
        <w:tc>
          <w:tcPr>
            <w:tcW w:w="24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40" w:type="dxa"/>
            <w:vAlign w:val="bottom"/>
          </w:tcPr>
          <w:p>
            <w:pPr>
              <w:spacing w:after="0"/>
              <w:rPr>
                <w:sz w:val="10"/>
                <w:szCs w:val="10"/>
                <w:color w:val="auto"/>
              </w:rPr>
            </w:pPr>
          </w:p>
        </w:tc>
      </w:tr>
    </w:tbl>
    <w:p>
      <w:pPr>
        <w:spacing w:after="0" w:line="131" w:lineRule="exact"/>
        <w:rPr>
          <w:sz w:val="20"/>
          <w:szCs w:val="20"/>
          <w:color w:val="auto"/>
        </w:rPr>
      </w:pPr>
    </w:p>
    <w:p>
      <w:pPr>
        <w:ind w:left="320" w:right="100" w:hanging="317"/>
        <w:spacing w:after="0" w:line="227" w:lineRule="auto"/>
        <w:tabs>
          <w:tab w:leader="none" w:pos="320" w:val="left"/>
        </w:tabs>
        <w:numPr>
          <w:ilvl w:val="0"/>
          <w:numId w:val="9"/>
        </w:numPr>
        <w:rPr>
          <w:rFonts w:ascii="Arial" w:cs="Arial" w:eastAsia="Arial" w:hAnsi="Arial"/>
          <w:sz w:val="22"/>
          <w:szCs w:val="22"/>
          <w:color w:val="auto"/>
          <w:vertAlign w:val="superscript"/>
        </w:rPr>
      </w:pPr>
      <w:r>
        <w:rPr>
          <w:rFonts w:ascii="Arial" w:cs="Arial" w:eastAsia="Arial" w:hAnsi="Arial"/>
          <w:sz w:val="17"/>
          <w:szCs w:val="17"/>
          <w:color w:val="auto"/>
        </w:rPr>
        <w:t>We calculate net income/(loss) allocated to common unitholders based on the distributions pertaining to the current period’s net income. After adjusting for the appropriate period’s distributions, the remaining undistributed earnings or excess distributions over earnings, if any, are allocated to common unitholders and participating securities in accordance with the contractual terms of our partnership agreement in effect for the period and as further prescribed under the two-class method.</w:t>
      </w:r>
    </w:p>
    <w:p>
      <w:pPr>
        <w:spacing w:after="0" w:line="33" w:lineRule="exact"/>
        <w:rPr>
          <w:rFonts w:ascii="Arial" w:cs="Arial" w:eastAsia="Arial" w:hAnsi="Arial"/>
          <w:sz w:val="22"/>
          <w:szCs w:val="22"/>
          <w:color w:val="auto"/>
          <w:vertAlign w:val="superscript"/>
        </w:rPr>
      </w:pPr>
    </w:p>
    <w:p>
      <w:pPr>
        <w:ind w:left="320" w:right="240" w:hanging="317"/>
        <w:spacing w:after="0" w:line="219" w:lineRule="auto"/>
        <w:tabs>
          <w:tab w:leader="none" w:pos="320" w:val="left"/>
        </w:tabs>
        <w:numPr>
          <w:ilvl w:val="0"/>
          <w:numId w:val="9"/>
        </w:numPr>
        <w:rPr>
          <w:rFonts w:ascii="Arial" w:cs="Arial" w:eastAsia="Arial" w:hAnsi="Arial"/>
          <w:sz w:val="22"/>
          <w:szCs w:val="22"/>
          <w:color w:val="auto"/>
          <w:vertAlign w:val="superscript"/>
        </w:rPr>
      </w:pPr>
      <w:r>
        <w:rPr>
          <w:rFonts w:ascii="Arial" w:cs="Arial" w:eastAsia="Arial" w:hAnsi="Arial"/>
          <w:sz w:val="17"/>
          <w:szCs w:val="17"/>
          <w:color w:val="auto"/>
        </w:rPr>
        <w:t>The possible conversion of our Series A preferred units was excluded from the calculation of diluted net income/(loss) per common unit for the three and six months ended June 30, 2021 and 2020 as the effect was antidilutive.</w:t>
      </w:r>
    </w:p>
    <w:p>
      <w:pPr>
        <w:spacing w:after="0" w:line="30" w:lineRule="exact"/>
        <w:rPr>
          <w:rFonts w:ascii="Arial" w:cs="Arial" w:eastAsia="Arial" w:hAnsi="Arial"/>
          <w:sz w:val="22"/>
          <w:szCs w:val="22"/>
          <w:color w:val="auto"/>
          <w:vertAlign w:val="superscript"/>
        </w:rPr>
      </w:pPr>
    </w:p>
    <w:p>
      <w:pPr>
        <w:ind w:left="320" w:right="20" w:hanging="317"/>
        <w:spacing w:after="0" w:line="267" w:lineRule="auto"/>
        <w:tabs>
          <w:tab w:leader="none" w:pos="320" w:val="left"/>
        </w:tabs>
        <w:numPr>
          <w:ilvl w:val="0"/>
          <w:numId w:val="9"/>
        </w:numPr>
        <w:rPr>
          <w:rFonts w:ascii="Arial" w:cs="Arial" w:eastAsia="Arial" w:hAnsi="Arial"/>
          <w:sz w:val="19"/>
          <w:szCs w:val="19"/>
          <w:color w:val="auto"/>
          <w:vertAlign w:val="superscript"/>
        </w:rPr>
      </w:pPr>
      <w:r>
        <w:rPr>
          <w:rFonts w:ascii="Arial" w:cs="Arial" w:eastAsia="Arial" w:hAnsi="Arial"/>
          <w:sz w:val="15"/>
          <w:szCs w:val="15"/>
          <w:color w:val="auto"/>
        </w:rPr>
        <w:t>Our equity-indexed compensation plan awards that contemplate the issuance of common units are considered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 For the three and six months ended June 30, 2021 and 2020, the effect of equity-indexed compensation plan awards was antidilutive, or did not change the presentation of diluted weighted average common units outstanding or diluted net income/(loss) per common unit.</w:t>
      </w:r>
    </w:p>
    <w:p>
      <w:pPr>
        <w:spacing w:after="0" w:line="150" w:lineRule="exact"/>
        <w:rPr>
          <w:rFonts w:ascii="Arial" w:cs="Arial" w:eastAsia="Arial" w:hAnsi="Arial"/>
          <w:sz w:val="19"/>
          <w:szCs w:val="19"/>
          <w:color w:val="auto"/>
          <w:vertAlign w:val="superscript"/>
        </w:rPr>
      </w:pPr>
    </w:p>
    <w:p>
      <w:pPr>
        <w:ind w:left="5440" w:hanging="93"/>
        <w:spacing w:after="0"/>
        <w:tabs>
          <w:tab w:leader="none" w:pos="5440" w:val="left"/>
        </w:tabs>
        <w:numPr>
          <w:ilvl w:val="1"/>
          <w:numId w:val="9"/>
        </w:numPr>
        <w:rPr>
          <w:rFonts w:ascii="Arial" w:cs="Arial" w:eastAsia="Arial" w:hAnsi="Arial"/>
          <w:sz w:val="17"/>
          <w:szCs w:val="17"/>
          <w:color w:val="auto"/>
        </w:rPr>
      </w:pPr>
      <w:r>
        <w:rPr>
          <w:rFonts w:ascii="Arial" w:cs="Arial" w:eastAsia="Arial" w:hAnsi="Arial"/>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u w:val="single" w:color="auto"/>
          <w:color w:val="auto"/>
        </w:rPr>
        <w:t>Page 10</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NON-GAAP RECONCILIATIONS</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COMPUTATION OF BASIC AND DILUTED ADJUSTED NET INCOME PER COMMON UNIT</w:t>
      </w:r>
      <w:r>
        <w:rPr>
          <w:rFonts w:ascii="Arial" w:cs="Arial" w:eastAsia="Arial" w:hAnsi="Arial"/>
          <w:sz w:val="17"/>
          <w:szCs w:val="17"/>
          <w:b w:val="1"/>
          <w:bCs w:val="1"/>
          <w:color w:val="auto"/>
        </w:rPr>
        <w:t xml:space="preserve"> </w:t>
      </w:r>
      <w:r>
        <w:rPr>
          <w:rFonts w:ascii="Arial" w:cs="Arial" w:eastAsia="Arial" w:hAnsi="Arial"/>
          <w:sz w:val="22"/>
          <w:szCs w:val="22"/>
          <w:b w:val="1"/>
          <w:bCs w:val="1"/>
          <w:color w:val="auto"/>
          <w:vertAlign w:val="superscript"/>
        </w:rPr>
        <w:t>(1)</w:t>
      </w:r>
    </w:p>
    <w:p>
      <w:pPr>
        <w:spacing w:after="0"/>
        <w:rPr>
          <w:sz w:val="20"/>
          <w:szCs w:val="20"/>
          <w:color w:val="auto"/>
        </w:rPr>
      </w:pPr>
      <w:r>
        <w:rPr>
          <w:rFonts w:ascii="Arial" w:cs="Arial" w:eastAsia="Arial" w:hAnsi="Arial"/>
          <w:sz w:val="17"/>
          <w:szCs w:val="17"/>
          <w:color w:val="auto"/>
        </w:rPr>
        <w:t>(in millions, except per unit data)</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020" w:type="dxa"/>
            <w:vAlign w:val="bottom"/>
            <w:gridSpan w:val="4"/>
          </w:tcPr>
          <w:p>
            <w:pPr>
              <w:jc w:val="right"/>
              <w:ind w:right="96"/>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4"/>
          </w:tcPr>
          <w:p>
            <w:pPr>
              <w:jc w:val="right"/>
              <w:ind w:right="575"/>
              <w:spacing w:after="0"/>
              <w:rPr>
                <w:sz w:val="20"/>
                <w:szCs w:val="20"/>
                <w:color w:val="auto"/>
              </w:rPr>
            </w:pPr>
            <w:r>
              <w:rPr>
                <w:rFonts w:ascii="Arial" w:cs="Arial" w:eastAsia="Arial" w:hAnsi="Arial"/>
                <w:sz w:val="14"/>
                <w:szCs w:val="14"/>
                <w:b w:val="1"/>
                <w:bCs w:val="1"/>
                <w:color w:val="auto"/>
              </w:rPr>
              <w:t>Six Months Ended</w:t>
            </w:r>
          </w:p>
        </w:tc>
      </w:tr>
      <w:tr>
        <w:trPr>
          <w:trHeight w:val="180"/>
        </w:trPr>
        <w:tc>
          <w:tcPr>
            <w:tcW w:w="38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right"/>
              <w:ind w:right="476"/>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ind w:right="34"/>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5"/>
                <w:szCs w:val="15"/>
                <w:color w:val="auto"/>
              </w:rPr>
            </w:pPr>
          </w:p>
        </w:tc>
      </w:tr>
      <w:tr>
        <w:trPr>
          <w:trHeight w:val="174"/>
        </w:trPr>
        <w:tc>
          <w:tcPr>
            <w:tcW w:w="3880" w:type="dxa"/>
            <w:vAlign w:val="bottom"/>
            <w:tcBorders>
              <w:bottom w:val="single" w:sz="8" w:color="CCEEFF"/>
            </w:tcBorders>
          </w:tcPr>
          <w:p>
            <w:pPr>
              <w:spacing w:after="0"/>
              <w:rPr>
                <w:sz w:val="15"/>
                <w:szCs w:val="15"/>
                <w:color w:val="auto"/>
              </w:rPr>
            </w:pPr>
          </w:p>
        </w:tc>
        <w:tc>
          <w:tcPr>
            <w:tcW w:w="24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2020</w:t>
            </w:r>
          </w:p>
        </w:tc>
      </w:tr>
      <w:tr>
        <w:trPr>
          <w:trHeight w:val="201"/>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Basic Adjusted Net Income per Common Unit</w:t>
            </w: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20"/>
        </w:trPr>
        <w:tc>
          <w:tcPr>
            <w:tcW w:w="6280" w:type="dxa"/>
            <w:vAlign w:val="bottom"/>
            <w:gridSpan w:val="2"/>
          </w:tcPr>
          <w:p>
            <w:pPr>
              <w:ind w:left="20"/>
              <w:spacing w:after="0"/>
              <w:rPr>
                <w:sz w:val="20"/>
                <w:szCs w:val="20"/>
                <w:color w:val="auto"/>
              </w:rPr>
            </w:pPr>
            <w:r>
              <w:rPr>
                <w:rFonts w:ascii="Arial" w:cs="Arial" w:eastAsia="Arial" w:hAnsi="Arial"/>
                <w:sz w:val="17"/>
                <w:szCs w:val="17"/>
                <w:color w:val="auto"/>
              </w:rPr>
              <w:t>Net income/(loss) attributable to PAA</w:t>
            </w:r>
          </w:p>
        </w:tc>
        <w:tc>
          <w:tcPr>
            <w:tcW w:w="740" w:type="dxa"/>
            <w:vAlign w:val="bottom"/>
          </w:tcPr>
          <w:p>
            <w:pPr>
              <w:jc w:val="right"/>
              <w:ind w:right="557"/>
              <w:spacing w:after="0"/>
              <w:rPr>
                <w:sz w:val="20"/>
                <w:szCs w:val="20"/>
                <w:color w:val="auto"/>
              </w:rPr>
            </w:pPr>
            <w:r>
              <w:rPr>
                <w:rFonts w:ascii="Arial" w:cs="Arial" w:eastAsia="Arial" w:hAnsi="Arial"/>
                <w:sz w:val="17"/>
                <w:szCs w:val="17"/>
                <w:color w:val="auto"/>
                <w:w w:val="84"/>
              </w:rPr>
              <w:t>$</w:t>
            </w:r>
          </w:p>
        </w:tc>
        <w:tc>
          <w:tcPr>
            <w:tcW w:w="420" w:type="dxa"/>
            <w:vAlign w:val="bottom"/>
          </w:tcPr>
          <w:p>
            <w:pPr>
              <w:jc w:val="right"/>
              <w:spacing w:after="0"/>
              <w:rPr>
                <w:sz w:val="20"/>
                <w:szCs w:val="20"/>
                <w:color w:val="auto"/>
              </w:rPr>
            </w:pPr>
            <w:r>
              <w:rPr>
                <w:rFonts w:ascii="Arial" w:cs="Arial" w:eastAsia="Arial" w:hAnsi="Arial"/>
                <w:sz w:val="17"/>
                <w:szCs w:val="17"/>
                <w:color w:val="auto"/>
                <w:w w:val="95"/>
              </w:rPr>
              <w:t>(220)</w:t>
            </w:r>
          </w:p>
        </w:tc>
        <w:tc>
          <w:tcPr>
            <w:tcW w:w="100" w:type="dxa"/>
            <w:vAlign w:val="bottom"/>
          </w:tcPr>
          <w:p>
            <w:pPr>
              <w:spacing w:after="0"/>
              <w:rPr>
                <w:sz w:val="19"/>
                <w:szCs w:val="19"/>
                <w:color w:val="auto"/>
              </w:rPr>
            </w:pPr>
          </w:p>
        </w:tc>
        <w:tc>
          <w:tcPr>
            <w:tcW w:w="760" w:type="dxa"/>
            <w:vAlign w:val="bottom"/>
          </w:tcPr>
          <w:p>
            <w:pPr>
              <w:jc w:val="right"/>
              <w:ind w:right="556"/>
              <w:spacing w:after="0"/>
              <w:rPr>
                <w:sz w:val="20"/>
                <w:szCs w:val="20"/>
                <w:color w:val="auto"/>
              </w:rPr>
            </w:pPr>
            <w:r>
              <w:rPr>
                <w:rFonts w:ascii="Arial" w:cs="Arial" w:eastAsia="Arial" w:hAnsi="Arial"/>
                <w:sz w:val="17"/>
                <w:szCs w:val="17"/>
                <w:color w:val="auto"/>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142</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202</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(2,705)</w:t>
            </w:r>
          </w:p>
        </w:tc>
      </w:tr>
      <w:tr>
        <w:trPr>
          <w:trHeight w:val="220"/>
        </w:trPr>
        <w:tc>
          <w:tcPr>
            <w:tcW w:w="6280" w:type="dxa"/>
            <w:vAlign w:val="bottom"/>
            <w:gridSpan w:val="2"/>
            <w:shd w:val="clear" w:color="auto" w:fill="CCEEFF"/>
          </w:tcPr>
          <w:p>
            <w:pPr>
              <w:ind w:left="180"/>
              <w:spacing w:after="0" w:line="220" w:lineRule="exact"/>
              <w:rPr>
                <w:sz w:val="20"/>
                <w:szCs w:val="20"/>
                <w:color w:val="auto"/>
              </w:rPr>
            </w:pPr>
            <w:r>
              <w:rPr>
                <w:rFonts w:ascii="Arial" w:cs="Arial" w:eastAsia="Arial" w:hAnsi="Arial"/>
                <w:sz w:val="17"/>
                <w:szCs w:val="17"/>
                <w:color w:val="auto"/>
                <w:w w:val="96"/>
              </w:rPr>
              <w:t xml:space="preserve">Selected items impacting comparability - Adjusted net income attributable to PAA </w:t>
            </w:r>
            <w:r>
              <w:rPr>
                <w:rFonts w:ascii="Arial" w:cs="Arial" w:eastAsia="Arial" w:hAnsi="Arial"/>
                <w:sz w:val="22"/>
                <w:szCs w:val="22"/>
                <w:color w:val="auto"/>
                <w:w w:val="96"/>
                <w:vertAlign w:val="superscript"/>
              </w:rPr>
              <w:t>(2)</w:t>
            </w:r>
          </w:p>
        </w:tc>
        <w:tc>
          <w:tcPr>
            <w:tcW w:w="7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433</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3,393</w:t>
            </w:r>
          </w:p>
        </w:tc>
      </w:tr>
      <w:tr>
        <w:trPr>
          <w:trHeight w:val="213"/>
        </w:trPr>
        <w:tc>
          <w:tcPr>
            <w:tcW w:w="6280" w:type="dxa"/>
            <w:vAlign w:val="bottom"/>
            <w:gridSpan w:val="2"/>
          </w:tcPr>
          <w:p>
            <w:pPr>
              <w:ind w:left="20"/>
              <w:spacing w:after="0"/>
              <w:rPr>
                <w:sz w:val="20"/>
                <w:szCs w:val="20"/>
                <w:color w:val="auto"/>
              </w:rPr>
            </w:pPr>
            <w:r>
              <w:rPr>
                <w:rFonts w:ascii="Arial" w:cs="Arial" w:eastAsia="Arial" w:hAnsi="Arial"/>
                <w:sz w:val="17"/>
                <w:szCs w:val="17"/>
                <w:color w:val="auto"/>
              </w:rPr>
              <w:t>Adjusted net income attributable to PAA</w:t>
            </w:r>
          </w:p>
        </w:tc>
        <w:tc>
          <w:tcPr>
            <w:tcW w:w="740" w:type="dxa"/>
            <w:vAlign w:val="bottom"/>
          </w:tcPr>
          <w:p>
            <w:pPr>
              <w:jc w:val="right"/>
              <w:ind w:right="557"/>
              <w:spacing w:after="0"/>
              <w:rPr>
                <w:sz w:val="20"/>
                <w:szCs w:val="20"/>
                <w:color w:val="auto"/>
              </w:rPr>
            </w:pPr>
            <w:r>
              <w:rPr>
                <w:rFonts w:ascii="Arial" w:cs="Arial" w:eastAsia="Arial" w:hAnsi="Arial"/>
                <w:sz w:val="17"/>
                <w:szCs w:val="17"/>
                <w:color w:val="auto"/>
                <w:w w:val="84"/>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213</w:t>
            </w:r>
          </w:p>
        </w:tc>
        <w:tc>
          <w:tcPr>
            <w:tcW w:w="100" w:type="dxa"/>
            <w:vAlign w:val="bottom"/>
          </w:tcPr>
          <w:p>
            <w:pPr>
              <w:spacing w:after="0"/>
              <w:rPr>
                <w:sz w:val="18"/>
                <w:szCs w:val="18"/>
                <w:color w:val="auto"/>
              </w:rPr>
            </w:pPr>
          </w:p>
        </w:tc>
        <w:tc>
          <w:tcPr>
            <w:tcW w:w="760" w:type="dxa"/>
            <w:vAlign w:val="bottom"/>
          </w:tcPr>
          <w:p>
            <w:pPr>
              <w:jc w:val="right"/>
              <w:ind w:right="556"/>
              <w:spacing w:after="0"/>
              <w:rPr>
                <w:sz w:val="20"/>
                <w:szCs w:val="20"/>
                <w:color w:val="auto"/>
              </w:rPr>
            </w:pPr>
            <w:r>
              <w:rPr>
                <w:rFonts w:ascii="Arial" w:cs="Arial" w:eastAsia="Arial" w:hAnsi="Arial"/>
                <w:sz w:val="17"/>
                <w:szCs w:val="17"/>
                <w:color w:val="auto"/>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233</w:t>
            </w:r>
          </w:p>
        </w:tc>
        <w:tc>
          <w:tcPr>
            <w:tcW w:w="10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445</w:t>
            </w:r>
          </w:p>
        </w:tc>
        <w:tc>
          <w:tcPr>
            <w:tcW w:w="10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688</w:t>
            </w:r>
          </w:p>
        </w:tc>
      </w:tr>
      <w:tr>
        <w:trPr>
          <w:trHeight w:val="220"/>
        </w:trPr>
        <w:tc>
          <w:tcPr>
            <w:tcW w:w="62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Distributions to Series A preferred unitholders</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r>
      <w:tr>
        <w:trPr>
          <w:trHeight w:val="220"/>
        </w:trPr>
        <w:tc>
          <w:tcPr>
            <w:tcW w:w="6280" w:type="dxa"/>
            <w:vAlign w:val="bottom"/>
            <w:gridSpan w:val="2"/>
          </w:tcPr>
          <w:p>
            <w:pPr>
              <w:ind w:left="180"/>
              <w:spacing w:after="0"/>
              <w:rPr>
                <w:sz w:val="20"/>
                <w:szCs w:val="20"/>
                <w:color w:val="auto"/>
              </w:rPr>
            </w:pPr>
            <w:r>
              <w:rPr>
                <w:rFonts w:ascii="Arial" w:cs="Arial" w:eastAsia="Arial" w:hAnsi="Arial"/>
                <w:sz w:val="17"/>
                <w:szCs w:val="17"/>
                <w:color w:val="auto"/>
              </w:rPr>
              <w:t>Distributions to Series B preferred unitholders</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220"/>
        </w:trPr>
        <w:tc>
          <w:tcPr>
            <w:tcW w:w="62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Other</w:t>
            </w:r>
          </w:p>
        </w:tc>
        <w:tc>
          <w:tcPr>
            <w:tcW w:w="7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13"/>
        </w:trPr>
        <w:tc>
          <w:tcPr>
            <w:tcW w:w="6280" w:type="dxa"/>
            <w:vAlign w:val="bottom"/>
            <w:gridSpan w:val="2"/>
          </w:tcPr>
          <w:p>
            <w:pPr>
              <w:ind w:left="20"/>
              <w:spacing w:after="0"/>
              <w:rPr>
                <w:sz w:val="20"/>
                <w:szCs w:val="20"/>
                <w:color w:val="auto"/>
              </w:rPr>
            </w:pPr>
            <w:r>
              <w:rPr>
                <w:rFonts w:ascii="Arial" w:cs="Arial" w:eastAsia="Arial" w:hAnsi="Arial"/>
                <w:sz w:val="17"/>
                <w:szCs w:val="17"/>
                <w:color w:val="auto"/>
              </w:rPr>
              <w:t>Adjusted net income allocated to common unitholders</w:t>
            </w:r>
          </w:p>
        </w:tc>
        <w:tc>
          <w:tcPr>
            <w:tcW w:w="740" w:type="dxa"/>
            <w:vAlign w:val="bottom"/>
            <w:tcBorders>
              <w:bottom w:val="single" w:sz="8" w:color="auto"/>
            </w:tcBorders>
          </w:tcPr>
          <w:p>
            <w:pPr>
              <w:jc w:val="right"/>
              <w:ind w:right="557"/>
              <w:spacing w:after="0"/>
              <w:rPr>
                <w:sz w:val="20"/>
                <w:szCs w:val="20"/>
                <w:color w:val="auto"/>
              </w:rPr>
            </w:pPr>
            <w:r>
              <w:rPr>
                <w:rFonts w:ascii="Arial" w:cs="Arial" w:eastAsia="Arial" w:hAnsi="Arial"/>
                <w:sz w:val="17"/>
                <w:szCs w:val="17"/>
                <w:color w:val="auto"/>
                <w:w w:val="84"/>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163</w:t>
            </w:r>
          </w:p>
        </w:tc>
        <w:tc>
          <w:tcPr>
            <w:tcW w:w="100" w:type="dxa"/>
            <w:vAlign w:val="bottom"/>
          </w:tcPr>
          <w:p>
            <w:pPr>
              <w:spacing w:after="0"/>
              <w:rPr>
                <w:sz w:val="18"/>
                <w:szCs w:val="18"/>
                <w:color w:val="auto"/>
              </w:rPr>
            </w:pPr>
          </w:p>
        </w:tc>
        <w:tc>
          <w:tcPr>
            <w:tcW w:w="760" w:type="dxa"/>
            <w:vAlign w:val="bottom"/>
            <w:tcBorders>
              <w:bottom w:val="single" w:sz="8" w:color="auto"/>
            </w:tcBorders>
          </w:tcPr>
          <w:p>
            <w:pPr>
              <w:jc w:val="right"/>
              <w:ind w:right="556"/>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183</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345</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588</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08"/>
        </w:trPr>
        <w:tc>
          <w:tcPr>
            <w:tcW w:w="3880" w:type="dxa"/>
            <w:vAlign w:val="bottom"/>
            <w:shd w:val="clear" w:color="auto" w:fill="CCEEFF"/>
          </w:tcPr>
          <w:p>
            <w:pPr>
              <w:spacing w:after="0"/>
              <w:rPr>
                <w:sz w:val="9"/>
                <w:szCs w:val="9"/>
                <w:color w:val="auto"/>
              </w:rPr>
            </w:pPr>
          </w:p>
        </w:tc>
        <w:tc>
          <w:tcPr>
            <w:tcW w:w="24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r>
      <w:tr>
        <w:trPr>
          <w:trHeight w:val="220"/>
        </w:trPr>
        <w:tc>
          <w:tcPr>
            <w:tcW w:w="6280" w:type="dxa"/>
            <w:vAlign w:val="bottom"/>
            <w:gridSpan w:val="2"/>
          </w:tcPr>
          <w:p>
            <w:pPr>
              <w:ind w:left="20"/>
              <w:spacing w:after="0"/>
              <w:rPr>
                <w:sz w:val="20"/>
                <w:szCs w:val="20"/>
                <w:color w:val="auto"/>
              </w:rPr>
            </w:pPr>
            <w:r>
              <w:rPr>
                <w:rFonts w:ascii="Arial" w:cs="Arial" w:eastAsia="Arial" w:hAnsi="Arial"/>
                <w:sz w:val="17"/>
                <w:szCs w:val="17"/>
                <w:color w:val="auto"/>
              </w:rPr>
              <w:t>Basic weighted average common units outstanding</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720</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728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728</w:t>
            </w:r>
          </w:p>
        </w:tc>
      </w:tr>
      <w:tr>
        <w:trPr>
          <w:trHeight w:val="142"/>
        </w:trPr>
        <w:tc>
          <w:tcPr>
            <w:tcW w:w="388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220"/>
        </w:trPr>
        <w:tc>
          <w:tcPr>
            <w:tcW w:w="6280" w:type="dxa"/>
            <w:vAlign w:val="bottom"/>
            <w:gridSpan w:val="2"/>
          </w:tcPr>
          <w:p>
            <w:pPr>
              <w:ind w:left="20"/>
              <w:spacing w:after="0"/>
              <w:rPr>
                <w:sz w:val="20"/>
                <w:szCs w:val="20"/>
                <w:color w:val="auto"/>
              </w:rPr>
            </w:pPr>
            <w:r>
              <w:rPr>
                <w:rFonts w:ascii="Arial" w:cs="Arial" w:eastAsia="Arial" w:hAnsi="Arial"/>
                <w:sz w:val="17"/>
                <w:szCs w:val="17"/>
                <w:color w:val="auto"/>
              </w:rPr>
              <w:t>Basic adjusted net income per common unit</w:t>
            </w:r>
          </w:p>
        </w:tc>
        <w:tc>
          <w:tcPr>
            <w:tcW w:w="740" w:type="dxa"/>
            <w:vAlign w:val="bottom"/>
            <w:tcBorders>
              <w:bottom w:val="single" w:sz="8" w:color="auto"/>
            </w:tcBorders>
          </w:tcPr>
          <w:p>
            <w:pPr>
              <w:jc w:val="right"/>
              <w:ind w:right="557"/>
              <w:spacing w:after="0"/>
              <w:rPr>
                <w:sz w:val="20"/>
                <w:szCs w:val="20"/>
                <w:color w:val="auto"/>
              </w:rPr>
            </w:pPr>
            <w:r>
              <w:rPr>
                <w:rFonts w:ascii="Arial" w:cs="Arial" w:eastAsia="Arial" w:hAnsi="Arial"/>
                <w:sz w:val="17"/>
                <w:szCs w:val="17"/>
                <w:color w:val="auto"/>
                <w:w w:val="84"/>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0.23</w:t>
            </w:r>
          </w:p>
        </w:tc>
        <w:tc>
          <w:tcPr>
            <w:tcW w:w="100" w:type="dxa"/>
            <w:vAlign w:val="bottom"/>
          </w:tcPr>
          <w:p>
            <w:pPr>
              <w:spacing w:after="0"/>
              <w:rPr>
                <w:sz w:val="19"/>
                <w:szCs w:val="19"/>
                <w:color w:val="auto"/>
              </w:rPr>
            </w:pPr>
          </w:p>
        </w:tc>
        <w:tc>
          <w:tcPr>
            <w:tcW w:w="760" w:type="dxa"/>
            <w:vAlign w:val="bottom"/>
            <w:tcBorders>
              <w:bottom w:val="single" w:sz="8" w:color="auto"/>
            </w:tcBorders>
          </w:tcPr>
          <w:p>
            <w:pPr>
              <w:jc w:val="right"/>
              <w:ind w:right="556"/>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0.25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0.48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0.81</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08"/>
        </w:trPr>
        <w:tc>
          <w:tcPr>
            <w:tcW w:w="3880" w:type="dxa"/>
            <w:vAlign w:val="bottom"/>
            <w:shd w:val="clear" w:color="auto" w:fill="CCEEFF"/>
          </w:tcPr>
          <w:p>
            <w:pPr>
              <w:spacing w:after="0"/>
              <w:rPr>
                <w:sz w:val="9"/>
                <w:szCs w:val="9"/>
                <w:color w:val="auto"/>
              </w:rPr>
            </w:pPr>
          </w:p>
        </w:tc>
        <w:tc>
          <w:tcPr>
            <w:tcW w:w="24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r>
      <w:tr>
        <w:trPr>
          <w:trHeight w:val="220"/>
        </w:trPr>
        <w:tc>
          <w:tcPr>
            <w:tcW w:w="6280" w:type="dxa"/>
            <w:vAlign w:val="bottom"/>
            <w:gridSpan w:val="2"/>
          </w:tcPr>
          <w:p>
            <w:pPr>
              <w:ind w:left="20"/>
              <w:spacing w:after="0"/>
              <w:rPr>
                <w:sz w:val="20"/>
                <w:szCs w:val="20"/>
                <w:color w:val="auto"/>
              </w:rPr>
            </w:pPr>
            <w:r>
              <w:rPr>
                <w:rFonts w:ascii="Arial" w:cs="Arial" w:eastAsia="Arial" w:hAnsi="Arial"/>
                <w:sz w:val="17"/>
                <w:szCs w:val="17"/>
                <w:b w:val="1"/>
                <w:bCs w:val="1"/>
                <w:color w:val="auto"/>
              </w:rPr>
              <w:t>Diluted Adjusted Net Income per Common Unit</w:t>
            </w: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0"/>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income/(loss) attributable to PAA</w:t>
            </w:r>
          </w:p>
        </w:tc>
        <w:tc>
          <w:tcPr>
            <w:tcW w:w="740" w:type="dxa"/>
            <w:vAlign w:val="bottom"/>
            <w:shd w:val="clear" w:color="auto" w:fill="CCEEFF"/>
          </w:tcPr>
          <w:p>
            <w:pPr>
              <w:jc w:val="right"/>
              <w:ind w:right="557"/>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(220)</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6"/>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(2,705)</w:t>
            </w:r>
          </w:p>
        </w:tc>
      </w:tr>
      <w:tr>
        <w:trPr>
          <w:trHeight w:val="220"/>
        </w:trPr>
        <w:tc>
          <w:tcPr>
            <w:tcW w:w="6280" w:type="dxa"/>
            <w:vAlign w:val="bottom"/>
            <w:tcBorders>
              <w:bottom w:val="single" w:sz="8" w:color="CCEEFF"/>
            </w:tcBorders>
            <w:gridSpan w:val="2"/>
          </w:tcPr>
          <w:p>
            <w:pPr>
              <w:ind w:left="180"/>
              <w:spacing w:after="0" w:line="220" w:lineRule="exact"/>
              <w:rPr>
                <w:sz w:val="20"/>
                <w:szCs w:val="20"/>
                <w:color w:val="auto"/>
              </w:rPr>
            </w:pPr>
            <w:r>
              <w:rPr>
                <w:rFonts w:ascii="Arial" w:cs="Arial" w:eastAsia="Arial" w:hAnsi="Arial"/>
                <w:sz w:val="17"/>
                <w:szCs w:val="17"/>
                <w:color w:val="auto"/>
                <w:w w:val="96"/>
              </w:rPr>
              <w:t xml:space="preserve">Selected items impacting comparability - Adjusted net income attributable to PAA </w:t>
            </w:r>
            <w:r>
              <w:rPr>
                <w:rFonts w:ascii="Arial" w:cs="Arial" w:eastAsia="Arial" w:hAnsi="Arial"/>
                <w:sz w:val="22"/>
                <w:szCs w:val="22"/>
                <w:color w:val="auto"/>
                <w:w w:val="96"/>
                <w:vertAlign w:val="superscript"/>
              </w:rPr>
              <w:t>(2)</w:t>
            </w: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433</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3,393</w:t>
            </w:r>
          </w:p>
        </w:tc>
      </w:tr>
      <w:tr>
        <w:trPr>
          <w:trHeight w:val="213"/>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Adjusted net income attributable to PAA</w:t>
            </w:r>
          </w:p>
        </w:tc>
        <w:tc>
          <w:tcPr>
            <w:tcW w:w="740" w:type="dxa"/>
            <w:vAlign w:val="bottom"/>
            <w:shd w:val="clear" w:color="auto" w:fill="CCEEFF"/>
          </w:tcPr>
          <w:p>
            <w:pPr>
              <w:jc w:val="right"/>
              <w:ind w:right="557"/>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56"/>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688</w:t>
            </w:r>
          </w:p>
        </w:tc>
      </w:tr>
      <w:tr>
        <w:trPr>
          <w:trHeight w:val="220"/>
        </w:trPr>
        <w:tc>
          <w:tcPr>
            <w:tcW w:w="6280" w:type="dxa"/>
            <w:vAlign w:val="bottom"/>
            <w:gridSpan w:val="2"/>
          </w:tcPr>
          <w:p>
            <w:pPr>
              <w:ind w:left="180"/>
              <w:spacing w:after="0"/>
              <w:rPr>
                <w:sz w:val="20"/>
                <w:szCs w:val="20"/>
                <w:color w:val="auto"/>
              </w:rPr>
            </w:pPr>
            <w:r>
              <w:rPr>
                <w:rFonts w:ascii="Arial" w:cs="Arial" w:eastAsia="Arial" w:hAnsi="Arial"/>
                <w:sz w:val="17"/>
                <w:szCs w:val="17"/>
                <w:color w:val="auto"/>
              </w:rPr>
              <w:t>Distributions to Series A preferred unitholders</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(37)</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(74)</w:t>
            </w:r>
          </w:p>
        </w:tc>
      </w:tr>
      <w:tr>
        <w:trPr>
          <w:trHeight w:val="220"/>
        </w:trPr>
        <w:tc>
          <w:tcPr>
            <w:tcW w:w="62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Distributions to Series B preferred unitholders</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r>
      <w:tr>
        <w:trPr>
          <w:trHeight w:val="220"/>
        </w:trPr>
        <w:tc>
          <w:tcPr>
            <w:tcW w:w="6280" w:type="dxa"/>
            <w:vAlign w:val="bottom"/>
            <w:tcBorders>
              <w:bottom w:val="single" w:sz="8" w:color="CCEEFF"/>
            </w:tcBorders>
            <w:gridSpan w:val="2"/>
          </w:tcPr>
          <w:p>
            <w:pPr>
              <w:ind w:left="180"/>
              <w:spacing w:after="0"/>
              <w:rPr>
                <w:sz w:val="20"/>
                <w:szCs w:val="20"/>
                <w:color w:val="auto"/>
              </w:rPr>
            </w:pPr>
            <w:r>
              <w:rPr>
                <w:rFonts w:ascii="Arial" w:cs="Arial" w:eastAsia="Arial" w:hAnsi="Arial"/>
                <w:sz w:val="17"/>
                <w:szCs w:val="17"/>
                <w:color w:val="auto"/>
              </w:rPr>
              <w:t>Other</w:t>
            </w: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r>
      <w:tr>
        <w:trPr>
          <w:trHeight w:val="238"/>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Adjusted net income allocated to common unitholders</w:t>
            </w:r>
          </w:p>
        </w:tc>
        <w:tc>
          <w:tcPr>
            <w:tcW w:w="740" w:type="dxa"/>
            <w:vAlign w:val="bottom"/>
            <w:tcBorders>
              <w:bottom w:val="single" w:sz="8" w:color="auto"/>
            </w:tcBorders>
            <w:shd w:val="clear" w:color="auto" w:fill="CCEEFF"/>
          </w:tcPr>
          <w:p>
            <w:pPr>
              <w:jc w:val="right"/>
              <w:ind w:right="557"/>
              <w:spacing w:after="0"/>
              <w:rPr>
                <w:sz w:val="20"/>
                <w:szCs w:val="20"/>
                <w:color w:val="auto"/>
              </w:rPr>
            </w:pPr>
            <w:r>
              <w:rPr>
                <w:rFonts w:ascii="Arial" w:cs="Arial" w:eastAsia="Arial" w:hAnsi="Arial"/>
                <w:sz w:val="17"/>
                <w:szCs w:val="17"/>
                <w:color w:val="auto"/>
                <w:w w:val="84"/>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163</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588</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88"/>
        </w:trPr>
        <w:tc>
          <w:tcPr>
            <w:tcW w:w="3880" w:type="dxa"/>
            <w:vAlign w:val="bottom"/>
          </w:tcPr>
          <w:p>
            <w:pPr>
              <w:spacing w:after="0"/>
              <w:rPr>
                <w:sz w:val="7"/>
                <w:szCs w:val="7"/>
                <w:color w:val="auto"/>
              </w:rPr>
            </w:pPr>
          </w:p>
        </w:tc>
        <w:tc>
          <w:tcPr>
            <w:tcW w:w="24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840" w:type="dxa"/>
            <w:vAlign w:val="bottom"/>
          </w:tcPr>
          <w:p>
            <w:pPr>
              <w:spacing w:after="0"/>
              <w:rPr>
                <w:sz w:val="7"/>
                <w:szCs w:val="7"/>
                <w:color w:val="auto"/>
              </w:rPr>
            </w:pPr>
          </w:p>
        </w:tc>
      </w:tr>
      <w:tr>
        <w:trPr>
          <w:trHeight w:val="220"/>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Basic weighted average common units outstanding</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720</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728</w:t>
            </w:r>
          </w:p>
        </w:tc>
      </w:tr>
      <w:tr>
        <w:trPr>
          <w:trHeight w:val="220"/>
        </w:trPr>
        <w:tc>
          <w:tcPr>
            <w:tcW w:w="6280" w:type="dxa"/>
            <w:vAlign w:val="bottom"/>
            <w:gridSpan w:val="2"/>
          </w:tcPr>
          <w:p>
            <w:pPr>
              <w:ind w:left="20"/>
              <w:spacing w:after="0"/>
              <w:rPr>
                <w:sz w:val="20"/>
                <w:szCs w:val="20"/>
                <w:color w:val="auto"/>
              </w:rPr>
            </w:pPr>
            <w:r>
              <w:rPr>
                <w:rFonts w:ascii="Arial" w:cs="Arial" w:eastAsia="Arial" w:hAnsi="Arial"/>
                <w:sz w:val="17"/>
                <w:szCs w:val="17"/>
                <w:color w:val="auto"/>
              </w:rPr>
              <w:t>Effect of dilutive securities:</w:t>
            </w: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0"/>
        </w:trPr>
        <w:tc>
          <w:tcPr>
            <w:tcW w:w="6280" w:type="dxa"/>
            <w:vAlign w:val="bottom"/>
            <w:gridSpan w:val="2"/>
            <w:shd w:val="clear" w:color="auto" w:fill="CCEEFF"/>
          </w:tcPr>
          <w:p>
            <w:pPr>
              <w:ind w:left="180"/>
              <w:spacing w:after="0" w:line="220" w:lineRule="exact"/>
              <w:rPr>
                <w:sz w:val="20"/>
                <w:szCs w:val="20"/>
                <w:color w:val="auto"/>
              </w:rPr>
            </w:pPr>
            <w:r>
              <w:rPr>
                <w:rFonts w:ascii="Arial" w:cs="Arial" w:eastAsia="Arial" w:hAnsi="Arial"/>
                <w:sz w:val="17"/>
                <w:szCs w:val="17"/>
                <w:color w:val="auto"/>
              </w:rPr>
              <w:t xml:space="preserve">Series A preferred units </w:t>
            </w:r>
            <w:r>
              <w:rPr>
                <w:rFonts w:ascii="Arial" w:cs="Arial" w:eastAsia="Arial" w:hAnsi="Arial"/>
                <w:sz w:val="22"/>
                <w:szCs w:val="22"/>
                <w:color w:val="auto"/>
                <w:vertAlign w:val="superscript"/>
              </w:rPr>
              <w:t>(3)</w:t>
            </w:r>
          </w:p>
        </w:tc>
        <w:tc>
          <w:tcPr>
            <w:tcW w:w="7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280" w:type="dxa"/>
            <w:vAlign w:val="bottom"/>
            <w:gridSpan w:val="2"/>
          </w:tcPr>
          <w:p>
            <w:pPr>
              <w:ind w:left="180"/>
              <w:spacing w:after="0" w:line="220" w:lineRule="exact"/>
              <w:rPr>
                <w:sz w:val="20"/>
                <w:szCs w:val="20"/>
                <w:color w:val="auto"/>
              </w:rPr>
            </w:pPr>
            <w:r>
              <w:rPr>
                <w:rFonts w:ascii="Arial" w:cs="Arial" w:eastAsia="Arial" w:hAnsi="Arial"/>
                <w:sz w:val="17"/>
                <w:szCs w:val="17"/>
                <w:color w:val="auto"/>
              </w:rPr>
              <w:t xml:space="preserve">Equity-indexed compensation plan awards </w:t>
            </w:r>
            <w:r>
              <w:rPr>
                <w:rFonts w:ascii="Arial" w:cs="Arial" w:eastAsia="Arial" w:hAnsi="Arial"/>
                <w:sz w:val="22"/>
                <w:szCs w:val="22"/>
                <w:color w:val="auto"/>
                <w:vertAlign w:val="superscript"/>
              </w:rPr>
              <w:t>(4)</w:t>
            </w:r>
          </w:p>
        </w:tc>
        <w:tc>
          <w:tcPr>
            <w:tcW w:w="74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6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38"/>
        </w:trPr>
        <w:tc>
          <w:tcPr>
            <w:tcW w:w="62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Diluted weighted average common units outstanding</w:t>
            </w:r>
          </w:p>
        </w:tc>
        <w:tc>
          <w:tcPr>
            <w:tcW w:w="740" w:type="dxa"/>
            <w:vAlign w:val="bottom"/>
            <w:tcBorders>
              <w:top w:val="single" w:sz="8" w:color="auto"/>
              <w:bottom w:val="single" w:sz="8" w:color="auto"/>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729</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88"/>
        </w:trPr>
        <w:tc>
          <w:tcPr>
            <w:tcW w:w="3880" w:type="dxa"/>
            <w:vAlign w:val="bottom"/>
          </w:tcPr>
          <w:p>
            <w:pPr>
              <w:spacing w:after="0"/>
              <w:rPr>
                <w:sz w:val="7"/>
                <w:szCs w:val="7"/>
                <w:color w:val="auto"/>
              </w:rPr>
            </w:pPr>
          </w:p>
        </w:tc>
        <w:tc>
          <w:tcPr>
            <w:tcW w:w="24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840" w:type="dxa"/>
            <w:vAlign w:val="bottom"/>
          </w:tcPr>
          <w:p>
            <w:pPr>
              <w:spacing w:after="0"/>
              <w:rPr>
                <w:sz w:val="7"/>
                <w:szCs w:val="7"/>
                <w:color w:val="auto"/>
              </w:rPr>
            </w:pPr>
          </w:p>
        </w:tc>
      </w:tr>
      <w:tr>
        <w:trPr>
          <w:trHeight w:val="245"/>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Diluted adjusted net income per common unit</w:t>
            </w:r>
          </w:p>
        </w:tc>
        <w:tc>
          <w:tcPr>
            <w:tcW w:w="740" w:type="dxa"/>
            <w:vAlign w:val="bottom"/>
            <w:tcBorders>
              <w:bottom w:val="single" w:sz="8" w:color="auto"/>
            </w:tcBorders>
            <w:shd w:val="clear" w:color="auto" w:fill="CCEEFF"/>
          </w:tcPr>
          <w:p>
            <w:pPr>
              <w:jc w:val="right"/>
              <w:ind w:right="557"/>
              <w:spacing w:after="0"/>
              <w:rPr>
                <w:sz w:val="20"/>
                <w:szCs w:val="20"/>
                <w:color w:val="auto"/>
              </w:rPr>
            </w:pPr>
            <w:r>
              <w:rPr>
                <w:rFonts w:ascii="Arial" w:cs="Arial" w:eastAsia="Arial" w:hAnsi="Arial"/>
                <w:sz w:val="17"/>
                <w:szCs w:val="17"/>
                <w:color w:val="auto"/>
                <w:w w:val="84"/>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0.23</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0.25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0.81</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127"/>
        </w:trPr>
        <w:tc>
          <w:tcPr>
            <w:tcW w:w="3880" w:type="dxa"/>
            <w:vAlign w:val="bottom"/>
            <w:tcBorders>
              <w:bottom w:val="single" w:sz="8" w:color="auto"/>
            </w:tcBorders>
          </w:tcPr>
          <w:p>
            <w:pPr>
              <w:spacing w:after="0"/>
              <w:rPr>
                <w:sz w:val="11"/>
                <w:szCs w:val="11"/>
                <w:color w:val="auto"/>
              </w:rPr>
            </w:pPr>
          </w:p>
        </w:tc>
        <w:tc>
          <w:tcPr>
            <w:tcW w:w="2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r>
    </w:tbl>
    <w:p>
      <w:pPr>
        <w:spacing w:after="0" w:line="124" w:lineRule="exact"/>
        <w:rPr>
          <w:sz w:val="20"/>
          <w:szCs w:val="20"/>
          <w:color w:val="auto"/>
        </w:rPr>
      </w:pPr>
    </w:p>
    <w:p>
      <w:pPr>
        <w:ind w:left="320" w:right="40" w:hanging="317"/>
        <w:spacing w:after="0" w:line="219" w:lineRule="auto"/>
        <w:tabs>
          <w:tab w:leader="none" w:pos="308"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We calculate adjusted net income allocated to common unitholders based on the distributions pertaining to the current period’s net income. After adjusting for the appropriate period’s distributions, the remaining undistributed earnings or excess distributions over earnings, if any, are allocated to the common unitholders and participating securities in accordance with the contractual terms of our partnership agreement in effect for the period and as further prescribed under the two-class method.</w:t>
      </w:r>
    </w:p>
    <w:p>
      <w:pPr>
        <w:spacing w:after="0" w:line="34" w:lineRule="exact"/>
        <w:rPr>
          <w:rFonts w:ascii="Arial" w:cs="Arial" w:eastAsia="Arial" w:hAnsi="Arial"/>
          <w:sz w:val="18"/>
          <w:szCs w:val="18"/>
          <w:color w:val="auto"/>
          <w:vertAlign w:val="superscript"/>
        </w:rPr>
      </w:pPr>
    </w:p>
    <w:p>
      <w:pPr>
        <w:ind w:left="320" w:right="340" w:hanging="317"/>
        <w:spacing w:after="0" w:line="215" w:lineRule="auto"/>
        <w:tabs>
          <w:tab w:leader="none" w:pos="308"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Certain of our non-GAAP financial measures may not be impacted by each of the selected items impacting comparability. See the “Selected Items Impacting Comparability” table for additional information.</w:t>
      </w:r>
    </w:p>
    <w:p>
      <w:pPr>
        <w:spacing w:after="0" w:line="32" w:lineRule="exact"/>
        <w:rPr>
          <w:rFonts w:ascii="Arial" w:cs="Arial" w:eastAsia="Arial" w:hAnsi="Arial"/>
          <w:sz w:val="18"/>
          <w:szCs w:val="18"/>
          <w:color w:val="auto"/>
          <w:vertAlign w:val="superscript"/>
        </w:rPr>
      </w:pPr>
    </w:p>
    <w:p>
      <w:pPr>
        <w:ind w:left="320" w:right="140" w:hanging="317"/>
        <w:spacing w:after="0" w:line="215" w:lineRule="auto"/>
        <w:tabs>
          <w:tab w:leader="none" w:pos="308"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The possible conversion of our Series A preferred units was excluded from the calculation of diluted net income per common unit for the three and six months ended June 30, 2021 and 2020 as the effect was antidilutive.</w:t>
      </w:r>
    </w:p>
    <w:p>
      <w:pPr>
        <w:spacing w:after="0" w:line="32" w:lineRule="exact"/>
        <w:rPr>
          <w:rFonts w:ascii="Arial" w:cs="Arial" w:eastAsia="Arial" w:hAnsi="Arial"/>
          <w:sz w:val="18"/>
          <w:szCs w:val="18"/>
          <w:color w:val="auto"/>
          <w:vertAlign w:val="superscript"/>
        </w:rPr>
      </w:pPr>
    </w:p>
    <w:p>
      <w:pPr>
        <w:ind w:left="320" w:right="100" w:hanging="317"/>
        <w:spacing w:after="0" w:line="209" w:lineRule="auto"/>
        <w:tabs>
          <w:tab w:leader="none" w:pos="308"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Our equity-indexed compensation plan awards that contemplate the issuance of common units are considered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 For the three months ended June 30, 2021 and 2020 and for the six months ended June 30, 2021, the effect of equity-indexed compensation plan awards was antidilutive.</w:t>
      </w:r>
    </w:p>
    <w:p>
      <w:pPr>
        <w:ind w:left="5440" w:hanging="93"/>
        <w:spacing w:after="0"/>
        <w:tabs>
          <w:tab w:leader="none" w:pos="5440" w:val="left"/>
        </w:tabs>
        <w:numPr>
          <w:ilvl w:val="1"/>
          <w:numId w:val="10"/>
        </w:numPr>
        <w:rPr>
          <w:rFonts w:ascii="Arial" w:cs="Arial" w:eastAsia="Arial" w:hAnsi="Arial"/>
          <w:sz w:val="17"/>
          <w:szCs w:val="17"/>
          <w:color w:val="auto"/>
        </w:rPr>
      </w:pPr>
      <w:r>
        <w:rPr>
          <w:rFonts w:ascii="Arial" w:cs="Arial" w:eastAsia="Arial" w:hAnsi="Arial"/>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88265</wp:posOffset>
            </wp:positionV>
            <wp:extent cx="71215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30"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u w:val="single" w:color="auto"/>
          <w:color w:val="auto"/>
        </w:rPr>
        <w:t>Page 11</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NON-GAAP RECONCILIATIONS (continued)</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Income/(Loss) Per Common Unit to Adjusted Net Income Per Common Unit Reconciliations: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020" w:type="dxa"/>
            <w:vAlign w:val="bottom"/>
            <w:gridSpan w:val="4"/>
          </w:tcPr>
          <w:p>
            <w:pPr>
              <w:jc w:val="right"/>
              <w:ind w:right="97"/>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4"/>
          </w:tcPr>
          <w:p>
            <w:pPr>
              <w:jc w:val="right"/>
              <w:ind w:right="576"/>
              <w:spacing w:after="0"/>
              <w:rPr>
                <w:sz w:val="20"/>
                <w:szCs w:val="20"/>
                <w:color w:val="auto"/>
              </w:rPr>
            </w:pPr>
            <w:r>
              <w:rPr>
                <w:rFonts w:ascii="Arial" w:cs="Arial" w:eastAsia="Arial" w:hAnsi="Arial"/>
                <w:sz w:val="14"/>
                <w:szCs w:val="14"/>
                <w:b w:val="1"/>
                <w:bCs w:val="1"/>
                <w:color w:val="auto"/>
              </w:rPr>
              <w:t>Six Months Ended</w:t>
            </w:r>
          </w:p>
        </w:tc>
      </w:tr>
      <w:tr>
        <w:trPr>
          <w:trHeight w:val="180"/>
        </w:trPr>
        <w:tc>
          <w:tcPr>
            <w:tcW w:w="38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right"/>
              <w:ind w:right="477"/>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ind w:right="34"/>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5"/>
                <w:szCs w:val="15"/>
                <w:color w:val="auto"/>
              </w:rPr>
            </w:pPr>
          </w:p>
        </w:tc>
      </w:tr>
      <w:tr>
        <w:trPr>
          <w:trHeight w:val="174"/>
        </w:trPr>
        <w:tc>
          <w:tcPr>
            <w:tcW w:w="3880" w:type="dxa"/>
            <w:vAlign w:val="bottom"/>
            <w:tcBorders>
              <w:bottom w:val="single" w:sz="8" w:color="CCEEFF"/>
            </w:tcBorders>
          </w:tcPr>
          <w:p>
            <w:pPr>
              <w:spacing w:after="0"/>
              <w:rPr>
                <w:sz w:val="15"/>
                <w:szCs w:val="15"/>
                <w:color w:val="auto"/>
              </w:rPr>
            </w:pPr>
          </w:p>
        </w:tc>
        <w:tc>
          <w:tcPr>
            <w:tcW w:w="240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2020</w:t>
            </w:r>
          </w:p>
        </w:tc>
      </w:tr>
      <w:tr>
        <w:trPr>
          <w:trHeight w:val="214"/>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Basic net income/(loss) per common unit</w:t>
            </w:r>
          </w:p>
        </w:tc>
        <w:tc>
          <w:tcPr>
            <w:tcW w:w="720" w:type="dxa"/>
            <w:vAlign w:val="bottom"/>
            <w:shd w:val="clear" w:color="auto" w:fill="CCEEFF"/>
          </w:tcPr>
          <w:p>
            <w:pPr>
              <w:jc w:val="right"/>
              <w:ind w:right="540"/>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(0.37)</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57"/>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0.13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center"/>
              <w:ind w:left="296"/>
              <w:spacing w:after="0"/>
              <w:rPr>
                <w:sz w:val="20"/>
                <w:szCs w:val="20"/>
                <w:color w:val="auto"/>
              </w:rPr>
            </w:pPr>
            <w:r>
              <w:rPr>
                <w:rFonts w:ascii="Arial" w:cs="Arial" w:eastAsia="Arial" w:hAnsi="Arial"/>
                <w:sz w:val="17"/>
                <w:szCs w:val="17"/>
                <w:color w:val="auto"/>
                <w:w w:val="94"/>
              </w:rPr>
              <w:t>(3.85)</w:t>
            </w:r>
          </w:p>
        </w:tc>
      </w:tr>
      <w:tr>
        <w:trPr>
          <w:trHeight w:val="220"/>
        </w:trPr>
        <w:tc>
          <w:tcPr>
            <w:tcW w:w="6280" w:type="dxa"/>
            <w:vAlign w:val="bottom"/>
            <w:tcBorders>
              <w:bottom w:val="single" w:sz="8" w:color="CCEEFF"/>
            </w:tcBorders>
            <w:gridSpan w:val="2"/>
          </w:tcPr>
          <w:p>
            <w:pPr>
              <w:ind w:left="20"/>
              <w:spacing w:after="0" w:line="220" w:lineRule="exact"/>
              <w:rPr>
                <w:sz w:val="20"/>
                <w:szCs w:val="20"/>
                <w:color w:val="auto"/>
              </w:rPr>
            </w:pPr>
            <w:r>
              <w:rPr>
                <w:rFonts w:ascii="Arial" w:cs="Arial" w:eastAsia="Arial" w:hAnsi="Arial"/>
                <w:sz w:val="17"/>
                <w:szCs w:val="17"/>
                <w:color w:val="auto"/>
              </w:rPr>
              <w:t xml:space="preserve">Selected items impacting comparability per common unit </w:t>
            </w:r>
            <w:r>
              <w:rPr>
                <w:rFonts w:ascii="Arial" w:cs="Arial" w:eastAsia="Arial" w:hAnsi="Arial"/>
                <w:sz w:val="22"/>
                <w:szCs w:val="22"/>
                <w:color w:val="auto"/>
                <w:vertAlign w:val="superscript"/>
              </w:rPr>
              <w:t>(1)</w:t>
            </w:r>
          </w:p>
        </w:tc>
        <w:tc>
          <w:tcPr>
            <w:tcW w:w="7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0"/>
              </w:rPr>
              <w:t>0.60</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0.12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0.34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left="336"/>
              <w:spacing w:after="0"/>
              <w:rPr>
                <w:sz w:val="20"/>
                <w:szCs w:val="20"/>
                <w:color w:val="auto"/>
              </w:rPr>
            </w:pPr>
            <w:r>
              <w:rPr>
                <w:rFonts w:ascii="Arial" w:cs="Arial" w:eastAsia="Arial" w:hAnsi="Arial"/>
                <w:sz w:val="17"/>
                <w:szCs w:val="17"/>
                <w:color w:val="auto"/>
                <w:w w:val="90"/>
              </w:rPr>
              <w:t>4.66</w:t>
            </w:r>
          </w:p>
        </w:tc>
      </w:tr>
      <w:tr>
        <w:trPr>
          <w:trHeight w:val="238"/>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Basic adjusted net income per common unit</w:t>
            </w:r>
          </w:p>
        </w:tc>
        <w:tc>
          <w:tcPr>
            <w:tcW w:w="720" w:type="dxa"/>
            <w:vAlign w:val="bottom"/>
            <w:tcBorders>
              <w:bottom w:val="single" w:sz="8" w:color="auto"/>
            </w:tcBorders>
            <w:shd w:val="clear" w:color="auto" w:fill="CCEEFF"/>
          </w:tcPr>
          <w:p>
            <w:pPr>
              <w:jc w:val="right"/>
              <w:ind w:right="540"/>
              <w:spacing w:after="0"/>
              <w:rPr>
                <w:sz w:val="20"/>
                <w:szCs w:val="20"/>
                <w:color w:val="auto"/>
              </w:rPr>
            </w:pPr>
            <w:r>
              <w:rPr>
                <w:rFonts w:ascii="Arial" w:cs="Arial" w:eastAsia="Arial" w:hAnsi="Arial"/>
                <w:sz w:val="17"/>
                <w:szCs w:val="17"/>
                <w:color w:val="auto"/>
                <w:w w:val="84"/>
              </w:rPr>
              <w:t>$</w:t>
            </w:r>
          </w:p>
        </w:tc>
        <w:tc>
          <w:tcPr>
            <w:tcW w:w="4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0"/>
              </w:rPr>
              <w:t>0.23</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557"/>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0.25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jc w:val="center"/>
              <w:ind w:left="336"/>
              <w:spacing w:after="0"/>
              <w:rPr>
                <w:sz w:val="20"/>
                <w:szCs w:val="20"/>
                <w:color w:val="auto"/>
              </w:rPr>
            </w:pPr>
            <w:r>
              <w:rPr>
                <w:rFonts w:ascii="Arial" w:cs="Arial" w:eastAsia="Arial" w:hAnsi="Arial"/>
                <w:sz w:val="17"/>
                <w:szCs w:val="17"/>
                <w:color w:val="auto"/>
                <w:w w:val="90"/>
              </w:rPr>
              <w:t>0.81</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101"/>
        </w:trPr>
        <w:tc>
          <w:tcPr>
            <w:tcW w:w="3880" w:type="dxa"/>
            <w:vAlign w:val="bottom"/>
          </w:tcPr>
          <w:p>
            <w:pPr>
              <w:spacing w:after="0"/>
              <w:rPr>
                <w:sz w:val="8"/>
                <w:szCs w:val="8"/>
                <w:color w:val="auto"/>
              </w:rPr>
            </w:pPr>
          </w:p>
        </w:tc>
        <w:tc>
          <w:tcPr>
            <w:tcW w:w="2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40" w:type="dxa"/>
            <w:vAlign w:val="bottom"/>
          </w:tcPr>
          <w:p>
            <w:pPr>
              <w:spacing w:after="0"/>
              <w:rPr>
                <w:sz w:val="8"/>
                <w:szCs w:val="8"/>
                <w:color w:val="auto"/>
              </w:rPr>
            </w:pPr>
          </w:p>
        </w:tc>
      </w:tr>
      <w:tr>
        <w:trPr>
          <w:trHeight w:val="220"/>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Diluted net income/(loss) per common unit</w:t>
            </w:r>
          </w:p>
        </w:tc>
        <w:tc>
          <w:tcPr>
            <w:tcW w:w="720" w:type="dxa"/>
            <w:vAlign w:val="bottom"/>
            <w:shd w:val="clear" w:color="auto" w:fill="CCEEFF"/>
          </w:tcPr>
          <w:p>
            <w:pPr>
              <w:jc w:val="right"/>
              <w:ind w:right="540"/>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(0.37)</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7"/>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0.13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center"/>
              <w:ind w:left="296"/>
              <w:spacing w:after="0"/>
              <w:rPr>
                <w:sz w:val="20"/>
                <w:szCs w:val="20"/>
                <w:color w:val="auto"/>
              </w:rPr>
            </w:pPr>
            <w:r>
              <w:rPr>
                <w:rFonts w:ascii="Arial" w:cs="Arial" w:eastAsia="Arial" w:hAnsi="Arial"/>
                <w:sz w:val="17"/>
                <w:szCs w:val="17"/>
                <w:color w:val="auto"/>
                <w:w w:val="94"/>
              </w:rPr>
              <w:t>(3.85)</w:t>
            </w:r>
          </w:p>
        </w:tc>
      </w:tr>
      <w:tr>
        <w:trPr>
          <w:trHeight w:val="220"/>
        </w:trPr>
        <w:tc>
          <w:tcPr>
            <w:tcW w:w="6280" w:type="dxa"/>
            <w:vAlign w:val="bottom"/>
            <w:tcBorders>
              <w:bottom w:val="single" w:sz="8" w:color="CCEEFF"/>
            </w:tcBorders>
            <w:gridSpan w:val="2"/>
          </w:tcPr>
          <w:p>
            <w:pPr>
              <w:ind w:left="20"/>
              <w:spacing w:after="0" w:line="220" w:lineRule="exact"/>
              <w:rPr>
                <w:sz w:val="20"/>
                <w:szCs w:val="20"/>
                <w:color w:val="auto"/>
              </w:rPr>
            </w:pPr>
            <w:r>
              <w:rPr>
                <w:rFonts w:ascii="Arial" w:cs="Arial" w:eastAsia="Arial" w:hAnsi="Arial"/>
                <w:sz w:val="17"/>
                <w:szCs w:val="17"/>
                <w:color w:val="auto"/>
              </w:rPr>
              <w:t xml:space="preserve">Selected items impacting comparability per common unit </w:t>
            </w:r>
            <w:r>
              <w:rPr>
                <w:rFonts w:ascii="Arial" w:cs="Arial" w:eastAsia="Arial" w:hAnsi="Arial"/>
                <w:sz w:val="22"/>
                <w:szCs w:val="22"/>
                <w:color w:val="auto"/>
                <w:vertAlign w:val="superscript"/>
              </w:rPr>
              <w:t>(1)</w:t>
            </w:r>
          </w:p>
        </w:tc>
        <w:tc>
          <w:tcPr>
            <w:tcW w:w="7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0"/>
              </w:rPr>
              <w:t>0.60</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0.12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0.34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left="336"/>
              <w:spacing w:after="0"/>
              <w:rPr>
                <w:sz w:val="20"/>
                <w:szCs w:val="20"/>
                <w:color w:val="auto"/>
              </w:rPr>
            </w:pPr>
            <w:r>
              <w:rPr>
                <w:rFonts w:ascii="Arial" w:cs="Arial" w:eastAsia="Arial" w:hAnsi="Arial"/>
                <w:sz w:val="17"/>
                <w:szCs w:val="17"/>
                <w:color w:val="auto"/>
                <w:w w:val="90"/>
              </w:rPr>
              <w:t>4.66</w:t>
            </w:r>
          </w:p>
        </w:tc>
      </w:tr>
      <w:tr>
        <w:trPr>
          <w:trHeight w:val="238"/>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Diluted adjusted net income per common unit</w:t>
            </w:r>
          </w:p>
        </w:tc>
        <w:tc>
          <w:tcPr>
            <w:tcW w:w="720" w:type="dxa"/>
            <w:vAlign w:val="bottom"/>
            <w:tcBorders>
              <w:bottom w:val="single" w:sz="8" w:color="auto"/>
            </w:tcBorders>
            <w:shd w:val="clear" w:color="auto" w:fill="CCEEFF"/>
          </w:tcPr>
          <w:p>
            <w:pPr>
              <w:jc w:val="right"/>
              <w:ind w:right="540"/>
              <w:spacing w:after="0"/>
              <w:rPr>
                <w:sz w:val="20"/>
                <w:szCs w:val="20"/>
                <w:color w:val="auto"/>
              </w:rPr>
            </w:pPr>
            <w:r>
              <w:rPr>
                <w:rFonts w:ascii="Arial" w:cs="Arial" w:eastAsia="Arial" w:hAnsi="Arial"/>
                <w:sz w:val="17"/>
                <w:szCs w:val="17"/>
                <w:color w:val="auto"/>
                <w:w w:val="84"/>
              </w:rPr>
              <w:t>$</w:t>
            </w:r>
          </w:p>
        </w:tc>
        <w:tc>
          <w:tcPr>
            <w:tcW w:w="4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0"/>
              </w:rPr>
              <w:t>0.23</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557"/>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0.25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jc w:val="center"/>
              <w:ind w:left="336"/>
              <w:spacing w:after="0"/>
              <w:rPr>
                <w:sz w:val="20"/>
                <w:szCs w:val="20"/>
                <w:color w:val="auto"/>
              </w:rPr>
            </w:pPr>
            <w:r>
              <w:rPr>
                <w:rFonts w:ascii="Arial" w:cs="Arial" w:eastAsia="Arial" w:hAnsi="Arial"/>
                <w:sz w:val="17"/>
                <w:szCs w:val="17"/>
                <w:color w:val="auto"/>
                <w:w w:val="90"/>
              </w:rPr>
              <w:t>0.81</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127"/>
        </w:trPr>
        <w:tc>
          <w:tcPr>
            <w:tcW w:w="3880" w:type="dxa"/>
            <w:vAlign w:val="bottom"/>
            <w:tcBorders>
              <w:bottom w:val="single" w:sz="8" w:color="auto"/>
            </w:tcBorders>
          </w:tcPr>
          <w:p>
            <w:pPr>
              <w:spacing w:after="0"/>
              <w:rPr>
                <w:sz w:val="11"/>
                <w:szCs w:val="11"/>
                <w:color w:val="auto"/>
              </w:rPr>
            </w:pPr>
          </w:p>
        </w:tc>
        <w:tc>
          <w:tcPr>
            <w:tcW w:w="2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r>
    </w:tbl>
    <w:p>
      <w:pPr>
        <w:spacing w:after="0" w:line="130" w:lineRule="exact"/>
        <w:rPr>
          <w:sz w:val="20"/>
          <w:szCs w:val="20"/>
          <w:color w:val="auto"/>
        </w:rPr>
      </w:pPr>
    </w:p>
    <w:p>
      <w:pPr>
        <w:ind w:left="320" w:right="100" w:hanging="317"/>
        <w:spacing w:after="0" w:line="228" w:lineRule="auto"/>
        <w:tabs>
          <w:tab w:leader="none" w:pos="308" w:val="left"/>
        </w:tabs>
        <w:numPr>
          <w:ilvl w:val="0"/>
          <w:numId w:val="11"/>
        </w:numPr>
        <w:rPr>
          <w:rFonts w:ascii="Arial" w:cs="Arial" w:eastAsia="Arial" w:hAnsi="Arial"/>
          <w:sz w:val="22"/>
          <w:szCs w:val="22"/>
          <w:color w:val="auto"/>
          <w:vertAlign w:val="superscript"/>
        </w:rPr>
      </w:pPr>
      <w:r>
        <w:rPr>
          <w:rFonts w:ascii="Arial" w:cs="Arial" w:eastAsia="Arial" w:hAnsi="Arial"/>
          <w:sz w:val="17"/>
          <w:szCs w:val="17"/>
          <w:color w:val="auto"/>
        </w:rPr>
        <w:t>See the “Selected Items Impacting Comparability” and the “Computation of Basic and Diluted Adjusted Net Income Per Common Unit” tables for additional information.</w:t>
      </w:r>
    </w:p>
    <w:p>
      <w:pPr>
        <w:spacing w:after="0" w:line="336" w:lineRule="exact"/>
        <w:rPr>
          <w:sz w:val="20"/>
          <w:szCs w:val="20"/>
          <w:color w:val="auto"/>
        </w:rPr>
      </w:pPr>
    </w:p>
    <w:p>
      <w:pPr>
        <w:jc w:val="center"/>
        <w:ind w:left="8800"/>
        <w:spacing w:after="0"/>
        <w:rPr>
          <w:sz w:val="20"/>
          <w:szCs w:val="20"/>
          <w:color w:val="auto"/>
        </w:rPr>
      </w:pPr>
      <w:r>
        <w:rPr>
          <w:rFonts w:ascii="Arial" w:cs="Arial" w:eastAsia="Arial" w:hAnsi="Arial"/>
          <w:sz w:val="14"/>
          <w:szCs w:val="14"/>
          <w:b w:val="1"/>
          <w:bCs w:val="1"/>
          <w:color w:val="auto"/>
        </w:rPr>
        <w:t>Twelve Months Ended</w:t>
      </w:r>
    </w:p>
    <w:p>
      <w:pPr>
        <w:jc w:val="center"/>
        <w:ind w:left="8800"/>
        <w:spacing w:after="0"/>
        <w:rPr>
          <w:sz w:val="20"/>
          <w:szCs w:val="20"/>
          <w:color w:val="auto"/>
        </w:rPr>
      </w:pPr>
      <w:r>
        <w:rPr>
          <w:rFonts w:ascii="Arial" w:cs="Arial" w:eastAsia="Arial" w:hAnsi="Arial"/>
          <w:sz w:val="14"/>
          <w:szCs w:val="14"/>
          <w:b w:val="1"/>
          <w:bCs w:val="1"/>
          <w:color w:val="auto"/>
        </w:rPr>
        <w:t>December 31,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80" w:type="dxa"/>
            <w:vAlign w:val="bottom"/>
            <w:tcBorders>
              <w:bottom w:val="single" w:sz="8" w:color="CCEEFF"/>
            </w:tcBorders>
          </w:tcPr>
          <w:p>
            <w:pPr>
              <w:spacing w:after="0"/>
              <w:rPr>
                <w:sz w:val="16"/>
                <w:szCs w:val="16"/>
                <w:color w:val="auto"/>
              </w:rPr>
            </w:pPr>
          </w:p>
        </w:tc>
        <w:tc>
          <w:tcPr>
            <w:tcW w:w="4940" w:type="dxa"/>
            <w:vAlign w:val="bottom"/>
            <w:tcBorders>
              <w:bottom w:val="single" w:sz="8" w:color="CCEEFF"/>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2019</w:t>
            </w:r>
          </w:p>
        </w:tc>
      </w:tr>
      <w:tr>
        <w:trPr>
          <w:trHeight w:val="214"/>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Basic net income/(loss) per common unit</w:t>
            </w:r>
          </w:p>
        </w:tc>
        <w:tc>
          <w:tcPr>
            <w:tcW w:w="720" w:type="dxa"/>
            <w:vAlign w:val="bottom"/>
            <w:shd w:val="clear" w:color="auto" w:fill="CCEEFF"/>
          </w:tcPr>
          <w:p>
            <w:pPr>
              <w:jc w:val="right"/>
              <w:ind w:right="537"/>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(3.83)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center"/>
              <w:ind w:left="376"/>
              <w:spacing w:after="0"/>
              <w:rPr>
                <w:sz w:val="20"/>
                <w:szCs w:val="20"/>
                <w:color w:val="auto"/>
              </w:rPr>
            </w:pPr>
            <w:r>
              <w:rPr>
                <w:rFonts w:ascii="Arial" w:cs="Arial" w:eastAsia="Arial" w:hAnsi="Arial"/>
                <w:sz w:val="17"/>
                <w:szCs w:val="17"/>
                <w:color w:val="auto"/>
                <w:w w:val="90"/>
              </w:rPr>
              <w:t>2.70</w:t>
            </w:r>
          </w:p>
        </w:tc>
      </w:tr>
      <w:tr>
        <w:trPr>
          <w:trHeight w:val="220"/>
        </w:trPr>
        <w:tc>
          <w:tcPr>
            <w:tcW w:w="8820" w:type="dxa"/>
            <w:vAlign w:val="bottom"/>
            <w:tcBorders>
              <w:bottom w:val="single" w:sz="8" w:color="CCEEFF"/>
            </w:tcBorders>
            <w:gridSpan w:val="2"/>
          </w:tcPr>
          <w:p>
            <w:pPr>
              <w:ind w:left="20"/>
              <w:spacing w:after="0" w:line="220" w:lineRule="exact"/>
              <w:rPr>
                <w:sz w:val="20"/>
                <w:szCs w:val="20"/>
                <w:color w:val="auto"/>
              </w:rPr>
            </w:pPr>
            <w:r>
              <w:rPr>
                <w:rFonts w:ascii="Arial" w:cs="Arial" w:eastAsia="Arial" w:hAnsi="Arial"/>
                <w:sz w:val="17"/>
                <w:szCs w:val="17"/>
                <w:color w:val="auto"/>
              </w:rPr>
              <w:t xml:space="preserve">Selected items impacting comparability per common unit </w:t>
            </w:r>
            <w:r>
              <w:rPr>
                <w:rFonts w:ascii="Arial" w:cs="Arial" w:eastAsia="Arial" w:hAnsi="Arial"/>
                <w:sz w:val="22"/>
                <w:szCs w:val="22"/>
                <w:color w:val="auto"/>
                <w:vertAlign w:val="superscript"/>
              </w:rPr>
              <w:t>(1)</w:t>
            </w:r>
          </w:p>
        </w:tc>
        <w:tc>
          <w:tcPr>
            <w:tcW w:w="7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0"/>
              </w:rPr>
              <w:t>5.38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left="336"/>
              <w:spacing w:after="0"/>
              <w:rPr>
                <w:sz w:val="20"/>
                <w:szCs w:val="20"/>
                <w:color w:val="auto"/>
              </w:rPr>
            </w:pPr>
            <w:r>
              <w:rPr>
                <w:rFonts w:ascii="Arial" w:cs="Arial" w:eastAsia="Arial" w:hAnsi="Arial"/>
                <w:sz w:val="17"/>
                <w:szCs w:val="17"/>
                <w:color w:val="auto"/>
                <w:w w:val="94"/>
              </w:rPr>
              <w:t>(0.14)</w:t>
            </w:r>
          </w:p>
        </w:tc>
      </w:tr>
      <w:tr>
        <w:trPr>
          <w:trHeight w:val="238"/>
        </w:trPr>
        <w:tc>
          <w:tcPr>
            <w:tcW w:w="8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Basic adjusted net income per common unit</w:t>
            </w:r>
          </w:p>
        </w:tc>
        <w:tc>
          <w:tcPr>
            <w:tcW w:w="720" w:type="dxa"/>
            <w:vAlign w:val="bottom"/>
            <w:tcBorders>
              <w:bottom w:val="single" w:sz="8" w:color="auto"/>
            </w:tcBorders>
            <w:shd w:val="clear" w:color="auto" w:fill="CCEEFF"/>
          </w:tcPr>
          <w:p>
            <w:pPr>
              <w:jc w:val="right"/>
              <w:ind w:right="537"/>
              <w:spacing w:after="0"/>
              <w:rPr>
                <w:sz w:val="20"/>
                <w:szCs w:val="20"/>
                <w:color w:val="auto"/>
              </w:rPr>
            </w:pPr>
            <w:r>
              <w:rPr>
                <w:rFonts w:ascii="Arial" w:cs="Arial" w:eastAsia="Arial" w:hAnsi="Arial"/>
                <w:sz w:val="17"/>
                <w:szCs w:val="17"/>
                <w:color w:val="auto"/>
                <w:w w:val="84"/>
              </w:rPr>
              <w:t>$</w:t>
            </w:r>
          </w:p>
        </w:tc>
        <w:tc>
          <w:tcPr>
            <w:tcW w:w="4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0"/>
              </w:rPr>
              <w:t>1.55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center"/>
              <w:ind w:left="376"/>
              <w:spacing w:after="0"/>
              <w:rPr>
                <w:sz w:val="20"/>
                <w:szCs w:val="20"/>
                <w:color w:val="auto"/>
              </w:rPr>
            </w:pPr>
            <w:r>
              <w:rPr>
                <w:rFonts w:ascii="Arial" w:cs="Arial" w:eastAsia="Arial" w:hAnsi="Arial"/>
                <w:sz w:val="17"/>
                <w:szCs w:val="17"/>
                <w:color w:val="auto"/>
                <w:w w:val="90"/>
              </w:rPr>
              <w:t>2.56</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9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01"/>
        </w:trPr>
        <w:tc>
          <w:tcPr>
            <w:tcW w:w="3880" w:type="dxa"/>
            <w:vAlign w:val="bottom"/>
          </w:tcPr>
          <w:p>
            <w:pPr>
              <w:spacing w:after="0"/>
              <w:rPr>
                <w:sz w:val="8"/>
                <w:szCs w:val="8"/>
                <w:color w:val="auto"/>
              </w:rPr>
            </w:pPr>
          </w:p>
        </w:tc>
        <w:tc>
          <w:tcPr>
            <w:tcW w:w="4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r>
      <w:tr>
        <w:trPr>
          <w:trHeight w:val="220"/>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Diluted net income/(loss) per common unit</w:t>
            </w:r>
          </w:p>
        </w:tc>
        <w:tc>
          <w:tcPr>
            <w:tcW w:w="720" w:type="dxa"/>
            <w:vAlign w:val="bottom"/>
            <w:shd w:val="clear" w:color="auto" w:fill="CCEEFF"/>
          </w:tcPr>
          <w:p>
            <w:pPr>
              <w:jc w:val="right"/>
              <w:ind w:right="537"/>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(3.83)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center"/>
              <w:ind w:left="376"/>
              <w:spacing w:after="0"/>
              <w:rPr>
                <w:sz w:val="20"/>
                <w:szCs w:val="20"/>
                <w:color w:val="auto"/>
              </w:rPr>
            </w:pPr>
            <w:r>
              <w:rPr>
                <w:rFonts w:ascii="Arial" w:cs="Arial" w:eastAsia="Arial" w:hAnsi="Arial"/>
                <w:sz w:val="17"/>
                <w:szCs w:val="17"/>
                <w:color w:val="auto"/>
                <w:w w:val="90"/>
              </w:rPr>
              <w:t>2.65</w:t>
            </w:r>
          </w:p>
        </w:tc>
      </w:tr>
      <w:tr>
        <w:trPr>
          <w:trHeight w:val="220"/>
        </w:trPr>
        <w:tc>
          <w:tcPr>
            <w:tcW w:w="8820" w:type="dxa"/>
            <w:vAlign w:val="bottom"/>
            <w:tcBorders>
              <w:bottom w:val="single" w:sz="8" w:color="CCEEFF"/>
            </w:tcBorders>
            <w:gridSpan w:val="2"/>
          </w:tcPr>
          <w:p>
            <w:pPr>
              <w:ind w:left="20"/>
              <w:spacing w:after="0" w:line="220" w:lineRule="exact"/>
              <w:rPr>
                <w:sz w:val="20"/>
                <w:szCs w:val="20"/>
                <w:color w:val="auto"/>
              </w:rPr>
            </w:pPr>
            <w:r>
              <w:rPr>
                <w:rFonts w:ascii="Arial" w:cs="Arial" w:eastAsia="Arial" w:hAnsi="Arial"/>
                <w:sz w:val="17"/>
                <w:szCs w:val="17"/>
                <w:color w:val="auto"/>
              </w:rPr>
              <w:t xml:space="preserve">Selected items impacting comparability per common unit </w:t>
            </w:r>
            <w:r>
              <w:rPr>
                <w:rFonts w:ascii="Arial" w:cs="Arial" w:eastAsia="Arial" w:hAnsi="Arial"/>
                <w:sz w:val="22"/>
                <w:szCs w:val="22"/>
                <w:color w:val="auto"/>
                <w:vertAlign w:val="superscript"/>
              </w:rPr>
              <w:t>(1)</w:t>
            </w:r>
          </w:p>
        </w:tc>
        <w:tc>
          <w:tcPr>
            <w:tcW w:w="7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0"/>
              </w:rPr>
              <w:t>5.38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left="336"/>
              <w:spacing w:after="0"/>
              <w:rPr>
                <w:sz w:val="20"/>
                <w:szCs w:val="20"/>
                <w:color w:val="auto"/>
              </w:rPr>
            </w:pPr>
            <w:r>
              <w:rPr>
                <w:rFonts w:ascii="Arial" w:cs="Arial" w:eastAsia="Arial" w:hAnsi="Arial"/>
                <w:sz w:val="17"/>
                <w:szCs w:val="17"/>
                <w:color w:val="auto"/>
                <w:w w:val="94"/>
              </w:rPr>
              <w:t>(0.14)</w:t>
            </w:r>
          </w:p>
        </w:tc>
      </w:tr>
      <w:tr>
        <w:trPr>
          <w:trHeight w:val="238"/>
        </w:trPr>
        <w:tc>
          <w:tcPr>
            <w:tcW w:w="8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Diluted adjusted net income per common unit</w:t>
            </w:r>
          </w:p>
        </w:tc>
        <w:tc>
          <w:tcPr>
            <w:tcW w:w="720" w:type="dxa"/>
            <w:vAlign w:val="bottom"/>
            <w:tcBorders>
              <w:bottom w:val="single" w:sz="8" w:color="auto"/>
            </w:tcBorders>
            <w:shd w:val="clear" w:color="auto" w:fill="CCEEFF"/>
          </w:tcPr>
          <w:p>
            <w:pPr>
              <w:jc w:val="right"/>
              <w:ind w:right="537"/>
              <w:spacing w:after="0"/>
              <w:rPr>
                <w:sz w:val="20"/>
                <w:szCs w:val="20"/>
                <w:color w:val="auto"/>
              </w:rPr>
            </w:pPr>
            <w:r>
              <w:rPr>
                <w:rFonts w:ascii="Arial" w:cs="Arial" w:eastAsia="Arial" w:hAnsi="Arial"/>
                <w:sz w:val="17"/>
                <w:szCs w:val="17"/>
                <w:color w:val="auto"/>
                <w:w w:val="84"/>
              </w:rPr>
              <w:t>$</w:t>
            </w:r>
          </w:p>
        </w:tc>
        <w:tc>
          <w:tcPr>
            <w:tcW w:w="4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0"/>
              </w:rPr>
              <w:t>1.55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center"/>
              <w:ind w:left="376"/>
              <w:spacing w:after="0"/>
              <w:rPr>
                <w:sz w:val="20"/>
                <w:szCs w:val="20"/>
                <w:color w:val="auto"/>
              </w:rPr>
            </w:pPr>
            <w:r>
              <w:rPr>
                <w:rFonts w:ascii="Arial" w:cs="Arial" w:eastAsia="Arial" w:hAnsi="Arial"/>
                <w:sz w:val="17"/>
                <w:szCs w:val="17"/>
                <w:color w:val="auto"/>
                <w:w w:val="90"/>
              </w:rPr>
              <w:t>2.51</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9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40"/>
        </w:trPr>
        <w:tc>
          <w:tcPr>
            <w:tcW w:w="3880" w:type="dxa"/>
            <w:vAlign w:val="bottom"/>
            <w:tcBorders>
              <w:bottom w:val="single" w:sz="8" w:color="auto"/>
            </w:tcBorders>
          </w:tcPr>
          <w:p>
            <w:pPr>
              <w:spacing w:after="0"/>
              <w:rPr>
                <w:sz w:val="12"/>
                <w:szCs w:val="12"/>
                <w:color w:val="auto"/>
              </w:rPr>
            </w:pPr>
          </w:p>
        </w:tc>
        <w:tc>
          <w:tcPr>
            <w:tcW w:w="4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r>
    </w:tbl>
    <w:p>
      <w:pPr>
        <w:spacing w:after="0" w:line="83" w:lineRule="exact"/>
        <w:rPr>
          <w:sz w:val="20"/>
          <w:szCs w:val="20"/>
          <w:color w:val="auto"/>
        </w:rPr>
      </w:pPr>
    </w:p>
    <w:p>
      <w:pPr>
        <w:ind w:left="300" w:hanging="297"/>
        <w:spacing w:after="0"/>
        <w:tabs>
          <w:tab w:leader="none" w:pos="300" w:val="left"/>
        </w:tabs>
        <w:numPr>
          <w:ilvl w:val="0"/>
          <w:numId w:val="12"/>
        </w:numPr>
        <w:rPr>
          <w:rFonts w:ascii="Arial" w:cs="Arial" w:eastAsia="Arial" w:hAnsi="Arial"/>
          <w:sz w:val="22"/>
          <w:szCs w:val="22"/>
          <w:color w:val="auto"/>
          <w:vertAlign w:val="superscript"/>
        </w:rPr>
      </w:pPr>
      <w:r>
        <w:rPr>
          <w:rFonts w:ascii="Arial" w:cs="Arial" w:eastAsia="Arial" w:hAnsi="Arial"/>
          <w:sz w:val="17"/>
          <w:szCs w:val="17"/>
          <w:color w:val="auto"/>
        </w:rPr>
        <w:t>See the “Selected Items Impacting Comparability” table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u w:val="single" w:color="auto"/>
          <w:color w:val="auto"/>
        </w:rPr>
        <w:t>Page 12</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NON-GAAP RECONCILIATIONS (continued)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 millions, except per unit and ratio data)</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000" w:type="dxa"/>
            <w:vAlign w:val="bottom"/>
            <w:gridSpan w:val="4"/>
          </w:tcPr>
          <w:p>
            <w:pPr>
              <w:jc w:val="right"/>
              <w:ind w:right="76"/>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4"/>
          </w:tcPr>
          <w:p>
            <w:pPr>
              <w:jc w:val="right"/>
              <w:ind w:right="575"/>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0"/>
        </w:trPr>
        <w:tc>
          <w:tcPr>
            <w:tcW w:w="38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456"/>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ind w:right="34"/>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880" w:type="dxa"/>
            <w:vAlign w:val="bottom"/>
            <w:tcBorders>
              <w:bottom w:val="single" w:sz="8" w:color="CCEEFF"/>
            </w:tcBorders>
          </w:tcPr>
          <w:p>
            <w:pPr>
              <w:spacing w:after="0"/>
              <w:rPr>
                <w:sz w:val="15"/>
                <w:szCs w:val="15"/>
                <w:color w:val="auto"/>
              </w:rPr>
            </w:pPr>
          </w:p>
        </w:tc>
        <w:tc>
          <w:tcPr>
            <w:tcW w:w="24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1"/>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Net Income/(Loss) to Adjusted EBITDA and Implied DCF Reconciliation</w:t>
            </w: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280" w:type="dxa"/>
            <w:vAlign w:val="bottom"/>
            <w:gridSpan w:val="2"/>
          </w:tcPr>
          <w:p>
            <w:pPr>
              <w:ind w:left="20"/>
              <w:spacing w:after="0"/>
              <w:rPr>
                <w:sz w:val="20"/>
                <w:szCs w:val="20"/>
                <w:color w:val="auto"/>
              </w:rPr>
            </w:pPr>
            <w:r>
              <w:rPr>
                <w:rFonts w:ascii="Arial" w:cs="Arial" w:eastAsia="Arial" w:hAnsi="Arial"/>
                <w:sz w:val="17"/>
                <w:szCs w:val="17"/>
                <w:color w:val="auto"/>
              </w:rPr>
              <w:t>Net Income/(Loss)</w:t>
            </w:r>
          </w:p>
        </w:tc>
        <w:tc>
          <w:tcPr>
            <w:tcW w:w="740" w:type="dxa"/>
            <w:vAlign w:val="bottom"/>
          </w:tcPr>
          <w:p>
            <w:pPr>
              <w:jc w:val="right"/>
              <w:ind w:right="557"/>
              <w:spacing w:after="0"/>
              <w:rPr>
                <w:sz w:val="20"/>
                <w:szCs w:val="20"/>
                <w:color w:val="auto"/>
              </w:rPr>
            </w:pPr>
            <w:r>
              <w:rPr>
                <w:rFonts w:ascii="Arial" w:cs="Arial" w:eastAsia="Arial" w:hAnsi="Arial"/>
                <w:sz w:val="17"/>
                <w:szCs w:val="17"/>
                <w:color w:val="auto"/>
                <w:w w:val="84"/>
              </w:rPr>
              <w:t>$</w:t>
            </w:r>
          </w:p>
        </w:tc>
        <w:tc>
          <w:tcPr>
            <w:tcW w:w="420" w:type="dxa"/>
            <w:vAlign w:val="bottom"/>
          </w:tcPr>
          <w:p>
            <w:pPr>
              <w:jc w:val="right"/>
              <w:spacing w:after="0"/>
              <w:rPr>
                <w:sz w:val="20"/>
                <w:szCs w:val="20"/>
                <w:color w:val="auto"/>
              </w:rPr>
            </w:pPr>
            <w:r>
              <w:rPr>
                <w:rFonts w:ascii="Arial" w:cs="Arial" w:eastAsia="Arial" w:hAnsi="Arial"/>
                <w:sz w:val="17"/>
                <w:szCs w:val="17"/>
                <w:color w:val="auto"/>
                <w:w w:val="95"/>
              </w:rPr>
              <w:t>(216)</w:t>
            </w:r>
          </w:p>
        </w:tc>
        <w:tc>
          <w:tcPr>
            <w:tcW w:w="100" w:type="dxa"/>
            <w:vAlign w:val="bottom"/>
          </w:tcPr>
          <w:p>
            <w:pPr>
              <w:spacing w:after="0"/>
              <w:rPr>
                <w:sz w:val="19"/>
                <w:szCs w:val="19"/>
                <w:color w:val="auto"/>
              </w:rPr>
            </w:pPr>
          </w:p>
        </w:tc>
        <w:tc>
          <w:tcPr>
            <w:tcW w:w="740" w:type="dxa"/>
            <w:vAlign w:val="bottom"/>
          </w:tcPr>
          <w:p>
            <w:pPr>
              <w:jc w:val="right"/>
              <w:ind w:right="536"/>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144</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207</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(2,701)</w:t>
            </w:r>
          </w:p>
        </w:tc>
        <w:tc>
          <w:tcPr>
            <w:tcW w:w="0" w:type="dxa"/>
            <w:vAlign w:val="bottom"/>
          </w:tcPr>
          <w:p>
            <w:pPr>
              <w:spacing w:after="0"/>
              <w:rPr>
                <w:sz w:val="1"/>
                <w:szCs w:val="1"/>
                <w:color w:val="auto"/>
              </w:rPr>
            </w:pPr>
          </w:p>
        </w:tc>
      </w:tr>
      <w:tr>
        <w:trPr>
          <w:trHeight w:val="220"/>
        </w:trPr>
        <w:tc>
          <w:tcPr>
            <w:tcW w:w="62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Interest expense, net</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w:t>
            </w:r>
          </w:p>
        </w:tc>
        <w:tc>
          <w:tcPr>
            <w:tcW w:w="0" w:type="dxa"/>
            <w:vAlign w:val="bottom"/>
          </w:tcPr>
          <w:p>
            <w:pPr>
              <w:spacing w:after="0"/>
              <w:rPr>
                <w:sz w:val="1"/>
                <w:szCs w:val="1"/>
                <w:color w:val="auto"/>
              </w:rPr>
            </w:pPr>
          </w:p>
        </w:tc>
      </w:tr>
      <w:tr>
        <w:trPr>
          <w:trHeight w:val="220"/>
        </w:trPr>
        <w:tc>
          <w:tcPr>
            <w:tcW w:w="6280" w:type="dxa"/>
            <w:vAlign w:val="bottom"/>
            <w:gridSpan w:val="2"/>
          </w:tcPr>
          <w:p>
            <w:pPr>
              <w:ind w:left="180"/>
              <w:spacing w:after="0"/>
              <w:rPr>
                <w:sz w:val="20"/>
                <w:szCs w:val="20"/>
                <w:color w:val="auto"/>
              </w:rPr>
            </w:pPr>
            <w:r>
              <w:rPr>
                <w:rFonts w:ascii="Arial" w:cs="Arial" w:eastAsia="Arial" w:hAnsi="Arial"/>
                <w:sz w:val="17"/>
                <w:szCs w:val="17"/>
                <w:color w:val="auto"/>
              </w:rPr>
              <w:t>Income tax expense/(benefit)</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20"/>
        </w:trPr>
        <w:tc>
          <w:tcPr>
            <w:tcW w:w="62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Depreciation and amortization</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333</w:t>
            </w:r>
          </w:p>
        </w:tc>
        <w:tc>
          <w:tcPr>
            <w:tcW w:w="0" w:type="dxa"/>
            <w:vAlign w:val="bottom"/>
          </w:tcPr>
          <w:p>
            <w:pPr>
              <w:spacing w:after="0"/>
              <w:rPr>
                <w:sz w:val="1"/>
                <w:szCs w:val="1"/>
                <w:color w:val="auto"/>
              </w:rPr>
            </w:pPr>
          </w:p>
        </w:tc>
      </w:tr>
      <w:tr>
        <w:trPr>
          <w:trHeight w:val="220"/>
        </w:trPr>
        <w:tc>
          <w:tcPr>
            <w:tcW w:w="6280" w:type="dxa"/>
            <w:vAlign w:val="bottom"/>
            <w:gridSpan w:val="2"/>
          </w:tcPr>
          <w:p>
            <w:pPr>
              <w:ind w:left="180"/>
              <w:spacing w:after="0"/>
              <w:rPr>
                <w:sz w:val="20"/>
                <w:szCs w:val="20"/>
                <w:color w:val="auto"/>
              </w:rPr>
            </w:pPr>
            <w:r>
              <w:rPr>
                <w:rFonts w:ascii="Arial" w:cs="Arial" w:eastAsia="Arial" w:hAnsi="Arial"/>
                <w:sz w:val="17"/>
                <w:szCs w:val="17"/>
                <w:color w:val="auto"/>
              </w:rPr>
              <w:t>(Gains)/losses on asset sales and asset impairments, net</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369</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370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618</w:t>
            </w:r>
          </w:p>
        </w:tc>
        <w:tc>
          <w:tcPr>
            <w:tcW w:w="0" w:type="dxa"/>
            <w:vAlign w:val="bottom"/>
          </w:tcPr>
          <w:p>
            <w:pPr>
              <w:spacing w:after="0"/>
              <w:rPr>
                <w:sz w:val="1"/>
                <w:szCs w:val="1"/>
                <w:color w:val="auto"/>
              </w:rPr>
            </w:pPr>
          </w:p>
        </w:tc>
      </w:tr>
      <w:tr>
        <w:trPr>
          <w:trHeight w:val="220"/>
        </w:trPr>
        <w:tc>
          <w:tcPr>
            <w:tcW w:w="62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Goodwill impairment losses</w:t>
            </w:r>
          </w:p>
        </w:tc>
        <w:tc>
          <w:tcPr>
            <w:tcW w:w="7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2,515</w:t>
            </w:r>
          </w:p>
        </w:tc>
        <w:tc>
          <w:tcPr>
            <w:tcW w:w="0" w:type="dxa"/>
            <w:vAlign w:val="bottom"/>
          </w:tcPr>
          <w:p>
            <w:pPr>
              <w:spacing w:after="0"/>
              <w:rPr>
                <w:sz w:val="1"/>
                <w:szCs w:val="1"/>
                <w:color w:val="auto"/>
              </w:rPr>
            </w:pPr>
          </w:p>
        </w:tc>
      </w:tr>
      <w:tr>
        <w:trPr>
          <w:trHeight w:val="220"/>
        </w:trPr>
        <w:tc>
          <w:tcPr>
            <w:tcW w:w="6280" w:type="dxa"/>
            <w:vAlign w:val="bottom"/>
            <w:gridSpan w:val="2"/>
          </w:tcPr>
          <w:p>
            <w:pPr>
              <w:ind w:left="180"/>
              <w:spacing w:after="0"/>
              <w:rPr>
                <w:sz w:val="20"/>
                <w:szCs w:val="20"/>
                <w:color w:val="auto"/>
              </w:rPr>
            </w:pPr>
            <w:r>
              <w:rPr>
                <w:rFonts w:ascii="Arial" w:cs="Arial" w:eastAsia="Arial" w:hAnsi="Arial"/>
                <w:sz w:val="17"/>
                <w:szCs w:val="17"/>
                <w:color w:val="auto"/>
              </w:rPr>
              <w:t>(Gain on)/impairment of investments in unconsolidated entities, net</w:t>
            </w:r>
          </w:p>
        </w:tc>
        <w:tc>
          <w:tcPr>
            <w:tcW w:w="74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69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91</w:t>
            </w:r>
          </w:p>
        </w:tc>
        <w:tc>
          <w:tcPr>
            <w:tcW w:w="0" w:type="dxa"/>
            <w:vAlign w:val="bottom"/>
          </w:tcPr>
          <w:p>
            <w:pPr>
              <w:spacing w:after="0"/>
              <w:rPr>
                <w:sz w:val="1"/>
                <w:szCs w:val="1"/>
                <w:color w:val="auto"/>
              </w:rPr>
            </w:pPr>
          </w:p>
        </w:tc>
      </w:tr>
      <w:tr>
        <w:trPr>
          <w:trHeight w:val="220"/>
        </w:trPr>
        <w:tc>
          <w:tcPr>
            <w:tcW w:w="6280" w:type="dxa"/>
            <w:vAlign w:val="bottom"/>
            <w:gridSpan w:val="2"/>
            <w:shd w:val="clear" w:color="auto" w:fill="CCEEFF"/>
          </w:tcPr>
          <w:p>
            <w:pPr>
              <w:ind w:left="180"/>
              <w:spacing w:after="0" w:line="220" w:lineRule="exact"/>
              <w:rPr>
                <w:sz w:val="20"/>
                <w:szCs w:val="20"/>
                <w:color w:val="auto"/>
              </w:rPr>
            </w:pPr>
            <w:r>
              <w:rPr>
                <w:rFonts w:ascii="Arial" w:cs="Arial" w:eastAsia="Arial" w:hAnsi="Arial"/>
                <w:sz w:val="17"/>
                <w:szCs w:val="17"/>
                <w:color w:val="auto"/>
              </w:rPr>
              <w:t xml:space="preserve">Depreciation and amortization of unconsolidated entities </w:t>
            </w:r>
            <w:r>
              <w:rPr>
                <w:rFonts w:ascii="Arial" w:cs="Arial" w:eastAsia="Arial" w:hAnsi="Arial"/>
                <w:sz w:val="22"/>
                <w:szCs w:val="22"/>
                <w:color w:val="auto"/>
                <w:vertAlign w:val="superscript"/>
              </w:rPr>
              <w:t>(1)</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20"/>
        </w:trPr>
        <w:tc>
          <w:tcPr>
            <w:tcW w:w="6280" w:type="dxa"/>
            <w:vAlign w:val="bottom"/>
            <w:tcBorders>
              <w:bottom w:val="single" w:sz="8" w:color="CCEEFF"/>
            </w:tcBorders>
            <w:gridSpan w:val="2"/>
          </w:tcPr>
          <w:p>
            <w:pPr>
              <w:ind w:left="180"/>
              <w:spacing w:after="0" w:line="220" w:lineRule="exact"/>
              <w:rPr>
                <w:sz w:val="20"/>
                <w:szCs w:val="20"/>
                <w:color w:val="auto"/>
              </w:rPr>
            </w:pPr>
            <w:r>
              <w:rPr>
                <w:rFonts w:ascii="Arial" w:cs="Arial" w:eastAsia="Arial" w:hAnsi="Arial"/>
                <w:sz w:val="17"/>
                <w:szCs w:val="17"/>
                <w:color w:val="auto"/>
              </w:rPr>
              <w:t xml:space="preserve">Selected items impacting comparability - Adjusted EBITDA </w:t>
            </w:r>
            <w:r>
              <w:rPr>
                <w:rFonts w:ascii="Arial" w:cs="Arial" w:eastAsia="Arial" w:hAnsi="Arial"/>
                <w:sz w:val="22"/>
                <w:szCs w:val="22"/>
                <w:color w:val="auto"/>
                <w:vertAlign w:val="superscript"/>
              </w:rPr>
              <w:t>(2)</w:t>
            </w: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205</w:t>
            </w:r>
          </w:p>
        </w:tc>
        <w:tc>
          <w:tcPr>
            <w:tcW w:w="0" w:type="dxa"/>
            <w:vAlign w:val="bottom"/>
          </w:tcPr>
          <w:p>
            <w:pPr>
              <w:spacing w:after="0"/>
              <w:rPr>
                <w:sz w:val="1"/>
                <w:szCs w:val="1"/>
                <w:color w:val="auto"/>
              </w:rPr>
            </w:pPr>
          </w:p>
        </w:tc>
      </w:tr>
      <w:tr>
        <w:trPr>
          <w:trHeight w:val="213"/>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Adjusted EBITDA</w:t>
            </w:r>
          </w:p>
        </w:tc>
        <w:tc>
          <w:tcPr>
            <w:tcW w:w="740" w:type="dxa"/>
            <w:vAlign w:val="bottom"/>
            <w:shd w:val="clear" w:color="auto" w:fill="CCEEFF"/>
          </w:tcPr>
          <w:p>
            <w:pPr>
              <w:jc w:val="right"/>
              <w:ind w:right="557"/>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579</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36"/>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1,319</w:t>
            </w:r>
          </w:p>
        </w:tc>
        <w:tc>
          <w:tcPr>
            <w:tcW w:w="0" w:type="dxa"/>
            <w:vAlign w:val="bottom"/>
          </w:tcPr>
          <w:p>
            <w:pPr>
              <w:spacing w:after="0"/>
              <w:rPr>
                <w:sz w:val="1"/>
                <w:szCs w:val="1"/>
                <w:color w:val="auto"/>
              </w:rPr>
            </w:pPr>
          </w:p>
        </w:tc>
      </w:tr>
      <w:tr>
        <w:trPr>
          <w:trHeight w:val="220"/>
        </w:trPr>
        <w:tc>
          <w:tcPr>
            <w:tcW w:w="6280" w:type="dxa"/>
            <w:vAlign w:val="bottom"/>
            <w:gridSpan w:val="2"/>
          </w:tcPr>
          <w:p>
            <w:pPr>
              <w:ind w:left="180"/>
              <w:spacing w:after="0" w:line="220" w:lineRule="exact"/>
              <w:rPr>
                <w:sz w:val="20"/>
                <w:szCs w:val="20"/>
                <w:color w:val="auto"/>
              </w:rPr>
            </w:pPr>
            <w:r>
              <w:rPr>
                <w:rFonts w:ascii="Arial" w:cs="Arial" w:eastAsia="Arial" w:hAnsi="Arial"/>
                <w:sz w:val="17"/>
                <w:szCs w:val="17"/>
                <w:color w:val="auto"/>
              </w:rPr>
              <w:t xml:space="preserve">Interest expense, net of certain non-cash items </w:t>
            </w:r>
            <w:r>
              <w:rPr>
                <w:rFonts w:ascii="Arial" w:cs="Arial" w:eastAsia="Arial" w:hAnsi="Arial"/>
                <w:sz w:val="22"/>
                <w:szCs w:val="22"/>
                <w:color w:val="auto"/>
                <w:vertAlign w:val="superscript"/>
              </w:rPr>
              <w:t>(3)</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95"/>
              </w:rPr>
              <w:t>(101)</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5"/>
              </w:rPr>
              <w:t>(103)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(206)</w:t>
            </w:r>
          </w:p>
        </w:tc>
        <w:tc>
          <w:tcPr>
            <w:tcW w:w="0" w:type="dxa"/>
            <w:vAlign w:val="bottom"/>
          </w:tcPr>
          <w:p>
            <w:pPr>
              <w:spacing w:after="0"/>
              <w:rPr>
                <w:sz w:val="1"/>
                <w:szCs w:val="1"/>
                <w:color w:val="auto"/>
              </w:rPr>
            </w:pPr>
          </w:p>
        </w:tc>
      </w:tr>
      <w:tr>
        <w:trPr>
          <w:trHeight w:val="220"/>
        </w:trPr>
        <w:tc>
          <w:tcPr>
            <w:tcW w:w="62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Maintenance capital</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0" w:type="dxa"/>
            <w:vAlign w:val="bottom"/>
          </w:tcPr>
          <w:p>
            <w:pPr>
              <w:spacing w:after="0"/>
              <w:rPr>
                <w:sz w:val="1"/>
                <w:szCs w:val="1"/>
                <w:color w:val="auto"/>
              </w:rPr>
            </w:pPr>
          </w:p>
        </w:tc>
      </w:tr>
      <w:tr>
        <w:trPr>
          <w:trHeight w:val="220"/>
        </w:trPr>
        <w:tc>
          <w:tcPr>
            <w:tcW w:w="6280" w:type="dxa"/>
            <w:vAlign w:val="bottom"/>
            <w:gridSpan w:val="2"/>
          </w:tcPr>
          <w:p>
            <w:pPr>
              <w:ind w:left="180"/>
              <w:spacing w:after="0"/>
              <w:rPr>
                <w:sz w:val="20"/>
                <w:szCs w:val="20"/>
                <w:color w:val="auto"/>
              </w:rPr>
            </w:pPr>
            <w:r>
              <w:rPr>
                <w:rFonts w:ascii="Arial" w:cs="Arial" w:eastAsia="Arial" w:hAnsi="Arial"/>
                <w:sz w:val="17"/>
                <w:szCs w:val="17"/>
                <w:color w:val="auto"/>
              </w:rPr>
              <w:t>Current income tax expense</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168"/>
        </w:trPr>
        <w:tc>
          <w:tcPr>
            <w:tcW w:w="6280" w:type="dxa"/>
            <w:vAlign w:val="bottom"/>
            <w:gridSpan w:val="2"/>
            <w:shd w:val="clear" w:color="auto" w:fill="CCEEFF"/>
          </w:tcPr>
          <w:p>
            <w:pPr>
              <w:ind w:left="180"/>
              <w:spacing w:after="0" w:line="168" w:lineRule="exact"/>
              <w:rPr>
                <w:sz w:val="20"/>
                <w:szCs w:val="20"/>
                <w:color w:val="auto"/>
              </w:rPr>
            </w:pPr>
            <w:r>
              <w:rPr>
                <w:rFonts w:ascii="Arial" w:cs="Arial" w:eastAsia="Arial" w:hAnsi="Arial"/>
                <w:sz w:val="17"/>
                <w:szCs w:val="17"/>
                <w:color w:val="auto"/>
              </w:rPr>
              <w:t>Distributions from unconsolidated entities in excess of/(less than) adjusted equity</w:t>
            </w:r>
          </w:p>
        </w:tc>
        <w:tc>
          <w:tcPr>
            <w:tcW w:w="740" w:type="dxa"/>
            <w:vAlign w:val="bottom"/>
            <w:shd w:val="clear" w:color="auto" w:fill="CCEEFF"/>
          </w:tcPr>
          <w:p>
            <w:pPr>
              <w:spacing w:after="0"/>
              <w:rPr>
                <w:sz w:val="14"/>
                <w:szCs w:val="14"/>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20"/>
        </w:trPr>
        <w:tc>
          <w:tcPr>
            <w:tcW w:w="6280" w:type="dxa"/>
            <w:vAlign w:val="bottom"/>
            <w:gridSpan w:val="2"/>
            <w:shd w:val="clear" w:color="auto" w:fill="CCEEFF"/>
          </w:tcPr>
          <w:p>
            <w:pPr>
              <w:ind w:left="340"/>
              <w:spacing w:after="0" w:line="220" w:lineRule="exact"/>
              <w:rPr>
                <w:sz w:val="20"/>
                <w:szCs w:val="20"/>
                <w:color w:val="auto"/>
              </w:rPr>
            </w:pPr>
            <w:r>
              <w:rPr>
                <w:rFonts w:ascii="Arial" w:cs="Arial" w:eastAsia="Arial" w:hAnsi="Arial"/>
                <w:sz w:val="17"/>
                <w:szCs w:val="17"/>
                <w:color w:val="auto"/>
              </w:rPr>
              <w:t xml:space="preserve">earnings </w:t>
            </w:r>
            <w:r>
              <w:rPr>
                <w:rFonts w:ascii="Arial" w:cs="Arial" w:eastAsia="Arial" w:hAnsi="Arial"/>
                <w:sz w:val="22"/>
                <w:szCs w:val="22"/>
                <w:color w:val="auto"/>
                <w:vertAlign w:val="superscript"/>
              </w:rPr>
              <w:t>(4)</w:t>
            </w:r>
          </w:p>
        </w:tc>
        <w:tc>
          <w:tcPr>
            <w:tcW w:w="740" w:type="dxa"/>
            <w:vAlign w:val="bottom"/>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gridSpan w:val="2"/>
          </w:tcPr>
          <w:p>
            <w:pPr>
              <w:ind w:left="180"/>
              <w:spacing w:after="0" w:line="220" w:lineRule="exact"/>
              <w:rPr>
                <w:sz w:val="20"/>
                <w:szCs w:val="20"/>
                <w:color w:val="auto"/>
              </w:rPr>
            </w:pPr>
            <w:r>
              <w:rPr>
                <w:rFonts w:ascii="Arial" w:cs="Arial" w:eastAsia="Arial" w:hAnsi="Arial"/>
                <w:sz w:val="17"/>
                <w:szCs w:val="17"/>
                <w:color w:val="auto"/>
              </w:rPr>
              <w:t xml:space="preserve">Distributions to noncontrolling interests </w:t>
            </w:r>
            <w:r>
              <w:rPr>
                <w:rFonts w:ascii="Arial" w:cs="Arial" w:eastAsia="Arial" w:hAnsi="Arial"/>
                <w:sz w:val="22"/>
                <w:szCs w:val="22"/>
                <w:color w:val="auto"/>
                <w:vertAlign w:val="superscript"/>
              </w:rPr>
              <w:t>(5)</w:t>
            </w:r>
          </w:p>
        </w:tc>
        <w:tc>
          <w:tcPr>
            <w:tcW w:w="74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13"/>
        </w:trPr>
        <w:tc>
          <w:tcPr>
            <w:tcW w:w="62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Implied DCF</w:t>
            </w:r>
          </w:p>
        </w:tc>
        <w:tc>
          <w:tcPr>
            <w:tcW w:w="740" w:type="dxa"/>
            <w:vAlign w:val="bottom"/>
            <w:tcBorders>
              <w:top w:val="single" w:sz="8" w:color="auto"/>
            </w:tcBorders>
            <w:shd w:val="clear" w:color="auto" w:fill="CCEEFF"/>
          </w:tcPr>
          <w:p>
            <w:pPr>
              <w:jc w:val="right"/>
              <w:ind w:right="557"/>
              <w:spacing w:after="0"/>
              <w:rPr>
                <w:sz w:val="20"/>
                <w:szCs w:val="20"/>
                <w:color w:val="auto"/>
              </w:rPr>
            </w:pPr>
            <w:r>
              <w:rPr>
                <w:rFonts w:ascii="Arial" w:cs="Arial" w:eastAsia="Arial" w:hAnsi="Arial"/>
                <w:sz w:val="17"/>
                <w:szCs w:val="17"/>
                <w:color w:val="auto"/>
                <w:w w:val="84"/>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435</w:t>
            </w: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536"/>
              <w:spacing w:after="0"/>
              <w:rPr>
                <w:sz w:val="20"/>
                <w:szCs w:val="20"/>
                <w:color w:val="auto"/>
              </w:rPr>
            </w:pPr>
            <w:r>
              <w:rPr>
                <w:rFonts w:ascii="Arial" w:cs="Arial" w:eastAsia="Arial" w:hAnsi="Arial"/>
                <w:sz w:val="17"/>
                <w:szCs w:val="17"/>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359</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842</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992</w:t>
            </w:r>
          </w:p>
        </w:tc>
        <w:tc>
          <w:tcPr>
            <w:tcW w:w="0" w:type="dxa"/>
            <w:vAlign w:val="bottom"/>
          </w:tcPr>
          <w:p>
            <w:pPr>
              <w:spacing w:after="0"/>
              <w:rPr>
                <w:sz w:val="1"/>
                <w:szCs w:val="1"/>
                <w:color w:val="auto"/>
              </w:rPr>
            </w:pPr>
          </w:p>
        </w:tc>
      </w:tr>
      <w:tr>
        <w:trPr>
          <w:trHeight w:val="220"/>
        </w:trPr>
        <w:tc>
          <w:tcPr>
            <w:tcW w:w="6280" w:type="dxa"/>
            <w:vAlign w:val="bottom"/>
            <w:tcBorders>
              <w:bottom w:val="single" w:sz="8" w:color="CCEEFF"/>
            </w:tcBorders>
            <w:gridSpan w:val="2"/>
          </w:tcPr>
          <w:p>
            <w:pPr>
              <w:ind w:left="180"/>
              <w:spacing w:after="0" w:line="220" w:lineRule="exact"/>
              <w:rPr>
                <w:sz w:val="20"/>
                <w:szCs w:val="20"/>
                <w:color w:val="auto"/>
              </w:rPr>
            </w:pPr>
            <w:r>
              <w:rPr>
                <w:rFonts w:ascii="Arial" w:cs="Arial" w:eastAsia="Arial" w:hAnsi="Arial"/>
                <w:sz w:val="17"/>
                <w:szCs w:val="17"/>
                <w:color w:val="auto"/>
              </w:rPr>
              <w:t xml:space="preserve">Preferred unit distributions paid </w:t>
            </w:r>
            <w:r>
              <w:rPr>
                <w:rFonts w:ascii="Arial" w:cs="Arial" w:eastAsia="Arial" w:hAnsi="Arial"/>
                <w:sz w:val="22"/>
                <w:szCs w:val="22"/>
                <w:color w:val="auto"/>
                <w:vertAlign w:val="superscript"/>
              </w:rPr>
              <w:t>(6)</w:t>
            </w: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w:t>
            </w:r>
          </w:p>
        </w:tc>
        <w:tc>
          <w:tcPr>
            <w:tcW w:w="0" w:type="dxa"/>
            <w:vAlign w:val="bottom"/>
          </w:tcPr>
          <w:p>
            <w:pPr>
              <w:spacing w:after="0"/>
              <w:rPr>
                <w:sz w:val="1"/>
                <w:szCs w:val="1"/>
                <w:color w:val="auto"/>
              </w:rPr>
            </w:pPr>
          </w:p>
        </w:tc>
      </w:tr>
      <w:tr>
        <w:trPr>
          <w:trHeight w:val="238"/>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Implied DCF Available to Common Unitholders</w:t>
            </w:r>
          </w:p>
        </w:tc>
        <w:tc>
          <w:tcPr>
            <w:tcW w:w="740" w:type="dxa"/>
            <w:vAlign w:val="bottom"/>
            <w:tcBorders>
              <w:bottom w:val="single" w:sz="8" w:color="auto"/>
            </w:tcBorders>
            <w:shd w:val="clear" w:color="auto" w:fill="CCEEFF"/>
          </w:tcPr>
          <w:p>
            <w:pPr>
              <w:jc w:val="right"/>
              <w:ind w:right="557"/>
              <w:spacing w:after="0"/>
              <w:rPr>
                <w:sz w:val="20"/>
                <w:szCs w:val="20"/>
                <w:color w:val="auto"/>
              </w:rPr>
            </w:pPr>
            <w:r>
              <w:rPr>
                <w:rFonts w:ascii="Arial" w:cs="Arial" w:eastAsia="Arial" w:hAnsi="Arial"/>
                <w:sz w:val="17"/>
                <w:szCs w:val="17"/>
                <w:color w:val="auto"/>
                <w:w w:val="84"/>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373</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536"/>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893</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880" w:type="dxa"/>
            <w:vAlign w:val="bottom"/>
          </w:tcPr>
          <w:p>
            <w:pPr>
              <w:spacing w:after="0"/>
              <w:rPr>
                <w:sz w:val="7"/>
                <w:szCs w:val="7"/>
                <w:color w:val="auto"/>
              </w:rPr>
            </w:pPr>
          </w:p>
        </w:tc>
        <w:tc>
          <w:tcPr>
            <w:tcW w:w="24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Weighted Average Common Units Outstanding</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728</w:t>
            </w:r>
          </w:p>
        </w:tc>
        <w:tc>
          <w:tcPr>
            <w:tcW w:w="0" w:type="dxa"/>
            <w:vAlign w:val="bottom"/>
          </w:tcPr>
          <w:p>
            <w:pPr>
              <w:spacing w:after="0"/>
              <w:rPr>
                <w:sz w:val="1"/>
                <w:szCs w:val="1"/>
                <w:color w:val="auto"/>
              </w:rPr>
            </w:pPr>
          </w:p>
        </w:tc>
      </w:tr>
      <w:tr>
        <w:trPr>
          <w:trHeight w:val="220"/>
        </w:trPr>
        <w:tc>
          <w:tcPr>
            <w:tcW w:w="6280" w:type="dxa"/>
            <w:vAlign w:val="bottom"/>
            <w:gridSpan w:val="2"/>
          </w:tcPr>
          <w:p>
            <w:pPr>
              <w:ind w:left="20"/>
              <w:spacing w:after="0"/>
              <w:rPr>
                <w:sz w:val="20"/>
                <w:szCs w:val="20"/>
                <w:color w:val="auto"/>
              </w:rPr>
            </w:pPr>
            <w:r>
              <w:rPr>
                <w:rFonts w:ascii="Arial" w:cs="Arial" w:eastAsia="Arial" w:hAnsi="Arial"/>
                <w:sz w:val="17"/>
                <w:szCs w:val="17"/>
                <w:color w:val="auto"/>
              </w:rPr>
              <w:t>Weighted Average Common Units and Common Unit Equivalents</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791</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799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799</w:t>
            </w:r>
          </w:p>
        </w:tc>
        <w:tc>
          <w:tcPr>
            <w:tcW w:w="0" w:type="dxa"/>
            <w:vAlign w:val="bottom"/>
          </w:tcPr>
          <w:p>
            <w:pPr>
              <w:spacing w:after="0"/>
              <w:rPr>
                <w:sz w:val="1"/>
                <w:szCs w:val="1"/>
                <w:color w:val="auto"/>
              </w:rPr>
            </w:pPr>
          </w:p>
        </w:tc>
      </w:tr>
      <w:tr>
        <w:trPr>
          <w:trHeight w:val="142"/>
        </w:trPr>
        <w:tc>
          <w:tcPr>
            <w:tcW w:w="388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0"/>
        </w:trPr>
        <w:tc>
          <w:tcPr>
            <w:tcW w:w="6280" w:type="dxa"/>
            <w:vAlign w:val="bottom"/>
            <w:gridSpan w:val="2"/>
          </w:tcPr>
          <w:p>
            <w:pPr>
              <w:ind w:left="20"/>
              <w:spacing w:after="0" w:line="220" w:lineRule="exact"/>
              <w:rPr>
                <w:sz w:val="20"/>
                <w:szCs w:val="20"/>
                <w:color w:val="auto"/>
              </w:rPr>
            </w:pPr>
            <w:r>
              <w:rPr>
                <w:rFonts w:ascii="Arial" w:cs="Arial" w:eastAsia="Arial" w:hAnsi="Arial"/>
                <w:sz w:val="17"/>
                <w:szCs w:val="17"/>
                <w:color w:val="auto"/>
              </w:rPr>
              <w:t xml:space="preserve">Implied DCF per Common Unit </w:t>
            </w:r>
            <w:r>
              <w:rPr>
                <w:rFonts w:ascii="Arial" w:cs="Arial" w:eastAsia="Arial" w:hAnsi="Arial"/>
                <w:sz w:val="22"/>
                <w:szCs w:val="22"/>
                <w:color w:val="auto"/>
                <w:vertAlign w:val="superscript"/>
              </w:rPr>
              <w:t>(7)</w:t>
            </w:r>
          </w:p>
        </w:tc>
        <w:tc>
          <w:tcPr>
            <w:tcW w:w="740" w:type="dxa"/>
            <w:vAlign w:val="bottom"/>
          </w:tcPr>
          <w:p>
            <w:pPr>
              <w:jc w:val="right"/>
              <w:ind w:right="557"/>
              <w:spacing w:after="0"/>
              <w:rPr>
                <w:sz w:val="20"/>
                <w:szCs w:val="20"/>
                <w:color w:val="auto"/>
              </w:rPr>
            </w:pPr>
            <w:r>
              <w:rPr>
                <w:rFonts w:ascii="Arial" w:cs="Arial" w:eastAsia="Arial" w:hAnsi="Arial"/>
                <w:sz w:val="17"/>
                <w:szCs w:val="17"/>
                <w:color w:val="auto"/>
                <w:w w:val="84"/>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0.52</w:t>
            </w:r>
          </w:p>
        </w:tc>
        <w:tc>
          <w:tcPr>
            <w:tcW w:w="100" w:type="dxa"/>
            <w:vAlign w:val="bottom"/>
          </w:tcPr>
          <w:p>
            <w:pPr>
              <w:spacing w:after="0"/>
              <w:rPr>
                <w:sz w:val="19"/>
                <w:szCs w:val="19"/>
                <w:color w:val="auto"/>
              </w:rPr>
            </w:pPr>
          </w:p>
        </w:tc>
        <w:tc>
          <w:tcPr>
            <w:tcW w:w="740" w:type="dxa"/>
            <w:vAlign w:val="bottom"/>
          </w:tcPr>
          <w:p>
            <w:pPr>
              <w:jc w:val="right"/>
              <w:ind w:right="536"/>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0.41</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1.03</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1.23</w:t>
            </w:r>
          </w:p>
        </w:tc>
        <w:tc>
          <w:tcPr>
            <w:tcW w:w="0" w:type="dxa"/>
            <w:vAlign w:val="bottom"/>
          </w:tcPr>
          <w:p>
            <w:pPr>
              <w:spacing w:after="0"/>
              <w:rPr>
                <w:sz w:val="1"/>
                <w:szCs w:val="1"/>
                <w:color w:val="auto"/>
              </w:rPr>
            </w:pPr>
          </w:p>
        </w:tc>
      </w:tr>
      <w:tr>
        <w:trPr>
          <w:trHeight w:val="220"/>
        </w:trPr>
        <w:tc>
          <w:tcPr>
            <w:tcW w:w="6280" w:type="dxa"/>
            <w:vAlign w:val="bottom"/>
            <w:gridSpan w:val="2"/>
            <w:shd w:val="clear" w:color="auto" w:fill="CCEEFF"/>
          </w:tcPr>
          <w:p>
            <w:pPr>
              <w:ind w:left="20"/>
              <w:spacing w:after="0" w:line="220" w:lineRule="exact"/>
              <w:rPr>
                <w:sz w:val="20"/>
                <w:szCs w:val="20"/>
                <w:color w:val="auto"/>
              </w:rPr>
            </w:pPr>
            <w:r>
              <w:rPr>
                <w:rFonts w:ascii="Arial" w:cs="Arial" w:eastAsia="Arial" w:hAnsi="Arial"/>
                <w:sz w:val="17"/>
                <w:szCs w:val="17"/>
                <w:color w:val="auto"/>
              </w:rPr>
              <w:t xml:space="preserve">Implied DCF per Common Unit and Common Unit Equivalent </w:t>
            </w:r>
            <w:r>
              <w:rPr>
                <w:rFonts w:ascii="Arial" w:cs="Arial" w:eastAsia="Arial" w:hAnsi="Arial"/>
                <w:sz w:val="22"/>
                <w:szCs w:val="22"/>
                <w:color w:val="auto"/>
                <w:vertAlign w:val="superscript"/>
              </w:rPr>
              <w:t>(8)</w:t>
            </w:r>
          </w:p>
        </w:tc>
        <w:tc>
          <w:tcPr>
            <w:tcW w:w="740" w:type="dxa"/>
            <w:vAlign w:val="bottom"/>
            <w:shd w:val="clear" w:color="auto" w:fill="CCEEFF"/>
          </w:tcPr>
          <w:p>
            <w:pPr>
              <w:jc w:val="right"/>
              <w:ind w:right="557"/>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0.52</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6"/>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w:t>
            </w: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0"/>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Cash Distribution Paid per Common Unit</w:t>
            </w:r>
          </w:p>
        </w:tc>
        <w:tc>
          <w:tcPr>
            <w:tcW w:w="740" w:type="dxa"/>
            <w:vAlign w:val="bottom"/>
            <w:shd w:val="clear" w:color="auto" w:fill="CCEEFF"/>
          </w:tcPr>
          <w:p>
            <w:pPr>
              <w:jc w:val="right"/>
              <w:ind w:right="557"/>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0.18</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6"/>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0.54</w:t>
            </w:r>
          </w:p>
        </w:tc>
        <w:tc>
          <w:tcPr>
            <w:tcW w:w="0" w:type="dxa"/>
            <w:vAlign w:val="bottom"/>
          </w:tcPr>
          <w:p>
            <w:pPr>
              <w:spacing w:after="0"/>
              <w:rPr>
                <w:sz w:val="1"/>
                <w:szCs w:val="1"/>
                <w:color w:val="auto"/>
              </w:rPr>
            </w:pPr>
          </w:p>
        </w:tc>
      </w:tr>
      <w:tr>
        <w:trPr>
          <w:trHeight w:val="220"/>
        </w:trPr>
        <w:tc>
          <w:tcPr>
            <w:tcW w:w="6280" w:type="dxa"/>
            <w:vAlign w:val="bottom"/>
            <w:gridSpan w:val="2"/>
          </w:tcPr>
          <w:p>
            <w:pPr>
              <w:ind w:left="20"/>
              <w:spacing w:after="0" w:line="220" w:lineRule="exact"/>
              <w:rPr>
                <w:sz w:val="20"/>
                <w:szCs w:val="20"/>
                <w:color w:val="auto"/>
              </w:rPr>
            </w:pPr>
            <w:r>
              <w:rPr>
                <w:rFonts w:ascii="Arial" w:cs="Arial" w:eastAsia="Arial" w:hAnsi="Arial"/>
                <w:sz w:val="17"/>
                <w:szCs w:val="17"/>
                <w:color w:val="auto"/>
              </w:rPr>
              <w:t xml:space="preserve">Common Unit Cash Distributions </w:t>
            </w:r>
            <w:r>
              <w:rPr>
                <w:rFonts w:ascii="Arial" w:cs="Arial" w:eastAsia="Arial" w:hAnsi="Arial"/>
                <w:sz w:val="22"/>
                <w:szCs w:val="22"/>
                <w:color w:val="auto"/>
                <w:vertAlign w:val="superscript"/>
              </w:rPr>
              <w:t>(5)</w:t>
            </w:r>
          </w:p>
        </w:tc>
        <w:tc>
          <w:tcPr>
            <w:tcW w:w="740" w:type="dxa"/>
            <w:vAlign w:val="bottom"/>
          </w:tcPr>
          <w:p>
            <w:pPr>
              <w:jc w:val="right"/>
              <w:ind w:right="557"/>
              <w:spacing w:after="0"/>
              <w:rPr>
                <w:sz w:val="20"/>
                <w:szCs w:val="20"/>
                <w:color w:val="auto"/>
              </w:rPr>
            </w:pPr>
            <w:r>
              <w:rPr>
                <w:rFonts w:ascii="Arial" w:cs="Arial" w:eastAsia="Arial" w:hAnsi="Arial"/>
                <w:sz w:val="17"/>
                <w:szCs w:val="17"/>
                <w:color w:val="auto"/>
                <w:w w:val="84"/>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130</w:t>
            </w:r>
          </w:p>
        </w:tc>
        <w:tc>
          <w:tcPr>
            <w:tcW w:w="100" w:type="dxa"/>
            <w:vAlign w:val="bottom"/>
          </w:tcPr>
          <w:p>
            <w:pPr>
              <w:spacing w:after="0"/>
              <w:rPr>
                <w:sz w:val="19"/>
                <w:szCs w:val="19"/>
                <w:color w:val="auto"/>
              </w:rPr>
            </w:pPr>
          </w:p>
        </w:tc>
        <w:tc>
          <w:tcPr>
            <w:tcW w:w="740" w:type="dxa"/>
            <w:vAlign w:val="bottom"/>
          </w:tcPr>
          <w:p>
            <w:pPr>
              <w:jc w:val="right"/>
              <w:ind w:right="536"/>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131</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260</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393</w:t>
            </w:r>
          </w:p>
        </w:tc>
        <w:tc>
          <w:tcPr>
            <w:tcW w:w="0" w:type="dxa"/>
            <w:vAlign w:val="bottom"/>
          </w:tcPr>
          <w:p>
            <w:pPr>
              <w:spacing w:after="0"/>
              <w:rPr>
                <w:sz w:val="1"/>
                <w:szCs w:val="1"/>
                <w:color w:val="auto"/>
              </w:rPr>
            </w:pPr>
          </w:p>
        </w:tc>
      </w:tr>
      <w:tr>
        <w:trPr>
          <w:trHeight w:val="220"/>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Common Unit Distribution Coverage Ratio</w:t>
            </w:r>
          </w:p>
        </w:tc>
        <w:tc>
          <w:tcPr>
            <w:tcW w:w="7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2.87x</w:t>
            </w:r>
          </w:p>
        </w:tc>
        <w:tc>
          <w:tcPr>
            <w:tcW w:w="7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2.27x</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2.86x</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2.27x</w:t>
            </w: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0"/>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Implied DCF Excess</w:t>
            </w:r>
          </w:p>
        </w:tc>
        <w:tc>
          <w:tcPr>
            <w:tcW w:w="740" w:type="dxa"/>
            <w:vAlign w:val="bottom"/>
            <w:shd w:val="clear" w:color="auto" w:fill="CCEEFF"/>
          </w:tcPr>
          <w:p>
            <w:pPr>
              <w:jc w:val="right"/>
              <w:ind w:right="557"/>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6"/>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w:t>
            </w:r>
          </w:p>
        </w:tc>
        <w:tc>
          <w:tcPr>
            <w:tcW w:w="0" w:type="dxa"/>
            <w:vAlign w:val="bottom"/>
          </w:tcPr>
          <w:p>
            <w:pPr>
              <w:spacing w:after="0"/>
              <w:rPr>
                <w:sz w:val="1"/>
                <w:szCs w:val="1"/>
                <w:color w:val="auto"/>
              </w:rPr>
            </w:pPr>
          </w:p>
        </w:tc>
      </w:tr>
      <w:tr>
        <w:trPr>
          <w:trHeight w:val="155"/>
        </w:trPr>
        <w:tc>
          <w:tcPr>
            <w:tcW w:w="3880" w:type="dxa"/>
            <w:vAlign w:val="bottom"/>
            <w:tcBorders>
              <w:bottom w:val="single" w:sz="8" w:color="auto"/>
            </w:tcBorders>
          </w:tcPr>
          <w:p>
            <w:pPr>
              <w:spacing w:after="0"/>
              <w:rPr>
                <w:sz w:val="13"/>
                <w:szCs w:val="13"/>
                <w:color w:val="auto"/>
              </w:rPr>
            </w:pPr>
          </w:p>
        </w:tc>
        <w:tc>
          <w:tcPr>
            <w:tcW w:w="2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300" w:hanging="297"/>
        <w:spacing w:after="0"/>
        <w:tabs>
          <w:tab w:leader="none" w:pos="300" w:val="left"/>
        </w:tabs>
        <w:numPr>
          <w:ilvl w:val="0"/>
          <w:numId w:val="13"/>
        </w:numPr>
        <w:rPr>
          <w:rFonts w:ascii="Arial" w:cs="Arial" w:eastAsia="Arial" w:hAnsi="Arial"/>
          <w:sz w:val="17"/>
          <w:szCs w:val="17"/>
          <w:color w:val="auto"/>
          <w:vertAlign w:val="superscript"/>
        </w:rPr>
      </w:pPr>
      <w:r>
        <w:rPr>
          <w:rFonts w:ascii="Arial" w:cs="Arial" w:eastAsia="Arial" w:hAnsi="Arial"/>
          <w:sz w:val="13"/>
          <w:szCs w:val="13"/>
          <w:color w:val="auto"/>
        </w:rPr>
        <w:t>Adjustment to exclude our proportionate share of depreciation and amortization expense (including write-downs related to cancelled projects) of unconsolidated entities.</w:t>
      </w:r>
    </w:p>
    <w:p>
      <w:pPr>
        <w:spacing w:after="0" w:line="46" w:lineRule="exact"/>
        <w:rPr>
          <w:rFonts w:ascii="Arial" w:cs="Arial" w:eastAsia="Arial" w:hAnsi="Arial"/>
          <w:sz w:val="17"/>
          <w:szCs w:val="17"/>
          <w:color w:val="auto"/>
          <w:vertAlign w:val="superscript"/>
        </w:rPr>
      </w:pPr>
    </w:p>
    <w:p>
      <w:pPr>
        <w:ind w:left="300" w:hanging="297"/>
        <w:spacing w:after="0" w:line="196" w:lineRule="auto"/>
        <w:tabs>
          <w:tab w:leader="none" w:pos="300" w:val="left"/>
        </w:tabs>
        <w:numPr>
          <w:ilvl w:val="0"/>
          <w:numId w:val="13"/>
        </w:numPr>
        <w:rPr>
          <w:rFonts w:ascii="Arial" w:cs="Arial" w:eastAsia="Arial" w:hAnsi="Arial"/>
          <w:sz w:val="17"/>
          <w:szCs w:val="17"/>
          <w:color w:val="auto"/>
          <w:vertAlign w:val="superscript"/>
        </w:rPr>
      </w:pPr>
      <w:r>
        <w:rPr>
          <w:rFonts w:ascii="Arial" w:cs="Arial" w:eastAsia="Arial" w:hAnsi="Arial"/>
          <w:sz w:val="13"/>
          <w:szCs w:val="13"/>
          <w:color w:val="auto"/>
        </w:rPr>
        <w:t>Certain of our non-GAAP financial measures may not be impacted by each of the selected items impacting comparability.</w:t>
      </w:r>
    </w:p>
    <w:p>
      <w:pPr>
        <w:spacing w:after="0" w:line="47" w:lineRule="exact"/>
        <w:rPr>
          <w:rFonts w:ascii="Arial" w:cs="Arial" w:eastAsia="Arial" w:hAnsi="Arial"/>
          <w:sz w:val="17"/>
          <w:szCs w:val="17"/>
          <w:color w:val="auto"/>
          <w:vertAlign w:val="superscript"/>
        </w:rPr>
      </w:pPr>
    </w:p>
    <w:p>
      <w:pPr>
        <w:ind w:left="300" w:hanging="297"/>
        <w:spacing w:after="0" w:line="196" w:lineRule="auto"/>
        <w:tabs>
          <w:tab w:leader="none" w:pos="300" w:val="left"/>
        </w:tabs>
        <w:numPr>
          <w:ilvl w:val="0"/>
          <w:numId w:val="13"/>
        </w:numPr>
        <w:rPr>
          <w:rFonts w:ascii="Arial" w:cs="Arial" w:eastAsia="Arial" w:hAnsi="Arial"/>
          <w:sz w:val="17"/>
          <w:szCs w:val="17"/>
          <w:color w:val="auto"/>
          <w:vertAlign w:val="superscript"/>
        </w:rPr>
      </w:pPr>
      <w:r>
        <w:rPr>
          <w:rFonts w:ascii="Arial" w:cs="Arial" w:eastAsia="Arial" w:hAnsi="Arial"/>
          <w:sz w:val="13"/>
          <w:szCs w:val="13"/>
          <w:color w:val="auto"/>
        </w:rPr>
        <w:t>Excludes certain non-cash items impacting interest expense such as amortization of debt issuance costs and terminated interest rate swaps.</w:t>
      </w:r>
    </w:p>
    <w:p>
      <w:pPr>
        <w:spacing w:after="0" w:line="47" w:lineRule="exact"/>
        <w:rPr>
          <w:rFonts w:ascii="Arial" w:cs="Arial" w:eastAsia="Arial" w:hAnsi="Arial"/>
          <w:sz w:val="17"/>
          <w:szCs w:val="17"/>
          <w:color w:val="auto"/>
          <w:vertAlign w:val="superscript"/>
        </w:rPr>
      </w:pPr>
    </w:p>
    <w:p>
      <w:pPr>
        <w:ind w:left="320" w:right="40" w:hanging="317"/>
        <w:spacing w:after="0" w:line="219" w:lineRule="auto"/>
        <w:tabs>
          <w:tab w:leader="none" w:pos="314" w:val="left"/>
        </w:tabs>
        <w:numPr>
          <w:ilvl w:val="0"/>
          <w:numId w:val="13"/>
        </w:numPr>
        <w:rPr>
          <w:rFonts w:ascii="Arial" w:cs="Arial" w:eastAsia="Arial" w:hAnsi="Arial"/>
          <w:sz w:val="17"/>
          <w:szCs w:val="17"/>
          <w:color w:val="auto"/>
          <w:vertAlign w:val="superscript"/>
        </w:rPr>
      </w:pPr>
      <w:r>
        <w:rPr>
          <w:rFonts w:ascii="Arial" w:cs="Arial" w:eastAsia="Arial" w:hAnsi="Arial"/>
          <w:sz w:val="13"/>
          <w:szCs w:val="13"/>
          <w:color w:val="auto"/>
        </w:rPr>
        <w:t>Comprised of cash distributions received from unconsolidated entities less equity earnings in unconsolidated entities (adjusted for our proportionate share of depreciation and amortization, including write-downs related to cancelled projects, and selected items impacting comparability of unconsolidated entities).</w:t>
      </w:r>
    </w:p>
    <w:p>
      <w:pPr>
        <w:spacing w:after="0" w:line="11" w:lineRule="exact"/>
        <w:rPr>
          <w:rFonts w:ascii="Arial" w:cs="Arial" w:eastAsia="Arial" w:hAnsi="Arial"/>
          <w:sz w:val="17"/>
          <w:szCs w:val="17"/>
          <w:color w:val="auto"/>
          <w:vertAlign w:val="superscript"/>
        </w:rPr>
      </w:pPr>
    </w:p>
    <w:p>
      <w:pPr>
        <w:ind w:left="300" w:hanging="297"/>
        <w:spacing w:after="0"/>
        <w:tabs>
          <w:tab w:leader="none" w:pos="300" w:val="left"/>
        </w:tabs>
        <w:numPr>
          <w:ilvl w:val="0"/>
          <w:numId w:val="13"/>
        </w:numPr>
        <w:rPr>
          <w:rFonts w:ascii="Arial" w:cs="Arial" w:eastAsia="Arial" w:hAnsi="Arial"/>
          <w:sz w:val="17"/>
          <w:szCs w:val="17"/>
          <w:color w:val="auto"/>
          <w:vertAlign w:val="superscript"/>
        </w:rPr>
      </w:pPr>
      <w:r>
        <w:rPr>
          <w:rFonts w:ascii="Arial" w:cs="Arial" w:eastAsia="Arial" w:hAnsi="Arial"/>
          <w:sz w:val="13"/>
          <w:szCs w:val="13"/>
          <w:color w:val="auto"/>
        </w:rPr>
        <w:t>Cash distributions paid during the period presented.</w:t>
      </w:r>
    </w:p>
    <w:p>
      <w:pPr>
        <w:spacing w:after="0" w:line="46" w:lineRule="exact"/>
        <w:rPr>
          <w:rFonts w:ascii="Arial" w:cs="Arial" w:eastAsia="Arial" w:hAnsi="Arial"/>
          <w:sz w:val="17"/>
          <w:szCs w:val="17"/>
          <w:color w:val="auto"/>
          <w:vertAlign w:val="superscript"/>
        </w:rPr>
      </w:pPr>
    </w:p>
    <w:p>
      <w:pPr>
        <w:ind w:left="300" w:hanging="297"/>
        <w:spacing w:after="0" w:line="196" w:lineRule="auto"/>
        <w:tabs>
          <w:tab w:leader="none" w:pos="300" w:val="left"/>
        </w:tabs>
        <w:numPr>
          <w:ilvl w:val="0"/>
          <w:numId w:val="13"/>
        </w:numPr>
        <w:rPr>
          <w:rFonts w:ascii="Arial" w:cs="Arial" w:eastAsia="Arial" w:hAnsi="Arial"/>
          <w:sz w:val="17"/>
          <w:szCs w:val="17"/>
          <w:color w:val="auto"/>
          <w:vertAlign w:val="superscript"/>
        </w:rPr>
      </w:pPr>
      <w:r>
        <w:rPr>
          <w:rFonts w:ascii="Arial" w:cs="Arial" w:eastAsia="Arial" w:hAnsi="Arial"/>
          <w:sz w:val="13"/>
          <w:szCs w:val="13"/>
          <w:color w:val="auto"/>
        </w:rPr>
        <w:t>Cash distributions paid to our preferred unitholders during the period presented.</w:t>
      </w:r>
    </w:p>
    <w:p>
      <w:pPr>
        <w:spacing w:after="0" w:line="47" w:lineRule="exact"/>
        <w:rPr>
          <w:rFonts w:ascii="Arial" w:cs="Arial" w:eastAsia="Arial" w:hAnsi="Arial"/>
          <w:sz w:val="17"/>
          <w:szCs w:val="17"/>
          <w:color w:val="auto"/>
          <w:vertAlign w:val="superscript"/>
        </w:rPr>
      </w:pPr>
    </w:p>
    <w:p>
      <w:pPr>
        <w:ind w:left="300" w:hanging="297"/>
        <w:spacing w:after="0" w:line="196" w:lineRule="auto"/>
        <w:tabs>
          <w:tab w:leader="none" w:pos="300" w:val="left"/>
        </w:tabs>
        <w:numPr>
          <w:ilvl w:val="0"/>
          <w:numId w:val="13"/>
        </w:numPr>
        <w:rPr>
          <w:rFonts w:ascii="Arial" w:cs="Arial" w:eastAsia="Arial" w:hAnsi="Arial"/>
          <w:sz w:val="17"/>
          <w:szCs w:val="17"/>
          <w:color w:val="auto"/>
          <w:vertAlign w:val="superscript"/>
        </w:rPr>
      </w:pPr>
      <w:r>
        <w:rPr>
          <w:rFonts w:ascii="Arial" w:cs="Arial" w:eastAsia="Arial" w:hAnsi="Arial"/>
          <w:sz w:val="13"/>
          <w:szCs w:val="13"/>
          <w:color w:val="auto"/>
        </w:rPr>
        <w:t>Implied DCF Available to Common Unitholders for the period divided by the weighted average common units outstanding for the period.</w:t>
      </w:r>
    </w:p>
    <w:p>
      <w:pPr>
        <w:spacing w:after="0" w:line="47" w:lineRule="exact"/>
        <w:rPr>
          <w:rFonts w:ascii="Arial" w:cs="Arial" w:eastAsia="Arial" w:hAnsi="Arial"/>
          <w:sz w:val="17"/>
          <w:szCs w:val="17"/>
          <w:color w:val="auto"/>
          <w:vertAlign w:val="superscript"/>
        </w:rPr>
      </w:pPr>
    </w:p>
    <w:p>
      <w:pPr>
        <w:ind w:left="320" w:right="300" w:hanging="317"/>
        <w:spacing w:after="0" w:line="210" w:lineRule="auto"/>
        <w:tabs>
          <w:tab w:leader="none" w:pos="314" w:val="left"/>
        </w:tabs>
        <w:numPr>
          <w:ilvl w:val="0"/>
          <w:numId w:val="13"/>
        </w:numPr>
        <w:rPr>
          <w:rFonts w:ascii="Arial" w:cs="Arial" w:eastAsia="Arial" w:hAnsi="Arial"/>
          <w:sz w:val="17"/>
          <w:szCs w:val="17"/>
          <w:color w:val="auto"/>
          <w:vertAlign w:val="superscript"/>
        </w:rPr>
      </w:pPr>
      <w:r>
        <w:rPr>
          <w:rFonts w:ascii="Arial" w:cs="Arial" w:eastAsia="Arial" w:hAnsi="Arial"/>
          <w:sz w:val="13"/>
          <w:szCs w:val="13"/>
          <w:color w:val="auto"/>
        </w:rPr>
        <w:t>Implied DCF Available to Common Unitholders for the period, adjusted for Series A preferred unit cash distributions paid, divided by the weighted average common units and common unit equivalents outstanding for the period. Our Series A preferred units are convertible into common units, generally on a one-for-one basis and subject to customary anti-dilution adjustments, in whole or in part, subject to certain minimum conversion amounts.</w:t>
      </w:r>
    </w:p>
    <w:p>
      <w:pPr>
        <w:spacing w:after="0" w:line="1" w:lineRule="exact"/>
        <w:rPr>
          <w:rFonts w:ascii="Arial" w:cs="Arial" w:eastAsia="Arial" w:hAnsi="Arial"/>
          <w:sz w:val="17"/>
          <w:szCs w:val="17"/>
          <w:color w:val="auto"/>
          <w:vertAlign w:val="superscript"/>
        </w:rPr>
      </w:pPr>
    </w:p>
    <w:p>
      <w:pPr>
        <w:ind w:left="5440" w:hanging="93"/>
        <w:spacing w:after="0"/>
        <w:tabs>
          <w:tab w:leader="none" w:pos="5440" w:val="left"/>
        </w:tabs>
        <w:numPr>
          <w:ilvl w:val="1"/>
          <w:numId w:val="13"/>
        </w:numPr>
        <w:rPr>
          <w:rFonts w:ascii="Arial" w:cs="Arial" w:eastAsia="Arial" w:hAnsi="Arial"/>
          <w:sz w:val="17"/>
          <w:szCs w:val="17"/>
          <w:color w:val="auto"/>
        </w:rPr>
      </w:pPr>
      <w:r>
        <w:rPr>
          <w:rFonts w:ascii="Arial" w:cs="Arial" w:eastAsia="Arial" w:hAnsi="Arial"/>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88265</wp:posOffset>
            </wp:positionV>
            <wp:extent cx="71215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30"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u w:val="single" w:color="auto"/>
          <w:color w:val="auto"/>
        </w:rPr>
        <w:t>Page 13</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NON-GAAP RECONCILIATIONS (continued)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 millions, except per unit and ratio data)</w:t>
      </w:r>
    </w:p>
    <w:p>
      <w:pPr>
        <w:spacing w:after="0" w:line="11" w:lineRule="exact"/>
        <w:rPr>
          <w:sz w:val="20"/>
          <w:szCs w:val="20"/>
          <w:color w:val="auto"/>
        </w:rPr>
      </w:pPr>
    </w:p>
    <w:p>
      <w:pPr>
        <w:jc w:val="center"/>
        <w:ind w:left="8800"/>
        <w:spacing w:after="0"/>
        <w:rPr>
          <w:sz w:val="20"/>
          <w:szCs w:val="20"/>
          <w:color w:val="auto"/>
        </w:rPr>
      </w:pPr>
      <w:r>
        <w:rPr>
          <w:rFonts w:ascii="Arial" w:cs="Arial" w:eastAsia="Arial" w:hAnsi="Arial"/>
          <w:sz w:val="14"/>
          <w:szCs w:val="14"/>
          <w:b w:val="1"/>
          <w:bCs w:val="1"/>
          <w:color w:val="auto"/>
        </w:rPr>
        <w:t>Twelve Months Ended</w:t>
      </w:r>
    </w:p>
    <w:p>
      <w:pPr>
        <w:jc w:val="center"/>
        <w:ind w:left="8800"/>
        <w:spacing w:after="0"/>
        <w:rPr>
          <w:sz w:val="20"/>
          <w:szCs w:val="20"/>
          <w:color w:val="auto"/>
        </w:rPr>
      </w:pPr>
      <w:r>
        <w:rPr>
          <w:rFonts w:ascii="Arial" w:cs="Arial" w:eastAsia="Arial" w:hAnsi="Arial"/>
          <w:sz w:val="14"/>
          <w:szCs w:val="14"/>
          <w:b w:val="1"/>
          <w:bCs w:val="1"/>
          <w:color w:val="auto"/>
        </w:rPr>
        <w:t>December 31,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80" w:type="dxa"/>
            <w:vAlign w:val="bottom"/>
            <w:tcBorders>
              <w:bottom w:val="single" w:sz="8" w:color="CCEEFF"/>
            </w:tcBorders>
          </w:tcPr>
          <w:p>
            <w:pPr>
              <w:spacing w:after="0"/>
              <w:rPr>
                <w:sz w:val="16"/>
                <w:szCs w:val="16"/>
                <w:color w:val="auto"/>
              </w:rPr>
            </w:pPr>
          </w:p>
        </w:tc>
        <w:tc>
          <w:tcPr>
            <w:tcW w:w="494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2019</w:t>
            </w:r>
          </w:p>
        </w:tc>
      </w:tr>
      <w:tr>
        <w:trPr>
          <w:trHeight w:val="201"/>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Net Income/(Loss) to Adjusted EBITDA and Implied DCF Reconciliation</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20"/>
        </w:trPr>
        <w:tc>
          <w:tcPr>
            <w:tcW w:w="8820" w:type="dxa"/>
            <w:vAlign w:val="bottom"/>
            <w:gridSpan w:val="2"/>
          </w:tcPr>
          <w:p>
            <w:pPr>
              <w:ind w:left="20"/>
              <w:spacing w:after="0"/>
              <w:rPr>
                <w:sz w:val="20"/>
                <w:szCs w:val="20"/>
                <w:color w:val="auto"/>
              </w:rPr>
            </w:pPr>
            <w:r>
              <w:rPr>
                <w:rFonts w:ascii="Arial" w:cs="Arial" w:eastAsia="Arial" w:hAnsi="Arial"/>
                <w:sz w:val="17"/>
                <w:szCs w:val="17"/>
                <w:color w:val="auto"/>
              </w:rPr>
              <w:t>Net Income/(Loss)</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(2,580)</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2,180</w:t>
            </w:r>
          </w:p>
        </w:tc>
      </w:tr>
      <w:tr>
        <w:trPr>
          <w:trHeight w:val="220"/>
        </w:trPr>
        <w:tc>
          <w:tcPr>
            <w:tcW w:w="88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Interest expense, net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425</w:t>
            </w:r>
          </w:p>
        </w:tc>
      </w:tr>
      <w:tr>
        <w:trPr>
          <w:trHeight w:val="220"/>
        </w:trPr>
        <w:tc>
          <w:tcPr>
            <w:tcW w:w="8820" w:type="dxa"/>
            <w:vAlign w:val="bottom"/>
            <w:gridSpan w:val="2"/>
          </w:tcPr>
          <w:p>
            <w:pPr>
              <w:ind w:left="180"/>
              <w:spacing w:after="0"/>
              <w:rPr>
                <w:sz w:val="20"/>
                <w:szCs w:val="20"/>
                <w:color w:val="auto"/>
              </w:rPr>
            </w:pPr>
            <w:r>
              <w:rPr>
                <w:rFonts w:ascii="Arial" w:cs="Arial" w:eastAsia="Arial" w:hAnsi="Arial"/>
                <w:sz w:val="17"/>
                <w:szCs w:val="17"/>
                <w:color w:val="auto"/>
              </w:rPr>
              <w:t>Income tax expense/(benefit)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66</w:t>
            </w:r>
          </w:p>
        </w:tc>
      </w:tr>
      <w:tr>
        <w:trPr>
          <w:trHeight w:val="220"/>
        </w:trPr>
        <w:tc>
          <w:tcPr>
            <w:tcW w:w="88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Depreciation and amortization</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601</w:t>
            </w:r>
          </w:p>
        </w:tc>
      </w:tr>
      <w:tr>
        <w:trPr>
          <w:trHeight w:val="220"/>
        </w:trPr>
        <w:tc>
          <w:tcPr>
            <w:tcW w:w="8820" w:type="dxa"/>
            <w:vAlign w:val="bottom"/>
            <w:gridSpan w:val="2"/>
          </w:tcPr>
          <w:p>
            <w:pPr>
              <w:ind w:left="180"/>
              <w:spacing w:after="0"/>
              <w:rPr>
                <w:sz w:val="20"/>
                <w:szCs w:val="20"/>
                <w:color w:val="auto"/>
              </w:rPr>
            </w:pPr>
            <w:r>
              <w:rPr>
                <w:rFonts w:ascii="Arial" w:cs="Arial" w:eastAsia="Arial" w:hAnsi="Arial"/>
                <w:sz w:val="17"/>
                <w:szCs w:val="17"/>
                <w:color w:val="auto"/>
              </w:rPr>
              <w:t>(Gains)/losses on asset sales and asset impairments, net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220"/>
        </w:trPr>
        <w:tc>
          <w:tcPr>
            <w:tcW w:w="88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Goodwill impairment losses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8820" w:type="dxa"/>
            <w:vAlign w:val="bottom"/>
            <w:gridSpan w:val="2"/>
          </w:tcPr>
          <w:p>
            <w:pPr>
              <w:ind w:left="180"/>
              <w:spacing w:after="0"/>
              <w:rPr>
                <w:sz w:val="20"/>
                <w:szCs w:val="20"/>
                <w:color w:val="auto"/>
              </w:rPr>
            </w:pPr>
            <w:r>
              <w:rPr>
                <w:rFonts w:ascii="Arial" w:cs="Arial" w:eastAsia="Arial" w:hAnsi="Arial"/>
                <w:sz w:val="17"/>
                <w:szCs w:val="17"/>
                <w:color w:val="auto"/>
              </w:rPr>
              <w:t>(Gain on)/impairment of investments in unconsolidated entities, net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182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(271)</w:t>
            </w:r>
          </w:p>
        </w:tc>
      </w:tr>
      <w:tr>
        <w:trPr>
          <w:trHeight w:val="220"/>
        </w:trPr>
        <w:tc>
          <w:tcPr>
            <w:tcW w:w="8820" w:type="dxa"/>
            <w:vAlign w:val="bottom"/>
            <w:gridSpan w:val="2"/>
            <w:shd w:val="clear" w:color="auto" w:fill="CCEEFF"/>
          </w:tcPr>
          <w:p>
            <w:pPr>
              <w:ind w:left="180"/>
              <w:spacing w:after="0" w:line="220" w:lineRule="exact"/>
              <w:rPr>
                <w:sz w:val="20"/>
                <w:szCs w:val="20"/>
                <w:color w:val="auto"/>
              </w:rPr>
            </w:pPr>
            <w:r>
              <w:rPr>
                <w:rFonts w:ascii="Arial" w:cs="Arial" w:eastAsia="Arial" w:hAnsi="Arial"/>
                <w:sz w:val="17"/>
                <w:szCs w:val="17"/>
                <w:color w:val="auto"/>
              </w:rPr>
              <w:t xml:space="preserve">Depreciation and amortization of unconsolidated entities </w:t>
            </w:r>
            <w:r>
              <w:rPr>
                <w:rFonts w:ascii="Arial" w:cs="Arial" w:eastAsia="Arial" w:hAnsi="Arial"/>
                <w:sz w:val="22"/>
                <w:szCs w:val="22"/>
                <w:color w:val="auto"/>
                <w:vertAlign w:val="superscript"/>
              </w:rPr>
              <w:t>(1)</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r>
      <w:tr>
        <w:trPr>
          <w:trHeight w:val="220"/>
        </w:trPr>
        <w:tc>
          <w:tcPr>
            <w:tcW w:w="8820" w:type="dxa"/>
            <w:vAlign w:val="bottom"/>
            <w:tcBorders>
              <w:bottom w:val="single" w:sz="8" w:color="CCEEFF"/>
            </w:tcBorders>
            <w:gridSpan w:val="2"/>
          </w:tcPr>
          <w:p>
            <w:pPr>
              <w:ind w:left="180"/>
              <w:spacing w:after="0" w:line="220" w:lineRule="exact"/>
              <w:rPr>
                <w:sz w:val="20"/>
                <w:szCs w:val="20"/>
                <w:color w:val="auto"/>
              </w:rPr>
            </w:pPr>
            <w:r>
              <w:rPr>
                <w:rFonts w:ascii="Arial" w:cs="Arial" w:eastAsia="Arial" w:hAnsi="Arial"/>
                <w:sz w:val="17"/>
                <w:szCs w:val="17"/>
                <w:color w:val="auto"/>
              </w:rPr>
              <w:t xml:space="preserve">Selected items impacting comparability - Adjusted EBITDA </w:t>
            </w:r>
            <w:r>
              <w:rPr>
                <w:rFonts w:ascii="Arial" w:cs="Arial" w:eastAsia="Arial" w:hAnsi="Arial"/>
                <w:sz w:val="22"/>
                <w:szCs w:val="22"/>
                <w:color w:val="auto"/>
                <w:vertAlign w:val="superscript"/>
              </w:rPr>
              <w:t>(2)</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w:t>
            </w:r>
          </w:p>
        </w:tc>
      </w:tr>
      <w:tr>
        <w:trPr>
          <w:trHeight w:val="213"/>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Adjusted EBITDA</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3,237</w:t>
            </w:r>
          </w:p>
        </w:tc>
      </w:tr>
      <w:tr>
        <w:trPr>
          <w:trHeight w:val="220"/>
        </w:trPr>
        <w:tc>
          <w:tcPr>
            <w:tcW w:w="8820" w:type="dxa"/>
            <w:vAlign w:val="bottom"/>
            <w:gridSpan w:val="2"/>
          </w:tcPr>
          <w:p>
            <w:pPr>
              <w:ind w:left="180"/>
              <w:spacing w:after="0" w:line="220" w:lineRule="exact"/>
              <w:rPr>
                <w:sz w:val="20"/>
                <w:szCs w:val="20"/>
                <w:color w:val="auto"/>
              </w:rPr>
            </w:pPr>
            <w:r>
              <w:rPr>
                <w:rFonts w:ascii="Arial" w:cs="Arial" w:eastAsia="Arial" w:hAnsi="Arial"/>
                <w:sz w:val="17"/>
                <w:szCs w:val="17"/>
                <w:color w:val="auto"/>
              </w:rPr>
              <w:t xml:space="preserve">Interest expense, net of certain non-cash items </w:t>
            </w:r>
            <w:r>
              <w:rPr>
                <w:rFonts w:ascii="Arial" w:cs="Arial" w:eastAsia="Arial" w:hAnsi="Arial"/>
                <w:sz w:val="22"/>
                <w:szCs w:val="22"/>
                <w:color w:val="auto"/>
                <w:vertAlign w:val="superscript"/>
              </w:rPr>
              <w:t>(3)</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(407)</w:t>
            </w:r>
          </w:p>
        </w:tc>
      </w:tr>
      <w:tr>
        <w:trPr>
          <w:trHeight w:val="220"/>
        </w:trPr>
        <w:tc>
          <w:tcPr>
            <w:tcW w:w="88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Maintenance capital</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w:t>
            </w:r>
          </w:p>
        </w:tc>
      </w:tr>
      <w:tr>
        <w:trPr>
          <w:trHeight w:val="220"/>
        </w:trPr>
        <w:tc>
          <w:tcPr>
            <w:tcW w:w="8820" w:type="dxa"/>
            <w:vAlign w:val="bottom"/>
            <w:gridSpan w:val="2"/>
          </w:tcPr>
          <w:p>
            <w:pPr>
              <w:ind w:left="180"/>
              <w:spacing w:after="0"/>
              <w:rPr>
                <w:sz w:val="20"/>
                <w:szCs w:val="20"/>
                <w:color w:val="auto"/>
              </w:rPr>
            </w:pPr>
            <w:r>
              <w:rPr>
                <w:rFonts w:ascii="Arial" w:cs="Arial" w:eastAsia="Arial" w:hAnsi="Arial"/>
                <w:sz w:val="17"/>
                <w:szCs w:val="17"/>
                <w:color w:val="auto"/>
              </w:rPr>
              <w:t>Current income tax expense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(112)</w:t>
            </w:r>
          </w:p>
        </w:tc>
      </w:tr>
      <w:tr>
        <w:trPr>
          <w:trHeight w:val="220"/>
        </w:trPr>
        <w:tc>
          <w:tcPr>
            <w:tcW w:w="8820" w:type="dxa"/>
            <w:vAlign w:val="bottom"/>
            <w:gridSpan w:val="2"/>
            <w:shd w:val="clear" w:color="auto" w:fill="CCEEFF"/>
          </w:tcPr>
          <w:p>
            <w:pPr>
              <w:ind w:left="180"/>
              <w:spacing w:after="0" w:line="220" w:lineRule="exact"/>
              <w:rPr>
                <w:sz w:val="20"/>
                <w:szCs w:val="20"/>
                <w:color w:val="auto"/>
              </w:rPr>
            </w:pPr>
            <w:r>
              <w:rPr>
                <w:rFonts w:ascii="Arial" w:cs="Arial" w:eastAsia="Arial" w:hAnsi="Arial"/>
                <w:sz w:val="17"/>
                <w:szCs w:val="17"/>
                <w:color w:val="auto"/>
              </w:rPr>
              <w:t xml:space="preserve">Distributions from unconsolidated entities in excess of/(less than) adjusted equity earnings </w:t>
            </w:r>
            <w:r>
              <w:rPr>
                <w:rFonts w:ascii="Arial" w:cs="Arial" w:eastAsia="Arial" w:hAnsi="Arial"/>
                <w:sz w:val="22"/>
                <w:szCs w:val="22"/>
                <w:color w:val="auto"/>
                <w:vertAlign w:val="superscript"/>
              </w:rPr>
              <w:t>(4)</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r>
      <w:tr>
        <w:trPr>
          <w:trHeight w:val="220"/>
        </w:trPr>
        <w:tc>
          <w:tcPr>
            <w:tcW w:w="8820" w:type="dxa"/>
            <w:vAlign w:val="bottom"/>
            <w:tcBorders>
              <w:bottom w:val="single" w:sz="8" w:color="CCEEFF"/>
            </w:tcBorders>
            <w:gridSpan w:val="2"/>
          </w:tcPr>
          <w:p>
            <w:pPr>
              <w:ind w:left="180"/>
              <w:spacing w:after="0" w:line="220" w:lineRule="exact"/>
              <w:rPr>
                <w:sz w:val="20"/>
                <w:szCs w:val="20"/>
                <w:color w:val="auto"/>
              </w:rPr>
            </w:pPr>
            <w:r>
              <w:rPr>
                <w:rFonts w:ascii="Arial" w:cs="Arial" w:eastAsia="Arial" w:hAnsi="Arial"/>
                <w:sz w:val="17"/>
                <w:szCs w:val="17"/>
                <w:color w:val="auto"/>
              </w:rPr>
              <w:t xml:space="preserve">Distributions to noncontrolling interests </w:t>
            </w:r>
            <w:r>
              <w:rPr>
                <w:rFonts w:ascii="Arial" w:cs="Arial" w:eastAsia="Arial" w:hAnsi="Arial"/>
                <w:sz w:val="22"/>
                <w:szCs w:val="22"/>
                <w:color w:val="auto"/>
                <w:vertAlign w:val="superscript"/>
              </w:rPr>
              <w:t>(5)</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r>
      <w:tr>
        <w:trPr>
          <w:trHeight w:val="213"/>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Implied DCF</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2,376</w:t>
            </w:r>
          </w:p>
        </w:tc>
      </w:tr>
      <w:tr>
        <w:trPr>
          <w:trHeight w:val="220"/>
        </w:trPr>
        <w:tc>
          <w:tcPr>
            <w:tcW w:w="8820" w:type="dxa"/>
            <w:vAlign w:val="bottom"/>
            <w:tcBorders>
              <w:bottom w:val="single" w:sz="8" w:color="CCEEFF"/>
            </w:tcBorders>
            <w:gridSpan w:val="2"/>
          </w:tcPr>
          <w:p>
            <w:pPr>
              <w:ind w:left="180"/>
              <w:spacing w:after="0" w:line="220" w:lineRule="exact"/>
              <w:rPr>
                <w:sz w:val="20"/>
                <w:szCs w:val="20"/>
                <w:color w:val="auto"/>
              </w:rPr>
            </w:pPr>
            <w:r>
              <w:rPr>
                <w:rFonts w:ascii="Arial" w:cs="Arial" w:eastAsia="Arial" w:hAnsi="Arial"/>
                <w:sz w:val="17"/>
                <w:szCs w:val="17"/>
                <w:color w:val="auto"/>
              </w:rPr>
              <w:t xml:space="preserve">Preferred unit distributions paid </w:t>
            </w:r>
            <w:r>
              <w:rPr>
                <w:rFonts w:ascii="Arial" w:cs="Arial" w:eastAsia="Arial" w:hAnsi="Arial"/>
                <w:sz w:val="22"/>
                <w:szCs w:val="22"/>
                <w:color w:val="auto"/>
                <w:vertAlign w:val="superscript"/>
              </w:rPr>
              <w:t>(6)</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(198)</w:t>
            </w:r>
          </w:p>
        </w:tc>
      </w:tr>
      <w:tr>
        <w:trPr>
          <w:trHeight w:val="238"/>
        </w:trPr>
        <w:tc>
          <w:tcPr>
            <w:tcW w:w="8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Implied DCF Available to Common Unitholders</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1,683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2,178</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01"/>
        </w:trPr>
        <w:tc>
          <w:tcPr>
            <w:tcW w:w="3880" w:type="dxa"/>
            <w:vAlign w:val="bottom"/>
          </w:tcPr>
          <w:p>
            <w:pPr>
              <w:spacing w:after="0"/>
              <w:rPr>
                <w:sz w:val="8"/>
                <w:szCs w:val="8"/>
                <w:color w:val="auto"/>
              </w:rPr>
            </w:pPr>
          </w:p>
        </w:tc>
        <w:tc>
          <w:tcPr>
            <w:tcW w:w="494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r>
      <w:tr>
        <w:trPr>
          <w:trHeight w:val="220"/>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Weighted Average Common Units Outstanding</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727</w:t>
            </w:r>
          </w:p>
        </w:tc>
      </w:tr>
      <w:tr>
        <w:trPr>
          <w:trHeight w:val="220"/>
        </w:trPr>
        <w:tc>
          <w:tcPr>
            <w:tcW w:w="8820" w:type="dxa"/>
            <w:vAlign w:val="bottom"/>
            <w:gridSpan w:val="2"/>
          </w:tcPr>
          <w:p>
            <w:pPr>
              <w:ind w:left="20"/>
              <w:spacing w:after="0"/>
              <w:rPr>
                <w:sz w:val="20"/>
                <w:szCs w:val="20"/>
                <w:color w:val="auto"/>
              </w:rPr>
            </w:pPr>
            <w:r>
              <w:rPr>
                <w:rFonts w:ascii="Arial" w:cs="Arial" w:eastAsia="Arial" w:hAnsi="Arial"/>
                <w:sz w:val="17"/>
                <w:szCs w:val="17"/>
                <w:color w:val="auto"/>
              </w:rPr>
              <w:t>Weighted Average Common Units and Common Unit Equivalents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798</w:t>
            </w:r>
          </w:p>
        </w:tc>
      </w:tr>
      <w:tr>
        <w:trPr>
          <w:trHeight w:val="155"/>
        </w:trPr>
        <w:tc>
          <w:tcPr>
            <w:tcW w:w="3880" w:type="dxa"/>
            <w:vAlign w:val="bottom"/>
            <w:shd w:val="clear" w:color="auto" w:fill="CCEEFF"/>
          </w:tcPr>
          <w:p>
            <w:pPr>
              <w:spacing w:after="0"/>
              <w:rPr>
                <w:sz w:val="13"/>
                <w:szCs w:val="13"/>
                <w:color w:val="auto"/>
              </w:rPr>
            </w:pPr>
          </w:p>
        </w:tc>
        <w:tc>
          <w:tcPr>
            <w:tcW w:w="49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220"/>
        </w:trPr>
        <w:tc>
          <w:tcPr>
            <w:tcW w:w="8820" w:type="dxa"/>
            <w:vAlign w:val="bottom"/>
            <w:gridSpan w:val="2"/>
          </w:tcPr>
          <w:p>
            <w:pPr>
              <w:ind w:left="20"/>
              <w:spacing w:after="0" w:line="220" w:lineRule="exact"/>
              <w:rPr>
                <w:sz w:val="20"/>
                <w:szCs w:val="20"/>
                <w:color w:val="auto"/>
              </w:rPr>
            </w:pPr>
            <w:r>
              <w:rPr>
                <w:rFonts w:ascii="Arial" w:cs="Arial" w:eastAsia="Arial" w:hAnsi="Arial"/>
                <w:sz w:val="17"/>
                <w:szCs w:val="17"/>
                <w:color w:val="auto"/>
              </w:rPr>
              <w:t xml:space="preserve">Implied DCF per Common Unit </w:t>
            </w:r>
            <w:r>
              <w:rPr>
                <w:rFonts w:ascii="Arial" w:cs="Arial" w:eastAsia="Arial" w:hAnsi="Arial"/>
                <w:sz w:val="22"/>
                <w:szCs w:val="22"/>
                <w:color w:val="auto"/>
                <w:vertAlign w:val="superscript"/>
              </w:rPr>
              <w:t>(7)</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2.31</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2.99</w:t>
            </w:r>
          </w:p>
        </w:tc>
      </w:tr>
      <w:tr>
        <w:trPr>
          <w:trHeight w:val="220"/>
        </w:trPr>
        <w:tc>
          <w:tcPr>
            <w:tcW w:w="8820" w:type="dxa"/>
            <w:vAlign w:val="bottom"/>
            <w:gridSpan w:val="2"/>
            <w:shd w:val="clear" w:color="auto" w:fill="CCEEFF"/>
          </w:tcPr>
          <w:p>
            <w:pPr>
              <w:ind w:left="20"/>
              <w:spacing w:after="0" w:line="220" w:lineRule="exact"/>
              <w:rPr>
                <w:sz w:val="20"/>
                <w:szCs w:val="20"/>
                <w:color w:val="auto"/>
              </w:rPr>
            </w:pPr>
            <w:r>
              <w:rPr>
                <w:rFonts w:ascii="Arial" w:cs="Arial" w:eastAsia="Arial" w:hAnsi="Arial"/>
                <w:sz w:val="17"/>
                <w:szCs w:val="17"/>
                <w:color w:val="auto"/>
              </w:rPr>
              <w:t xml:space="preserve">Implied DCF per Common Unit and Common Unit Equivalent </w:t>
            </w:r>
            <w:r>
              <w:rPr>
                <w:rFonts w:ascii="Arial" w:cs="Arial" w:eastAsia="Arial" w:hAnsi="Arial"/>
                <w:sz w:val="22"/>
                <w:szCs w:val="22"/>
                <w:color w:val="auto"/>
                <w:vertAlign w:val="superscript"/>
              </w:rPr>
              <w:t>(8)</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2.91</w:t>
            </w:r>
          </w:p>
        </w:tc>
      </w:tr>
      <w:tr>
        <w:trPr>
          <w:trHeight w:val="155"/>
        </w:trPr>
        <w:tc>
          <w:tcPr>
            <w:tcW w:w="388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220"/>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Cash Distribution Paid per Common Unit</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w:t>
            </w:r>
          </w:p>
        </w:tc>
      </w:tr>
      <w:tr>
        <w:trPr>
          <w:trHeight w:val="220"/>
        </w:trPr>
        <w:tc>
          <w:tcPr>
            <w:tcW w:w="8820" w:type="dxa"/>
            <w:vAlign w:val="bottom"/>
            <w:gridSpan w:val="2"/>
          </w:tcPr>
          <w:p>
            <w:pPr>
              <w:ind w:left="20"/>
              <w:spacing w:after="0" w:line="220" w:lineRule="exact"/>
              <w:rPr>
                <w:sz w:val="20"/>
                <w:szCs w:val="20"/>
                <w:color w:val="auto"/>
              </w:rPr>
            </w:pPr>
            <w:r>
              <w:rPr>
                <w:rFonts w:ascii="Arial" w:cs="Arial" w:eastAsia="Arial" w:hAnsi="Arial"/>
                <w:sz w:val="17"/>
                <w:szCs w:val="17"/>
                <w:color w:val="auto"/>
              </w:rPr>
              <w:t xml:space="preserve">Common Unit Cash Distributions </w:t>
            </w:r>
            <w:r>
              <w:rPr>
                <w:rFonts w:ascii="Arial" w:cs="Arial" w:eastAsia="Arial" w:hAnsi="Arial"/>
                <w:sz w:val="22"/>
                <w:szCs w:val="22"/>
                <w:color w:val="auto"/>
                <w:vertAlign w:val="superscript"/>
              </w:rPr>
              <w:t>(5)</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655</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1,004</w:t>
            </w:r>
          </w:p>
        </w:tc>
      </w:tr>
      <w:tr>
        <w:trPr>
          <w:trHeight w:val="220"/>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Common Unit Distribution Coverage Ratio</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2.57x</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2.17x</w:t>
            </w:r>
          </w:p>
        </w:tc>
      </w:tr>
      <w:tr>
        <w:trPr>
          <w:trHeight w:val="155"/>
        </w:trPr>
        <w:tc>
          <w:tcPr>
            <w:tcW w:w="388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220"/>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Implied DCF Excess</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1,174</w:t>
            </w:r>
          </w:p>
        </w:tc>
      </w:tr>
      <w:tr>
        <w:trPr>
          <w:trHeight w:val="155"/>
        </w:trPr>
        <w:tc>
          <w:tcPr>
            <w:tcW w:w="3880" w:type="dxa"/>
            <w:vAlign w:val="bottom"/>
            <w:tcBorders>
              <w:bottom w:val="single" w:sz="8" w:color="auto"/>
            </w:tcBorders>
          </w:tcPr>
          <w:p>
            <w:pPr>
              <w:spacing w:after="0"/>
              <w:rPr>
                <w:sz w:val="13"/>
                <w:szCs w:val="13"/>
                <w:color w:val="auto"/>
              </w:rPr>
            </w:pPr>
          </w:p>
        </w:tc>
        <w:tc>
          <w:tcPr>
            <w:tcW w:w="4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r>
    </w:tbl>
    <w:p>
      <w:pPr>
        <w:spacing w:after="0" w:line="91" w:lineRule="exact"/>
        <w:rPr>
          <w:sz w:val="20"/>
          <w:szCs w:val="20"/>
          <w:color w:val="auto"/>
        </w:rPr>
      </w:pPr>
    </w:p>
    <w:p>
      <w:pPr>
        <w:ind w:left="300" w:hanging="297"/>
        <w:spacing w:after="0"/>
        <w:tabs>
          <w:tab w:leader="none" w:pos="30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Adjustment to exclude our proportionate share of depreciation and amortization expense of unconsolidated entities.</w:t>
      </w:r>
    </w:p>
    <w:p>
      <w:pPr>
        <w:spacing w:after="0" w:line="44" w:lineRule="exact"/>
        <w:rPr>
          <w:rFonts w:ascii="Arial" w:cs="Arial" w:eastAsia="Arial" w:hAnsi="Arial"/>
          <w:sz w:val="18"/>
          <w:szCs w:val="18"/>
          <w:color w:val="auto"/>
          <w:vertAlign w:val="superscript"/>
        </w:rPr>
      </w:pPr>
    </w:p>
    <w:p>
      <w:pPr>
        <w:ind w:left="300" w:hanging="297"/>
        <w:spacing w:after="0" w:line="188" w:lineRule="auto"/>
        <w:tabs>
          <w:tab w:leader="none" w:pos="30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Certain of our non-GAAP financial measures may not be impacted by each of the selected items impacting comparability.</w:t>
      </w:r>
    </w:p>
    <w:p>
      <w:pPr>
        <w:spacing w:after="0" w:line="44" w:lineRule="exact"/>
        <w:rPr>
          <w:rFonts w:ascii="Arial" w:cs="Arial" w:eastAsia="Arial" w:hAnsi="Arial"/>
          <w:sz w:val="18"/>
          <w:szCs w:val="18"/>
          <w:color w:val="auto"/>
          <w:vertAlign w:val="superscript"/>
        </w:rPr>
      </w:pPr>
    </w:p>
    <w:p>
      <w:pPr>
        <w:ind w:left="300" w:hanging="297"/>
        <w:spacing w:after="0" w:line="188" w:lineRule="auto"/>
        <w:tabs>
          <w:tab w:leader="none" w:pos="30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Excludes certain non-cash items impacting interest expense such as amortization of debt issuance costs and terminated interest rate swaps.</w:t>
      </w:r>
    </w:p>
    <w:p>
      <w:pPr>
        <w:spacing w:after="0" w:line="44" w:lineRule="exact"/>
        <w:rPr>
          <w:rFonts w:ascii="Arial" w:cs="Arial" w:eastAsia="Arial" w:hAnsi="Arial"/>
          <w:sz w:val="18"/>
          <w:szCs w:val="18"/>
          <w:color w:val="auto"/>
          <w:vertAlign w:val="superscript"/>
        </w:rPr>
      </w:pPr>
    </w:p>
    <w:p>
      <w:pPr>
        <w:ind w:left="320" w:right="400" w:hanging="317"/>
        <w:spacing w:after="0" w:line="207" w:lineRule="auto"/>
        <w:tabs>
          <w:tab w:leader="none" w:pos="308"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Comprised of cash distributions received from unconsolidated entities less equity earnings in unconsolidated entities (adjusted for our proportionate share of depreciation and amortization and selected items impacting comparability of unconsolidated entities).</w:t>
      </w:r>
    </w:p>
    <w:p>
      <w:pPr>
        <w:ind w:left="300" w:hanging="297"/>
        <w:spacing w:after="0"/>
        <w:tabs>
          <w:tab w:leader="none" w:pos="30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Cash distributions paid during the period presented.</w:t>
      </w:r>
    </w:p>
    <w:p>
      <w:pPr>
        <w:spacing w:after="0" w:line="43" w:lineRule="exact"/>
        <w:rPr>
          <w:rFonts w:ascii="Arial" w:cs="Arial" w:eastAsia="Arial" w:hAnsi="Arial"/>
          <w:sz w:val="18"/>
          <w:szCs w:val="18"/>
          <w:color w:val="auto"/>
          <w:vertAlign w:val="superscript"/>
        </w:rPr>
      </w:pPr>
    </w:p>
    <w:p>
      <w:pPr>
        <w:ind w:left="300" w:hanging="297"/>
        <w:spacing w:after="0" w:line="188" w:lineRule="auto"/>
        <w:tabs>
          <w:tab w:leader="none" w:pos="30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Cash distributions paid to our preferred unitholders during the period presented.</w:t>
      </w:r>
    </w:p>
    <w:p>
      <w:pPr>
        <w:spacing w:after="0" w:line="44" w:lineRule="exact"/>
        <w:rPr>
          <w:rFonts w:ascii="Arial" w:cs="Arial" w:eastAsia="Arial" w:hAnsi="Arial"/>
          <w:sz w:val="18"/>
          <w:szCs w:val="18"/>
          <w:color w:val="auto"/>
          <w:vertAlign w:val="superscript"/>
        </w:rPr>
      </w:pPr>
    </w:p>
    <w:p>
      <w:pPr>
        <w:ind w:left="300" w:hanging="297"/>
        <w:spacing w:after="0" w:line="188" w:lineRule="auto"/>
        <w:tabs>
          <w:tab w:leader="none" w:pos="30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Implied DCF Available to Common Unitholders for the period divided by the weighted average common units outstanding for the period.</w:t>
      </w:r>
    </w:p>
    <w:p>
      <w:pPr>
        <w:spacing w:after="0" w:line="44" w:lineRule="exact"/>
        <w:rPr>
          <w:rFonts w:ascii="Arial" w:cs="Arial" w:eastAsia="Arial" w:hAnsi="Arial"/>
          <w:sz w:val="18"/>
          <w:szCs w:val="18"/>
          <w:color w:val="auto"/>
          <w:vertAlign w:val="superscript"/>
        </w:rPr>
      </w:pPr>
    </w:p>
    <w:p>
      <w:pPr>
        <w:ind w:left="320" w:right="80" w:hanging="317"/>
        <w:spacing w:after="0" w:line="214" w:lineRule="auto"/>
        <w:tabs>
          <w:tab w:leader="none" w:pos="308"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Implied DCF Available to Common Unitholders for the period, adjusted for Series A preferred unit cash distributions paid, divided by the weighted average common units and common unit equivalents outstanding for the period. Our Series A preferred units are convertible into common units, generally on a one-for-one basis and subject to customary anti-dilution adjustments, in whole or in part, subject to certain minimum conversion amounts.</w:t>
      </w:r>
    </w:p>
    <w:p>
      <w:pPr>
        <w:spacing w:after="0" w:line="181" w:lineRule="exact"/>
        <w:rPr>
          <w:rFonts w:ascii="Arial" w:cs="Arial" w:eastAsia="Arial" w:hAnsi="Arial"/>
          <w:sz w:val="18"/>
          <w:szCs w:val="18"/>
          <w:color w:val="auto"/>
          <w:vertAlign w:val="superscript"/>
        </w:rPr>
      </w:pPr>
    </w:p>
    <w:p>
      <w:pPr>
        <w:ind w:left="5440" w:hanging="93"/>
        <w:spacing w:after="0"/>
        <w:tabs>
          <w:tab w:leader="none" w:pos="5440" w:val="left"/>
        </w:tabs>
        <w:numPr>
          <w:ilvl w:val="1"/>
          <w:numId w:val="14"/>
        </w:numPr>
        <w:rPr>
          <w:rFonts w:ascii="Arial" w:cs="Arial" w:eastAsia="Arial" w:hAnsi="Arial"/>
          <w:sz w:val="17"/>
          <w:szCs w:val="17"/>
          <w:color w:val="auto"/>
        </w:rPr>
      </w:pPr>
      <w:r>
        <w:rPr>
          <w:rFonts w:ascii="Arial" w:cs="Arial" w:eastAsia="Arial" w:hAnsi="Arial"/>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16" w:name="page17"/>
    <w:bookmarkEnd w:id="16"/>
    <w:p>
      <w:pPr>
        <w:ind w:left="100"/>
        <w:spacing w:after="0"/>
        <w:rPr>
          <w:sz w:val="20"/>
          <w:szCs w:val="20"/>
          <w:color w:val="auto"/>
        </w:rPr>
      </w:pPr>
      <w:r>
        <w:rPr>
          <w:rFonts w:ascii="Arial" w:cs="Arial" w:eastAsia="Arial" w:hAnsi="Arial"/>
          <w:sz w:val="17"/>
          <w:szCs w:val="17"/>
          <w:u w:val="single" w:color="auto"/>
          <w:color w:val="auto"/>
        </w:rPr>
        <w:t>Page 14</w:t>
      </w:r>
    </w:p>
    <w:p>
      <w:pPr>
        <w:spacing w:after="0" w:line="200" w:lineRule="exact"/>
        <w:rPr>
          <w:sz w:val="20"/>
          <w:szCs w:val="20"/>
          <w:color w:val="auto"/>
        </w:rPr>
      </w:pPr>
    </w:p>
    <w:p>
      <w:pPr>
        <w:spacing w:after="0" w:line="219"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30"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55880</wp:posOffset>
            </wp:positionV>
            <wp:extent cx="71215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6" w:lineRule="exact"/>
        <w:rPr>
          <w:sz w:val="20"/>
          <w:szCs w:val="20"/>
          <w:color w:val="auto"/>
        </w:rPr>
      </w:pPr>
    </w:p>
    <w:p>
      <w:pPr>
        <w:ind w:left="100"/>
        <w:spacing w:after="0"/>
        <w:rPr>
          <w:sz w:val="20"/>
          <w:szCs w:val="20"/>
          <w:color w:val="auto"/>
        </w:rPr>
      </w:pPr>
      <w:r>
        <w:rPr>
          <w:rFonts w:ascii="Arial" w:cs="Arial" w:eastAsia="Arial" w:hAnsi="Arial"/>
          <w:sz w:val="17"/>
          <w:szCs w:val="17"/>
          <w:b w:val="1"/>
          <w:bCs w:val="1"/>
          <w:u w:val="single" w:color="auto"/>
          <w:color w:val="auto"/>
        </w:rPr>
        <w:t>NON-GAAP RECONCILIATIONS (continued)</w:t>
      </w:r>
    </w:p>
    <w:p>
      <w:pPr>
        <w:spacing w:after="0" w:line="241"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Net Income/(Loss) Per Common Unit to Implied DCF Per Common Unit and Common Unit Equivalent Reconciliations: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960" w:type="dxa"/>
            <w:vAlign w:val="bottom"/>
            <w:gridSpan w:val="4"/>
          </w:tcPr>
          <w:p>
            <w:pPr>
              <w:jc w:val="right"/>
              <w:ind w:right="151"/>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4"/>
          </w:tcPr>
          <w:p>
            <w:pPr>
              <w:jc w:val="right"/>
              <w:ind w:right="191"/>
              <w:spacing w:after="0"/>
              <w:rPr>
                <w:sz w:val="20"/>
                <w:szCs w:val="20"/>
                <w:color w:val="auto"/>
              </w:rPr>
            </w:pPr>
            <w:r>
              <w:rPr>
                <w:rFonts w:ascii="Arial" w:cs="Arial" w:eastAsia="Arial" w:hAnsi="Arial"/>
                <w:sz w:val="14"/>
                <w:szCs w:val="14"/>
                <w:b w:val="1"/>
                <w:bCs w:val="1"/>
                <w:color w:val="auto"/>
              </w:rPr>
              <w:t>Six Months Ended</w:t>
            </w:r>
          </w:p>
        </w:tc>
        <w:tc>
          <w:tcPr>
            <w:tcW w:w="460" w:type="dxa"/>
            <w:vAlign w:val="bottom"/>
          </w:tcPr>
          <w:p>
            <w:pPr>
              <w:spacing w:after="0"/>
              <w:rPr>
                <w:sz w:val="14"/>
                <w:szCs w:val="14"/>
                <w:color w:val="auto"/>
              </w:rPr>
            </w:pPr>
          </w:p>
        </w:tc>
      </w:tr>
      <w:tr>
        <w:trPr>
          <w:trHeight w:val="180"/>
        </w:trPr>
        <w:tc>
          <w:tcPr>
            <w:tcW w:w="10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right"/>
              <w:ind w:right="451"/>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ind w:right="411"/>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5"/>
                <w:szCs w:val="15"/>
                <w:color w:val="auto"/>
              </w:rPr>
            </w:pPr>
          </w:p>
        </w:tc>
      </w:tr>
      <w:tr>
        <w:trPr>
          <w:trHeight w:val="173"/>
        </w:trPr>
        <w:tc>
          <w:tcPr>
            <w:tcW w:w="10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5"/>
                <w:szCs w:val="15"/>
                <w:color w:val="auto"/>
              </w:rPr>
            </w:pPr>
          </w:p>
        </w:tc>
      </w:tr>
      <w:tr>
        <w:trPr>
          <w:trHeight w:val="215"/>
        </w:trPr>
        <w:tc>
          <w:tcPr>
            <w:tcW w:w="5460" w:type="dxa"/>
            <w:vAlign w:val="bottom"/>
            <w:gridSpan w:val="2"/>
          </w:tcPr>
          <w:p>
            <w:pPr>
              <w:spacing w:after="0"/>
              <w:rPr>
                <w:sz w:val="20"/>
                <w:szCs w:val="20"/>
                <w:color w:val="auto"/>
              </w:rPr>
            </w:pPr>
            <w:r>
              <w:rPr>
                <w:rFonts w:ascii="Arial" w:cs="Arial" w:eastAsia="Arial" w:hAnsi="Arial"/>
                <w:sz w:val="17"/>
                <w:szCs w:val="17"/>
                <w:color w:val="auto"/>
              </w:rPr>
              <w:t>Basic net income/(loss) per common unit</w:t>
            </w: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spacing w:after="0"/>
              <w:rPr>
                <w:sz w:val="18"/>
                <w:szCs w:val="18"/>
                <w:color w:val="auto"/>
              </w:rPr>
            </w:pPr>
          </w:p>
        </w:tc>
        <w:tc>
          <w:tcPr>
            <w:tcW w:w="580" w:type="dxa"/>
            <w:vAlign w:val="bottom"/>
            <w:gridSpan w:val="2"/>
          </w:tcPr>
          <w:p>
            <w:pPr>
              <w:jc w:val="right"/>
              <w:ind w:right="12"/>
              <w:spacing w:after="0"/>
              <w:rPr>
                <w:sz w:val="20"/>
                <w:szCs w:val="20"/>
                <w:color w:val="auto"/>
              </w:rPr>
            </w:pPr>
            <w:r>
              <w:rPr>
                <w:rFonts w:ascii="Arial" w:cs="Arial" w:eastAsia="Arial" w:hAnsi="Arial"/>
                <w:sz w:val="17"/>
                <w:szCs w:val="17"/>
                <w:color w:val="auto"/>
                <w:w w:val="92"/>
              </w:rPr>
              <w:t>(0.37)$</w:t>
            </w:r>
          </w:p>
        </w:tc>
        <w:tc>
          <w:tcPr>
            <w:tcW w:w="7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0.13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0.14</w:t>
            </w:r>
          </w:p>
        </w:tc>
        <w:tc>
          <w:tcPr>
            <w:tcW w:w="100" w:type="dxa"/>
            <w:vAlign w:val="bottom"/>
          </w:tcPr>
          <w:p>
            <w:pPr>
              <w:jc w:val="right"/>
              <w:ind w:right="33"/>
              <w:spacing w:after="0"/>
              <w:rPr>
                <w:sz w:val="20"/>
                <w:szCs w:val="20"/>
                <w:color w:val="auto"/>
              </w:rPr>
            </w:pPr>
            <w:r>
              <w:rPr>
                <w:rFonts w:ascii="Arial" w:cs="Arial" w:eastAsia="Arial" w:hAnsi="Arial"/>
                <w:sz w:val="5"/>
                <w:szCs w:val="5"/>
                <w:color w:val="auto"/>
                <w:w w:val="70"/>
              </w:rPr>
              <w:t>$</w:t>
            </w:r>
          </w:p>
        </w:tc>
        <w:tc>
          <w:tcPr>
            <w:tcW w:w="68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Arial" w:cs="Arial" w:eastAsia="Arial" w:hAnsi="Arial"/>
                <w:sz w:val="17"/>
                <w:szCs w:val="17"/>
                <w:color w:val="auto"/>
                <w:w w:val="94"/>
              </w:rPr>
              <w:t>(3.85)</w:t>
            </w:r>
          </w:p>
        </w:tc>
      </w:tr>
      <w:tr>
        <w:trPr>
          <w:trHeight w:val="220"/>
        </w:trPr>
        <w:tc>
          <w:tcPr>
            <w:tcW w:w="5460" w:type="dxa"/>
            <w:vAlign w:val="bottom"/>
            <w:gridSpan w:val="2"/>
          </w:tcPr>
          <w:p>
            <w:pPr>
              <w:spacing w:after="0" w:line="220" w:lineRule="exact"/>
              <w:rPr>
                <w:sz w:val="20"/>
                <w:szCs w:val="20"/>
                <w:color w:val="auto"/>
              </w:rPr>
            </w:pPr>
            <w:r>
              <w:rPr>
                <w:rFonts w:ascii="Arial" w:cs="Arial" w:eastAsia="Arial" w:hAnsi="Arial"/>
                <w:sz w:val="17"/>
                <w:szCs w:val="17"/>
                <w:color w:val="auto"/>
              </w:rPr>
              <w:t xml:space="preserve">Reconciling items per common unit </w:t>
            </w:r>
            <w:r>
              <w:rPr>
                <w:rFonts w:ascii="Arial" w:cs="Arial" w:eastAsia="Arial" w:hAnsi="Arial"/>
                <w:sz w:val="22"/>
                <w:szCs w:val="22"/>
                <w:color w:val="auto"/>
                <w:vertAlign w:val="superscript"/>
              </w:rPr>
              <w:t>(1) (2)</w:t>
            </w: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0.89</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0.28</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0.89</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Arial" w:cs="Arial" w:eastAsia="Arial" w:hAnsi="Arial"/>
                <w:sz w:val="17"/>
                <w:szCs w:val="17"/>
                <w:color w:val="auto"/>
                <w:w w:val="90"/>
              </w:rPr>
              <w:t>5.08</w:t>
            </w:r>
          </w:p>
        </w:tc>
      </w:tr>
      <w:tr>
        <w:trPr>
          <w:trHeight w:val="20"/>
        </w:trPr>
        <w:tc>
          <w:tcPr>
            <w:tcW w:w="100" w:type="dxa"/>
            <w:vAlign w:val="bottom"/>
          </w:tcPr>
          <w:p>
            <w:pPr>
              <w:spacing w:after="0" w:line="20" w:lineRule="exact"/>
              <w:rPr>
                <w:sz w:val="1"/>
                <w:szCs w:val="1"/>
                <w:color w:val="auto"/>
              </w:rPr>
            </w:pPr>
          </w:p>
        </w:tc>
        <w:tc>
          <w:tcPr>
            <w:tcW w:w="536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r>
      <w:tr>
        <w:trPr>
          <w:trHeight w:val="233"/>
        </w:trPr>
        <w:tc>
          <w:tcPr>
            <w:tcW w:w="100" w:type="dxa"/>
            <w:vAlign w:val="bottom"/>
          </w:tcPr>
          <w:p>
            <w:pPr>
              <w:spacing w:after="0"/>
              <w:rPr>
                <w:sz w:val="20"/>
                <w:szCs w:val="20"/>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7"/>
                <w:szCs w:val="17"/>
                <w:color w:val="auto"/>
              </w:rPr>
              <w:t>mplied DCF per common unit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spacing w:after="0"/>
              <w:rPr>
                <w:sz w:val="20"/>
                <w:szCs w:val="20"/>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0.52</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spacing w:after="0"/>
              <w:rPr>
                <w:sz w:val="20"/>
                <w:szCs w:val="20"/>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0.41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spacing w:after="0"/>
              <w:rPr>
                <w:sz w:val="20"/>
                <w:szCs w:val="20"/>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1.03</w:t>
            </w:r>
          </w:p>
        </w:tc>
        <w:tc>
          <w:tcPr>
            <w:tcW w:w="100" w:type="dxa"/>
            <w:vAlign w:val="bottom"/>
            <w:shd w:val="clear" w:color="auto" w:fill="CCEEFF"/>
          </w:tcPr>
          <w:p>
            <w:pPr>
              <w:jc w:val="right"/>
              <w:ind w:right="33"/>
              <w:spacing w:after="0"/>
              <w:rPr>
                <w:sz w:val="20"/>
                <w:szCs w:val="20"/>
                <w:color w:val="auto"/>
              </w:rPr>
            </w:pPr>
            <w:r>
              <w:rPr>
                <w:rFonts w:ascii="Arial" w:cs="Arial" w:eastAsia="Arial" w:hAnsi="Arial"/>
                <w:sz w:val="5"/>
                <w:szCs w:val="5"/>
                <w:color w:val="auto"/>
                <w:w w:val="70"/>
              </w:rPr>
              <w:t>$</w:t>
            </w:r>
          </w:p>
        </w:tc>
        <w:tc>
          <w:tcPr>
            <w:tcW w:w="680" w:type="dxa"/>
            <w:vAlign w:val="bottom"/>
            <w:shd w:val="clear" w:color="auto" w:fill="CCEEFF"/>
          </w:tcPr>
          <w:p>
            <w:pPr>
              <w:spacing w:after="0"/>
              <w:rPr>
                <w:sz w:val="20"/>
                <w:szCs w:val="20"/>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1.23</w:t>
            </w:r>
          </w:p>
        </w:tc>
      </w:tr>
      <w:tr>
        <w:trPr>
          <w:trHeight w:val="20"/>
        </w:trPr>
        <w:tc>
          <w:tcPr>
            <w:tcW w:w="100" w:type="dxa"/>
            <w:vAlign w:val="bottom"/>
          </w:tcPr>
          <w:p>
            <w:pPr>
              <w:spacing w:after="0" w:line="20" w:lineRule="exact"/>
              <w:rPr>
                <w:sz w:val="1"/>
                <w:szCs w:val="1"/>
                <w:color w:val="auto"/>
              </w:rPr>
            </w:pPr>
          </w:p>
        </w:tc>
        <w:tc>
          <w:tcPr>
            <w:tcW w:w="53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r>
      <w:tr>
        <w:trPr>
          <w:trHeight w:val="372"/>
        </w:trPr>
        <w:tc>
          <w:tcPr>
            <w:tcW w:w="5460" w:type="dxa"/>
            <w:vAlign w:val="bottom"/>
            <w:gridSpan w:val="2"/>
          </w:tcPr>
          <w:p>
            <w:pPr>
              <w:spacing w:after="0"/>
              <w:rPr>
                <w:sz w:val="20"/>
                <w:szCs w:val="20"/>
                <w:color w:val="auto"/>
              </w:rPr>
            </w:pPr>
            <w:r>
              <w:rPr>
                <w:rFonts w:ascii="Arial" w:cs="Arial" w:eastAsia="Arial" w:hAnsi="Arial"/>
                <w:sz w:val="17"/>
                <w:szCs w:val="17"/>
                <w:color w:val="auto"/>
              </w:rPr>
              <w:t>Basic net income/(loss) per common unit</w:t>
            </w: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spacing w:after="0"/>
              <w:rPr>
                <w:sz w:val="24"/>
                <w:szCs w:val="24"/>
                <w:color w:val="auto"/>
              </w:rPr>
            </w:pPr>
          </w:p>
        </w:tc>
        <w:tc>
          <w:tcPr>
            <w:tcW w:w="580" w:type="dxa"/>
            <w:vAlign w:val="bottom"/>
            <w:gridSpan w:val="2"/>
          </w:tcPr>
          <w:p>
            <w:pPr>
              <w:jc w:val="right"/>
              <w:ind w:right="12"/>
              <w:spacing w:after="0"/>
              <w:rPr>
                <w:sz w:val="20"/>
                <w:szCs w:val="20"/>
                <w:color w:val="auto"/>
              </w:rPr>
            </w:pPr>
            <w:r>
              <w:rPr>
                <w:rFonts w:ascii="Arial" w:cs="Arial" w:eastAsia="Arial" w:hAnsi="Arial"/>
                <w:sz w:val="17"/>
                <w:szCs w:val="17"/>
                <w:color w:val="auto"/>
                <w:w w:val="92"/>
              </w:rPr>
              <w:t>(0.37)$</w:t>
            </w:r>
          </w:p>
        </w:tc>
        <w:tc>
          <w:tcPr>
            <w:tcW w:w="7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0.13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0.14</w:t>
            </w:r>
          </w:p>
        </w:tc>
        <w:tc>
          <w:tcPr>
            <w:tcW w:w="100" w:type="dxa"/>
            <w:vAlign w:val="bottom"/>
          </w:tcPr>
          <w:p>
            <w:pPr>
              <w:jc w:val="right"/>
              <w:ind w:right="33"/>
              <w:spacing w:after="0"/>
              <w:rPr>
                <w:sz w:val="20"/>
                <w:szCs w:val="20"/>
                <w:color w:val="auto"/>
              </w:rPr>
            </w:pPr>
            <w:r>
              <w:rPr>
                <w:rFonts w:ascii="Arial" w:cs="Arial" w:eastAsia="Arial" w:hAnsi="Arial"/>
                <w:sz w:val="5"/>
                <w:szCs w:val="5"/>
                <w:color w:val="auto"/>
                <w:w w:val="70"/>
              </w:rPr>
              <w:t>$</w:t>
            </w:r>
          </w:p>
        </w:tc>
        <w:tc>
          <w:tcPr>
            <w:tcW w:w="68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7"/>
                <w:szCs w:val="17"/>
                <w:color w:val="auto"/>
                <w:w w:val="94"/>
              </w:rPr>
              <w:t>(3.85)</w:t>
            </w:r>
          </w:p>
        </w:tc>
      </w:tr>
      <w:tr>
        <w:trPr>
          <w:trHeight w:val="220"/>
        </w:trPr>
        <w:tc>
          <w:tcPr>
            <w:tcW w:w="5460" w:type="dxa"/>
            <w:vAlign w:val="bottom"/>
            <w:gridSpan w:val="2"/>
          </w:tcPr>
          <w:p>
            <w:pPr>
              <w:spacing w:after="0" w:line="220" w:lineRule="exact"/>
              <w:rPr>
                <w:sz w:val="20"/>
                <w:szCs w:val="20"/>
                <w:color w:val="auto"/>
              </w:rPr>
            </w:pPr>
            <w:r>
              <w:rPr>
                <w:rFonts w:ascii="Arial" w:cs="Arial" w:eastAsia="Arial" w:hAnsi="Arial"/>
                <w:sz w:val="17"/>
                <w:szCs w:val="17"/>
                <w:color w:val="auto"/>
              </w:rPr>
              <w:t xml:space="preserve">Reconciling items per common unit and common unit equivalent </w:t>
            </w:r>
            <w:r>
              <w:rPr>
                <w:rFonts w:ascii="Arial" w:cs="Arial" w:eastAsia="Arial" w:hAnsi="Arial"/>
                <w:sz w:val="22"/>
                <w:szCs w:val="22"/>
                <w:color w:val="auto"/>
                <w:vertAlign w:val="superscript"/>
              </w:rPr>
              <w:t>(1) (3)</w:t>
            </w: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0.89</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0.29</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0.89</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Arial" w:cs="Arial" w:eastAsia="Arial" w:hAnsi="Arial"/>
                <w:sz w:val="17"/>
                <w:szCs w:val="17"/>
                <w:color w:val="auto"/>
                <w:w w:val="90"/>
              </w:rPr>
              <w:t>5.06</w:t>
            </w:r>
          </w:p>
        </w:tc>
      </w:tr>
      <w:tr>
        <w:trPr>
          <w:trHeight w:val="20"/>
        </w:trPr>
        <w:tc>
          <w:tcPr>
            <w:tcW w:w="100" w:type="dxa"/>
            <w:vAlign w:val="bottom"/>
          </w:tcPr>
          <w:p>
            <w:pPr>
              <w:spacing w:after="0" w:line="20" w:lineRule="exact"/>
              <w:rPr>
                <w:sz w:val="1"/>
                <w:szCs w:val="1"/>
                <w:color w:val="auto"/>
              </w:rPr>
            </w:pPr>
          </w:p>
        </w:tc>
        <w:tc>
          <w:tcPr>
            <w:tcW w:w="536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r>
      <w:tr>
        <w:trPr>
          <w:trHeight w:val="233"/>
        </w:trPr>
        <w:tc>
          <w:tcPr>
            <w:tcW w:w="100" w:type="dxa"/>
            <w:vAlign w:val="bottom"/>
          </w:tcPr>
          <w:p>
            <w:pPr>
              <w:spacing w:after="0"/>
              <w:rPr>
                <w:sz w:val="20"/>
                <w:szCs w:val="20"/>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7"/>
                <w:szCs w:val="17"/>
                <w:color w:val="auto"/>
              </w:rPr>
              <w:t>mplied DCF per common unit and common unit equivalent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spacing w:after="0"/>
              <w:rPr>
                <w:sz w:val="20"/>
                <w:szCs w:val="20"/>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0.52</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spacing w:after="0"/>
              <w:rPr>
                <w:sz w:val="20"/>
                <w:szCs w:val="20"/>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0.42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spacing w:after="0"/>
              <w:rPr>
                <w:sz w:val="20"/>
                <w:szCs w:val="20"/>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1.03</w:t>
            </w:r>
          </w:p>
        </w:tc>
        <w:tc>
          <w:tcPr>
            <w:tcW w:w="100" w:type="dxa"/>
            <w:vAlign w:val="bottom"/>
            <w:shd w:val="clear" w:color="auto" w:fill="CCEEFF"/>
          </w:tcPr>
          <w:p>
            <w:pPr>
              <w:jc w:val="right"/>
              <w:ind w:right="33"/>
              <w:spacing w:after="0"/>
              <w:rPr>
                <w:sz w:val="20"/>
                <w:szCs w:val="20"/>
                <w:color w:val="auto"/>
              </w:rPr>
            </w:pPr>
            <w:r>
              <w:rPr>
                <w:rFonts w:ascii="Arial" w:cs="Arial" w:eastAsia="Arial" w:hAnsi="Arial"/>
                <w:sz w:val="5"/>
                <w:szCs w:val="5"/>
                <w:color w:val="auto"/>
                <w:w w:val="70"/>
              </w:rPr>
              <w:t>$</w:t>
            </w:r>
          </w:p>
        </w:tc>
        <w:tc>
          <w:tcPr>
            <w:tcW w:w="680" w:type="dxa"/>
            <w:vAlign w:val="bottom"/>
            <w:shd w:val="clear" w:color="auto" w:fill="CCEEFF"/>
          </w:tcPr>
          <w:p>
            <w:pPr>
              <w:spacing w:after="0"/>
              <w:rPr>
                <w:sz w:val="20"/>
                <w:szCs w:val="20"/>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1.21</w:t>
            </w:r>
          </w:p>
        </w:tc>
      </w:tr>
      <w:tr>
        <w:trPr>
          <w:trHeight w:val="20"/>
        </w:trPr>
        <w:tc>
          <w:tcPr>
            <w:tcW w:w="100" w:type="dxa"/>
            <w:vAlign w:val="bottom"/>
          </w:tcPr>
          <w:p>
            <w:pPr>
              <w:spacing w:after="0" w:line="20" w:lineRule="exact"/>
              <w:rPr>
                <w:sz w:val="1"/>
                <w:szCs w:val="1"/>
                <w:color w:val="auto"/>
              </w:rPr>
            </w:pPr>
          </w:p>
        </w:tc>
        <w:tc>
          <w:tcPr>
            <w:tcW w:w="53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-1041400</wp:posOffset>
            </wp:positionV>
            <wp:extent cx="7039610" cy="147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39610" cy="14795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-459105</wp:posOffset>
            </wp:positionV>
            <wp:extent cx="7039610" cy="1397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39610" cy="139700"/>
                    </a:xfrm>
                    <a:prstGeom prst="rect">
                      <a:avLst/>
                    </a:prstGeom>
                    <a:noFill/>
                  </pic:spPr>
                </pic:pic>
              </a:graphicData>
            </a:graphic>
          </wp:anchor>
        </w:drawing>
      </w:r>
    </w:p>
    <w:p>
      <w:pPr>
        <w:spacing w:after="0" w:line="394" w:lineRule="exact"/>
        <w:rPr>
          <w:sz w:val="20"/>
          <w:szCs w:val="20"/>
          <w:color w:val="auto"/>
        </w:rPr>
      </w:pPr>
    </w:p>
    <w:p>
      <w:pPr>
        <w:jc w:val="center"/>
        <w:ind w:left="8800"/>
        <w:spacing w:after="0"/>
        <w:rPr>
          <w:sz w:val="20"/>
          <w:szCs w:val="20"/>
          <w:color w:val="auto"/>
        </w:rPr>
      </w:pPr>
      <w:r>
        <w:rPr>
          <w:rFonts w:ascii="Arial" w:cs="Arial" w:eastAsia="Arial" w:hAnsi="Arial"/>
          <w:sz w:val="14"/>
          <w:szCs w:val="14"/>
          <w:b w:val="1"/>
          <w:bCs w:val="1"/>
          <w:color w:val="auto"/>
        </w:rPr>
        <w:t>Twelve Months Ended</w:t>
      </w:r>
    </w:p>
    <w:p>
      <w:pPr>
        <w:jc w:val="center"/>
        <w:ind w:left="8800"/>
        <w:spacing w:after="0"/>
        <w:rPr>
          <w:sz w:val="20"/>
          <w:szCs w:val="20"/>
          <w:color w:val="auto"/>
        </w:rPr>
      </w:pPr>
      <w:r>
        <w:rPr>
          <w:rFonts w:ascii="Arial" w:cs="Arial" w:eastAsia="Arial" w:hAnsi="Arial"/>
          <w:sz w:val="14"/>
          <w:szCs w:val="14"/>
          <w:b w:val="1"/>
          <w:bCs w:val="1"/>
          <w:color w:val="auto"/>
        </w:rPr>
        <w:t>December 31,</w:t>
      </w:r>
    </w:p>
    <w:p>
      <w:pPr>
        <w:spacing w:after="0" w:line="2" w:lineRule="exact"/>
        <w:rPr>
          <w:sz w:val="20"/>
          <w:szCs w:val="20"/>
          <w:color w:val="auto"/>
        </w:rPr>
      </w:pPr>
    </w:p>
    <w:tbl>
      <w:tblPr>
        <w:tblLayout w:type="fixed"/>
        <w:tblInd w:w="100" w:type="dxa"/>
        <w:tblCellMar>
          <w:top w:w="0" w:type="dxa"/>
          <w:left w:w="0" w:type="dxa"/>
          <w:bottom w:w="0" w:type="dxa"/>
          <w:right w:w="0" w:type="dxa"/>
        </w:tblCellMar>
      </w:tblPr>
      <w:tr>
        <w:trPr>
          <w:trHeight w:val="184"/>
        </w:trPr>
        <w:tc>
          <w:tcPr>
            <w:tcW w:w="3880" w:type="dxa"/>
            <w:vAlign w:val="bottom"/>
            <w:tcBorders>
              <w:bottom w:val="single" w:sz="8" w:color="CCEEFF"/>
            </w:tcBorders>
          </w:tcPr>
          <w:p>
            <w:pPr>
              <w:spacing w:after="0"/>
              <w:rPr>
                <w:sz w:val="16"/>
                <w:szCs w:val="16"/>
                <w:color w:val="auto"/>
              </w:rPr>
            </w:pPr>
          </w:p>
        </w:tc>
        <w:tc>
          <w:tcPr>
            <w:tcW w:w="4940" w:type="dxa"/>
            <w:vAlign w:val="bottom"/>
            <w:tcBorders>
              <w:bottom w:val="single" w:sz="8" w:color="CCEEFF"/>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2019</w:t>
            </w:r>
          </w:p>
        </w:tc>
      </w:tr>
      <w:tr>
        <w:trPr>
          <w:trHeight w:val="214"/>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Basic net income/(loss) per common unit</w:t>
            </w:r>
          </w:p>
        </w:tc>
        <w:tc>
          <w:tcPr>
            <w:tcW w:w="720" w:type="dxa"/>
            <w:vAlign w:val="bottom"/>
            <w:shd w:val="clear" w:color="auto" w:fill="CCEEFF"/>
          </w:tcPr>
          <w:p>
            <w:pPr>
              <w:jc w:val="right"/>
              <w:ind w:right="537"/>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(3.83)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w:t>
            </w:r>
          </w:p>
        </w:tc>
      </w:tr>
      <w:tr>
        <w:trPr>
          <w:trHeight w:val="220"/>
        </w:trPr>
        <w:tc>
          <w:tcPr>
            <w:tcW w:w="8820" w:type="dxa"/>
            <w:vAlign w:val="bottom"/>
            <w:tcBorders>
              <w:bottom w:val="single" w:sz="8" w:color="CCEEFF"/>
            </w:tcBorders>
            <w:gridSpan w:val="2"/>
          </w:tcPr>
          <w:p>
            <w:pPr>
              <w:ind w:left="20"/>
              <w:spacing w:after="0" w:line="220" w:lineRule="exact"/>
              <w:rPr>
                <w:sz w:val="20"/>
                <w:szCs w:val="20"/>
                <w:color w:val="auto"/>
              </w:rPr>
            </w:pPr>
            <w:r>
              <w:rPr>
                <w:rFonts w:ascii="Arial" w:cs="Arial" w:eastAsia="Arial" w:hAnsi="Arial"/>
                <w:sz w:val="17"/>
                <w:szCs w:val="17"/>
                <w:color w:val="auto"/>
              </w:rPr>
              <w:t xml:space="preserve">Reconciling items per common unit </w:t>
            </w:r>
            <w:r>
              <w:rPr>
                <w:rFonts w:ascii="Arial" w:cs="Arial" w:eastAsia="Arial" w:hAnsi="Arial"/>
                <w:sz w:val="22"/>
                <w:szCs w:val="22"/>
                <w:color w:val="auto"/>
                <w:vertAlign w:val="superscript"/>
              </w:rPr>
              <w:t>(1) (4)</w:t>
            </w:r>
          </w:p>
        </w:tc>
        <w:tc>
          <w:tcPr>
            <w:tcW w:w="7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0"/>
              </w:rPr>
              <w:t>6.14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0.29</w:t>
            </w:r>
          </w:p>
        </w:tc>
      </w:tr>
      <w:tr>
        <w:trPr>
          <w:trHeight w:val="238"/>
        </w:trPr>
        <w:tc>
          <w:tcPr>
            <w:tcW w:w="8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Implied DCF per common unit</w:t>
            </w:r>
          </w:p>
        </w:tc>
        <w:tc>
          <w:tcPr>
            <w:tcW w:w="720" w:type="dxa"/>
            <w:vAlign w:val="bottom"/>
            <w:tcBorders>
              <w:bottom w:val="single" w:sz="8" w:color="auto"/>
            </w:tcBorders>
            <w:shd w:val="clear" w:color="auto" w:fill="CCEEFF"/>
          </w:tcPr>
          <w:p>
            <w:pPr>
              <w:jc w:val="right"/>
              <w:ind w:right="537"/>
              <w:spacing w:after="0"/>
              <w:rPr>
                <w:sz w:val="20"/>
                <w:szCs w:val="20"/>
                <w:color w:val="auto"/>
              </w:rPr>
            </w:pPr>
            <w:r>
              <w:rPr>
                <w:rFonts w:ascii="Arial" w:cs="Arial" w:eastAsia="Arial" w:hAnsi="Arial"/>
                <w:sz w:val="17"/>
                <w:szCs w:val="17"/>
                <w:color w:val="auto"/>
                <w:w w:val="84"/>
              </w:rPr>
              <w:t>$</w:t>
            </w:r>
          </w:p>
        </w:tc>
        <w:tc>
          <w:tcPr>
            <w:tcW w:w="4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0"/>
              </w:rPr>
              <w:t>2.31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2.99</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9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388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220"/>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Basic net income/(loss) per common unit</w:t>
            </w:r>
          </w:p>
        </w:tc>
        <w:tc>
          <w:tcPr>
            <w:tcW w:w="720" w:type="dxa"/>
            <w:vAlign w:val="bottom"/>
            <w:shd w:val="clear" w:color="auto" w:fill="CCEEFF"/>
          </w:tcPr>
          <w:p>
            <w:pPr>
              <w:jc w:val="right"/>
              <w:ind w:right="537"/>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(3.83)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w:t>
            </w:r>
          </w:p>
        </w:tc>
      </w:tr>
      <w:tr>
        <w:trPr>
          <w:trHeight w:val="220"/>
        </w:trPr>
        <w:tc>
          <w:tcPr>
            <w:tcW w:w="8820" w:type="dxa"/>
            <w:vAlign w:val="bottom"/>
            <w:tcBorders>
              <w:bottom w:val="single" w:sz="8" w:color="CCEEFF"/>
            </w:tcBorders>
            <w:gridSpan w:val="2"/>
          </w:tcPr>
          <w:p>
            <w:pPr>
              <w:ind w:left="20"/>
              <w:spacing w:after="0" w:line="220" w:lineRule="exact"/>
              <w:rPr>
                <w:sz w:val="20"/>
                <w:szCs w:val="20"/>
                <w:color w:val="auto"/>
              </w:rPr>
            </w:pPr>
            <w:r>
              <w:rPr>
                <w:rFonts w:ascii="Arial" w:cs="Arial" w:eastAsia="Arial" w:hAnsi="Arial"/>
                <w:sz w:val="17"/>
                <w:szCs w:val="17"/>
                <w:color w:val="auto"/>
              </w:rPr>
              <w:t xml:space="preserve">Reconciling items per common unit and common unit equivalent </w:t>
            </w:r>
            <w:r>
              <w:rPr>
                <w:rFonts w:ascii="Arial" w:cs="Arial" w:eastAsia="Arial" w:hAnsi="Arial"/>
                <w:sz w:val="22"/>
                <w:szCs w:val="22"/>
                <w:color w:val="auto"/>
                <w:vertAlign w:val="superscript"/>
              </w:rPr>
              <w:t>(1) (3)</w:t>
            </w:r>
          </w:p>
        </w:tc>
        <w:tc>
          <w:tcPr>
            <w:tcW w:w="7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0"/>
              </w:rPr>
              <w:t>6.12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0.21</w:t>
            </w:r>
          </w:p>
        </w:tc>
      </w:tr>
      <w:tr>
        <w:trPr>
          <w:trHeight w:val="238"/>
        </w:trPr>
        <w:tc>
          <w:tcPr>
            <w:tcW w:w="8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Implied DCF per common unit and common unit equivalent</w:t>
            </w:r>
          </w:p>
        </w:tc>
        <w:tc>
          <w:tcPr>
            <w:tcW w:w="720" w:type="dxa"/>
            <w:vAlign w:val="bottom"/>
            <w:tcBorders>
              <w:bottom w:val="single" w:sz="8" w:color="auto"/>
            </w:tcBorders>
            <w:shd w:val="clear" w:color="auto" w:fill="CCEEFF"/>
          </w:tcPr>
          <w:p>
            <w:pPr>
              <w:jc w:val="right"/>
              <w:ind w:right="537"/>
              <w:spacing w:after="0"/>
              <w:rPr>
                <w:sz w:val="20"/>
                <w:szCs w:val="20"/>
                <w:color w:val="auto"/>
              </w:rPr>
            </w:pPr>
            <w:r>
              <w:rPr>
                <w:rFonts w:ascii="Arial" w:cs="Arial" w:eastAsia="Arial" w:hAnsi="Arial"/>
                <w:sz w:val="17"/>
                <w:szCs w:val="17"/>
                <w:color w:val="auto"/>
                <w:w w:val="84"/>
              </w:rPr>
              <w:t>$</w:t>
            </w:r>
          </w:p>
        </w:tc>
        <w:tc>
          <w:tcPr>
            <w:tcW w:w="4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0"/>
              </w:rPr>
              <w:t>2.29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2.91</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9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40"/>
        </w:trPr>
        <w:tc>
          <w:tcPr>
            <w:tcW w:w="3880" w:type="dxa"/>
            <w:vAlign w:val="bottom"/>
            <w:tcBorders>
              <w:bottom w:val="single" w:sz="8" w:color="auto"/>
            </w:tcBorders>
          </w:tcPr>
          <w:p>
            <w:pPr>
              <w:spacing w:after="0"/>
              <w:rPr>
                <w:sz w:val="12"/>
                <w:szCs w:val="12"/>
                <w:color w:val="auto"/>
              </w:rPr>
            </w:pPr>
          </w:p>
        </w:tc>
        <w:tc>
          <w:tcPr>
            <w:tcW w:w="4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r>
    </w:tbl>
    <w:p>
      <w:pPr>
        <w:spacing w:after="0" w:line="130" w:lineRule="exact"/>
        <w:rPr>
          <w:sz w:val="20"/>
          <w:szCs w:val="20"/>
          <w:color w:val="auto"/>
        </w:rPr>
      </w:pPr>
    </w:p>
    <w:p>
      <w:pPr>
        <w:ind w:left="420" w:right="280" w:hanging="317"/>
        <w:spacing w:after="0" w:line="228" w:lineRule="auto"/>
        <w:tabs>
          <w:tab w:leader="none" w:pos="408" w:val="left"/>
        </w:tabs>
        <w:numPr>
          <w:ilvl w:val="0"/>
          <w:numId w:val="15"/>
        </w:numPr>
        <w:rPr>
          <w:rFonts w:ascii="Arial" w:cs="Arial" w:eastAsia="Arial" w:hAnsi="Arial"/>
          <w:sz w:val="22"/>
          <w:szCs w:val="22"/>
          <w:color w:val="auto"/>
          <w:vertAlign w:val="superscript"/>
        </w:rPr>
      </w:pPr>
      <w:r>
        <w:rPr>
          <w:rFonts w:ascii="Arial" w:cs="Arial" w:eastAsia="Arial" w:hAnsi="Arial"/>
          <w:sz w:val="17"/>
          <w:szCs w:val="17"/>
          <w:color w:val="auto"/>
        </w:rPr>
        <w:t>Represents adjustments to Net Income to calculate Implied DCF Available to Common Unitholders. See the “Net Income/(Loss) to Adjusted EBITDA and Implied DCF Reconciliation” table for additional information.</w:t>
      </w:r>
    </w:p>
    <w:p>
      <w:pPr>
        <w:spacing w:after="0" w:line="5" w:lineRule="exact"/>
        <w:rPr>
          <w:rFonts w:ascii="Arial" w:cs="Arial" w:eastAsia="Arial" w:hAnsi="Arial"/>
          <w:sz w:val="22"/>
          <w:szCs w:val="22"/>
          <w:color w:val="auto"/>
          <w:vertAlign w:val="superscript"/>
        </w:rPr>
      </w:pPr>
    </w:p>
    <w:p>
      <w:pPr>
        <w:ind w:left="400" w:hanging="297"/>
        <w:spacing w:after="0"/>
        <w:tabs>
          <w:tab w:leader="none" w:pos="400" w:val="left"/>
        </w:tabs>
        <w:numPr>
          <w:ilvl w:val="0"/>
          <w:numId w:val="15"/>
        </w:numPr>
        <w:rPr>
          <w:rFonts w:ascii="Arial" w:cs="Arial" w:eastAsia="Arial" w:hAnsi="Arial"/>
          <w:sz w:val="22"/>
          <w:szCs w:val="22"/>
          <w:color w:val="auto"/>
          <w:vertAlign w:val="superscript"/>
        </w:rPr>
      </w:pPr>
      <w:r>
        <w:rPr>
          <w:rFonts w:ascii="Arial" w:cs="Arial" w:eastAsia="Arial" w:hAnsi="Arial"/>
          <w:sz w:val="17"/>
          <w:szCs w:val="17"/>
          <w:color w:val="auto"/>
        </w:rPr>
        <w:t>Based on weighted average common units outstanding for the period of 720 million, 728 million, 721 million and 728 million, respectively.</w:t>
      </w:r>
    </w:p>
    <w:p>
      <w:pPr>
        <w:spacing w:after="0" w:line="52" w:lineRule="exact"/>
        <w:rPr>
          <w:rFonts w:ascii="Arial" w:cs="Arial" w:eastAsia="Arial" w:hAnsi="Arial"/>
          <w:sz w:val="22"/>
          <w:szCs w:val="22"/>
          <w:color w:val="auto"/>
          <w:vertAlign w:val="superscript"/>
        </w:rPr>
      </w:pPr>
    </w:p>
    <w:p>
      <w:pPr>
        <w:ind w:left="420" w:right="120" w:hanging="317"/>
        <w:spacing w:after="0" w:line="220" w:lineRule="auto"/>
        <w:tabs>
          <w:tab w:leader="none" w:pos="408" w:val="left"/>
        </w:tabs>
        <w:numPr>
          <w:ilvl w:val="0"/>
          <w:numId w:val="15"/>
        </w:numPr>
        <w:rPr>
          <w:rFonts w:ascii="Arial" w:cs="Arial" w:eastAsia="Arial" w:hAnsi="Arial"/>
          <w:sz w:val="22"/>
          <w:szCs w:val="22"/>
          <w:color w:val="auto"/>
          <w:vertAlign w:val="superscript"/>
        </w:rPr>
      </w:pPr>
      <w:r>
        <w:rPr>
          <w:rFonts w:ascii="Arial" w:cs="Arial" w:eastAsia="Arial" w:hAnsi="Arial"/>
          <w:sz w:val="17"/>
          <w:szCs w:val="17"/>
          <w:color w:val="auto"/>
        </w:rPr>
        <w:t>Based on weighted average common units outstanding for the period, as well as weighted average Series A preferred units outstanding of 71 million for each of the periods presented.</w:t>
      </w:r>
    </w:p>
    <w:p>
      <w:pPr>
        <w:spacing w:after="0" w:line="6" w:lineRule="exact"/>
        <w:rPr>
          <w:rFonts w:ascii="Arial" w:cs="Arial" w:eastAsia="Arial" w:hAnsi="Arial"/>
          <w:sz w:val="22"/>
          <w:szCs w:val="22"/>
          <w:color w:val="auto"/>
          <w:vertAlign w:val="superscript"/>
        </w:rPr>
      </w:pPr>
    </w:p>
    <w:p>
      <w:pPr>
        <w:ind w:left="400" w:hanging="297"/>
        <w:spacing w:after="0"/>
        <w:tabs>
          <w:tab w:leader="none" w:pos="400" w:val="left"/>
        </w:tabs>
        <w:numPr>
          <w:ilvl w:val="0"/>
          <w:numId w:val="15"/>
        </w:numPr>
        <w:rPr>
          <w:rFonts w:ascii="Arial" w:cs="Arial" w:eastAsia="Arial" w:hAnsi="Arial"/>
          <w:sz w:val="22"/>
          <w:szCs w:val="22"/>
          <w:color w:val="auto"/>
          <w:vertAlign w:val="superscript"/>
        </w:rPr>
      </w:pPr>
      <w:r>
        <w:rPr>
          <w:rFonts w:ascii="Arial" w:cs="Arial" w:eastAsia="Arial" w:hAnsi="Arial"/>
          <w:sz w:val="17"/>
          <w:szCs w:val="17"/>
          <w:color w:val="auto"/>
        </w:rPr>
        <w:t>Based on weighted average common units outstanding for the period of 728 million and 727 million, respectively.</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97155</wp:posOffset>
            </wp:positionV>
            <wp:extent cx="71215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840"/>
        <w:spacing w:after="0"/>
        <w:tabs>
          <w:tab w:leader="none" w:pos="4900" w:val="left"/>
          <w:tab w:leader="none" w:pos="75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340"/>
          </w:cols>
          <w:pgMar w:left="220" w:top="360"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u w:val="single" w:color="auto"/>
          <w:color w:val="auto"/>
        </w:rPr>
        <w:t>Page 15</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NON-GAAP RECONCILIATIONS (continued)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 millions)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020" w:type="dxa"/>
            <w:vAlign w:val="bottom"/>
            <w:gridSpan w:val="4"/>
          </w:tcPr>
          <w:p>
            <w:pPr>
              <w:jc w:val="right"/>
              <w:ind w:right="98"/>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4"/>
          </w:tcPr>
          <w:p>
            <w:pPr>
              <w:jc w:val="right"/>
              <w:ind w:right="576"/>
              <w:spacing w:after="0"/>
              <w:rPr>
                <w:sz w:val="20"/>
                <w:szCs w:val="20"/>
                <w:color w:val="auto"/>
              </w:rPr>
            </w:pPr>
            <w:r>
              <w:rPr>
                <w:rFonts w:ascii="Arial" w:cs="Arial" w:eastAsia="Arial" w:hAnsi="Arial"/>
                <w:sz w:val="14"/>
                <w:szCs w:val="14"/>
                <w:b w:val="1"/>
                <w:bCs w:val="1"/>
                <w:color w:val="auto"/>
              </w:rPr>
              <w:t>Six Months Ended</w:t>
            </w:r>
          </w:p>
        </w:tc>
      </w:tr>
      <w:tr>
        <w:trPr>
          <w:trHeight w:val="180"/>
        </w:trPr>
        <w:tc>
          <w:tcPr>
            <w:tcW w:w="38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right"/>
              <w:ind w:right="478"/>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ind w:right="34"/>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5"/>
                <w:szCs w:val="15"/>
                <w:color w:val="auto"/>
              </w:rPr>
            </w:pPr>
          </w:p>
        </w:tc>
      </w:tr>
      <w:tr>
        <w:trPr>
          <w:trHeight w:val="173"/>
        </w:trPr>
        <w:tc>
          <w:tcPr>
            <w:tcW w:w="3880" w:type="dxa"/>
            <w:vAlign w:val="bottom"/>
            <w:tcBorders>
              <w:bottom w:val="single" w:sz="8" w:color="CCEEFF"/>
            </w:tcBorders>
          </w:tcPr>
          <w:p>
            <w:pPr>
              <w:spacing w:after="0"/>
              <w:rPr>
                <w:sz w:val="15"/>
                <w:szCs w:val="15"/>
                <w:color w:val="auto"/>
              </w:rPr>
            </w:pPr>
          </w:p>
        </w:tc>
        <w:tc>
          <w:tcPr>
            <w:tcW w:w="24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2020</w:t>
            </w:r>
          </w:p>
        </w:tc>
      </w:tr>
      <w:tr>
        <w:trPr>
          <w:trHeight w:val="202"/>
        </w:trPr>
        <w:tc>
          <w:tcPr>
            <w:tcW w:w="6280" w:type="dxa"/>
            <w:vAlign w:val="bottom"/>
            <w:gridSpan w:val="2"/>
            <w:shd w:val="clear" w:color="auto" w:fill="CCEEFF"/>
          </w:tcPr>
          <w:p>
            <w:pPr>
              <w:spacing w:after="0" w:line="202" w:lineRule="exact"/>
              <w:rPr>
                <w:sz w:val="20"/>
                <w:szCs w:val="20"/>
                <w:color w:val="auto"/>
              </w:rPr>
            </w:pPr>
            <w:r>
              <w:rPr>
                <w:rFonts w:ascii="Arial" w:cs="Arial" w:eastAsia="Arial" w:hAnsi="Arial"/>
                <w:sz w:val="17"/>
                <w:szCs w:val="17"/>
                <w:b w:val="1"/>
                <w:bCs w:val="1"/>
                <w:color w:val="auto"/>
              </w:rPr>
              <w:t xml:space="preserve">Free Cash Flow and Free Cash Flow after Distributions Reconciliation </w:t>
            </w:r>
            <w:r>
              <w:rPr>
                <w:rFonts w:ascii="Arial" w:cs="Arial" w:eastAsia="Arial" w:hAnsi="Arial"/>
                <w:sz w:val="22"/>
                <w:szCs w:val="22"/>
                <w:b w:val="1"/>
                <w:bCs w:val="1"/>
                <w:color w:val="auto"/>
                <w:vertAlign w:val="superscript"/>
              </w:rPr>
              <w:t>(1)</w:t>
            </w:r>
            <w:r>
              <w:rPr>
                <w:rFonts w:ascii="Arial" w:cs="Arial" w:eastAsia="Arial" w:hAnsi="Arial"/>
                <w:sz w:val="17"/>
                <w:szCs w:val="17"/>
                <w:b w:val="1"/>
                <w:bCs w:val="1"/>
                <w:color w:val="auto"/>
              </w:rPr>
              <w:t>:</w:t>
            </w: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20"/>
        </w:trPr>
        <w:tc>
          <w:tcPr>
            <w:tcW w:w="6280" w:type="dxa"/>
            <w:vAlign w:val="bottom"/>
            <w:gridSpan w:val="2"/>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740" w:type="dxa"/>
            <w:vAlign w:val="bottom"/>
          </w:tcPr>
          <w:p>
            <w:pPr>
              <w:jc w:val="right"/>
              <w:ind w:right="561"/>
              <w:spacing w:after="0"/>
              <w:rPr>
                <w:sz w:val="20"/>
                <w:szCs w:val="20"/>
                <w:color w:val="auto"/>
              </w:rPr>
            </w:pPr>
            <w:r>
              <w:rPr>
                <w:rFonts w:ascii="Arial" w:cs="Arial" w:eastAsia="Arial" w:hAnsi="Arial"/>
                <w:sz w:val="17"/>
                <w:szCs w:val="17"/>
                <w:color w:val="auto"/>
                <w:w w:val="84"/>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235</w:t>
            </w:r>
          </w:p>
        </w:tc>
        <w:tc>
          <w:tcPr>
            <w:tcW w:w="100" w:type="dxa"/>
            <w:vAlign w:val="bottom"/>
          </w:tcPr>
          <w:p>
            <w:pPr>
              <w:spacing w:after="0"/>
              <w:rPr>
                <w:sz w:val="19"/>
                <w:szCs w:val="19"/>
                <w:color w:val="auto"/>
              </w:rPr>
            </w:pPr>
          </w:p>
        </w:tc>
        <w:tc>
          <w:tcPr>
            <w:tcW w:w="760" w:type="dxa"/>
            <w:vAlign w:val="bottom"/>
          </w:tcPr>
          <w:p>
            <w:pPr>
              <w:jc w:val="right"/>
              <w:ind w:right="558"/>
              <w:spacing w:after="0"/>
              <w:rPr>
                <w:sz w:val="20"/>
                <w:szCs w:val="20"/>
                <w:color w:val="auto"/>
              </w:rPr>
            </w:pPr>
            <w:r>
              <w:rPr>
                <w:rFonts w:ascii="Arial" w:cs="Arial" w:eastAsia="Arial" w:hAnsi="Arial"/>
                <w:sz w:val="17"/>
                <w:szCs w:val="17"/>
                <w:color w:val="auto"/>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84</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1,026</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974</w:t>
            </w:r>
          </w:p>
        </w:tc>
      </w:tr>
      <w:tr>
        <w:trPr>
          <w:trHeight w:val="220"/>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99"/>
              </w:rPr>
              <w:t>Adjustments to reconcile net cash provided by operating activities to free cash flow:</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0"/>
        </w:trPr>
        <w:tc>
          <w:tcPr>
            <w:tcW w:w="6280" w:type="dxa"/>
            <w:vAlign w:val="bottom"/>
            <w:gridSpan w:val="2"/>
          </w:tcPr>
          <w:p>
            <w:pPr>
              <w:ind w:left="120"/>
              <w:spacing w:after="0"/>
              <w:rPr>
                <w:sz w:val="20"/>
                <w:szCs w:val="20"/>
                <w:color w:val="auto"/>
              </w:rPr>
            </w:pPr>
            <w:r>
              <w:rPr>
                <w:rFonts w:ascii="Arial" w:cs="Arial" w:eastAsia="Arial" w:hAnsi="Arial"/>
                <w:sz w:val="17"/>
                <w:szCs w:val="17"/>
                <w:color w:val="auto"/>
              </w:rPr>
              <w:t>Net cash used in investing activities</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95"/>
              </w:rPr>
              <w:t>(175)</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90"/>
              </w:rPr>
              <w:t>(248)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(858)</w:t>
            </w:r>
          </w:p>
        </w:tc>
      </w:tr>
      <w:tr>
        <w:trPr>
          <w:trHeight w:val="220"/>
        </w:trPr>
        <w:tc>
          <w:tcPr>
            <w:tcW w:w="62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Cash contributions from noncontrolling interests</w:t>
            </w:r>
          </w:p>
        </w:tc>
        <w:tc>
          <w:tcPr>
            <w:tcW w:w="7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220"/>
        </w:trPr>
        <w:tc>
          <w:tcPr>
            <w:tcW w:w="6280" w:type="dxa"/>
            <w:vAlign w:val="bottom"/>
            <w:gridSpan w:val="2"/>
          </w:tcPr>
          <w:p>
            <w:pPr>
              <w:ind w:left="120"/>
              <w:spacing w:after="0" w:line="220" w:lineRule="exact"/>
              <w:rPr>
                <w:sz w:val="20"/>
                <w:szCs w:val="20"/>
                <w:color w:val="auto"/>
              </w:rPr>
            </w:pPr>
            <w:r>
              <w:rPr>
                <w:rFonts w:ascii="Arial" w:cs="Arial" w:eastAsia="Arial" w:hAnsi="Arial"/>
                <w:sz w:val="17"/>
                <w:szCs w:val="17"/>
                <w:color w:val="auto"/>
              </w:rPr>
              <w:t xml:space="preserve">Cash distributions paid to noncontrolling interests </w:t>
            </w:r>
            <w:r>
              <w:rPr>
                <w:rFonts w:ascii="Arial" w:cs="Arial" w:eastAsia="Arial" w:hAnsi="Arial"/>
                <w:sz w:val="22"/>
                <w:szCs w:val="22"/>
                <w:color w:val="auto"/>
                <w:vertAlign w:val="superscript"/>
              </w:rPr>
              <w:t>(2)</w:t>
            </w:r>
          </w:p>
        </w:tc>
        <w:tc>
          <w:tcPr>
            <w:tcW w:w="74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13"/>
        </w:trPr>
        <w:tc>
          <w:tcPr>
            <w:tcW w:w="62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Free Cash Flow</w:t>
            </w:r>
          </w:p>
        </w:tc>
        <w:tc>
          <w:tcPr>
            <w:tcW w:w="740" w:type="dxa"/>
            <w:vAlign w:val="bottom"/>
            <w:tcBorders>
              <w:top w:val="single" w:sz="8" w:color="auto"/>
            </w:tcBorders>
            <w:shd w:val="clear" w:color="auto" w:fill="CCEEFF"/>
          </w:tcPr>
          <w:p>
            <w:pPr>
              <w:jc w:val="right"/>
              <w:ind w:right="561"/>
              <w:spacing w:after="0"/>
              <w:rPr>
                <w:sz w:val="20"/>
                <w:szCs w:val="20"/>
                <w:color w:val="auto"/>
              </w:rPr>
            </w:pPr>
            <w:r>
              <w:rPr>
                <w:rFonts w:ascii="Arial" w:cs="Arial" w:eastAsia="Arial" w:hAnsi="Arial"/>
                <w:sz w:val="17"/>
                <w:szCs w:val="17"/>
                <w:color w:val="auto"/>
                <w:w w:val="84"/>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558"/>
              <w:spacing w:after="0"/>
              <w:rPr>
                <w:sz w:val="20"/>
                <w:szCs w:val="20"/>
                <w:color w:val="auto"/>
              </w:rPr>
            </w:pPr>
            <w:r>
              <w:rPr>
                <w:rFonts w:ascii="Arial" w:cs="Arial" w:eastAsia="Arial" w:hAnsi="Arial"/>
                <w:sz w:val="17"/>
                <w:szCs w:val="17"/>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0"/>
              </w:rPr>
              <w:t>(166)</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738</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w:t>
            </w:r>
          </w:p>
        </w:tc>
      </w:tr>
      <w:tr>
        <w:trPr>
          <w:trHeight w:val="220"/>
        </w:trPr>
        <w:tc>
          <w:tcPr>
            <w:tcW w:w="6280" w:type="dxa"/>
            <w:vAlign w:val="bottom"/>
            <w:tcBorders>
              <w:bottom w:val="single" w:sz="8" w:color="CCEEFF"/>
            </w:tcBorders>
            <w:gridSpan w:val="2"/>
          </w:tcPr>
          <w:p>
            <w:pPr>
              <w:ind w:left="120"/>
              <w:spacing w:after="0" w:line="220" w:lineRule="exact"/>
              <w:rPr>
                <w:sz w:val="20"/>
                <w:szCs w:val="20"/>
                <w:color w:val="auto"/>
              </w:rPr>
            </w:pPr>
            <w:r>
              <w:rPr>
                <w:rFonts w:ascii="Arial" w:cs="Arial" w:eastAsia="Arial" w:hAnsi="Arial"/>
                <w:sz w:val="17"/>
                <w:szCs w:val="17"/>
                <w:color w:val="auto"/>
              </w:rPr>
              <w:t xml:space="preserve">Cash distributions </w:t>
            </w:r>
            <w:r>
              <w:rPr>
                <w:rFonts w:ascii="Arial" w:cs="Arial" w:eastAsia="Arial" w:hAnsi="Arial"/>
                <w:sz w:val="22"/>
                <w:szCs w:val="22"/>
                <w:color w:val="auto"/>
                <w:vertAlign w:val="superscript"/>
              </w:rPr>
              <w:t>(3)</w:t>
            </w: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5"/>
              </w:rPr>
              <w:t>(192)</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0"/>
              </w:rPr>
              <w:t>(193)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(492)</w:t>
            </w:r>
          </w:p>
        </w:tc>
      </w:tr>
      <w:tr>
        <w:trPr>
          <w:trHeight w:val="238"/>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Free Cash Flow after Distributions</w:t>
            </w:r>
          </w:p>
        </w:tc>
        <w:tc>
          <w:tcPr>
            <w:tcW w:w="740" w:type="dxa"/>
            <w:vAlign w:val="bottom"/>
            <w:tcBorders>
              <w:bottom w:val="single" w:sz="8" w:color="auto"/>
            </w:tcBorders>
            <w:shd w:val="clear" w:color="auto" w:fill="CCEEFF"/>
          </w:tcPr>
          <w:p>
            <w:pPr>
              <w:jc w:val="right"/>
              <w:ind w:right="561"/>
              <w:spacing w:after="0"/>
              <w:rPr>
                <w:sz w:val="20"/>
                <w:szCs w:val="20"/>
                <w:color w:val="auto"/>
              </w:rPr>
            </w:pPr>
            <w:r>
              <w:rPr>
                <w:rFonts w:ascii="Arial" w:cs="Arial" w:eastAsia="Arial" w:hAnsi="Arial"/>
                <w:sz w:val="17"/>
                <w:szCs w:val="17"/>
                <w:color w:val="auto"/>
                <w:w w:val="84"/>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(132)</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558"/>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0"/>
              </w:rPr>
              <w:t>(359)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(370)</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178"/>
        </w:trPr>
        <w:tc>
          <w:tcPr>
            <w:tcW w:w="3880" w:type="dxa"/>
            <w:vAlign w:val="bottom"/>
            <w:tcBorders>
              <w:bottom w:val="single" w:sz="8" w:color="auto"/>
            </w:tcBorders>
          </w:tcPr>
          <w:p>
            <w:pPr>
              <w:spacing w:after="0"/>
              <w:rPr>
                <w:sz w:val="15"/>
                <w:szCs w:val="15"/>
                <w:color w:val="auto"/>
              </w:rPr>
            </w:pPr>
          </w:p>
        </w:tc>
        <w:tc>
          <w:tcPr>
            <w:tcW w:w="2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r>
    </w:tbl>
    <w:p>
      <w:pPr>
        <w:spacing w:after="0" w:line="130" w:lineRule="exact"/>
        <w:rPr>
          <w:sz w:val="20"/>
          <w:szCs w:val="20"/>
          <w:color w:val="auto"/>
        </w:rPr>
      </w:pPr>
    </w:p>
    <w:p>
      <w:pPr>
        <w:ind w:left="320" w:right="40" w:hanging="317"/>
        <w:spacing w:after="0" w:line="228" w:lineRule="auto"/>
        <w:tabs>
          <w:tab w:leader="none" w:pos="308" w:val="left"/>
        </w:tabs>
        <w:numPr>
          <w:ilvl w:val="0"/>
          <w:numId w:val="16"/>
        </w:numPr>
        <w:rPr>
          <w:rFonts w:ascii="Arial" w:cs="Arial" w:eastAsia="Arial" w:hAnsi="Arial"/>
          <w:sz w:val="22"/>
          <w:szCs w:val="22"/>
          <w:color w:val="auto"/>
          <w:vertAlign w:val="superscript"/>
        </w:rPr>
      </w:pPr>
      <w:r>
        <w:rPr>
          <w:rFonts w:ascii="Arial" w:cs="Arial" w:eastAsia="Arial" w:hAnsi="Arial"/>
          <w:sz w:val="17"/>
          <w:szCs w:val="17"/>
          <w:color w:val="auto"/>
        </w:rPr>
        <w:t>Management uses the Non-GAAP financial measures Free Cash Flow and Free Cash Flow after Distributions to assess the amount of cash that is available for distributions, debt repayments, common equity repurchases and other general partnership purposes.</w:t>
      </w:r>
    </w:p>
    <w:p>
      <w:pPr>
        <w:spacing w:after="0" w:line="5" w:lineRule="exact"/>
        <w:rPr>
          <w:rFonts w:ascii="Arial" w:cs="Arial" w:eastAsia="Arial" w:hAnsi="Arial"/>
          <w:sz w:val="22"/>
          <w:szCs w:val="22"/>
          <w:color w:val="auto"/>
          <w:vertAlign w:val="superscript"/>
        </w:rPr>
      </w:pPr>
    </w:p>
    <w:p>
      <w:pPr>
        <w:ind w:left="300" w:hanging="297"/>
        <w:spacing w:after="0"/>
        <w:tabs>
          <w:tab w:leader="none" w:pos="300" w:val="left"/>
        </w:tabs>
        <w:numPr>
          <w:ilvl w:val="0"/>
          <w:numId w:val="16"/>
        </w:numPr>
        <w:rPr>
          <w:rFonts w:ascii="Arial" w:cs="Arial" w:eastAsia="Arial" w:hAnsi="Arial"/>
          <w:sz w:val="22"/>
          <w:szCs w:val="22"/>
          <w:color w:val="auto"/>
          <w:vertAlign w:val="superscript"/>
        </w:rPr>
      </w:pPr>
      <w:r>
        <w:rPr>
          <w:rFonts w:ascii="Arial" w:cs="Arial" w:eastAsia="Arial" w:hAnsi="Arial"/>
          <w:sz w:val="17"/>
          <w:szCs w:val="17"/>
          <w:color w:val="auto"/>
        </w:rPr>
        <w:t>Cash distributions paid during the period presented.</w:t>
      </w:r>
    </w:p>
    <w:p>
      <w:pPr>
        <w:spacing w:after="0" w:line="52" w:lineRule="exact"/>
        <w:rPr>
          <w:rFonts w:ascii="Arial" w:cs="Arial" w:eastAsia="Arial" w:hAnsi="Arial"/>
          <w:sz w:val="22"/>
          <w:szCs w:val="22"/>
          <w:color w:val="auto"/>
          <w:vertAlign w:val="superscript"/>
        </w:rPr>
      </w:pPr>
    </w:p>
    <w:p>
      <w:pPr>
        <w:ind w:left="300" w:hanging="297"/>
        <w:spacing w:after="0" w:line="184" w:lineRule="auto"/>
        <w:tabs>
          <w:tab w:leader="none" w:pos="300" w:val="left"/>
        </w:tabs>
        <w:numPr>
          <w:ilvl w:val="0"/>
          <w:numId w:val="16"/>
        </w:numPr>
        <w:rPr>
          <w:rFonts w:ascii="Arial" w:cs="Arial" w:eastAsia="Arial" w:hAnsi="Arial"/>
          <w:sz w:val="19"/>
          <w:szCs w:val="19"/>
          <w:color w:val="auto"/>
          <w:vertAlign w:val="superscript"/>
        </w:rPr>
      </w:pPr>
      <w:r>
        <w:rPr>
          <w:rFonts w:ascii="Arial" w:cs="Arial" w:eastAsia="Arial" w:hAnsi="Arial"/>
          <w:sz w:val="15"/>
          <w:szCs w:val="15"/>
          <w:color w:val="auto"/>
        </w:rPr>
        <w:t>Cash distributions paid to preferred and common unitholders during the period.</w:t>
      </w:r>
    </w:p>
    <w:p>
      <w:pPr>
        <w:ind w:left="5440" w:hanging="93"/>
        <w:spacing w:after="0"/>
        <w:tabs>
          <w:tab w:leader="none" w:pos="5440" w:val="left"/>
        </w:tabs>
        <w:numPr>
          <w:ilvl w:val="1"/>
          <w:numId w:val="16"/>
        </w:numPr>
        <w:rPr>
          <w:rFonts w:ascii="Arial" w:cs="Arial" w:eastAsia="Arial" w:hAnsi="Arial"/>
          <w:sz w:val="17"/>
          <w:szCs w:val="17"/>
          <w:color w:val="auto"/>
        </w:rPr>
      </w:pPr>
      <w:r>
        <w:rPr>
          <w:rFonts w:ascii="Arial" w:cs="Arial" w:eastAsia="Arial" w:hAnsi="Arial"/>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88265</wp:posOffset>
            </wp:positionV>
            <wp:extent cx="71215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30"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u w:val="single" w:color="auto"/>
          <w:color w:val="auto"/>
        </w:rPr>
        <w:t>Page 16</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SELECTED ITEMS IMPACTING COMPARABILITY</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 millions)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900" w:type="dxa"/>
            <w:vAlign w:val="bottom"/>
            <w:gridSpan w:val="4"/>
          </w:tcPr>
          <w:p>
            <w:pPr>
              <w:jc w:val="right"/>
              <w:ind w:right="61"/>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5"/>
          </w:tcPr>
          <w:p>
            <w:pPr>
              <w:jc w:val="right"/>
              <w:ind w:right="498"/>
              <w:spacing w:after="0"/>
              <w:rPr>
                <w:sz w:val="20"/>
                <w:szCs w:val="20"/>
                <w:color w:val="auto"/>
              </w:rPr>
            </w:pPr>
            <w:r>
              <w:rPr>
                <w:rFonts w:ascii="Arial" w:cs="Arial" w:eastAsia="Arial" w:hAnsi="Arial"/>
                <w:sz w:val="14"/>
                <w:szCs w:val="14"/>
                <w:b w:val="1"/>
                <w:bCs w:val="1"/>
                <w:color w:val="auto"/>
              </w:rPr>
              <w:t>Six Months Ended</w:t>
            </w:r>
          </w:p>
        </w:tc>
      </w:tr>
      <w:tr>
        <w:trPr>
          <w:trHeight w:val="180"/>
        </w:trPr>
        <w:tc>
          <w:tcPr>
            <w:tcW w:w="388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ind w:right="441"/>
              <w:spacing w:after="0"/>
              <w:rPr>
                <w:sz w:val="20"/>
                <w:szCs w:val="20"/>
                <w:color w:val="auto"/>
              </w:rPr>
            </w:pPr>
            <w:r>
              <w:rPr>
                <w:rFonts w:ascii="Arial" w:cs="Arial" w:eastAsia="Arial" w:hAnsi="Arial"/>
                <w:sz w:val="14"/>
                <w:szCs w:val="14"/>
                <w:b w:val="1"/>
                <w:bCs w:val="1"/>
                <w:color w:val="auto"/>
              </w:rPr>
              <w:t>June 30,</w:t>
            </w:r>
          </w:p>
        </w:tc>
        <w:tc>
          <w:tcPr>
            <w:tcW w:w="3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3"/>
          </w:tcPr>
          <w:p>
            <w:pPr>
              <w:jc w:val="right"/>
              <w:ind w:right="18"/>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5"/>
                <w:szCs w:val="15"/>
                <w:color w:val="auto"/>
              </w:rPr>
            </w:pPr>
          </w:p>
        </w:tc>
      </w:tr>
      <w:tr>
        <w:trPr>
          <w:trHeight w:val="174"/>
        </w:trPr>
        <w:tc>
          <w:tcPr>
            <w:tcW w:w="3880" w:type="dxa"/>
            <w:vAlign w:val="bottom"/>
            <w:tcBorders>
              <w:bottom w:val="single" w:sz="8" w:color="CCEEFF"/>
            </w:tcBorders>
          </w:tcPr>
          <w:p>
            <w:pPr>
              <w:spacing w:after="0"/>
              <w:rPr>
                <w:sz w:val="15"/>
                <w:szCs w:val="15"/>
                <w:color w:val="auto"/>
              </w:rPr>
            </w:pPr>
          </w:p>
        </w:tc>
        <w:tc>
          <w:tcPr>
            <w:tcW w:w="276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2020</w:t>
            </w:r>
          </w:p>
        </w:tc>
      </w:tr>
      <w:tr>
        <w:trPr>
          <w:trHeight w:val="188"/>
        </w:trPr>
        <w:tc>
          <w:tcPr>
            <w:tcW w:w="6640" w:type="dxa"/>
            <w:vAlign w:val="bottom"/>
            <w:gridSpan w:val="2"/>
            <w:shd w:val="clear" w:color="auto" w:fill="CCEEFF"/>
          </w:tcPr>
          <w:p>
            <w:pPr>
              <w:ind w:left="20"/>
              <w:spacing w:after="0" w:line="188" w:lineRule="exact"/>
              <w:rPr>
                <w:sz w:val="20"/>
                <w:szCs w:val="20"/>
                <w:color w:val="auto"/>
              </w:rPr>
            </w:pPr>
            <w:r>
              <w:rPr>
                <w:rFonts w:ascii="Arial" w:cs="Arial" w:eastAsia="Arial" w:hAnsi="Arial"/>
                <w:sz w:val="16"/>
                <w:szCs w:val="16"/>
                <w:b w:val="1"/>
                <w:bCs w:val="1"/>
                <w:color w:val="auto"/>
              </w:rPr>
              <w:t xml:space="preserve">Selected Items Impacting Comparability: </w:t>
            </w:r>
            <w:r>
              <w:rPr>
                <w:rFonts w:ascii="Arial" w:cs="Arial" w:eastAsia="Arial" w:hAnsi="Arial"/>
                <w:sz w:val="21"/>
                <w:szCs w:val="21"/>
                <w:b w:val="1"/>
                <w:bCs w:val="1"/>
                <w:color w:val="auto"/>
                <w:vertAlign w:val="superscript"/>
              </w:rPr>
              <w:t>(1)</w:t>
            </w:r>
          </w:p>
        </w:tc>
        <w:tc>
          <w:tcPr>
            <w:tcW w:w="6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207"/>
        </w:trPr>
        <w:tc>
          <w:tcPr>
            <w:tcW w:w="6640" w:type="dxa"/>
            <w:vAlign w:val="bottom"/>
            <w:gridSpan w:val="2"/>
          </w:tcPr>
          <w:p>
            <w:pPr>
              <w:ind w:left="20"/>
              <w:spacing w:after="0" w:line="207" w:lineRule="exact"/>
              <w:rPr>
                <w:sz w:val="20"/>
                <w:szCs w:val="20"/>
                <w:color w:val="auto"/>
              </w:rPr>
            </w:pPr>
            <w:r>
              <w:rPr>
                <w:rFonts w:ascii="Arial" w:cs="Arial" w:eastAsia="Arial" w:hAnsi="Arial"/>
                <w:sz w:val="16"/>
                <w:szCs w:val="16"/>
                <w:color w:val="auto"/>
              </w:rPr>
              <w:t xml:space="preserve">Gains/(losses) from derivative activities and inventory valuation adjustments </w:t>
            </w:r>
            <w:r>
              <w:rPr>
                <w:rFonts w:ascii="Arial" w:cs="Arial" w:eastAsia="Arial" w:hAnsi="Arial"/>
                <w:sz w:val="21"/>
                <w:szCs w:val="21"/>
                <w:color w:val="auto"/>
                <w:vertAlign w:val="superscript"/>
              </w:rPr>
              <w:t>(2)</w:t>
            </w:r>
          </w:p>
        </w:tc>
        <w:tc>
          <w:tcPr>
            <w:tcW w:w="680" w:type="dxa"/>
            <w:vAlign w:val="bottom"/>
          </w:tcPr>
          <w:p>
            <w:pPr>
              <w:jc w:val="right"/>
              <w:ind w:right="503"/>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7"/>
                <w:szCs w:val="17"/>
                <w:color w:val="auto"/>
              </w:rPr>
            </w:pPr>
          </w:p>
        </w:tc>
        <w:tc>
          <w:tcPr>
            <w:tcW w:w="720" w:type="dxa"/>
            <w:vAlign w:val="bottom"/>
          </w:tcPr>
          <w:p>
            <w:pPr>
              <w:jc w:val="right"/>
              <w:ind w:right="541"/>
              <w:spacing w:after="0"/>
              <w:rPr>
                <w:sz w:val="20"/>
                <w:szCs w:val="20"/>
                <w:color w:val="auto"/>
              </w:rPr>
            </w:pPr>
            <w:r>
              <w:rPr>
                <w:rFonts w:ascii="Arial" w:cs="Arial" w:eastAsia="Arial" w:hAnsi="Arial"/>
                <w:sz w:val="16"/>
                <w:szCs w:val="16"/>
                <w:color w:val="auto"/>
                <w:w w:val="89"/>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17"/>
                <w:szCs w:val="17"/>
                <w:color w:val="auto"/>
              </w:rPr>
            </w:pPr>
          </w:p>
        </w:tc>
        <w:tc>
          <w:tcPr>
            <w:tcW w:w="680" w:type="dxa"/>
            <w:vAlign w:val="bottom"/>
          </w:tcPr>
          <w:p>
            <w:pPr>
              <w:jc w:val="right"/>
              <w:ind w:right="503"/>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17"/>
                <w:szCs w:val="17"/>
                <w:color w:val="auto"/>
              </w:rPr>
            </w:pPr>
          </w:p>
        </w:tc>
        <w:tc>
          <w:tcPr>
            <w:tcW w:w="280" w:type="dxa"/>
            <w:vAlign w:val="bottom"/>
          </w:tcPr>
          <w:p>
            <w:pPr>
              <w:jc w:val="right"/>
              <w:ind w:right="98"/>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(104)</w:t>
            </w:r>
          </w:p>
        </w:tc>
      </w:tr>
      <w:tr>
        <w:trPr>
          <w:trHeight w:val="207"/>
        </w:trPr>
        <w:tc>
          <w:tcPr>
            <w:tcW w:w="6640" w:type="dxa"/>
            <w:vAlign w:val="bottom"/>
            <w:gridSpan w:val="2"/>
            <w:shd w:val="clear" w:color="auto" w:fill="CCEEFF"/>
          </w:tcPr>
          <w:p>
            <w:pPr>
              <w:ind w:left="20"/>
              <w:spacing w:after="0" w:line="207" w:lineRule="exact"/>
              <w:rPr>
                <w:sz w:val="20"/>
                <w:szCs w:val="20"/>
                <w:color w:val="auto"/>
              </w:rPr>
            </w:pPr>
            <w:r>
              <w:rPr>
                <w:rFonts w:ascii="Arial" w:cs="Arial" w:eastAsia="Arial" w:hAnsi="Arial"/>
                <w:sz w:val="16"/>
                <w:szCs w:val="16"/>
                <w:color w:val="auto"/>
              </w:rPr>
              <w:t xml:space="preserve">Long-term inventory costing adjustments </w:t>
            </w:r>
            <w:r>
              <w:rPr>
                <w:rFonts w:ascii="Arial" w:cs="Arial" w:eastAsia="Arial" w:hAnsi="Arial"/>
                <w:sz w:val="21"/>
                <w:szCs w:val="21"/>
                <w:color w:val="auto"/>
                <w:vertAlign w:val="superscript"/>
              </w:rPr>
              <w:t>(3)</w:t>
            </w: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r>
      <w:tr>
        <w:trPr>
          <w:trHeight w:val="207"/>
        </w:trPr>
        <w:tc>
          <w:tcPr>
            <w:tcW w:w="6640" w:type="dxa"/>
            <w:vAlign w:val="bottom"/>
            <w:gridSpan w:val="2"/>
          </w:tcPr>
          <w:p>
            <w:pPr>
              <w:ind w:left="20"/>
              <w:spacing w:after="0" w:line="207" w:lineRule="exact"/>
              <w:rPr>
                <w:sz w:val="20"/>
                <w:szCs w:val="20"/>
                <w:color w:val="auto"/>
              </w:rPr>
            </w:pPr>
            <w:r>
              <w:rPr>
                <w:rFonts w:ascii="Arial" w:cs="Arial" w:eastAsia="Arial" w:hAnsi="Arial"/>
                <w:sz w:val="16"/>
                <w:szCs w:val="16"/>
                <w:color w:val="auto"/>
              </w:rPr>
              <w:t xml:space="preserve">Deficiencies under minimum volume commitments, net </w:t>
            </w:r>
            <w:r>
              <w:rPr>
                <w:rFonts w:ascii="Arial" w:cs="Arial" w:eastAsia="Arial" w:hAnsi="Arial"/>
                <w:sz w:val="21"/>
                <w:szCs w:val="21"/>
                <w:color w:val="auto"/>
                <w:vertAlign w:val="superscript"/>
              </w:rPr>
              <w:t>(4)</w:t>
            </w:r>
          </w:p>
        </w:tc>
        <w:tc>
          <w:tcPr>
            <w:tcW w:w="6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07"/>
        </w:trPr>
        <w:tc>
          <w:tcPr>
            <w:tcW w:w="6640" w:type="dxa"/>
            <w:vAlign w:val="bottom"/>
            <w:gridSpan w:val="2"/>
            <w:shd w:val="clear" w:color="auto" w:fill="CCEEFF"/>
          </w:tcPr>
          <w:p>
            <w:pPr>
              <w:ind w:left="20"/>
              <w:spacing w:after="0" w:line="207" w:lineRule="exact"/>
              <w:rPr>
                <w:sz w:val="20"/>
                <w:szCs w:val="20"/>
                <w:color w:val="auto"/>
              </w:rPr>
            </w:pPr>
            <w:r>
              <w:rPr>
                <w:rFonts w:ascii="Arial" w:cs="Arial" w:eastAsia="Arial" w:hAnsi="Arial"/>
                <w:sz w:val="16"/>
                <w:szCs w:val="16"/>
                <w:color w:val="auto"/>
              </w:rPr>
              <w:t xml:space="preserve">Equity-indexed compensation expense </w:t>
            </w:r>
            <w:r>
              <w:rPr>
                <w:rFonts w:ascii="Arial" w:cs="Arial" w:eastAsia="Arial" w:hAnsi="Arial"/>
                <w:sz w:val="21"/>
                <w:szCs w:val="21"/>
                <w:color w:val="auto"/>
                <w:vertAlign w:val="superscript"/>
              </w:rPr>
              <w:t>(5)</w:t>
            </w: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07"/>
        </w:trPr>
        <w:tc>
          <w:tcPr>
            <w:tcW w:w="6640" w:type="dxa"/>
            <w:vAlign w:val="bottom"/>
            <w:gridSpan w:val="2"/>
          </w:tcPr>
          <w:p>
            <w:pPr>
              <w:ind w:left="20"/>
              <w:spacing w:after="0" w:line="207" w:lineRule="exact"/>
              <w:rPr>
                <w:sz w:val="20"/>
                <w:szCs w:val="20"/>
                <w:color w:val="auto"/>
              </w:rPr>
            </w:pPr>
            <w:r>
              <w:rPr>
                <w:rFonts w:ascii="Arial" w:cs="Arial" w:eastAsia="Arial" w:hAnsi="Arial"/>
                <w:sz w:val="16"/>
                <w:szCs w:val="16"/>
                <w:color w:val="auto"/>
              </w:rPr>
              <w:t xml:space="preserve">Net gain/(loss) on foreign currency revaluation </w:t>
            </w:r>
            <w:r>
              <w:rPr>
                <w:rFonts w:ascii="Arial" w:cs="Arial" w:eastAsia="Arial" w:hAnsi="Arial"/>
                <w:sz w:val="21"/>
                <w:szCs w:val="21"/>
                <w:color w:val="auto"/>
                <w:vertAlign w:val="superscript"/>
              </w:rPr>
              <w:t>(6)</w:t>
            </w:r>
          </w:p>
        </w:tc>
        <w:tc>
          <w:tcPr>
            <w:tcW w:w="6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20"/>
        </w:trPr>
        <w:tc>
          <w:tcPr>
            <w:tcW w:w="6640" w:type="dxa"/>
            <w:vAlign w:val="bottom"/>
            <w:gridSpan w:val="2"/>
            <w:shd w:val="clear" w:color="auto" w:fill="CCEEFF"/>
          </w:tcPr>
          <w:p>
            <w:pPr>
              <w:ind w:left="20"/>
              <w:spacing w:after="0" w:line="220" w:lineRule="exact"/>
              <w:rPr>
                <w:sz w:val="20"/>
                <w:szCs w:val="20"/>
                <w:color w:val="auto"/>
              </w:rPr>
            </w:pPr>
            <w:r>
              <w:rPr>
                <w:rFonts w:ascii="Arial" w:cs="Arial" w:eastAsia="Arial" w:hAnsi="Arial"/>
                <w:sz w:val="16"/>
                <w:szCs w:val="16"/>
                <w:color w:val="auto"/>
              </w:rPr>
              <w:t xml:space="preserve">Significant transaction-related expenses </w:t>
            </w:r>
            <w:r>
              <w:rPr>
                <w:rFonts w:ascii="Arial" w:cs="Arial" w:eastAsia="Arial" w:hAnsi="Arial"/>
                <w:sz w:val="21"/>
                <w:szCs w:val="21"/>
                <w:color w:val="auto"/>
                <w:vertAlign w:val="superscript"/>
              </w:rPr>
              <w:t>(7)</w:t>
            </w:r>
          </w:p>
        </w:tc>
        <w:tc>
          <w:tcPr>
            <w:tcW w:w="6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220"/>
        </w:trPr>
        <w:tc>
          <w:tcPr>
            <w:tcW w:w="6640" w:type="dxa"/>
            <w:vAlign w:val="bottom"/>
            <w:gridSpan w:val="2"/>
          </w:tcPr>
          <w:p>
            <w:pPr>
              <w:ind w:left="20"/>
              <w:spacing w:after="0" w:line="220" w:lineRule="exact"/>
              <w:rPr>
                <w:sz w:val="20"/>
                <w:szCs w:val="20"/>
                <w:color w:val="auto"/>
              </w:rPr>
            </w:pPr>
            <w:r>
              <w:rPr>
                <w:rFonts w:ascii="Arial" w:cs="Arial" w:eastAsia="Arial" w:hAnsi="Arial"/>
                <w:sz w:val="16"/>
                <w:szCs w:val="16"/>
                <w:color w:val="auto"/>
              </w:rPr>
              <w:t xml:space="preserve">Net gain on early repayment of senior notes </w:t>
            </w:r>
            <w:r>
              <w:rPr>
                <w:rFonts w:ascii="Arial" w:cs="Arial" w:eastAsia="Arial" w:hAnsi="Arial"/>
                <w:sz w:val="21"/>
                <w:szCs w:val="21"/>
                <w:color w:val="auto"/>
                <w:vertAlign w:val="superscript"/>
              </w:rPr>
              <w:t>(8)</w:t>
            </w:r>
          </w:p>
        </w:tc>
        <w:tc>
          <w:tcPr>
            <w:tcW w:w="68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00"/>
        </w:trPr>
        <w:tc>
          <w:tcPr>
            <w:tcW w:w="664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Selected items impacting comparability - Adjusted EBITDA</w:t>
            </w:r>
          </w:p>
        </w:tc>
        <w:tc>
          <w:tcPr>
            <w:tcW w:w="680" w:type="dxa"/>
            <w:vAlign w:val="bottom"/>
            <w:tcBorders>
              <w:top w:val="single" w:sz="8" w:color="auto"/>
            </w:tcBorders>
            <w:shd w:val="clear" w:color="auto" w:fill="CCEEFF"/>
          </w:tcPr>
          <w:p>
            <w:pPr>
              <w:jc w:val="right"/>
              <w:ind w:right="503"/>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ind w:right="541"/>
              <w:spacing w:after="0"/>
              <w:rPr>
                <w:sz w:val="20"/>
                <w:szCs w:val="20"/>
                <w:color w:val="auto"/>
              </w:rPr>
            </w:pPr>
            <w:r>
              <w:rPr>
                <w:rFonts w:ascii="Arial" w:cs="Arial" w:eastAsia="Arial" w:hAnsi="Arial"/>
                <w:sz w:val="16"/>
                <w:szCs w:val="16"/>
                <w:color w:val="auto"/>
                <w:w w:val="8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ind w:right="503"/>
              <w:spacing w:after="0"/>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w:t>
            </w:r>
          </w:p>
        </w:tc>
      </w:tr>
      <w:tr>
        <w:trPr>
          <w:trHeight w:val="220"/>
        </w:trPr>
        <w:tc>
          <w:tcPr>
            <w:tcW w:w="6640" w:type="dxa"/>
            <w:vAlign w:val="bottom"/>
            <w:gridSpan w:val="2"/>
          </w:tcPr>
          <w:p>
            <w:pPr>
              <w:ind w:left="20"/>
              <w:spacing w:after="0"/>
              <w:rPr>
                <w:sz w:val="20"/>
                <w:szCs w:val="20"/>
                <w:color w:val="auto"/>
              </w:rPr>
            </w:pPr>
            <w:r>
              <w:rPr>
                <w:rFonts w:ascii="Arial" w:cs="Arial" w:eastAsia="Arial" w:hAnsi="Arial"/>
                <w:sz w:val="16"/>
                <w:szCs w:val="16"/>
                <w:color w:val="auto"/>
              </w:rPr>
              <w:t>Gain on/(impairment of) investments in unconsolidated entities, net</w:t>
            </w:r>
          </w:p>
        </w:tc>
        <w:tc>
          <w:tcPr>
            <w:tcW w:w="68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7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w w:val="99"/>
              </w:rPr>
              <w:t>(69)</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(91)</w:t>
            </w:r>
          </w:p>
        </w:tc>
      </w:tr>
      <w:tr>
        <w:trPr>
          <w:trHeight w:val="220"/>
        </w:trPr>
        <w:tc>
          <w:tcPr>
            <w:tcW w:w="6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Gains/(losses) on asset sales and asset impairments, net</w:t>
            </w:r>
          </w:p>
        </w:tc>
        <w:tc>
          <w:tcPr>
            <w:tcW w:w="6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(369)</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5"/>
              </w:rPr>
              <w:t>(370)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(618)</w:t>
            </w:r>
          </w:p>
        </w:tc>
      </w:tr>
      <w:tr>
        <w:trPr>
          <w:trHeight w:val="220"/>
        </w:trPr>
        <w:tc>
          <w:tcPr>
            <w:tcW w:w="6640" w:type="dxa"/>
            <w:vAlign w:val="bottom"/>
            <w:gridSpan w:val="2"/>
          </w:tcPr>
          <w:p>
            <w:pPr>
              <w:ind w:left="20"/>
              <w:spacing w:after="0"/>
              <w:rPr>
                <w:sz w:val="20"/>
                <w:szCs w:val="20"/>
                <w:color w:val="auto"/>
              </w:rPr>
            </w:pPr>
            <w:r>
              <w:rPr>
                <w:rFonts w:ascii="Arial" w:cs="Arial" w:eastAsia="Arial" w:hAnsi="Arial"/>
                <w:sz w:val="16"/>
                <w:szCs w:val="16"/>
                <w:color w:val="auto"/>
              </w:rPr>
              <w:t>Goodwill impairment losses</w:t>
            </w:r>
          </w:p>
        </w:tc>
        <w:tc>
          <w:tcPr>
            <w:tcW w:w="68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(2,515)</w:t>
            </w:r>
          </w:p>
        </w:tc>
      </w:tr>
      <w:tr>
        <w:trPr>
          <w:trHeight w:val="207"/>
        </w:trPr>
        <w:tc>
          <w:tcPr>
            <w:tcW w:w="6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Tax effect on selected items impacting comparability</w:t>
            </w:r>
          </w:p>
        </w:tc>
        <w:tc>
          <w:tcPr>
            <w:tcW w:w="68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200"/>
        </w:trPr>
        <w:tc>
          <w:tcPr>
            <w:tcW w:w="6640" w:type="dxa"/>
            <w:vAlign w:val="bottom"/>
            <w:gridSpan w:val="2"/>
          </w:tcPr>
          <w:p>
            <w:pPr>
              <w:ind w:left="180"/>
              <w:spacing w:after="0"/>
              <w:rPr>
                <w:sz w:val="20"/>
                <w:szCs w:val="20"/>
                <w:color w:val="auto"/>
              </w:rPr>
            </w:pPr>
            <w:r>
              <w:rPr>
                <w:rFonts w:ascii="Arial" w:cs="Arial" w:eastAsia="Arial" w:hAnsi="Arial"/>
                <w:sz w:val="16"/>
                <w:szCs w:val="16"/>
                <w:color w:val="auto"/>
              </w:rPr>
              <w:t>Selected items impacting comparability - Adjusted net income attributable to PAA</w:t>
            </w:r>
          </w:p>
        </w:tc>
        <w:tc>
          <w:tcPr>
            <w:tcW w:w="680" w:type="dxa"/>
            <w:vAlign w:val="bottom"/>
            <w:tcBorders>
              <w:bottom w:val="single" w:sz="8" w:color="auto"/>
            </w:tcBorders>
          </w:tcPr>
          <w:p>
            <w:pPr>
              <w:jc w:val="right"/>
              <w:ind w:right="503"/>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(433)</w:t>
            </w:r>
          </w:p>
        </w:tc>
        <w:tc>
          <w:tcPr>
            <w:tcW w:w="100" w:type="dxa"/>
            <w:vAlign w:val="bottom"/>
          </w:tcPr>
          <w:p>
            <w:pPr>
              <w:spacing w:after="0"/>
              <w:rPr>
                <w:sz w:val="17"/>
                <w:szCs w:val="17"/>
                <w:color w:val="auto"/>
              </w:rPr>
            </w:pPr>
          </w:p>
        </w:tc>
        <w:tc>
          <w:tcPr>
            <w:tcW w:w="720" w:type="dxa"/>
            <w:vAlign w:val="bottom"/>
            <w:tcBorders>
              <w:bottom w:val="single" w:sz="8" w:color="auto"/>
            </w:tcBorders>
          </w:tcPr>
          <w:p>
            <w:pPr>
              <w:jc w:val="right"/>
              <w:ind w:right="541"/>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17"/>
                <w:szCs w:val="17"/>
                <w:color w:val="auto"/>
              </w:rPr>
            </w:pPr>
          </w:p>
        </w:tc>
        <w:tc>
          <w:tcPr>
            <w:tcW w:w="680" w:type="dxa"/>
            <w:vAlign w:val="bottom"/>
            <w:tcBorders>
              <w:bottom w:val="single" w:sz="8" w:color="auto"/>
            </w:tcBorders>
          </w:tcPr>
          <w:p>
            <w:pPr>
              <w:jc w:val="right"/>
              <w:ind w:right="503"/>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0"/>
              </w:rPr>
              <w:t>(243)</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(3,393)</w:t>
            </w:r>
          </w:p>
        </w:tc>
      </w:tr>
      <w:tr>
        <w:trPr>
          <w:trHeight w:val="20"/>
        </w:trPr>
        <w:tc>
          <w:tcPr>
            <w:tcW w:w="38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47"/>
        </w:trPr>
        <w:tc>
          <w:tcPr>
            <w:tcW w:w="3880" w:type="dxa"/>
            <w:vAlign w:val="bottom"/>
            <w:tcBorders>
              <w:bottom w:val="single" w:sz="8" w:color="auto"/>
            </w:tcBorders>
          </w:tcPr>
          <w:p>
            <w:pPr>
              <w:spacing w:after="0"/>
              <w:rPr>
                <w:sz w:val="12"/>
                <w:szCs w:val="12"/>
                <w:color w:val="auto"/>
              </w:rPr>
            </w:pPr>
          </w:p>
        </w:tc>
        <w:tc>
          <w:tcPr>
            <w:tcW w:w="2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r>
    </w:tbl>
    <w:p>
      <w:pPr>
        <w:spacing w:after="0" w:line="91" w:lineRule="exact"/>
        <w:rPr>
          <w:sz w:val="20"/>
          <w:szCs w:val="20"/>
          <w:color w:val="auto"/>
        </w:rPr>
      </w:pPr>
    </w:p>
    <w:p>
      <w:pPr>
        <w:ind w:left="300" w:hanging="297"/>
        <w:spacing w:after="0"/>
        <w:tabs>
          <w:tab w:leader="none" w:pos="300"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Certain of our non-GAAP financial measures may not be impacted by each of the selected items impacting comparability.</w:t>
      </w:r>
    </w:p>
    <w:p>
      <w:pPr>
        <w:spacing w:after="0" w:line="44" w:lineRule="exact"/>
        <w:rPr>
          <w:rFonts w:ascii="Arial" w:cs="Arial" w:eastAsia="Arial" w:hAnsi="Arial"/>
          <w:sz w:val="18"/>
          <w:szCs w:val="18"/>
          <w:color w:val="auto"/>
          <w:vertAlign w:val="superscript"/>
        </w:rPr>
      </w:pPr>
    </w:p>
    <w:p>
      <w:pPr>
        <w:ind w:left="320" w:right="80" w:hanging="317"/>
        <w:spacing w:after="0" w:line="236" w:lineRule="auto"/>
        <w:tabs>
          <w:tab w:leader="none" w:pos="308" w:val="left"/>
        </w:tabs>
        <w:numPr>
          <w:ilvl w:val="0"/>
          <w:numId w:val="17"/>
        </w:numPr>
        <w:rPr>
          <w:rFonts w:ascii="Arial" w:cs="Arial" w:eastAsia="Arial" w:hAnsi="Arial"/>
          <w:sz w:val="17"/>
          <w:szCs w:val="17"/>
          <w:color w:val="auto"/>
          <w:vertAlign w:val="superscript"/>
        </w:rPr>
      </w:pPr>
      <w:r>
        <w:rPr>
          <w:rFonts w:ascii="Arial" w:cs="Arial" w:eastAsia="Arial" w:hAnsi="Arial"/>
          <w:sz w:val="13"/>
          <w:szCs w:val="13"/>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differences in the timing of earnings from the derivative instruments and the underlying transactions and exclude the related gains and losses in determining adjusted results such that the earnings from the derivative instruments and the underlying transactions impact adjusted results in the same period. In addition, we exclude gains and losses on derivatives that are related to investing activities, such as the purchase of linefill.</w:t>
      </w:r>
    </w:p>
    <w:p>
      <w:pPr>
        <w:spacing w:after="0" w:line="34" w:lineRule="exact"/>
        <w:rPr>
          <w:rFonts w:ascii="Arial" w:cs="Arial" w:eastAsia="Arial" w:hAnsi="Arial"/>
          <w:sz w:val="17"/>
          <w:szCs w:val="17"/>
          <w:color w:val="auto"/>
          <w:vertAlign w:val="superscript"/>
        </w:rPr>
      </w:pPr>
    </w:p>
    <w:p>
      <w:pPr>
        <w:ind w:left="320" w:right="40" w:hanging="317"/>
        <w:spacing w:after="0" w:line="238" w:lineRule="auto"/>
        <w:tabs>
          <w:tab w:leader="none" w:pos="308" w:val="left"/>
        </w:tabs>
        <w:numPr>
          <w:ilvl w:val="0"/>
          <w:numId w:val="17"/>
        </w:numPr>
        <w:rPr>
          <w:rFonts w:ascii="Arial" w:cs="Arial" w:eastAsia="Arial" w:hAnsi="Arial"/>
          <w:sz w:val="17"/>
          <w:szCs w:val="17"/>
          <w:color w:val="auto"/>
          <w:vertAlign w:val="superscript"/>
        </w:rPr>
      </w:pPr>
      <w:r>
        <w:rPr>
          <w:rFonts w:ascii="Arial" w:cs="Arial" w:eastAsia="Arial" w:hAnsi="Arial"/>
          <w:sz w:val="13"/>
          <w:szCs w:val="13"/>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w:t>
      </w:r>
    </w:p>
    <w:p>
      <w:pPr>
        <w:spacing w:after="0" w:line="33" w:lineRule="exact"/>
        <w:rPr>
          <w:rFonts w:ascii="Arial" w:cs="Arial" w:eastAsia="Arial" w:hAnsi="Arial"/>
          <w:sz w:val="17"/>
          <w:szCs w:val="17"/>
          <w:color w:val="auto"/>
          <w:vertAlign w:val="superscript"/>
        </w:rPr>
      </w:pPr>
    </w:p>
    <w:p>
      <w:pPr>
        <w:ind w:left="320" w:hanging="317"/>
        <w:spacing w:after="0" w:line="244" w:lineRule="auto"/>
        <w:tabs>
          <w:tab w:leader="none" w:pos="308" w:val="left"/>
        </w:tabs>
        <w:numPr>
          <w:ilvl w:val="0"/>
          <w:numId w:val="17"/>
        </w:numPr>
        <w:rPr>
          <w:rFonts w:ascii="Arial" w:cs="Arial" w:eastAsia="Arial" w:hAnsi="Arial"/>
          <w:sz w:val="17"/>
          <w:szCs w:val="17"/>
          <w:color w:val="auto"/>
          <w:vertAlign w:val="superscript"/>
        </w:rPr>
      </w:pPr>
      <w:r>
        <w:rPr>
          <w:rFonts w:ascii="Arial" w:cs="Arial" w:eastAsia="Arial" w:hAnsi="Arial"/>
          <w:sz w:val="13"/>
          <w:szCs w:val="13"/>
          <w:color w:val="auto"/>
        </w:rPr>
        <w:t>We, and certain of our equity method investments, have certain agreements that require counterparties to deliver, transport or throughput a minimum volume over an agreed upon period. Substantially all of such agreements were entered into with counterparties to economically support the return on capital expenditure necessary to construct the related asset. Some of these agreements include make-up rights if the minimum volume is not met. We, or our equity method investees,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or our equity method investees,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or equity earnings,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32" w:lineRule="exact"/>
        <w:rPr>
          <w:rFonts w:ascii="Arial" w:cs="Arial" w:eastAsia="Arial" w:hAnsi="Arial"/>
          <w:sz w:val="17"/>
          <w:szCs w:val="17"/>
          <w:color w:val="auto"/>
          <w:vertAlign w:val="superscript"/>
        </w:rPr>
      </w:pPr>
    </w:p>
    <w:p>
      <w:pPr>
        <w:ind w:left="320" w:right="20" w:hanging="317"/>
        <w:spacing w:after="0" w:line="222" w:lineRule="auto"/>
        <w:tabs>
          <w:tab w:leader="none" w:pos="308"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Our total equity-indexed compensation expense includes expense associated with awards that will be settled in units and awards that will be settled in cash. The awards that will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as applicable. The portion of compensation expense associated with awards that will be settled in cash is not considered a selected item impacting comparability.</w:t>
      </w:r>
    </w:p>
    <w:p>
      <w:pPr>
        <w:spacing w:after="0" w:line="33" w:lineRule="exact"/>
        <w:rPr>
          <w:rFonts w:ascii="Arial" w:cs="Arial" w:eastAsia="Arial" w:hAnsi="Arial"/>
          <w:sz w:val="18"/>
          <w:szCs w:val="18"/>
          <w:color w:val="auto"/>
          <w:vertAlign w:val="superscript"/>
        </w:rPr>
      </w:pPr>
    </w:p>
    <w:p>
      <w:pPr>
        <w:ind w:left="320" w:right="40" w:hanging="317"/>
        <w:spacing w:after="0" w:line="219" w:lineRule="auto"/>
        <w:tabs>
          <w:tab w:leader="none" w:pos="308"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During the periods presented, there were fluctuations in the value of the Canadian dollar to the U.S. dollar, resulting in the realization of foreign exchange gains and losses on the settlement of foreign currency transactions as well as the revaluation of monetary assets and liabilities denominated in a foreign currency. These gains and losses are not integral to our core operating performance and were thus classified as a selected item impacting comparability.</w:t>
      </w:r>
    </w:p>
    <w:p>
      <w:pPr>
        <w:spacing w:after="0" w:line="2" w:lineRule="exact"/>
        <w:rPr>
          <w:rFonts w:ascii="Arial" w:cs="Arial" w:eastAsia="Arial" w:hAnsi="Arial"/>
          <w:sz w:val="18"/>
          <w:szCs w:val="18"/>
          <w:color w:val="auto"/>
          <w:vertAlign w:val="superscript"/>
        </w:rPr>
      </w:pPr>
    </w:p>
    <w:p>
      <w:pPr>
        <w:ind w:left="300" w:hanging="297"/>
        <w:spacing w:after="0"/>
        <w:tabs>
          <w:tab w:leader="none" w:pos="300"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Includes expenses associated with the Permian Basin joint venture transaction announced in July 2021 and the acquisition of Felix Midstream LLC in February 2020.</w:t>
      </w:r>
    </w:p>
    <w:p>
      <w:pPr>
        <w:spacing w:after="0" w:line="43" w:lineRule="exact"/>
        <w:rPr>
          <w:rFonts w:ascii="Arial" w:cs="Arial" w:eastAsia="Arial" w:hAnsi="Arial"/>
          <w:sz w:val="18"/>
          <w:szCs w:val="18"/>
          <w:color w:val="auto"/>
          <w:vertAlign w:val="superscript"/>
        </w:rPr>
      </w:pPr>
    </w:p>
    <w:p>
      <w:pPr>
        <w:ind w:left="300" w:hanging="297"/>
        <w:spacing w:after="0" w:line="188" w:lineRule="auto"/>
        <w:tabs>
          <w:tab w:leader="none" w:pos="300"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Includes net gains recognized in connection with the repurchase of our outstanding senior notes on the open market.</w:t>
      </w:r>
    </w:p>
    <w:p>
      <w:pPr>
        <w:spacing w:after="0" w:line="232" w:lineRule="exact"/>
        <w:rPr>
          <w:rFonts w:ascii="Arial" w:cs="Arial" w:eastAsia="Arial" w:hAnsi="Arial"/>
          <w:sz w:val="18"/>
          <w:szCs w:val="18"/>
          <w:color w:val="auto"/>
          <w:vertAlign w:val="superscript"/>
        </w:rPr>
      </w:pPr>
    </w:p>
    <w:p>
      <w:pPr>
        <w:ind w:left="5440" w:hanging="93"/>
        <w:spacing w:after="0"/>
        <w:tabs>
          <w:tab w:leader="none" w:pos="5440" w:val="left"/>
        </w:tabs>
        <w:numPr>
          <w:ilvl w:val="1"/>
          <w:numId w:val="17"/>
        </w:numPr>
        <w:rPr>
          <w:rFonts w:ascii="Arial" w:cs="Arial" w:eastAsia="Arial" w:hAnsi="Arial"/>
          <w:sz w:val="17"/>
          <w:szCs w:val="17"/>
          <w:color w:val="auto"/>
        </w:rPr>
      </w:pPr>
      <w:r>
        <w:rPr>
          <w:rFonts w:ascii="Arial" w:cs="Arial" w:eastAsia="Arial" w:hAnsi="Arial"/>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u w:val="single" w:color="auto"/>
          <w:color w:val="auto"/>
        </w:rPr>
        <w:t>Page 17</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SELECTED ITEMS IMPACTING COMPARABILITY (continued)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 millions)</w:t>
      </w:r>
    </w:p>
    <w:p>
      <w:pPr>
        <w:spacing w:after="0" w:line="11" w:lineRule="exact"/>
        <w:rPr>
          <w:sz w:val="20"/>
          <w:szCs w:val="20"/>
          <w:color w:val="auto"/>
        </w:rPr>
      </w:pPr>
    </w:p>
    <w:p>
      <w:pPr>
        <w:jc w:val="center"/>
        <w:ind w:left="8980"/>
        <w:spacing w:after="0"/>
        <w:rPr>
          <w:sz w:val="20"/>
          <w:szCs w:val="20"/>
          <w:color w:val="auto"/>
        </w:rPr>
      </w:pPr>
      <w:r>
        <w:rPr>
          <w:rFonts w:ascii="Arial" w:cs="Arial" w:eastAsia="Arial" w:hAnsi="Arial"/>
          <w:sz w:val="14"/>
          <w:szCs w:val="14"/>
          <w:b w:val="1"/>
          <w:bCs w:val="1"/>
          <w:color w:val="auto"/>
        </w:rPr>
        <w:t>Twelve Months Ended</w:t>
      </w:r>
    </w:p>
    <w:p>
      <w:pPr>
        <w:jc w:val="center"/>
        <w:ind w:left="8980"/>
        <w:spacing w:after="0"/>
        <w:rPr>
          <w:sz w:val="20"/>
          <w:szCs w:val="20"/>
          <w:color w:val="auto"/>
        </w:rPr>
      </w:pPr>
      <w:r>
        <w:rPr>
          <w:rFonts w:ascii="Arial" w:cs="Arial" w:eastAsia="Arial" w:hAnsi="Arial"/>
          <w:sz w:val="14"/>
          <w:szCs w:val="14"/>
          <w:b w:val="1"/>
          <w:bCs w:val="1"/>
          <w:color w:val="auto"/>
        </w:rPr>
        <w:t>December 31,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80" w:type="dxa"/>
            <w:vAlign w:val="bottom"/>
            <w:tcBorders>
              <w:bottom w:val="single" w:sz="8" w:color="CCEEFF"/>
            </w:tcBorders>
          </w:tcPr>
          <w:p>
            <w:pPr>
              <w:spacing w:after="0"/>
              <w:rPr>
                <w:sz w:val="16"/>
                <w:szCs w:val="16"/>
                <w:color w:val="auto"/>
              </w:rPr>
            </w:pPr>
          </w:p>
        </w:tc>
        <w:tc>
          <w:tcPr>
            <w:tcW w:w="512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2019</w:t>
            </w:r>
          </w:p>
        </w:tc>
      </w:tr>
      <w:tr>
        <w:trPr>
          <w:trHeight w:val="188"/>
        </w:trPr>
        <w:tc>
          <w:tcPr>
            <w:tcW w:w="9000" w:type="dxa"/>
            <w:vAlign w:val="bottom"/>
            <w:gridSpan w:val="2"/>
            <w:shd w:val="clear" w:color="auto" w:fill="CCEEFF"/>
          </w:tcPr>
          <w:p>
            <w:pPr>
              <w:ind w:left="20"/>
              <w:spacing w:after="0" w:line="188" w:lineRule="exact"/>
              <w:rPr>
                <w:sz w:val="20"/>
                <w:szCs w:val="20"/>
                <w:color w:val="auto"/>
              </w:rPr>
            </w:pPr>
            <w:r>
              <w:rPr>
                <w:rFonts w:ascii="Arial" w:cs="Arial" w:eastAsia="Arial" w:hAnsi="Arial"/>
                <w:sz w:val="16"/>
                <w:szCs w:val="16"/>
                <w:b w:val="1"/>
                <w:bCs w:val="1"/>
                <w:color w:val="auto"/>
              </w:rPr>
              <w:t xml:space="preserve">Selected Items Impacting Comparability: </w:t>
            </w:r>
            <w:r>
              <w:rPr>
                <w:rFonts w:ascii="Arial" w:cs="Arial" w:eastAsia="Arial" w:hAnsi="Arial"/>
                <w:sz w:val="21"/>
                <w:szCs w:val="21"/>
                <w:b w:val="1"/>
                <w:bCs w:val="1"/>
                <w:color w:val="auto"/>
                <w:vertAlign w:val="superscript"/>
              </w:rPr>
              <w:t>(1)</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07"/>
        </w:trPr>
        <w:tc>
          <w:tcPr>
            <w:tcW w:w="9000" w:type="dxa"/>
            <w:vAlign w:val="bottom"/>
            <w:gridSpan w:val="2"/>
          </w:tcPr>
          <w:p>
            <w:pPr>
              <w:ind w:left="20"/>
              <w:spacing w:after="0" w:line="207" w:lineRule="exact"/>
              <w:rPr>
                <w:sz w:val="20"/>
                <w:szCs w:val="20"/>
                <w:color w:val="auto"/>
              </w:rPr>
            </w:pPr>
            <w:r>
              <w:rPr>
                <w:rFonts w:ascii="Arial" w:cs="Arial" w:eastAsia="Arial" w:hAnsi="Arial"/>
                <w:sz w:val="16"/>
                <w:szCs w:val="16"/>
                <w:color w:val="auto"/>
              </w:rPr>
              <w:t xml:space="preserve">Losses from derivative activities and inventory valuation adjustments </w:t>
            </w:r>
            <w:r>
              <w:rPr>
                <w:rFonts w:ascii="Arial" w:cs="Arial" w:eastAsia="Arial" w:hAnsi="Arial"/>
                <w:sz w:val="21"/>
                <w:szCs w:val="21"/>
                <w:color w:val="auto"/>
                <w:vertAlign w:val="superscript"/>
              </w:rPr>
              <w:t>(2)</w:t>
            </w:r>
          </w:p>
        </w:tc>
        <w:tc>
          <w:tcPr>
            <w:tcW w:w="240" w:type="dxa"/>
            <w:vAlign w:val="bottom"/>
          </w:tcPr>
          <w:p>
            <w:pPr>
              <w:jc w:val="right"/>
              <w:ind w:right="58"/>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(460)</w:t>
            </w:r>
          </w:p>
        </w:tc>
        <w:tc>
          <w:tcPr>
            <w:tcW w:w="120" w:type="dxa"/>
            <w:vAlign w:val="bottom"/>
          </w:tcPr>
          <w:p>
            <w:pPr>
              <w:spacing w:after="0"/>
              <w:rPr>
                <w:sz w:val="17"/>
                <w:szCs w:val="17"/>
                <w:color w:val="auto"/>
              </w:rPr>
            </w:pPr>
          </w:p>
        </w:tc>
        <w:tc>
          <w:tcPr>
            <w:tcW w:w="240" w:type="dxa"/>
            <w:vAlign w:val="bottom"/>
          </w:tcPr>
          <w:p>
            <w:pPr>
              <w:jc w:val="right"/>
              <w:ind w:right="58"/>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(158)</w:t>
            </w:r>
          </w:p>
        </w:tc>
      </w:tr>
      <w:tr>
        <w:trPr>
          <w:trHeight w:val="207"/>
        </w:trPr>
        <w:tc>
          <w:tcPr>
            <w:tcW w:w="9000" w:type="dxa"/>
            <w:vAlign w:val="bottom"/>
            <w:gridSpan w:val="2"/>
            <w:shd w:val="clear" w:color="auto" w:fill="CCEEFF"/>
          </w:tcPr>
          <w:p>
            <w:pPr>
              <w:ind w:left="20"/>
              <w:spacing w:after="0" w:line="207" w:lineRule="exact"/>
              <w:rPr>
                <w:sz w:val="20"/>
                <w:szCs w:val="20"/>
                <w:color w:val="auto"/>
              </w:rPr>
            </w:pPr>
            <w:r>
              <w:rPr>
                <w:rFonts w:ascii="Arial" w:cs="Arial" w:eastAsia="Arial" w:hAnsi="Arial"/>
                <w:sz w:val="16"/>
                <w:szCs w:val="16"/>
                <w:color w:val="auto"/>
              </w:rPr>
              <w:t xml:space="preserve">Long-term inventory costing adjustments </w:t>
            </w:r>
            <w:r>
              <w:rPr>
                <w:rFonts w:ascii="Arial" w:cs="Arial" w:eastAsia="Arial" w:hAnsi="Arial"/>
                <w:sz w:val="21"/>
                <w:szCs w:val="21"/>
                <w:color w:val="auto"/>
                <w:vertAlign w:val="superscript"/>
              </w:rPr>
              <w:t>(3)</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07"/>
        </w:trPr>
        <w:tc>
          <w:tcPr>
            <w:tcW w:w="9000" w:type="dxa"/>
            <w:vAlign w:val="bottom"/>
            <w:gridSpan w:val="2"/>
          </w:tcPr>
          <w:p>
            <w:pPr>
              <w:ind w:left="20"/>
              <w:spacing w:after="0" w:line="207" w:lineRule="exact"/>
              <w:rPr>
                <w:sz w:val="20"/>
                <w:szCs w:val="20"/>
                <w:color w:val="auto"/>
              </w:rPr>
            </w:pPr>
            <w:r>
              <w:rPr>
                <w:rFonts w:ascii="Arial" w:cs="Arial" w:eastAsia="Arial" w:hAnsi="Arial"/>
                <w:sz w:val="16"/>
                <w:szCs w:val="16"/>
                <w:color w:val="auto"/>
              </w:rPr>
              <w:t xml:space="preserve">Deficiencies under minimum volume commitments, net </w:t>
            </w:r>
            <w:r>
              <w:rPr>
                <w:rFonts w:ascii="Arial" w:cs="Arial" w:eastAsia="Arial" w:hAnsi="Arial"/>
                <w:sz w:val="21"/>
                <w:szCs w:val="21"/>
                <w:color w:val="auto"/>
                <w:vertAlign w:val="superscript"/>
              </w:rPr>
              <w:t>(4)</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07"/>
        </w:trPr>
        <w:tc>
          <w:tcPr>
            <w:tcW w:w="9000" w:type="dxa"/>
            <w:vAlign w:val="bottom"/>
            <w:gridSpan w:val="2"/>
            <w:shd w:val="clear" w:color="auto" w:fill="CCEEFF"/>
          </w:tcPr>
          <w:p>
            <w:pPr>
              <w:ind w:left="20"/>
              <w:spacing w:after="0" w:line="207" w:lineRule="exact"/>
              <w:rPr>
                <w:sz w:val="20"/>
                <w:szCs w:val="20"/>
                <w:color w:val="auto"/>
              </w:rPr>
            </w:pPr>
            <w:r>
              <w:rPr>
                <w:rFonts w:ascii="Arial" w:cs="Arial" w:eastAsia="Arial" w:hAnsi="Arial"/>
                <w:sz w:val="16"/>
                <w:szCs w:val="16"/>
                <w:color w:val="auto"/>
              </w:rPr>
              <w:t xml:space="preserve">Equity-indexed compensation expense </w:t>
            </w:r>
            <w:r>
              <w:rPr>
                <w:rFonts w:ascii="Arial" w:cs="Arial" w:eastAsia="Arial" w:hAnsi="Arial"/>
                <w:sz w:val="21"/>
                <w:szCs w:val="21"/>
                <w:color w:val="auto"/>
                <w:vertAlign w:val="superscript"/>
              </w:rPr>
              <w:t>(5)</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07"/>
        </w:trPr>
        <w:tc>
          <w:tcPr>
            <w:tcW w:w="9000" w:type="dxa"/>
            <w:vAlign w:val="bottom"/>
            <w:gridSpan w:val="2"/>
          </w:tcPr>
          <w:p>
            <w:pPr>
              <w:ind w:left="20"/>
              <w:spacing w:after="0" w:line="207" w:lineRule="exact"/>
              <w:rPr>
                <w:sz w:val="20"/>
                <w:szCs w:val="20"/>
                <w:color w:val="auto"/>
              </w:rPr>
            </w:pPr>
            <w:r>
              <w:rPr>
                <w:rFonts w:ascii="Arial" w:cs="Arial" w:eastAsia="Arial" w:hAnsi="Arial"/>
                <w:sz w:val="16"/>
                <w:szCs w:val="16"/>
                <w:color w:val="auto"/>
              </w:rPr>
              <w:t xml:space="preserve">Net gain on foreign currency revaluation </w:t>
            </w:r>
            <w:r>
              <w:rPr>
                <w:rFonts w:ascii="Arial" w:cs="Arial" w:eastAsia="Arial" w:hAnsi="Arial"/>
                <w:sz w:val="21"/>
                <w:szCs w:val="21"/>
                <w:color w:val="auto"/>
                <w:vertAlign w:val="superscript"/>
              </w:rPr>
              <w:t>(6)</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07"/>
        </w:trPr>
        <w:tc>
          <w:tcPr>
            <w:tcW w:w="9000" w:type="dxa"/>
            <w:vAlign w:val="bottom"/>
            <w:gridSpan w:val="2"/>
            <w:shd w:val="clear" w:color="auto" w:fill="CCEEFF"/>
          </w:tcPr>
          <w:p>
            <w:pPr>
              <w:ind w:left="20"/>
              <w:spacing w:after="0" w:line="207" w:lineRule="exact"/>
              <w:rPr>
                <w:sz w:val="20"/>
                <w:szCs w:val="20"/>
                <w:color w:val="auto"/>
              </w:rPr>
            </w:pPr>
            <w:r>
              <w:rPr>
                <w:rFonts w:ascii="Arial" w:cs="Arial" w:eastAsia="Arial" w:hAnsi="Arial"/>
                <w:sz w:val="16"/>
                <w:szCs w:val="16"/>
                <w:color w:val="auto"/>
              </w:rPr>
              <w:t xml:space="preserve">Line 901 incident </w:t>
            </w:r>
            <w:r>
              <w:rPr>
                <w:rFonts w:ascii="Arial" w:cs="Arial" w:eastAsia="Arial" w:hAnsi="Arial"/>
                <w:sz w:val="21"/>
                <w:szCs w:val="21"/>
                <w:color w:val="auto"/>
                <w:vertAlign w:val="superscript"/>
              </w:rPr>
              <w:t>(7)</w:t>
            </w: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20"/>
        </w:trPr>
        <w:tc>
          <w:tcPr>
            <w:tcW w:w="9000" w:type="dxa"/>
            <w:vAlign w:val="bottom"/>
            <w:gridSpan w:val="2"/>
          </w:tcPr>
          <w:p>
            <w:pPr>
              <w:ind w:left="20"/>
              <w:spacing w:after="0" w:line="220" w:lineRule="exact"/>
              <w:rPr>
                <w:sz w:val="20"/>
                <w:szCs w:val="20"/>
                <w:color w:val="auto"/>
              </w:rPr>
            </w:pPr>
            <w:r>
              <w:rPr>
                <w:rFonts w:ascii="Arial" w:cs="Arial" w:eastAsia="Arial" w:hAnsi="Arial"/>
                <w:sz w:val="16"/>
                <w:szCs w:val="16"/>
                <w:color w:val="auto"/>
              </w:rPr>
              <w:t xml:space="preserve">Significant transaction-related expenses </w:t>
            </w:r>
            <w:r>
              <w:rPr>
                <w:rFonts w:ascii="Arial" w:cs="Arial" w:eastAsia="Arial" w:hAnsi="Arial"/>
                <w:sz w:val="21"/>
                <w:szCs w:val="21"/>
                <w:color w:val="auto"/>
                <w:vertAlign w:val="superscript"/>
              </w:rPr>
              <w:t>(8)</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9000" w:type="dxa"/>
            <w:vAlign w:val="bottom"/>
            <w:gridSpan w:val="2"/>
            <w:shd w:val="clear" w:color="auto" w:fill="CCEEFF"/>
          </w:tcPr>
          <w:p>
            <w:pPr>
              <w:ind w:left="20"/>
              <w:spacing w:after="0" w:line="220" w:lineRule="exact"/>
              <w:rPr>
                <w:sz w:val="20"/>
                <w:szCs w:val="20"/>
                <w:color w:val="auto"/>
              </w:rPr>
            </w:pPr>
            <w:r>
              <w:rPr>
                <w:rFonts w:ascii="Arial" w:cs="Arial" w:eastAsia="Arial" w:hAnsi="Arial"/>
                <w:sz w:val="16"/>
                <w:szCs w:val="16"/>
                <w:color w:val="auto"/>
              </w:rPr>
              <w:t xml:space="preserve">Net gain on early repayment of senior notes </w:t>
            </w:r>
            <w:r>
              <w:rPr>
                <w:rFonts w:ascii="Arial" w:cs="Arial" w:eastAsia="Arial" w:hAnsi="Arial"/>
                <w:sz w:val="21"/>
                <w:szCs w:val="21"/>
                <w:color w:val="auto"/>
                <w:vertAlign w:val="superscript"/>
              </w:rPr>
              <w:t>(9)</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0"/>
        </w:trPr>
        <w:tc>
          <w:tcPr>
            <w:tcW w:w="9000" w:type="dxa"/>
            <w:vAlign w:val="bottom"/>
            <w:gridSpan w:val="2"/>
          </w:tcPr>
          <w:p>
            <w:pPr>
              <w:ind w:left="180"/>
              <w:spacing w:after="0"/>
              <w:rPr>
                <w:sz w:val="20"/>
                <w:szCs w:val="20"/>
                <w:color w:val="auto"/>
              </w:rPr>
            </w:pPr>
            <w:r>
              <w:rPr>
                <w:rFonts w:ascii="Arial" w:cs="Arial" w:eastAsia="Arial" w:hAnsi="Arial"/>
                <w:sz w:val="16"/>
                <w:szCs w:val="16"/>
                <w:color w:val="auto"/>
              </w:rPr>
              <w:t>Selected items impacting comparability - Adjusted EBITDA</w:t>
            </w:r>
          </w:p>
        </w:tc>
        <w:tc>
          <w:tcPr>
            <w:tcW w:w="240" w:type="dxa"/>
            <w:vAlign w:val="bottom"/>
          </w:tcPr>
          <w:p>
            <w:pPr>
              <w:jc w:val="right"/>
              <w:ind w:right="58"/>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(581)</w:t>
            </w:r>
          </w:p>
        </w:tc>
        <w:tc>
          <w:tcPr>
            <w:tcW w:w="120" w:type="dxa"/>
            <w:vAlign w:val="bottom"/>
          </w:tcPr>
          <w:p>
            <w:pPr>
              <w:spacing w:after="0"/>
              <w:rPr>
                <w:sz w:val="17"/>
                <w:szCs w:val="17"/>
                <w:color w:val="auto"/>
              </w:rPr>
            </w:pPr>
          </w:p>
        </w:tc>
        <w:tc>
          <w:tcPr>
            <w:tcW w:w="240" w:type="dxa"/>
            <w:vAlign w:val="bottom"/>
          </w:tcPr>
          <w:p>
            <w:pPr>
              <w:jc w:val="right"/>
              <w:ind w:right="58"/>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(146)</w:t>
            </w:r>
          </w:p>
        </w:tc>
      </w:tr>
      <w:tr>
        <w:trPr>
          <w:trHeight w:val="207"/>
        </w:trPr>
        <w:tc>
          <w:tcPr>
            <w:tcW w:w="9000" w:type="dxa"/>
            <w:vAlign w:val="bottom"/>
            <w:gridSpan w:val="2"/>
            <w:shd w:val="clear" w:color="auto" w:fill="CCEEFF"/>
          </w:tcPr>
          <w:p>
            <w:pPr>
              <w:ind w:left="20"/>
              <w:spacing w:after="0" w:line="207" w:lineRule="exact"/>
              <w:rPr>
                <w:sz w:val="20"/>
                <w:szCs w:val="20"/>
                <w:color w:val="auto"/>
              </w:rPr>
            </w:pPr>
            <w:r>
              <w:rPr>
                <w:rFonts w:ascii="Arial" w:cs="Arial" w:eastAsia="Arial" w:hAnsi="Arial"/>
                <w:sz w:val="16"/>
                <w:szCs w:val="16"/>
                <w:color w:val="auto"/>
              </w:rPr>
              <w:t xml:space="preserve">Losses from derivative activities </w:t>
            </w:r>
            <w:r>
              <w:rPr>
                <w:rFonts w:ascii="Arial" w:cs="Arial" w:eastAsia="Arial" w:hAnsi="Arial"/>
                <w:sz w:val="21"/>
                <w:szCs w:val="21"/>
                <w:color w:val="auto"/>
                <w:vertAlign w:val="superscript"/>
              </w:rPr>
              <w:t>(2)</w:t>
            </w: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20"/>
        </w:trPr>
        <w:tc>
          <w:tcPr>
            <w:tcW w:w="9000" w:type="dxa"/>
            <w:vAlign w:val="bottom"/>
            <w:gridSpan w:val="2"/>
          </w:tcPr>
          <w:p>
            <w:pPr>
              <w:ind w:left="20"/>
              <w:spacing w:after="0"/>
              <w:rPr>
                <w:sz w:val="20"/>
                <w:szCs w:val="20"/>
                <w:color w:val="auto"/>
              </w:rPr>
            </w:pPr>
            <w:r>
              <w:rPr>
                <w:rFonts w:ascii="Arial" w:cs="Arial" w:eastAsia="Arial" w:hAnsi="Arial"/>
                <w:sz w:val="16"/>
                <w:szCs w:val="16"/>
                <w:color w:val="auto"/>
              </w:rPr>
              <w:t>Gain on/(impairment of) investments in unconsolidated entities, net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(182)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271</w:t>
            </w:r>
          </w:p>
        </w:tc>
      </w:tr>
      <w:tr>
        <w:trPr>
          <w:trHeight w:val="220"/>
        </w:trPr>
        <w:tc>
          <w:tcPr>
            <w:tcW w:w="9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Gains/(losses) on asset sales and asset impairments, net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r>
      <w:tr>
        <w:trPr>
          <w:trHeight w:val="220"/>
        </w:trPr>
        <w:tc>
          <w:tcPr>
            <w:tcW w:w="9000" w:type="dxa"/>
            <w:vAlign w:val="bottom"/>
            <w:gridSpan w:val="2"/>
          </w:tcPr>
          <w:p>
            <w:pPr>
              <w:ind w:left="20"/>
              <w:spacing w:after="0"/>
              <w:rPr>
                <w:sz w:val="20"/>
                <w:szCs w:val="20"/>
                <w:color w:val="auto"/>
              </w:rPr>
            </w:pPr>
            <w:r>
              <w:rPr>
                <w:rFonts w:ascii="Arial" w:cs="Arial" w:eastAsia="Arial" w:hAnsi="Arial"/>
                <w:sz w:val="16"/>
                <w:szCs w:val="16"/>
                <w:color w:val="auto"/>
              </w:rPr>
              <w:t>Goodwill impairment losses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(2,515)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7"/>
        </w:trPr>
        <w:tc>
          <w:tcPr>
            <w:tcW w:w="9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Tax effect on selected items impacting comparability</w:t>
            </w: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00"/>
        </w:trPr>
        <w:tc>
          <w:tcPr>
            <w:tcW w:w="9000" w:type="dxa"/>
            <w:vAlign w:val="bottom"/>
            <w:gridSpan w:val="2"/>
          </w:tcPr>
          <w:p>
            <w:pPr>
              <w:ind w:left="180"/>
              <w:spacing w:after="0"/>
              <w:rPr>
                <w:sz w:val="20"/>
                <w:szCs w:val="20"/>
                <w:color w:val="auto"/>
              </w:rPr>
            </w:pPr>
            <w:r>
              <w:rPr>
                <w:rFonts w:ascii="Arial" w:cs="Arial" w:eastAsia="Arial" w:hAnsi="Arial"/>
                <w:sz w:val="16"/>
                <w:szCs w:val="16"/>
                <w:color w:val="auto"/>
              </w:rPr>
              <w:t>Selected items impacting comparability - Adjusted net income attributable to PAA</w:t>
            </w:r>
          </w:p>
        </w:tc>
        <w:tc>
          <w:tcPr>
            <w:tcW w:w="24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(3,921)</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w:t>
            </w:r>
          </w:p>
        </w:tc>
      </w:tr>
      <w:tr>
        <w:trPr>
          <w:trHeight w:val="20"/>
        </w:trPr>
        <w:tc>
          <w:tcPr>
            <w:tcW w:w="388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47"/>
        </w:trPr>
        <w:tc>
          <w:tcPr>
            <w:tcW w:w="3880" w:type="dxa"/>
            <w:vAlign w:val="bottom"/>
            <w:tcBorders>
              <w:bottom w:val="single" w:sz="8" w:color="auto"/>
            </w:tcBorders>
          </w:tcPr>
          <w:p>
            <w:pPr>
              <w:spacing w:after="0"/>
              <w:rPr>
                <w:sz w:val="12"/>
                <w:szCs w:val="12"/>
                <w:color w:val="auto"/>
              </w:rPr>
            </w:pPr>
          </w:p>
        </w:tc>
        <w:tc>
          <w:tcPr>
            <w:tcW w:w="5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r>
    </w:tbl>
    <w:p>
      <w:pPr>
        <w:spacing w:after="0" w:line="101" w:lineRule="exact"/>
        <w:rPr>
          <w:sz w:val="20"/>
          <w:szCs w:val="20"/>
          <w:color w:val="auto"/>
        </w:rPr>
      </w:pPr>
    </w:p>
    <w:p>
      <w:pPr>
        <w:ind w:left="300" w:hanging="297"/>
        <w:spacing w:after="0"/>
        <w:tabs>
          <w:tab w:leader="none" w:pos="300" w:val="left"/>
        </w:tabs>
        <w:numPr>
          <w:ilvl w:val="0"/>
          <w:numId w:val="18"/>
        </w:numPr>
        <w:rPr>
          <w:rFonts w:ascii="Arial" w:cs="Arial" w:eastAsia="Arial" w:hAnsi="Arial"/>
          <w:sz w:val="17"/>
          <w:szCs w:val="17"/>
          <w:color w:val="auto"/>
          <w:vertAlign w:val="superscript"/>
        </w:rPr>
      </w:pPr>
      <w:r>
        <w:rPr>
          <w:rFonts w:ascii="Arial" w:cs="Arial" w:eastAsia="Arial" w:hAnsi="Arial"/>
          <w:sz w:val="13"/>
          <w:szCs w:val="13"/>
          <w:color w:val="auto"/>
        </w:rPr>
        <w:t>Certain of our non-GAAP financial measures may not be impacted by each of the selected items impacting comparability.</w:t>
      </w:r>
    </w:p>
    <w:p>
      <w:pPr>
        <w:spacing w:after="0" w:line="46" w:lineRule="exact"/>
        <w:rPr>
          <w:rFonts w:ascii="Arial" w:cs="Arial" w:eastAsia="Arial" w:hAnsi="Arial"/>
          <w:sz w:val="17"/>
          <w:szCs w:val="17"/>
          <w:color w:val="auto"/>
          <w:vertAlign w:val="superscript"/>
        </w:rPr>
      </w:pPr>
    </w:p>
    <w:p>
      <w:pPr>
        <w:ind w:left="320" w:right="40" w:hanging="317"/>
        <w:spacing w:after="0" w:line="236" w:lineRule="auto"/>
        <w:tabs>
          <w:tab w:leader="none" w:pos="314" w:val="left"/>
        </w:tabs>
        <w:numPr>
          <w:ilvl w:val="0"/>
          <w:numId w:val="18"/>
        </w:numPr>
        <w:rPr>
          <w:rFonts w:ascii="Arial" w:cs="Arial" w:eastAsia="Arial" w:hAnsi="Arial"/>
          <w:sz w:val="17"/>
          <w:szCs w:val="17"/>
          <w:color w:val="auto"/>
          <w:vertAlign w:val="superscript"/>
        </w:rPr>
      </w:pPr>
      <w:r>
        <w:rPr>
          <w:rFonts w:ascii="Arial" w:cs="Arial" w:eastAsia="Arial" w:hAnsi="Arial"/>
          <w:sz w:val="13"/>
          <w:szCs w:val="13"/>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differences in the timing of earnings from the derivative instruments and the underlying transactions and exclude the related gains and losses in determining adjusted results such that the earnings from the derivative instruments and the underlying transactions impact adjusted results in the same period. In addition, we exclude gains and losses on derivatives that are related to investing activities, such as the purchase of linefill.</w:t>
      </w:r>
    </w:p>
    <w:p>
      <w:pPr>
        <w:spacing w:after="0" w:line="43" w:lineRule="exact"/>
        <w:rPr>
          <w:rFonts w:ascii="Arial" w:cs="Arial" w:eastAsia="Arial" w:hAnsi="Arial"/>
          <w:sz w:val="17"/>
          <w:szCs w:val="17"/>
          <w:color w:val="auto"/>
          <w:vertAlign w:val="superscript"/>
        </w:rPr>
      </w:pPr>
    </w:p>
    <w:p>
      <w:pPr>
        <w:ind w:left="320" w:right="40" w:hanging="317"/>
        <w:spacing w:after="0" w:line="234" w:lineRule="auto"/>
        <w:tabs>
          <w:tab w:leader="none" w:pos="314" w:val="left"/>
        </w:tabs>
        <w:numPr>
          <w:ilvl w:val="0"/>
          <w:numId w:val="18"/>
        </w:numPr>
        <w:rPr>
          <w:rFonts w:ascii="Arial" w:cs="Arial" w:eastAsia="Arial" w:hAnsi="Arial"/>
          <w:sz w:val="17"/>
          <w:szCs w:val="17"/>
          <w:color w:val="auto"/>
          <w:vertAlign w:val="superscript"/>
        </w:rPr>
      </w:pPr>
      <w:r>
        <w:rPr>
          <w:rFonts w:ascii="Arial" w:cs="Arial" w:eastAsia="Arial" w:hAnsi="Arial"/>
          <w:sz w:val="13"/>
          <w:szCs w:val="13"/>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w:t>
      </w:r>
    </w:p>
    <w:p>
      <w:pPr>
        <w:spacing w:after="0" w:line="44" w:lineRule="exact"/>
        <w:rPr>
          <w:rFonts w:ascii="Arial" w:cs="Arial" w:eastAsia="Arial" w:hAnsi="Arial"/>
          <w:sz w:val="17"/>
          <w:szCs w:val="17"/>
          <w:color w:val="auto"/>
          <w:vertAlign w:val="superscript"/>
        </w:rPr>
      </w:pPr>
    </w:p>
    <w:p>
      <w:pPr>
        <w:ind w:left="320" w:right="60" w:hanging="317"/>
        <w:spacing w:after="0" w:line="263" w:lineRule="auto"/>
        <w:tabs>
          <w:tab w:leader="none" w:pos="314" w:val="left"/>
        </w:tabs>
        <w:numPr>
          <w:ilvl w:val="0"/>
          <w:numId w:val="18"/>
        </w:numPr>
        <w:rPr>
          <w:rFonts w:ascii="Arial" w:cs="Arial" w:eastAsia="Arial" w:hAnsi="Arial"/>
          <w:sz w:val="16"/>
          <w:szCs w:val="16"/>
          <w:color w:val="auto"/>
          <w:vertAlign w:val="superscript"/>
        </w:rPr>
      </w:pPr>
      <w:r>
        <w:rPr>
          <w:rFonts w:ascii="Arial" w:cs="Arial" w:eastAsia="Arial" w:hAnsi="Arial"/>
          <w:sz w:val="12"/>
          <w:szCs w:val="12"/>
          <w:color w:val="auto"/>
        </w:rPr>
        <w:t>We, and certain of our equity method investments, have certain agreements that require counterparties to deliver, transport or throughput a minimum volume over an agreed upon period. Substantially all of such agreements were entered into with counterparties to economically support the return on capital expenditure necessary to construct the related asset. Some of these agreements include make-up rights if the minimum volume is not met. We, or our equity method investees,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or our equity method investees,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or equity earnings,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31" w:lineRule="exact"/>
        <w:rPr>
          <w:rFonts w:ascii="Arial" w:cs="Arial" w:eastAsia="Arial" w:hAnsi="Arial"/>
          <w:sz w:val="16"/>
          <w:szCs w:val="16"/>
          <w:color w:val="auto"/>
          <w:vertAlign w:val="superscript"/>
        </w:rPr>
      </w:pPr>
    </w:p>
    <w:p>
      <w:pPr>
        <w:ind w:left="320" w:right="60" w:hanging="317"/>
        <w:spacing w:after="0" w:line="234" w:lineRule="auto"/>
        <w:tabs>
          <w:tab w:leader="none" w:pos="314" w:val="left"/>
        </w:tabs>
        <w:numPr>
          <w:ilvl w:val="0"/>
          <w:numId w:val="18"/>
        </w:numPr>
        <w:rPr>
          <w:rFonts w:ascii="Arial" w:cs="Arial" w:eastAsia="Arial" w:hAnsi="Arial"/>
          <w:sz w:val="17"/>
          <w:szCs w:val="17"/>
          <w:color w:val="auto"/>
          <w:vertAlign w:val="superscript"/>
        </w:rPr>
      </w:pPr>
      <w:r>
        <w:rPr>
          <w:rFonts w:ascii="Arial" w:cs="Arial" w:eastAsia="Arial" w:hAnsi="Arial"/>
          <w:sz w:val="13"/>
          <w:szCs w:val="13"/>
          <w:color w:val="auto"/>
        </w:rPr>
        <w:t>Our total equity-indexed compensation expense includes expense associated with awards that will be settled in units and awards that will be settled in cash. The awards that will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as applicable. The portion of compensation expense associated with awards that will be settled in cash is not considered a selected item impacting comparability.</w:t>
      </w:r>
    </w:p>
    <w:p>
      <w:pPr>
        <w:spacing w:after="0" w:line="44" w:lineRule="exact"/>
        <w:rPr>
          <w:rFonts w:ascii="Arial" w:cs="Arial" w:eastAsia="Arial" w:hAnsi="Arial"/>
          <w:sz w:val="17"/>
          <w:szCs w:val="17"/>
          <w:color w:val="auto"/>
          <w:vertAlign w:val="superscript"/>
        </w:rPr>
      </w:pPr>
    </w:p>
    <w:p>
      <w:pPr>
        <w:ind w:left="320" w:right="100" w:hanging="317"/>
        <w:spacing w:after="0" w:line="229" w:lineRule="auto"/>
        <w:tabs>
          <w:tab w:leader="none" w:pos="314" w:val="left"/>
        </w:tabs>
        <w:numPr>
          <w:ilvl w:val="0"/>
          <w:numId w:val="18"/>
        </w:numPr>
        <w:rPr>
          <w:rFonts w:ascii="Arial" w:cs="Arial" w:eastAsia="Arial" w:hAnsi="Arial"/>
          <w:sz w:val="17"/>
          <w:szCs w:val="17"/>
          <w:color w:val="auto"/>
          <w:vertAlign w:val="superscript"/>
        </w:rPr>
      </w:pPr>
      <w:r>
        <w:rPr>
          <w:rFonts w:ascii="Arial" w:cs="Arial" w:eastAsia="Arial" w:hAnsi="Arial"/>
          <w:sz w:val="13"/>
          <w:szCs w:val="13"/>
          <w:color w:val="auto"/>
        </w:rPr>
        <w:t>During the periods presented, there were fluctuations in the value of the Canadian dollar to the U.S. dollar, resulting in the realization of foreign exchange gains and losses on the settlement of foreign currency transactions as well as the revaluation of monetary assets and liabilities denominated in a foreign currency. These gains and losses are not integral to our core operating performance and were thus classified as a selected item impacting comparability.</w:t>
      </w:r>
    </w:p>
    <w:p>
      <w:pPr>
        <w:spacing w:after="0" w:line="12" w:lineRule="exact"/>
        <w:rPr>
          <w:rFonts w:ascii="Arial" w:cs="Arial" w:eastAsia="Arial" w:hAnsi="Arial"/>
          <w:sz w:val="17"/>
          <w:szCs w:val="17"/>
          <w:color w:val="auto"/>
          <w:vertAlign w:val="superscript"/>
        </w:rPr>
      </w:pPr>
    </w:p>
    <w:p>
      <w:pPr>
        <w:ind w:left="300" w:hanging="297"/>
        <w:spacing w:after="0"/>
        <w:tabs>
          <w:tab w:leader="none" w:pos="300" w:val="left"/>
        </w:tabs>
        <w:numPr>
          <w:ilvl w:val="0"/>
          <w:numId w:val="18"/>
        </w:numPr>
        <w:rPr>
          <w:rFonts w:ascii="Arial" w:cs="Arial" w:eastAsia="Arial" w:hAnsi="Arial"/>
          <w:sz w:val="17"/>
          <w:szCs w:val="17"/>
          <w:color w:val="auto"/>
          <w:vertAlign w:val="superscript"/>
        </w:rPr>
      </w:pPr>
      <w:r>
        <w:rPr>
          <w:rFonts w:ascii="Arial" w:cs="Arial" w:eastAsia="Arial" w:hAnsi="Arial"/>
          <w:sz w:val="13"/>
          <w:szCs w:val="13"/>
          <w:color w:val="auto"/>
        </w:rPr>
        <w:t>Includes costs recognized during the period related to the Line 901 incident that occurred in May 2015, net of amounts we believe are probable of recovery from insurance.</w:t>
      </w:r>
    </w:p>
    <w:p>
      <w:pPr>
        <w:spacing w:after="0" w:line="46" w:lineRule="exact"/>
        <w:rPr>
          <w:rFonts w:ascii="Arial" w:cs="Arial" w:eastAsia="Arial" w:hAnsi="Arial"/>
          <w:sz w:val="17"/>
          <w:szCs w:val="17"/>
          <w:color w:val="auto"/>
          <w:vertAlign w:val="superscript"/>
        </w:rPr>
      </w:pPr>
    </w:p>
    <w:p>
      <w:pPr>
        <w:ind w:left="300" w:hanging="297"/>
        <w:spacing w:after="0" w:line="196" w:lineRule="auto"/>
        <w:tabs>
          <w:tab w:leader="none" w:pos="300" w:val="left"/>
        </w:tabs>
        <w:numPr>
          <w:ilvl w:val="0"/>
          <w:numId w:val="18"/>
        </w:numPr>
        <w:rPr>
          <w:rFonts w:ascii="Arial" w:cs="Arial" w:eastAsia="Arial" w:hAnsi="Arial"/>
          <w:sz w:val="17"/>
          <w:szCs w:val="17"/>
          <w:color w:val="auto"/>
          <w:vertAlign w:val="superscript"/>
        </w:rPr>
      </w:pPr>
      <w:r>
        <w:rPr>
          <w:rFonts w:ascii="Arial" w:cs="Arial" w:eastAsia="Arial" w:hAnsi="Arial"/>
          <w:sz w:val="13"/>
          <w:szCs w:val="13"/>
          <w:color w:val="auto"/>
        </w:rPr>
        <w:t>Includes expenses associated with the acquisition of Felix Midstream LLC in February 2020.</w:t>
      </w:r>
    </w:p>
    <w:p>
      <w:pPr>
        <w:spacing w:after="0" w:line="47" w:lineRule="exact"/>
        <w:rPr>
          <w:rFonts w:ascii="Arial" w:cs="Arial" w:eastAsia="Arial" w:hAnsi="Arial"/>
          <w:sz w:val="17"/>
          <w:szCs w:val="17"/>
          <w:color w:val="auto"/>
          <w:vertAlign w:val="superscript"/>
        </w:rPr>
      </w:pPr>
    </w:p>
    <w:p>
      <w:pPr>
        <w:ind w:left="300" w:hanging="297"/>
        <w:spacing w:after="0" w:line="196" w:lineRule="auto"/>
        <w:tabs>
          <w:tab w:leader="none" w:pos="300" w:val="left"/>
        </w:tabs>
        <w:numPr>
          <w:ilvl w:val="0"/>
          <w:numId w:val="18"/>
        </w:numPr>
        <w:rPr>
          <w:rFonts w:ascii="Arial" w:cs="Arial" w:eastAsia="Arial" w:hAnsi="Arial"/>
          <w:sz w:val="17"/>
          <w:szCs w:val="17"/>
          <w:color w:val="auto"/>
          <w:vertAlign w:val="superscript"/>
        </w:rPr>
      </w:pPr>
      <w:r>
        <w:rPr>
          <w:rFonts w:ascii="Arial" w:cs="Arial" w:eastAsia="Arial" w:hAnsi="Arial"/>
          <w:sz w:val="13"/>
          <w:szCs w:val="13"/>
          <w:color w:val="auto"/>
        </w:rPr>
        <w:t>Includes net gains recognized in connection with the repurchase of our outstanding senior notes on the open market.</w:t>
      </w:r>
    </w:p>
    <w:p>
      <w:pPr>
        <w:spacing w:after="0" w:line="234" w:lineRule="exact"/>
        <w:rPr>
          <w:rFonts w:ascii="Arial" w:cs="Arial" w:eastAsia="Arial" w:hAnsi="Arial"/>
          <w:sz w:val="17"/>
          <w:szCs w:val="17"/>
          <w:color w:val="auto"/>
          <w:vertAlign w:val="superscript"/>
        </w:rPr>
      </w:pPr>
    </w:p>
    <w:p>
      <w:pPr>
        <w:ind w:left="5440" w:hanging="93"/>
        <w:spacing w:after="0"/>
        <w:tabs>
          <w:tab w:leader="none" w:pos="5440" w:val="left"/>
        </w:tabs>
        <w:numPr>
          <w:ilvl w:val="1"/>
          <w:numId w:val="18"/>
        </w:numPr>
        <w:rPr>
          <w:rFonts w:ascii="Arial" w:cs="Arial" w:eastAsia="Arial" w:hAnsi="Arial"/>
          <w:sz w:val="17"/>
          <w:szCs w:val="17"/>
          <w:color w:val="auto"/>
        </w:rPr>
      </w:pPr>
      <w:r>
        <w:rPr>
          <w:rFonts w:ascii="Arial" w:cs="Arial" w:eastAsia="Arial" w:hAnsi="Arial"/>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u w:val="single" w:color="auto"/>
          <w:color w:val="auto"/>
        </w:rPr>
        <w:t>Page 18</w:t>
      </w: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SELECTED FINANCIAL DATA BY SEGMENT</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 millions)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9"/>
              </w:rPr>
              <w:t>Three Months Ended</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0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June 30, 2021</w:t>
            </w: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7"/>
              </w:rPr>
              <w:t>June 30, 2020</w:t>
            </w: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3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2"/>
            <w:vMerge w:val="restart"/>
          </w:tcPr>
          <w:p>
            <w:pPr>
              <w:jc w:val="right"/>
              <w:ind w:right="94"/>
              <w:spacing w:after="0"/>
              <w:rPr>
                <w:sz w:val="20"/>
                <w:szCs w:val="20"/>
                <w:color w:val="auto"/>
              </w:rPr>
            </w:pPr>
            <w:r>
              <w:rPr>
                <w:rFonts w:ascii="Arial" w:cs="Arial" w:eastAsia="Arial" w:hAnsi="Arial"/>
                <w:sz w:val="14"/>
                <w:szCs w:val="14"/>
                <w:b w:val="1"/>
                <w:bCs w:val="1"/>
                <w:color w:val="auto"/>
                <w:w w:val="91"/>
              </w:rPr>
              <w:t>Transportation</w:t>
            </w:r>
          </w:p>
        </w:tc>
        <w:tc>
          <w:tcPr>
            <w:tcW w:w="12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Facilities</w:t>
            </w:r>
          </w:p>
        </w:tc>
        <w:tc>
          <w:tcPr>
            <w:tcW w:w="10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jc w:val="right"/>
              <w:ind w:right="216"/>
              <w:spacing w:after="0" w:line="123" w:lineRule="exact"/>
              <w:rPr>
                <w:sz w:val="20"/>
                <w:szCs w:val="20"/>
                <w:color w:val="auto"/>
              </w:rPr>
            </w:pPr>
            <w:r>
              <w:rPr>
                <w:rFonts w:ascii="Arial" w:cs="Arial" w:eastAsia="Arial" w:hAnsi="Arial"/>
                <w:sz w:val="14"/>
                <w:szCs w:val="14"/>
                <w:b w:val="1"/>
                <w:bCs w:val="1"/>
                <w:color w:val="auto"/>
                <w:w w:val="98"/>
              </w:rPr>
              <w:t>Supply and</w:t>
            </w:r>
          </w:p>
        </w:tc>
        <w:tc>
          <w:tcPr>
            <w:tcW w:w="200" w:type="dxa"/>
            <w:vAlign w:val="bottom"/>
            <w:gridSpan w:val="2"/>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w w:val="91"/>
              </w:rPr>
              <w:t>Transportation</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vMerge w:val="restart"/>
          </w:tcPr>
          <w:p>
            <w:pPr>
              <w:jc w:val="center"/>
              <w:ind w:right="96"/>
              <w:spacing w:after="0"/>
              <w:rPr>
                <w:sz w:val="20"/>
                <w:szCs w:val="20"/>
                <w:color w:val="auto"/>
              </w:rPr>
            </w:pPr>
            <w:r>
              <w:rPr>
                <w:rFonts w:ascii="Arial" w:cs="Arial" w:eastAsia="Arial" w:hAnsi="Arial"/>
                <w:sz w:val="14"/>
                <w:szCs w:val="14"/>
                <w:b w:val="1"/>
                <w:bCs w:val="1"/>
                <w:color w:val="auto"/>
                <w:w w:val="86"/>
              </w:rPr>
              <w:t>Facilities</w:t>
            </w:r>
          </w:p>
        </w:tc>
        <w:tc>
          <w:tcPr>
            <w:tcW w:w="10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jc w:val="right"/>
              <w:ind w:right="196"/>
              <w:spacing w:after="0" w:line="123" w:lineRule="exact"/>
              <w:rPr>
                <w:sz w:val="20"/>
                <w:szCs w:val="20"/>
                <w:color w:val="auto"/>
              </w:rPr>
            </w:pPr>
            <w:r>
              <w:rPr>
                <w:rFonts w:ascii="Arial" w:cs="Arial" w:eastAsia="Arial" w:hAnsi="Arial"/>
                <w:sz w:val="14"/>
                <w:szCs w:val="14"/>
                <w:b w:val="1"/>
                <w:bCs w:val="1"/>
                <w:color w:val="auto"/>
                <w:w w:val="98"/>
              </w:rPr>
              <w:t>Supply and</w:t>
            </w:r>
          </w:p>
        </w:tc>
        <w:tc>
          <w:tcPr>
            <w:tcW w:w="0" w:type="dxa"/>
            <w:vAlign w:val="bottom"/>
          </w:tcPr>
          <w:p>
            <w:pPr>
              <w:spacing w:after="0"/>
              <w:rPr>
                <w:sz w:val="1"/>
                <w:szCs w:val="1"/>
                <w:color w:val="auto"/>
              </w:rPr>
            </w:pPr>
          </w:p>
        </w:tc>
      </w:tr>
      <w:tr>
        <w:trPr>
          <w:trHeight w:val="180"/>
        </w:trPr>
        <w:tc>
          <w:tcPr>
            <w:tcW w:w="30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Logistics</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Logistics</w:t>
            </w:r>
          </w:p>
        </w:tc>
        <w:tc>
          <w:tcPr>
            <w:tcW w:w="0" w:type="dxa"/>
            <w:vAlign w:val="bottom"/>
          </w:tcPr>
          <w:p>
            <w:pPr>
              <w:spacing w:after="0"/>
              <w:rPr>
                <w:sz w:val="1"/>
                <w:szCs w:val="1"/>
                <w:color w:val="auto"/>
              </w:rPr>
            </w:pPr>
          </w:p>
        </w:tc>
      </w:tr>
      <w:tr>
        <w:trPr>
          <w:trHeight w:val="214"/>
        </w:trPr>
        <w:tc>
          <w:tcPr>
            <w:tcW w:w="3020" w:type="dxa"/>
            <w:vAlign w:val="bottom"/>
            <w:shd w:val="clear" w:color="auto" w:fill="CCEEFF"/>
          </w:tcPr>
          <w:p>
            <w:pPr>
              <w:ind w:left="20"/>
              <w:spacing w:after="0" w:line="213" w:lineRule="exact"/>
              <w:rPr>
                <w:sz w:val="20"/>
                <w:szCs w:val="20"/>
                <w:color w:val="auto"/>
              </w:rPr>
            </w:pPr>
            <w:r>
              <w:rPr>
                <w:rFonts w:ascii="Arial" w:cs="Arial" w:eastAsia="Arial" w:hAnsi="Arial"/>
                <w:sz w:val="17"/>
                <w:szCs w:val="17"/>
                <w:color w:val="auto"/>
              </w:rPr>
              <w:t xml:space="preserve">Revenues </w:t>
            </w:r>
            <w:r>
              <w:rPr>
                <w:rFonts w:ascii="Arial" w:cs="Arial" w:eastAsia="Arial" w:hAnsi="Arial"/>
                <w:sz w:val="22"/>
                <w:szCs w:val="22"/>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553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9,623</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2,925</w:t>
            </w:r>
          </w:p>
        </w:tc>
        <w:tc>
          <w:tcPr>
            <w:tcW w:w="0" w:type="dxa"/>
            <w:vAlign w:val="bottom"/>
          </w:tcPr>
          <w:p>
            <w:pPr>
              <w:spacing w:after="0"/>
              <w:rPr>
                <w:sz w:val="1"/>
                <w:szCs w:val="1"/>
                <w:color w:val="auto"/>
              </w:rPr>
            </w:pPr>
          </w:p>
        </w:tc>
      </w:tr>
      <w:tr>
        <w:trPr>
          <w:trHeight w:val="220"/>
        </w:trPr>
        <w:tc>
          <w:tcPr>
            <w:tcW w:w="3020" w:type="dxa"/>
            <w:vAlign w:val="bottom"/>
          </w:tcPr>
          <w:p>
            <w:pPr>
              <w:ind w:left="20"/>
              <w:spacing w:after="0" w:line="220" w:lineRule="exact"/>
              <w:rPr>
                <w:sz w:val="20"/>
                <w:szCs w:val="20"/>
                <w:color w:val="auto"/>
              </w:rPr>
            </w:pPr>
            <w:r>
              <w:rPr>
                <w:rFonts w:ascii="Arial" w:cs="Arial" w:eastAsia="Arial" w:hAnsi="Arial"/>
                <w:sz w:val="17"/>
                <w:szCs w:val="17"/>
                <w:color w:val="auto"/>
              </w:rPr>
              <w:t xml:space="preserve">Purchases and related costs </w:t>
            </w:r>
            <w:r>
              <w:rPr>
                <w:rFonts w:ascii="Arial" w:cs="Arial" w:eastAsia="Arial" w:hAnsi="Arial"/>
                <w:sz w:val="22"/>
                <w:szCs w:val="22"/>
                <w:color w:val="auto"/>
                <w:vertAlign w:val="superscript"/>
              </w:rPr>
              <w:t>(1)</w:t>
            </w:r>
          </w:p>
        </w:tc>
        <w:tc>
          <w:tcPr>
            <w:tcW w:w="1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(60)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(9,700)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(2,903)</w:t>
            </w:r>
          </w:p>
        </w:tc>
        <w:tc>
          <w:tcPr>
            <w:tcW w:w="0" w:type="dxa"/>
            <w:vAlign w:val="bottom"/>
          </w:tcPr>
          <w:p>
            <w:pPr>
              <w:spacing w:after="0"/>
              <w:rPr>
                <w:sz w:val="1"/>
                <w:szCs w:val="1"/>
                <w:color w:val="auto"/>
              </w:rPr>
            </w:pPr>
          </w:p>
        </w:tc>
      </w:tr>
      <w:tr>
        <w:trPr>
          <w:trHeight w:val="220"/>
        </w:trPr>
        <w:tc>
          <w:tcPr>
            <w:tcW w:w="302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rPr>
              <w:t xml:space="preserve">Field operating costs </w:t>
            </w:r>
            <w:r>
              <w:rPr>
                <w:rFonts w:ascii="Arial" w:cs="Arial" w:eastAsia="Arial" w:hAnsi="Arial"/>
                <w:sz w:val="22"/>
                <w:szCs w:val="22"/>
                <w:color w:val="auto"/>
                <w:vertAlign w:val="superscript"/>
              </w:rPr>
              <w:t>(1) (2)</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168"/>
        </w:trPr>
        <w:tc>
          <w:tcPr>
            <w:tcW w:w="3020" w:type="dxa"/>
            <w:vAlign w:val="bottom"/>
          </w:tcPr>
          <w:p>
            <w:pPr>
              <w:ind w:left="20"/>
              <w:spacing w:after="0" w:line="168" w:lineRule="exact"/>
              <w:rPr>
                <w:sz w:val="20"/>
                <w:szCs w:val="20"/>
                <w:color w:val="auto"/>
              </w:rPr>
            </w:pPr>
            <w:r>
              <w:rPr>
                <w:rFonts w:ascii="Arial" w:cs="Arial" w:eastAsia="Arial" w:hAnsi="Arial"/>
                <w:sz w:val="17"/>
                <w:szCs w:val="17"/>
                <w:color w:val="auto"/>
              </w:rPr>
              <w:t>Segment general and administrative</w:t>
            </w:r>
          </w:p>
        </w:tc>
        <w:tc>
          <w:tcPr>
            <w:tcW w:w="140" w:type="dxa"/>
            <w:vAlign w:val="bottom"/>
          </w:tcPr>
          <w:p>
            <w:pPr>
              <w:spacing w:after="0"/>
              <w:rPr>
                <w:sz w:val="14"/>
                <w:szCs w:val="14"/>
                <w:color w:val="auto"/>
              </w:rPr>
            </w:pPr>
          </w:p>
        </w:tc>
        <w:tc>
          <w:tcPr>
            <w:tcW w:w="1100" w:type="dxa"/>
            <w:vAlign w:val="bottom"/>
            <w:gridSpan w:val="2"/>
            <w:vMerge w:val="restart"/>
          </w:tcPr>
          <w:p>
            <w:pPr>
              <w:jc w:val="right"/>
              <w:spacing w:after="0"/>
              <w:rPr>
                <w:sz w:val="20"/>
                <w:szCs w:val="20"/>
                <w:color w:val="auto"/>
              </w:rPr>
            </w:pPr>
            <w:r>
              <w:rPr>
                <w:rFonts w:ascii="Arial" w:cs="Arial" w:eastAsia="Arial" w:hAnsi="Arial"/>
                <w:sz w:val="17"/>
                <w:szCs w:val="17"/>
                <w:color w:val="auto"/>
              </w:rPr>
              <w:t>(28)</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(23)</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7"/>
                <w:szCs w:val="17"/>
                <w:color w:val="auto"/>
              </w:rPr>
              <w:t>(27)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20"/>
        </w:trPr>
        <w:tc>
          <w:tcPr>
            <w:tcW w:w="3020" w:type="dxa"/>
            <w:vAlign w:val="bottom"/>
          </w:tcPr>
          <w:p>
            <w:pPr>
              <w:ind w:left="180"/>
              <w:spacing w:after="0" w:line="220" w:lineRule="exact"/>
              <w:rPr>
                <w:sz w:val="20"/>
                <w:szCs w:val="20"/>
                <w:color w:val="auto"/>
              </w:rPr>
            </w:pPr>
            <w:r>
              <w:rPr>
                <w:rFonts w:ascii="Arial" w:cs="Arial" w:eastAsia="Arial" w:hAnsi="Arial"/>
                <w:sz w:val="17"/>
                <w:szCs w:val="17"/>
                <w:color w:val="auto"/>
              </w:rPr>
              <w:t xml:space="preserve">expenses </w:t>
            </w:r>
            <w:r>
              <w:rPr>
                <w:rFonts w:ascii="Arial" w:cs="Arial" w:eastAsia="Arial" w:hAnsi="Arial"/>
                <w:sz w:val="22"/>
                <w:szCs w:val="22"/>
                <w:color w:val="auto"/>
                <w:vertAlign w:val="superscript"/>
              </w:rPr>
              <w:t>(2) (3)</w:t>
            </w:r>
          </w:p>
        </w:tc>
        <w:tc>
          <w:tcPr>
            <w:tcW w:w="14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020" w:type="dxa"/>
            <w:vAlign w:val="bottom"/>
            <w:shd w:val="clear" w:color="auto" w:fill="CCEEFF"/>
          </w:tcPr>
          <w:p>
            <w:pPr>
              <w:ind w:left="20"/>
              <w:spacing w:after="0"/>
              <w:rPr>
                <w:sz w:val="20"/>
                <w:szCs w:val="20"/>
                <w:color w:val="auto"/>
              </w:rPr>
            </w:pPr>
            <w:r>
              <w:rPr>
                <w:rFonts w:ascii="Arial" w:cs="Arial" w:eastAsia="Arial" w:hAnsi="Arial"/>
                <w:sz w:val="17"/>
                <w:szCs w:val="17"/>
                <w:color w:val="auto"/>
                <w:w w:val="95"/>
              </w:rPr>
              <w:t>Equity earnings in unconsolidated entities</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8"/>
        </w:trPr>
        <w:tc>
          <w:tcPr>
            <w:tcW w:w="30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302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rPr>
              <w:t xml:space="preserve">Adjustments: </w:t>
            </w:r>
            <w:r>
              <w:rPr>
                <w:rFonts w:ascii="Arial" w:cs="Arial" w:eastAsia="Arial" w:hAnsi="Arial"/>
                <w:sz w:val="22"/>
                <w:szCs w:val="22"/>
                <w:color w:val="auto"/>
                <w:vertAlign w:val="superscript"/>
              </w:rPr>
              <w:t>(4)</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3020" w:type="dxa"/>
            <w:vAlign w:val="bottom"/>
          </w:tcPr>
          <w:p>
            <w:pPr>
              <w:ind w:left="180"/>
              <w:spacing w:after="0" w:line="168" w:lineRule="exact"/>
              <w:rPr>
                <w:sz w:val="20"/>
                <w:szCs w:val="20"/>
                <w:color w:val="auto"/>
              </w:rPr>
            </w:pPr>
            <w:r>
              <w:rPr>
                <w:rFonts w:ascii="Arial" w:cs="Arial" w:eastAsia="Arial" w:hAnsi="Arial"/>
                <w:sz w:val="17"/>
                <w:szCs w:val="17"/>
                <w:color w:val="auto"/>
              </w:rPr>
              <w:t>Depreciation and amortization of</w:t>
            </w:r>
          </w:p>
        </w:tc>
        <w:tc>
          <w:tcPr>
            <w:tcW w:w="140" w:type="dxa"/>
            <w:vAlign w:val="bottom"/>
          </w:tcPr>
          <w:p>
            <w:pPr>
              <w:spacing w:after="0"/>
              <w:rPr>
                <w:sz w:val="14"/>
                <w:szCs w:val="14"/>
                <w:color w:val="auto"/>
              </w:rPr>
            </w:pPr>
          </w:p>
        </w:tc>
        <w:tc>
          <w:tcPr>
            <w:tcW w:w="1100" w:type="dxa"/>
            <w:vAlign w:val="bottom"/>
            <w:gridSpan w:val="2"/>
            <w:vMerge w:val="restart"/>
          </w:tcPr>
          <w:p>
            <w:pPr>
              <w:jc w:val="right"/>
              <w:spacing w:after="0"/>
              <w:rPr>
                <w:sz w:val="20"/>
                <w:szCs w:val="20"/>
                <w:color w:val="auto"/>
              </w:rPr>
            </w:pPr>
            <w:r>
              <w:rPr>
                <w:rFonts w:ascii="Arial" w:cs="Arial" w:eastAsia="Arial" w:hAnsi="Arial"/>
                <w:sz w:val="17"/>
                <w:szCs w:val="17"/>
                <w:color w:val="auto"/>
              </w:rPr>
              <w:t>67</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3020" w:type="dxa"/>
            <w:vAlign w:val="bottom"/>
          </w:tcPr>
          <w:p>
            <w:pPr>
              <w:ind w:left="340"/>
              <w:spacing w:after="0"/>
              <w:rPr>
                <w:sz w:val="20"/>
                <w:szCs w:val="20"/>
                <w:color w:val="auto"/>
              </w:rPr>
            </w:pPr>
            <w:r>
              <w:rPr>
                <w:rFonts w:ascii="Arial" w:cs="Arial" w:eastAsia="Arial" w:hAnsi="Arial"/>
                <w:sz w:val="17"/>
                <w:szCs w:val="17"/>
                <w:color w:val="auto"/>
              </w:rPr>
              <w:t>unconsolidated entities</w:t>
            </w:r>
          </w:p>
        </w:tc>
        <w:tc>
          <w:tcPr>
            <w:tcW w:w="14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Borders>
              <w:right w:val="single" w:sz="8" w:color="auto"/>
            </w:tcBorders>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3020" w:type="dxa"/>
            <w:vAlign w:val="bottom"/>
            <w:shd w:val="clear" w:color="auto" w:fill="CCEEFF"/>
          </w:tcPr>
          <w:p>
            <w:pPr>
              <w:ind w:left="180"/>
              <w:spacing w:after="0" w:line="168" w:lineRule="exact"/>
              <w:rPr>
                <w:sz w:val="20"/>
                <w:szCs w:val="20"/>
                <w:color w:val="auto"/>
              </w:rPr>
            </w:pPr>
            <w:r>
              <w:rPr>
                <w:rFonts w:ascii="Arial" w:cs="Arial" w:eastAsia="Arial" w:hAnsi="Arial"/>
                <w:sz w:val="17"/>
                <w:szCs w:val="17"/>
                <w:color w:val="auto"/>
                <w:w w:val="95"/>
              </w:rPr>
              <w:t>(Gains)/losses from derivative activities</w:t>
            </w:r>
          </w:p>
        </w:tc>
        <w:tc>
          <w:tcPr>
            <w:tcW w:w="14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173</w:t>
            </w: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0" w:type="dxa"/>
            <w:vAlign w:val="bottom"/>
          </w:tcPr>
          <w:p>
            <w:pPr>
              <w:spacing w:after="0"/>
              <w:rPr>
                <w:sz w:val="1"/>
                <w:szCs w:val="1"/>
                <w:color w:val="auto"/>
              </w:rPr>
            </w:pPr>
          </w:p>
        </w:tc>
      </w:tr>
      <w:tr>
        <w:trPr>
          <w:trHeight w:val="219"/>
        </w:trPr>
        <w:tc>
          <w:tcPr>
            <w:tcW w:w="3020" w:type="dxa"/>
            <w:vAlign w:val="bottom"/>
            <w:shd w:val="clear" w:color="auto" w:fill="CCEEFF"/>
          </w:tcPr>
          <w:p>
            <w:pPr>
              <w:ind w:left="340"/>
              <w:spacing w:after="0"/>
              <w:rPr>
                <w:sz w:val="20"/>
                <w:szCs w:val="20"/>
                <w:color w:val="auto"/>
              </w:rPr>
            </w:pPr>
            <w:r>
              <w:rPr>
                <w:rFonts w:ascii="Arial" w:cs="Arial" w:eastAsia="Arial" w:hAnsi="Arial"/>
                <w:sz w:val="17"/>
                <w:szCs w:val="17"/>
                <w:color w:val="auto"/>
                <w:w w:val="98"/>
              </w:rPr>
              <w:t>and inventory valuation adjustments</w:t>
            </w:r>
          </w:p>
        </w:tc>
        <w:tc>
          <w:tcPr>
            <w:tcW w:w="14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3020" w:type="dxa"/>
            <w:vAlign w:val="bottom"/>
          </w:tcPr>
          <w:p>
            <w:pPr>
              <w:ind w:left="180"/>
              <w:spacing w:after="0" w:line="168" w:lineRule="exact"/>
              <w:rPr>
                <w:sz w:val="20"/>
                <w:szCs w:val="20"/>
                <w:color w:val="auto"/>
              </w:rPr>
            </w:pPr>
            <w:r>
              <w:rPr>
                <w:rFonts w:ascii="Arial" w:cs="Arial" w:eastAsia="Arial" w:hAnsi="Arial"/>
                <w:sz w:val="17"/>
                <w:szCs w:val="17"/>
                <w:color w:val="auto"/>
              </w:rPr>
              <w:t>Long-term inventory costing</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4"/>
                <w:szCs w:val="14"/>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(27)</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219"/>
        </w:trPr>
        <w:tc>
          <w:tcPr>
            <w:tcW w:w="3020" w:type="dxa"/>
            <w:vAlign w:val="bottom"/>
          </w:tcPr>
          <w:p>
            <w:pPr>
              <w:ind w:left="340"/>
              <w:spacing w:after="0"/>
              <w:rPr>
                <w:sz w:val="20"/>
                <w:szCs w:val="20"/>
                <w:color w:val="auto"/>
              </w:rPr>
            </w:pPr>
            <w:r>
              <w:rPr>
                <w:rFonts w:ascii="Arial" w:cs="Arial" w:eastAsia="Arial" w:hAnsi="Arial"/>
                <w:sz w:val="17"/>
                <w:szCs w:val="17"/>
                <w:color w:val="auto"/>
              </w:rPr>
              <w:t>adjustments</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3020" w:type="dxa"/>
            <w:vAlign w:val="bottom"/>
            <w:shd w:val="clear" w:color="auto" w:fill="CCEEFF"/>
          </w:tcPr>
          <w:p>
            <w:pPr>
              <w:ind w:left="180"/>
              <w:spacing w:after="0" w:line="168" w:lineRule="exact"/>
              <w:rPr>
                <w:sz w:val="20"/>
                <w:szCs w:val="20"/>
                <w:color w:val="auto"/>
              </w:rPr>
            </w:pPr>
            <w:r>
              <w:rPr>
                <w:rFonts w:ascii="Arial" w:cs="Arial" w:eastAsia="Arial" w:hAnsi="Arial"/>
                <w:sz w:val="17"/>
                <w:szCs w:val="17"/>
                <w:color w:val="auto"/>
              </w:rPr>
              <w:t>Deficiencies under minimum volume</w:t>
            </w:r>
          </w:p>
        </w:tc>
        <w:tc>
          <w:tcPr>
            <w:tcW w:w="14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30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commitments, net</w:t>
            </w:r>
          </w:p>
        </w:tc>
        <w:tc>
          <w:tcPr>
            <w:tcW w:w="14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tcBorders>
              <w:right w:val="single" w:sz="8" w:color="auto"/>
            </w:tcBorders>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020" w:type="dxa"/>
            <w:vAlign w:val="bottom"/>
          </w:tcPr>
          <w:p>
            <w:pPr>
              <w:ind w:left="180"/>
              <w:spacing w:after="0"/>
              <w:rPr>
                <w:sz w:val="20"/>
                <w:szCs w:val="20"/>
                <w:color w:val="auto"/>
              </w:rPr>
            </w:pPr>
            <w:r>
              <w:rPr>
                <w:rFonts w:ascii="Arial" w:cs="Arial" w:eastAsia="Arial" w:hAnsi="Arial"/>
                <w:sz w:val="17"/>
                <w:szCs w:val="17"/>
                <w:color w:val="auto"/>
                <w:w w:val="96"/>
              </w:rPr>
              <w:t>Equity-indexed compensation expense</w:t>
            </w:r>
          </w:p>
        </w:tc>
        <w:tc>
          <w:tcPr>
            <w:tcW w:w="1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20"/>
        </w:trPr>
        <w:tc>
          <w:tcPr>
            <w:tcW w:w="302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3"/>
              </w:rPr>
              <w:t>Net gain on foreign currency revaluation</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302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w w:val="93"/>
              </w:rPr>
              <w:t>Significant transaction-related expenses</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3"/>
        </w:trPr>
        <w:tc>
          <w:tcPr>
            <w:tcW w:w="3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Segment Adjusted EBITDA</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433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3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Maintenance capital</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0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23" w:lineRule="exact"/>
        <w:rPr>
          <w:sz w:val="20"/>
          <w:szCs w:val="20"/>
          <w:color w:val="auto"/>
        </w:rPr>
      </w:pPr>
    </w:p>
    <w:p>
      <w:pPr>
        <w:sectPr>
          <w:pgSz w:w="11900" w:h="16838" w:orient="portrait"/>
          <w:cols w:equalWidth="0" w:num="1">
            <w:col w:w="11160"/>
          </w:cols>
          <w:pgMar w:left="320" w:top="360" w:right="419" w:bottom="1440" w:gutter="0" w:footer="0" w:header="0"/>
        </w:sectPr>
      </w:pPr>
    </w:p>
    <w:p>
      <w:pPr>
        <w:spacing w:after="0"/>
        <w:rPr>
          <w:sz w:val="20"/>
          <w:szCs w:val="20"/>
          <w:color w:val="auto"/>
        </w:rPr>
      </w:pPr>
      <w:r>
        <w:rPr>
          <w:rFonts w:ascii="Arial" w:cs="Arial" w:eastAsia="Arial" w:hAnsi="Arial"/>
          <w:sz w:val="11"/>
          <w:szCs w:val="11"/>
          <w:color w:val="auto"/>
        </w:rPr>
        <w:t>(1)</w:t>
      </w:r>
    </w:p>
    <w:p>
      <w:pPr>
        <w:spacing w:after="0" w:line="13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Includes intersegment amounts.</w:t>
      </w:r>
    </w:p>
    <w:p>
      <w:pPr>
        <w:spacing w:after="0" w:line="63" w:lineRule="exact"/>
        <w:rPr>
          <w:sz w:val="20"/>
          <w:szCs w:val="20"/>
          <w:color w:val="auto"/>
        </w:rPr>
      </w:pPr>
    </w:p>
    <w:p>
      <w:pPr>
        <w:spacing w:after="0"/>
        <w:rPr>
          <w:sz w:val="20"/>
          <w:szCs w:val="20"/>
          <w:color w:val="auto"/>
        </w:rPr>
      </w:pPr>
      <w:r>
        <w:rPr>
          <w:rFonts w:ascii="Arial" w:cs="Arial" w:eastAsia="Arial" w:hAnsi="Arial"/>
          <w:sz w:val="15"/>
          <w:szCs w:val="15"/>
          <w:color w:val="auto"/>
        </w:rPr>
        <w:t>Field operating costs and Segment general and administrative expenses include equity-indexed compensation expense.</w:t>
      </w:r>
    </w:p>
    <w:p>
      <w:pPr>
        <w:spacing w:after="0" w:line="86" w:lineRule="exact"/>
        <w:rPr>
          <w:sz w:val="20"/>
          <w:szCs w:val="20"/>
          <w:color w:val="auto"/>
        </w:rPr>
      </w:pPr>
    </w:p>
    <w:p>
      <w:pPr>
        <w:sectPr>
          <w:pgSz w:w="11900" w:h="16838" w:orient="portrait"/>
          <w:cols w:equalWidth="0" w:num="2">
            <w:col w:w="140" w:space="160"/>
            <w:col w:w="10860"/>
          </w:cols>
          <w:pgMar w:left="320" w:top="360" w:right="419" w:bottom="1440" w:gutter="0" w:footer="0" w:header="0"/>
          <w:type w:val="continuous"/>
        </w:sectPr>
      </w:pPr>
    </w:p>
    <w:p>
      <w:pPr>
        <w:ind w:left="320" w:right="500" w:hanging="317"/>
        <w:spacing w:after="0" w:line="281" w:lineRule="auto"/>
        <w:tabs>
          <w:tab w:leader="none" w:pos="308" w:val="left"/>
        </w:tabs>
        <w:numPr>
          <w:ilvl w:val="0"/>
          <w:numId w:val="19"/>
        </w:numPr>
        <w:rPr>
          <w:rFonts w:ascii="Arial" w:cs="Arial" w:eastAsia="Arial" w:hAnsi="Arial"/>
          <w:sz w:val="19"/>
          <w:szCs w:val="19"/>
          <w:color w:val="auto"/>
          <w:vertAlign w:val="superscript"/>
        </w:rPr>
      </w:pPr>
      <w:r>
        <w:rPr>
          <w:rFonts w:ascii="Arial" w:cs="Arial" w:eastAsia="Arial" w:hAnsi="Arial"/>
          <w:sz w:val="15"/>
          <w:szCs w:val="15"/>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7" w:lineRule="exact"/>
        <w:rPr>
          <w:rFonts w:ascii="Arial" w:cs="Arial" w:eastAsia="Arial" w:hAnsi="Arial"/>
          <w:sz w:val="19"/>
          <w:szCs w:val="19"/>
          <w:color w:val="auto"/>
          <w:vertAlign w:val="superscript"/>
        </w:rPr>
      </w:pPr>
    </w:p>
    <w:p>
      <w:pPr>
        <w:jc w:val="both"/>
        <w:ind w:left="320" w:right="100" w:hanging="317"/>
        <w:spacing w:after="0" w:line="235" w:lineRule="auto"/>
        <w:tabs>
          <w:tab w:leader="none" w:pos="308" w:val="left"/>
        </w:tabs>
        <w:numPr>
          <w:ilvl w:val="0"/>
          <w:numId w:val="19"/>
        </w:numPr>
        <w:rPr>
          <w:rFonts w:ascii="Arial" w:cs="Arial" w:eastAsia="Arial" w:hAnsi="Arial"/>
          <w:sz w:val="22"/>
          <w:szCs w:val="22"/>
          <w:color w:val="auto"/>
          <w:vertAlign w:val="superscript"/>
        </w:rPr>
      </w:pPr>
      <w:r>
        <w:rPr>
          <w:rFonts w:ascii="Arial" w:cs="Arial" w:eastAsia="Arial" w:hAnsi="Arial"/>
          <w:sz w:val="17"/>
          <w:szCs w:val="17"/>
          <w:color w:val="auto"/>
        </w:rPr>
        <w:t>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160"/>
          </w:cols>
          <w:pgMar w:left="320" w:top="360" w:right="41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7"/>
          <w:szCs w:val="17"/>
          <w:u w:val="single" w:color="auto"/>
          <w:color w:val="auto"/>
        </w:rPr>
        <w:t>Page 19</w:t>
      </w: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SELECTED FINANCIAL DATA BY SEGMENT</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 millions)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Six Months Ended</w:t>
            </w: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Six Months Ended</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0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7"/>
              </w:rPr>
              <w:t>June 30, 2021</w:t>
            </w: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7"/>
              </w:rPr>
              <w:t>June 30, 2020</w:t>
            </w: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3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Transportation</w:t>
            </w:r>
          </w:p>
        </w:tc>
        <w:tc>
          <w:tcPr>
            <w:tcW w:w="160" w:type="dxa"/>
            <w:vAlign w:val="bottom"/>
          </w:tcPr>
          <w:p>
            <w:pPr>
              <w:spacing w:after="0"/>
              <w:rPr>
                <w:sz w:val="10"/>
                <w:szCs w:val="10"/>
                <w:color w:val="auto"/>
              </w:rPr>
            </w:pPr>
          </w:p>
        </w:tc>
        <w:tc>
          <w:tcPr>
            <w:tcW w:w="11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6"/>
              </w:rPr>
              <w:t>Facilities</w:t>
            </w:r>
          </w:p>
        </w:tc>
        <w:tc>
          <w:tcPr>
            <w:tcW w:w="200" w:type="dxa"/>
            <w:vAlign w:val="bottom"/>
          </w:tcPr>
          <w:p>
            <w:pPr>
              <w:spacing w:after="0"/>
              <w:rPr>
                <w:sz w:val="10"/>
                <w:szCs w:val="10"/>
                <w:color w:val="auto"/>
              </w:rPr>
            </w:pPr>
          </w:p>
        </w:tc>
        <w:tc>
          <w:tcPr>
            <w:tcW w:w="1060" w:type="dxa"/>
            <w:vAlign w:val="bottom"/>
          </w:tcPr>
          <w:p>
            <w:pPr>
              <w:jc w:val="center"/>
              <w:ind w:right="116"/>
              <w:spacing w:after="0" w:line="123" w:lineRule="exact"/>
              <w:rPr>
                <w:sz w:val="20"/>
                <w:szCs w:val="20"/>
                <w:color w:val="auto"/>
              </w:rPr>
            </w:pPr>
            <w:r>
              <w:rPr>
                <w:rFonts w:ascii="Arial" w:cs="Arial" w:eastAsia="Arial" w:hAnsi="Arial"/>
                <w:sz w:val="14"/>
                <w:szCs w:val="14"/>
                <w:b w:val="1"/>
                <w:bCs w:val="1"/>
                <w:color w:val="auto"/>
                <w:w w:val="87"/>
              </w:rPr>
              <w:t>Supply and</w:t>
            </w:r>
          </w:p>
        </w:tc>
        <w:tc>
          <w:tcPr>
            <w:tcW w:w="200" w:type="dxa"/>
            <w:vAlign w:val="bottom"/>
            <w:gridSpan w:val="2"/>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Transportation</w:t>
            </w:r>
          </w:p>
        </w:tc>
        <w:tc>
          <w:tcPr>
            <w:tcW w:w="160" w:type="dxa"/>
            <w:vAlign w:val="bottom"/>
          </w:tcPr>
          <w:p>
            <w:pPr>
              <w:spacing w:after="0"/>
              <w:rPr>
                <w:sz w:val="10"/>
                <w:szCs w:val="10"/>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6"/>
              </w:rPr>
              <w:t>Facilities</w:t>
            </w:r>
          </w:p>
        </w:tc>
        <w:tc>
          <w:tcPr>
            <w:tcW w:w="200" w:type="dxa"/>
            <w:vAlign w:val="bottom"/>
          </w:tcPr>
          <w:p>
            <w:pPr>
              <w:spacing w:after="0"/>
              <w:rPr>
                <w:sz w:val="10"/>
                <w:szCs w:val="10"/>
                <w:color w:val="auto"/>
              </w:rPr>
            </w:pPr>
          </w:p>
        </w:tc>
        <w:tc>
          <w:tcPr>
            <w:tcW w:w="1040" w:type="dxa"/>
            <w:vAlign w:val="bottom"/>
          </w:tcPr>
          <w:p>
            <w:pPr>
              <w:jc w:val="right"/>
              <w:ind w:right="196"/>
              <w:spacing w:after="0" w:line="123" w:lineRule="exact"/>
              <w:rPr>
                <w:sz w:val="20"/>
                <w:szCs w:val="20"/>
                <w:color w:val="auto"/>
              </w:rPr>
            </w:pPr>
            <w:r>
              <w:rPr>
                <w:rFonts w:ascii="Arial" w:cs="Arial" w:eastAsia="Arial" w:hAnsi="Arial"/>
                <w:sz w:val="14"/>
                <w:szCs w:val="14"/>
                <w:b w:val="1"/>
                <w:bCs w:val="1"/>
                <w:color w:val="auto"/>
                <w:w w:val="98"/>
              </w:rPr>
              <w:t>Supply and</w:t>
            </w:r>
          </w:p>
        </w:tc>
        <w:tc>
          <w:tcPr>
            <w:tcW w:w="0" w:type="dxa"/>
            <w:vAlign w:val="bottom"/>
          </w:tcPr>
          <w:p>
            <w:pPr>
              <w:spacing w:after="0"/>
              <w:rPr>
                <w:sz w:val="1"/>
                <w:szCs w:val="1"/>
                <w:color w:val="auto"/>
              </w:rPr>
            </w:pPr>
          </w:p>
        </w:tc>
      </w:tr>
      <w:tr>
        <w:trPr>
          <w:trHeight w:val="180"/>
        </w:trPr>
        <w:tc>
          <w:tcPr>
            <w:tcW w:w="3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4"/>
              </w:rPr>
              <w:t>Logistics</w:t>
            </w:r>
          </w:p>
        </w:tc>
        <w:tc>
          <w:tcPr>
            <w:tcW w:w="16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ind w:right="276"/>
              <w:spacing w:after="0"/>
              <w:rPr>
                <w:sz w:val="20"/>
                <w:szCs w:val="20"/>
                <w:color w:val="auto"/>
              </w:rPr>
            </w:pPr>
            <w:r>
              <w:rPr>
                <w:rFonts w:ascii="Arial" w:cs="Arial" w:eastAsia="Arial" w:hAnsi="Arial"/>
                <w:sz w:val="14"/>
                <w:szCs w:val="14"/>
                <w:b w:val="1"/>
                <w:bCs w:val="1"/>
                <w:color w:val="auto"/>
              </w:rPr>
              <w:t>Logistics</w:t>
            </w:r>
          </w:p>
        </w:tc>
        <w:tc>
          <w:tcPr>
            <w:tcW w:w="0" w:type="dxa"/>
            <w:vAlign w:val="bottom"/>
          </w:tcPr>
          <w:p>
            <w:pPr>
              <w:spacing w:after="0"/>
              <w:rPr>
                <w:sz w:val="1"/>
                <w:szCs w:val="1"/>
                <w:color w:val="auto"/>
              </w:rPr>
            </w:pPr>
          </w:p>
        </w:tc>
      </w:tr>
      <w:tr>
        <w:trPr>
          <w:trHeight w:val="214"/>
        </w:trPr>
        <w:tc>
          <w:tcPr>
            <w:tcW w:w="3020" w:type="dxa"/>
            <w:vAlign w:val="bottom"/>
            <w:tcBorders>
              <w:top w:val="single" w:sz="8" w:color="CCEEFF"/>
            </w:tcBorders>
            <w:shd w:val="clear" w:color="auto" w:fill="CCEEFF"/>
          </w:tcPr>
          <w:p>
            <w:pPr>
              <w:ind w:left="20"/>
              <w:spacing w:after="0" w:line="213" w:lineRule="exact"/>
              <w:rPr>
                <w:sz w:val="20"/>
                <w:szCs w:val="20"/>
                <w:color w:val="auto"/>
              </w:rPr>
            </w:pPr>
            <w:r>
              <w:rPr>
                <w:rFonts w:ascii="Arial" w:cs="Arial" w:eastAsia="Arial" w:hAnsi="Arial"/>
                <w:sz w:val="17"/>
                <w:szCs w:val="17"/>
                <w:color w:val="auto"/>
              </w:rPr>
              <w:t xml:space="preserve">Revenues </w:t>
            </w:r>
            <w:r>
              <w:rPr>
                <w:rFonts w:ascii="Arial" w:cs="Arial" w:eastAsia="Arial" w:hAnsi="Arial"/>
                <w:sz w:val="22"/>
                <w:szCs w:val="22"/>
                <w:color w:val="auto"/>
                <w:vertAlign w:val="superscript"/>
              </w:rPr>
              <w:t>(1)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1,039</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17,707</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10,834</w:t>
            </w:r>
          </w:p>
        </w:tc>
        <w:tc>
          <w:tcPr>
            <w:tcW w:w="0" w:type="dxa"/>
            <w:vAlign w:val="bottom"/>
          </w:tcPr>
          <w:p>
            <w:pPr>
              <w:spacing w:after="0"/>
              <w:rPr>
                <w:sz w:val="1"/>
                <w:szCs w:val="1"/>
                <w:color w:val="auto"/>
              </w:rPr>
            </w:pPr>
          </w:p>
        </w:tc>
      </w:tr>
      <w:tr>
        <w:trPr>
          <w:trHeight w:val="220"/>
        </w:trPr>
        <w:tc>
          <w:tcPr>
            <w:tcW w:w="3020" w:type="dxa"/>
            <w:vAlign w:val="bottom"/>
          </w:tcPr>
          <w:p>
            <w:pPr>
              <w:ind w:left="20"/>
              <w:spacing w:after="0" w:line="220" w:lineRule="exact"/>
              <w:rPr>
                <w:sz w:val="20"/>
                <w:szCs w:val="20"/>
                <w:color w:val="auto"/>
              </w:rPr>
            </w:pPr>
            <w:r>
              <w:rPr>
                <w:rFonts w:ascii="Arial" w:cs="Arial" w:eastAsia="Arial" w:hAnsi="Arial"/>
                <w:sz w:val="17"/>
                <w:szCs w:val="17"/>
                <w:color w:val="auto"/>
              </w:rPr>
              <w:t xml:space="preserve">Purchases and related costs </w:t>
            </w:r>
            <w:r>
              <w:rPr>
                <w:rFonts w:ascii="Arial" w:cs="Arial" w:eastAsia="Arial" w:hAnsi="Arial"/>
                <w:sz w:val="22"/>
                <w:szCs w:val="22"/>
                <w:color w:val="auto"/>
                <w:vertAlign w:val="superscript"/>
              </w:rPr>
              <w:t>(1)</w:t>
            </w:r>
          </w:p>
        </w:tc>
        <w:tc>
          <w:tcPr>
            <w:tcW w:w="1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(106)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(17,497)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(10,717)</w:t>
            </w:r>
          </w:p>
        </w:tc>
        <w:tc>
          <w:tcPr>
            <w:tcW w:w="0" w:type="dxa"/>
            <w:vAlign w:val="bottom"/>
          </w:tcPr>
          <w:p>
            <w:pPr>
              <w:spacing w:after="0"/>
              <w:rPr>
                <w:sz w:val="1"/>
                <w:szCs w:val="1"/>
                <w:color w:val="auto"/>
              </w:rPr>
            </w:pPr>
          </w:p>
        </w:tc>
      </w:tr>
      <w:tr>
        <w:trPr>
          <w:trHeight w:val="220"/>
        </w:trPr>
        <w:tc>
          <w:tcPr>
            <w:tcW w:w="302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rPr>
              <w:t xml:space="preserve">Field operating costs </w:t>
            </w:r>
            <w:r>
              <w:rPr>
                <w:rFonts w:ascii="Arial" w:cs="Arial" w:eastAsia="Arial" w:hAnsi="Arial"/>
                <w:sz w:val="22"/>
                <w:szCs w:val="22"/>
                <w:color w:val="auto"/>
                <w:vertAlign w:val="superscript"/>
              </w:rPr>
              <w:t>(1) (2)</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(245)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w:t>
            </w:r>
          </w:p>
        </w:tc>
        <w:tc>
          <w:tcPr>
            <w:tcW w:w="0" w:type="dxa"/>
            <w:vAlign w:val="bottom"/>
          </w:tcPr>
          <w:p>
            <w:pPr>
              <w:spacing w:after="0"/>
              <w:rPr>
                <w:sz w:val="1"/>
                <w:szCs w:val="1"/>
                <w:color w:val="auto"/>
              </w:rPr>
            </w:pPr>
          </w:p>
        </w:tc>
      </w:tr>
      <w:tr>
        <w:trPr>
          <w:trHeight w:val="168"/>
        </w:trPr>
        <w:tc>
          <w:tcPr>
            <w:tcW w:w="3020" w:type="dxa"/>
            <w:vAlign w:val="bottom"/>
          </w:tcPr>
          <w:p>
            <w:pPr>
              <w:ind w:left="20"/>
              <w:spacing w:after="0" w:line="168" w:lineRule="exact"/>
              <w:rPr>
                <w:sz w:val="20"/>
                <w:szCs w:val="20"/>
                <w:color w:val="auto"/>
              </w:rPr>
            </w:pPr>
            <w:r>
              <w:rPr>
                <w:rFonts w:ascii="Arial" w:cs="Arial" w:eastAsia="Arial" w:hAnsi="Arial"/>
                <w:sz w:val="17"/>
                <w:szCs w:val="17"/>
                <w:color w:val="auto"/>
              </w:rPr>
              <w:t>Segment general and administrative</w:t>
            </w:r>
          </w:p>
        </w:tc>
        <w:tc>
          <w:tcPr>
            <w:tcW w:w="140" w:type="dxa"/>
            <w:vAlign w:val="bottom"/>
          </w:tcPr>
          <w:p>
            <w:pPr>
              <w:spacing w:after="0"/>
              <w:rPr>
                <w:sz w:val="14"/>
                <w:szCs w:val="14"/>
                <w:color w:val="auto"/>
              </w:rPr>
            </w:pPr>
          </w:p>
        </w:tc>
        <w:tc>
          <w:tcPr>
            <w:tcW w:w="1100" w:type="dxa"/>
            <w:vAlign w:val="bottom"/>
            <w:gridSpan w:val="2"/>
            <w:vMerge w:val="restart"/>
          </w:tcPr>
          <w:p>
            <w:pPr>
              <w:jc w:val="right"/>
              <w:spacing w:after="0"/>
              <w:rPr>
                <w:sz w:val="20"/>
                <w:szCs w:val="20"/>
                <w:color w:val="auto"/>
              </w:rPr>
            </w:pPr>
            <w:r>
              <w:rPr>
                <w:rFonts w:ascii="Arial" w:cs="Arial" w:eastAsia="Arial" w:hAnsi="Arial"/>
                <w:sz w:val="17"/>
                <w:szCs w:val="17"/>
                <w:color w:val="auto"/>
              </w:rPr>
              <w:t>(54)</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7"/>
                <w:szCs w:val="17"/>
                <w:color w:val="auto"/>
              </w:rPr>
              <w:t>(41)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(44)</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(51)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7"/>
                <w:szCs w:val="17"/>
                <w:color w:val="auto"/>
              </w:rPr>
              <w:t>(46)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220"/>
        </w:trPr>
        <w:tc>
          <w:tcPr>
            <w:tcW w:w="3020" w:type="dxa"/>
            <w:vAlign w:val="bottom"/>
          </w:tcPr>
          <w:p>
            <w:pPr>
              <w:ind w:left="180"/>
              <w:spacing w:after="0" w:line="220" w:lineRule="exact"/>
              <w:rPr>
                <w:sz w:val="20"/>
                <w:szCs w:val="20"/>
                <w:color w:val="auto"/>
              </w:rPr>
            </w:pPr>
            <w:r>
              <w:rPr>
                <w:rFonts w:ascii="Arial" w:cs="Arial" w:eastAsia="Arial" w:hAnsi="Arial"/>
                <w:sz w:val="17"/>
                <w:szCs w:val="17"/>
                <w:color w:val="auto"/>
              </w:rPr>
              <w:t xml:space="preserve">expenses </w:t>
            </w:r>
            <w:r>
              <w:rPr>
                <w:rFonts w:ascii="Arial" w:cs="Arial" w:eastAsia="Arial" w:hAnsi="Arial"/>
                <w:sz w:val="22"/>
                <w:szCs w:val="22"/>
                <w:color w:val="auto"/>
                <w:vertAlign w:val="superscript"/>
              </w:rPr>
              <w:t>(2) (3)</w:t>
            </w:r>
          </w:p>
        </w:tc>
        <w:tc>
          <w:tcPr>
            <w:tcW w:w="14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020" w:type="dxa"/>
            <w:vAlign w:val="bottom"/>
            <w:shd w:val="clear" w:color="auto" w:fill="CCEEFF"/>
          </w:tcPr>
          <w:p>
            <w:pPr>
              <w:ind w:left="20"/>
              <w:spacing w:after="0"/>
              <w:rPr>
                <w:sz w:val="20"/>
                <w:szCs w:val="20"/>
                <w:color w:val="auto"/>
              </w:rPr>
            </w:pPr>
            <w:r>
              <w:rPr>
                <w:rFonts w:ascii="Arial" w:cs="Arial" w:eastAsia="Arial" w:hAnsi="Arial"/>
                <w:sz w:val="17"/>
                <w:szCs w:val="17"/>
                <w:color w:val="auto"/>
                <w:w w:val="95"/>
              </w:rPr>
              <w:t>Equity earnings in unconsolidated entities</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8"/>
        </w:trPr>
        <w:tc>
          <w:tcPr>
            <w:tcW w:w="30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302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rPr>
              <w:t xml:space="preserve">Adjustments: </w:t>
            </w:r>
            <w:r>
              <w:rPr>
                <w:rFonts w:ascii="Arial" w:cs="Arial" w:eastAsia="Arial" w:hAnsi="Arial"/>
                <w:sz w:val="22"/>
                <w:szCs w:val="22"/>
                <w:color w:val="auto"/>
                <w:vertAlign w:val="superscript"/>
              </w:rPr>
              <w:t>(4)</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3020" w:type="dxa"/>
            <w:vAlign w:val="bottom"/>
          </w:tcPr>
          <w:p>
            <w:pPr>
              <w:ind w:left="180"/>
              <w:spacing w:after="0" w:line="168" w:lineRule="exact"/>
              <w:rPr>
                <w:sz w:val="20"/>
                <w:szCs w:val="20"/>
                <w:color w:val="auto"/>
              </w:rPr>
            </w:pPr>
            <w:r>
              <w:rPr>
                <w:rFonts w:ascii="Arial" w:cs="Arial" w:eastAsia="Arial" w:hAnsi="Arial"/>
                <w:sz w:val="17"/>
                <w:szCs w:val="17"/>
                <w:color w:val="auto"/>
              </w:rPr>
              <w:t>Depreciation and amortization of</w:t>
            </w:r>
          </w:p>
        </w:tc>
        <w:tc>
          <w:tcPr>
            <w:tcW w:w="140" w:type="dxa"/>
            <w:vAlign w:val="bottom"/>
          </w:tcPr>
          <w:p>
            <w:pPr>
              <w:spacing w:after="0"/>
              <w:rPr>
                <w:sz w:val="14"/>
                <w:szCs w:val="14"/>
                <w:color w:val="auto"/>
              </w:rPr>
            </w:pPr>
          </w:p>
        </w:tc>
        <w:tc>
          <w:tcPr>
            <w:tcW w:w="1100" w:type="dxa"/>
            <w:vAlign w:val="bottom"/>
            <w:gridSpan w:val="2"/>
            <w:vMerge w:val="restart"/>
          </w:tcPr>
          <w:p>
            <w:pPr>
              <w:jc w:val="right"/>
              <w:spacing w:after="0"/>
              <w:rPr>
                <w:sz w:val="20"/>
                <w:szCs w:val="20"/>
                <w:color w:val="auto"/>
              </w:rPr>
            </w:pPr>
            <w:r>
              <w:rPr>
                <w:rFonts w:ascii="Arial" w:cs="Arial" w:eastAsia="Arial" w:hAnsi="Arial"/>
                <w:sz w:val="17"/>
                <w:szCs w:val="17"/>
                <w:color w:val="auto"/>
              </w:rPr>
              <w:t>87</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32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3020" w:type="dxa"/>
            <w:vAlign w:val="bottom"/>
          </w:tcPr>
          <w:p>
            <w:pPr>
              <w:ind w:left="340"/>
              <w:spacing w:after="0"/>
              <w:rPr>
                <w:sz w:val="20"/>
                <w:szCs w:val="20"/>
                <w:color w:val="auto"/>
              </w:rPr>
            </w:pPr>
            <w:r>
              <w:rPr>
                <w:rFonts w:ascii="Arial" w:cs="Arial" w:eastAsia="Arial" w:hAnsi="Arial"/>
                <w:sz w:val="17"/>
                <w:szCs w:val="17"/>
                <w:color w:val="auto"/>
              </w:rPr>
              <w:t>unconsolidated entities</w:t>
            </w:r>
          </w:p>
        </w:tc>
        <w:tc>
          <w:tcPr>
            <w:tcW w:w="14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Borders>
              <w:right w:val="single" w:sz="8" w:color="auto"/>
            </w:tcBorders>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3020" w:type="dxa"/>
            <w:vAlign w:val="bottom"/>
            <w:shd w:val="clear" w:color="auto" w:fill="CCEEFF"/>
          </w:tcPr>
          <w:p>
            <w:pPr>
              <w:ind w:left="180"/>
              <w:spacing w:after="0" w:line="168" w:lineRule="exact"/>
              <w:rPr>
                <w:sz w:val="20"/>
                <w:szCs w:val="20"/>
                <w:color w:val="auto"/>
              </w:rPr>
            </w:pPr>
            <w:r>
              <w:rPr>
                <w:rFonts w:ascii="Arial" w:cs="Arial" w:eastAsia="Arial" w:hAnsi="Arial"/>
                <w:sz w:val="17"/>
                <w:szCs w:val="17"/>
                <w:color w:val="auto"/>
                <w:w w:val="95"/>
              </w:rPr>
              <w:t>(Gains)/losses from derivative activities</w:t>
            </w:r>
          </w:p>
        </w:tc>
        <w:tc>
          <w:tcPr>
            <w:tcW w:w="14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121</w:t>
            </w:r>
          </w:p>
        </w:tc>
        <w:tc>
          <w:tcPr>
            <w:tcW w:w="0" w:type="dxa"/>
            <w:vAlign w:val="bottom"/>
          </w:tcPr>
          <w:p>
            <w:pPr>
              <w:spacing w:after="0"/>
              <w:rPr>
                <w:sz w:val="1"/>
                <w:szCs w:val="1"/>
                <w:color w:val="auto"/>
              </w:rPr>
            </w:pPr>
          </w:p>
        </w:tc>
      </w:tr>
      <w:tr>
        <w:trPr>
          <w:trHeight w:val="219"/>
        </w:trPr>
        <w:tc>
          <w:tcPr>
            <w:tcW w:w="3020" w:type="dxa"/>
            <w:vAlign w:val="bottom"/>
            <w:shd w:val="clear" w:color="auto" w:fill="CCEEFF"/>
          </w:tcPr>
          <w:p>
            <w:pPr>
              <w:ind w:left="340"/>
              <w:spacing w:after="0"/>
              <w:rPr>
                <w:sz w:val="20"/>
                <w:szCs w:val="20"/>
                <w:color w:val="auto"/>
              </w:rPr>
            </w:pPr>
            <w:r>
              <w:rPr>
                <w:rFonts w:ascii="Arial" w:cs="Arial" w:eastAsia="Arial" w:hAnsi="Arial"/>
                <w:sz w:val="17"/>
                <w:szCs w:val="17"/>
                <w:color w:val="auto"/>
                <w:w w:val="98"/>
              </w:rPr>
              <w:t>and inventory valuation adjustments</w:t>
            </w:r>
          </w:p>
        </w:tc>
        <w:tc>
          <w:tcPr>
            <w:tcW w:w="14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3020" w:type="dxa"/>
            <w:vAlign w:val="bottom"/>
          </w:tcPr>
          <w:p>
            <w:pPr>
              <w:ind w:left="180"/>
              <w:spacing w:after="0" w:line="168" w:lineRule="exact"/>
              <w:rPr>
                <w:sz w:val="20"/>
                <w:szCs w:val="20"/>
                <w:color w:val="auto"/>
              </w:rPr>
            </w:pPr>
            <w:r>
              <w:rPr>
                <w:rFonts w:ascii="Arial" w:cs="Arial" w:eastAsia="Arial" w:hAnsi="Arial"/>
                <w:sz w:val="17"/>
                <w:szCs w:val="17"/>
                <w:color w:val="auto"/>
              </w:rPr>
              <w:t>Long-term inventory costing</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4"/>
                <w:szCs w:val="14"/>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(68)</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4"/>
                <w:szCs w:val="14"/>
                <w:color w:val="auto"/>
              </w:rPr>
            </w:pP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219"/>
        </w:trPr>
        <w:tc>
          <w:tcPr>
            <w:tcW w:w="3020" w:type="dxa"/>
            <w:vAlign w:val="bottom"/>
          </w:tcPr>
          <w:p>
            <w:pPr>
              <w:ind w:left="340"/>
              <w:spacing w:after="0"/>
              <w:rPr>
                <w:sz w:val="20"/>
                <w:szCs w:val="20"/>
                <w:color w:val="auto"/>
              </w:rPr>
            </w:pPr>
            <w:r>
              <w:rPr>
                <w:rFonts w:ascii="Arial" w:cs="Arial" w:eastAsia="Arial" w:hAnsi="Arial"/>
                <w:sz w:val="17"/>
                <w:szCs w:val="17"/>
                <w:color w:val="auto"/>
              </w:rPr>
              <w:t>adjustments</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3020" w:type="dxa"/>
            <w:vAlign w:val="bottom"/>
            <w:shd w:val="clear" w:color="auto" w:fill="CCEEFF"/>
          </w:tcPr>
          <w:p>
            <w:pPr>
              <w:ind w:left="180"/>
              <w:spacing w:after="0" w:line="168" w:lineRule="exact"/>
              <w:rPr>
                <w:sz w:val="20"/>
                <w:szCs w:val="20"/>
                <w:color w:val="auto"/>
              </w:rPr>
            </w:pPr>
            <w:r>
              <w:rPr>
                <w:rFonts w:ascii="Arial" w:cs="Arial" w:eastAsia="Arial" w:hAnsi="Arial"/>
                <w:sz w:val="17"/>
                <w:szCs w:val="17"/>
                <w:color w:val="auto"/>
              </w:rPr>
              <w:t>Deficiencies under minimum volume</w:t>
            </w:r>
          </w:p>
        </w:tc>
        <w:tc>
          <w:tcPr>
            <w:tcW w:w="14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30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commitments, net</w:t>
            </w:r>
          </w:p>
        </w:tc>
        <w:tc>
          <w:tcPr>
            <w:tcW w:w="14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tcBorders>
              <w:right w:val="single" w:sz="8" w:color="auto"/>
            </w:tcBorders>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020" w:type="dxa"/>
            <w:vAlign w:val="bottom"/>
          </w:tcPr>
          <w:p>
            <w:pPr>
              <w:ind w:left="180"/>
              <w:spacing w:after="0"/>
              <w:rPr>
                <w:sz w:val="20"/>
                <w:szCs w:val="20"/>
                <w:color w:val="auto"/>
              </w:rPr>
            </w:pPr>
            <w:r>
              <w:rPr>
                <w:rFonts w:ascii="Arial" w:cs="Arial" w:eastAsia="Arial" w:hAnsi="Arial"/>
                <w:sz w:val="17"/>
                <w:szCs w:val="17"/>
                <w:color w:val="auto"/>
                <w:w w:val="96"/>
              </w:rPr>
              <w:t>Equity-indexed compensation expense</w:t>
            </w:r>
          </w:p>
        </w:tc>
        <w:tc>
          <w:tcPr>
            <w:tcW w:w="1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20"/>
        </w:trPr>
        <w:tc>
          <w:tcPr>
            <w:tcW w:w="302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3"/>
              </w:rPr>
              <w:t>Net gain on foreign currency revaluation</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20"/>
        </w:trPr>
        <w:tc>
          <w:tcPr>
            <w:tcW w:w="3020" w:type="dxa"/>
            <w:vAlign w:val="bottom"/>
          </w:tcPr>
          <w:p>
            <w:pPr>
              <w:ind w:left="180"/>
              <w:spacing w:after="0"/>
              <w:rPr>
                <w:sz w:val="20"/>
                <w:szCs w:val="20"/>
                <w:color w:val="auto"/>
              </w:rPr>
            </w:pPr>
            <w:r>
              <w:rPr>
                <w:rFonts w:ascii="Arial" w:cs="Arial" w:eastAsia="Arial" w:hAnsi="Arial"/>
                <w:sz w:val="17"/>
                <w:szCs w:val="17"/>
                <w:color w:val="auto"/>
                <w:w w:val="93"/>
              </w:rPr>
              <w:t>Significant transaction-related expenses</w:t>
            </w:r>
          </w:p>
        </w:tc>
        <w:tc>
          <w:tcPr>
            <w:tcW w:w="1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8"/>
        </w:trPr>
        <w:tc>
          <w:tcPr>
            <w:tcW w:w="3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Segment Adjusted EBITDA</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821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2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144</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Maintenance capital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0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23" w:lineRule="exact"/>
        <w:rPr>
          <w:sz w:val="20"/>
          <w:szCs w:val="20"/>
          <w:color w:val="auto"/>
        </w:rPr>
      </w:pPr>
    </w:p>
    <w:p>
      <w:pPr>
        <w:sectPr>
          <w:pgSz w:w="11900" w:h="16838" w:orient="portrait"/>
          <w:cols w:equalWidth="0" w:num="1">
            <w:col w:w="11160"/>
          </w:cols>
          <w:pgMar w:left="320" w:top="360" w:right="419" w:bottom="1440" w:gutter="0" w:footer="0" w:header="0"/>
        </w:sectPr>
      </w:pPr>
    </w:p>
    <w:p>
      <w:pPr>
        <w:spacing w:after="0"/>
        <w:rPr>
          <w:sz w:val="20"/>
          <w:szCs w:val="20"/>
          <w:color w:val="auto"/>
        </w:rPr>
      </w:pPr>
      <w:r>
        <w:rPr>
          <w:rFonts w:ascii="Arial" w:cs="Arial" w:eastAsia="Arial" w:hAnsi="Arial"/>
          <w:sz w:val="11"/>
          <w:szCs w:val="11"/>
          <w:color w:val="auto"/>
        </w:rPr>
        <w:t>(1)</w:t>
      </w:r>
    </w:p>
    <w:p>
      <w:pPr>
        <w:spacing w:after="0" w:line="13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Includes intersegment amounts.</w:t>
      </w:r>
    </w:p>
    <w:p>
      <w:pPr>
        <w:spacing w:after="0" w:line="63" w:lineRule="exact"/>
        <w:rPr>
          <w:sz w:val="20"/>
          <w:szCs w:val="20"/>
          <w:color w:val="auto"/>
        </w:rPr>
      </w:pPr>
    </w:p>
    <w:p>
      <w:pPr>
        <w:spacing w:after="0"/>
        <w:rPr>
          <w:sz w:val="20"/>
          <w:szCs w:val="20"/>
          <w:color w:val="auto"/>
        </w:rPr>
      </w:pPr>
      <w:r>
        <w:rPr>
          <w:rFonts w:ascii="Arial" w:cs="Arial" w:eastAsia="Arial" w:hAnsi="Arial"/>
          <w:sz w:val="15"/>
          <w:szCs w:val="15"/>
          <w:color w:val="auto"/>
        </w:rPr>
        <w:t>Field operating costs and Segment general and administrative expenses include equity-indexed compensation expense.</w:t>
      </w:r>
    </w:p>
    <w:p>
      <w:pPr>
        <w:spacing w:after="0" w:line="86" w:lineRule="exact"/>
        <w:rPr>
          <w:sz w:val="20"/>
          <w:szCs w:val="20"/>
          <w:color w:val="auto"/>
        </w:rPr>
      </w:pPr>
    </w:p>
    <w:p>
      <w:pPr>
        <w:sectPr>
          <w:pgSz w:w="11900" w:h="16838" w:orient="portrait"/>
          <w:cols w:equalWidth="0" w:num="2">
            <w:col w:w="140" w:space="160"/>
            <w:col w:w="10860"/>
          </w:cols>
          <w:pgMar w:left="320" w:top="360" w:right="419" w:bottom="1440" w:gutter="0" w:footer="0" w:header="0"/>
          <w:type w:val="continuous"/>
        </w:sectPr>
      </w:pPr>
    </w:p>
    <w:p>
      <w:pPr>
        <w:ind w:left="320" w:right="500" w:hanging="317"/>
        <w:spacing w:after="0" w:line="281" w:lineRule="auto"/>
        <w:tabs>
          <w:tab w:leader="none" w:pos="308" w:val="left"/>
        </w:tabs>
        <w:numPr>
          <w:ilvl w:val="0"/>
          <w:numId w:val="20"/>
        </w:numPr>
        <w:rPr>
          <w:rFonts w:ascii="Arial" w:cs="Arial" w:eastAsia="Arial" w:hAnsi="Arial"/>
          <w:sz w:val="19"/>
          <w:szCs w:val="19"/>
          <w:color w:val="auto"/>
          <w:vertAlign w:val="superscript"/>
        </w:rPr>
      </w:pPr>
      <w:r>
        <w:rPr>
          <w:rFonts w:ascii="Arial" w:cs="Arial" w:eastAsia="Arial" w:hAnsi="Arial"/>
          <w:sz w:val="15"/>
          <w:szCs w:val="15"/>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7" w:lineRule="exact"/>
        <w:rPr>
          <w:rFonts w:ascii="Arial" w:cs="Arial" w:eastAsia="Arial" w:hAnsi="Arial"/>
          <w:sz w:val="19"/>
          <w:szCs w:val="19"/>
          <w:color w:val="auto"/>
          <w:vertAlign w:val="superscript"/>
        </w:rPr>
      </w:pPr>
    </w:p>
    <w:p>
      <w:pPr>
        <w:jc w:val="both"/>
        <w:ind w:left="320" w:right="100" w:hanging="317"/>
        <w:spacing w:after="0" w:line="235" w:lineRule="auto"/>
        <w:tabs>
          <w:tab w:leader="none" w:pos="308" w:val="left"/>
        </w:tabs>
        <w:numPr>
          <w:ilvl w:val="0"/>
          <w:numId w:val="20"/>
        </w:numPr>
        <w:rPr>
          <w:rFonts w:ascii="Arial" w:cs="Arial" w:eastAsia="Arial" w:hAnsi="Arial"/>
          <w:sz w:val="22"/>
          <w:szCs w:val="22"/>
          <w:color w:val="auto"/>
          <w:vertAlign w:val="superscript"/>
        </w:rPr>
      </w:pPr>
      <w:r>
        <w:rPr>
          <w:rFonts w:ascii="Arial" w:cs="Arial" w:eastAsia="Arial" w:hAnsi="Arial"/>
          <w:sz w:val="17"/>
          <w:szCs w:val="17"/>
          <w:color w:val="auto"/>
        </w:rPr>
        <w:t>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200" w:lineRule="exact"/>
        <w:rPr>
          <w:sz w:val="20"/>
          <w:szCs w:val="20"/>
          <w:color w:val="auto"/>
        </w:rPr>
      </w:pPr>
    </w:p>
    <w:p>
      <w:pPr>
        <w:spacing w:after="0" w:line="31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160"/>
          </w:cols>
          <w:pgMar w:left="320" w:top="360" w:right="41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7"/>
          <w:szCs w:val="17"/>
          <w:u w:val="single" w:color="auto"/>
          <w:color w:val="auto"/>
        </w:rPr>
        <w:t>Page 20</w:t>
      </w: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OPERATING DATA BY SEGMENT</w:t>
      </w:r>
      <w:r>
        <w:rPr>
          <w:rFonts w:ascii="Arial" w:cs="Arial" w:eastAsia="Arial" w:hAnsi="Arial"/>
          <w:sz w:val="17"/>
          <w:szCs w:val="17"/>
          <w:b w:val="1"/>
          <w:bCs w:val="1"/>
          <w:color w:val="auto"/>
        </w:rPr>
        <w:t xml:space="preserve"> </w:t>
      </w:r>
      <w:r>
        <w:rPr>
          <w:rFonts w:ascii="Arial" w:cs="Arial" w:eastAsia="Arial" w:hAnsi="Arial"/>
          <w:sz w:val="22"/>
          <w:szCs w:val="22"/>
          <w:b w:val="1"/>
          <w:bCs w:val="1"/>
          <w:color w:val="auto"/>
          <w:vertAlign w:val="superscript"/>
        </w:rPr>
        <w:t>(1)</w:t>
      </w:r>
    </w:p>
    <w:tbl>
      <w:tblPr>
        <w:tblLayout w:type="fixed"/>
        <w:tblInd w:w="0" w:type="dxa"/>
        <w:tblCellMar>
          <w:top w:w="0" w:type="dxa"/>
          <w:left w:w="0" w:type="dxa"/>
          <w:bottom w:w="0" w:type="dxa"/>
          <w:right w:w="0" w:type="dxa"/>
        </w:tblCellMar>
      </w:tblPr>
      <w:tr>
        <w:trPr>
          <w:trHeight w:val="130"/>
        </w:trPr>
        <w:tc>
          <w:tcPr>
            <w:tcW w:w="388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2540" w:type="dxa"/>
            <w:vAlign w:val="bottom"/>
            <w:gridSpan w:val="5"/>
          </w:tcPr>
          <w:p>
            <w:pPr>
              <w:jc w:val="center"/>
              <w:ind w:right="100"/>
              <w:spacing w:after="0" w:line="130" w:lineRule="exact"/>
              <w:rPr>
                <w:sz w:val="20"/>
                <w:szCs w:val="20"/>
                <w:color w:val="auto"/>
              </w:rPr>
            </w:pPr>
            <w:r>
              <w:rPr>
                <w:rFonts w:ascii="Arial" w:cs="Arial" w:eastAsia="Arial" w:hAnsi="Arial"/>
                <w:sz w:val="14"/>
                <w:szCs w:val="14"/>
                <w:b w:val="1"/>
                <w:bCs w:val="1"/>
                <w:color w:val="auto"/>
                <w:w w:val="89"/>
              </w:rPr>
              <w:t>Three Months Ended</w:t>
            </w:r>
          </w:p>
        </w:tc>
        <w:tc>
          <w:tcPr>
            <w:tcW w:w="2420" w:type="dxa"/>
            <w:vAlign w:val="bottom"/>
            <w:gridSpan w:val="4"/>
          </w:tcPr>
          <w:p>
            <w:pPr>
              <w:jc w:val="center"/>
              <w:spacing w:after="0" w:line="130" w:lineRule="exact"/>
              <w:rPr>
                <w:sz w:val="20"/>
                <w:szCs w:val="20"/>
                <w:color w:val="auto"/>
              </w:rPr>
            </w:pPr>
            <w:r>
              <w:rPr>
                <w:rFonts w:ascii="Arial" w:cs="Arial" w:eastAsia="Arial" w:hAnsi="Arial"/>
                <w:sz w:val="14"/>
                <w:szCs w:val="14"/>
                <w:b w:val="1"/>
                <w:bCs w:val="1"/>
                <w:color w:val="auto"/>
                <w:w w:val="90"/>
              </w:rPr>
              <w:t>Six Months Ended</w:t>
            </w:r>
          </w:p>
        </w:tc>
      </w:tr>
      <w:tr>
        <w:trPr>
          <w:trHeight w:val="180"/>
        </w:trPr>
        <w:tc>
          <w:tcPr>
            <w:tcW w:w="38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580" w:type="dxa"/>
            <w:vAlign w:val="bottom"/>
            <w:tcBorders>
              <w:bottom w:val="single" w:sz="8" w:color="auto"/>
            </w:tcBorders>
            <w:gridSpan w:val="3"/>
          </w:tcPr>
          <w:p>
            <w:pPr>
              <w:jc w:val="center"/>
              <w:ind w:left="776"/>
              <w:spacing w:after="0"/>
              <w:rPr>
                <w:sz w:val="20"/>
                <w:szCs w:val="20"/>
                <w:color w:val="auto"/>
              </w:rPr>
            </w:pPr>
            <w:r>
              <w:rPr>
                <w:rFonts w:ascii="Arial" w:cs="Arial" w:eastAsia="Arial" w:hAnsi="Arial"/>
                <w:sz w:val="14"/>
                <w:szCs w:val="14"/>
                <w:b w:val="1"/>
                <w:bCs w:val="1"/>
                <w:color w:val="auto"/>
                <w:w w:val="85"/>
              </w:rPr>
              <w:t>June 30,</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Borders>
              <w:bottom w:val="single" w:sz="8" w:color="auto"/>
            </w:tcBorders>
            <w:gridSpan w:val="3"/>
          </w:tcPr>
          <w:p>
            <w:pPr>
              <w:jc w:val="center"/>
              <w:ind w:left="756"/>
              <w:spacing w:after="0"/>
              <w:rPr>
                <w:sz w:val="20"/>
                <w:szCs w:val="20"/>
                <w:color w:val="auto"/>
              </w:rPr>
            </w:pPr>
            <w:r>
              <w:rPr>
                <w:rFonts w:ascii="Arial" w:cs="Arial" w:eastAsia="Arial" w:hAnsi="Arial"/>
                <w:sz w:val="14"/>
                <w:szCs w:val="14"/>
                <w:b w:val="1"/>
                <w:bCs w:val="1"/>
                <w:color w:val="auto"/>
                <w:w w:val="89"/>
              </w:rPr>
              <w:t>June 30,</w:t>
            </w:r>
          </w:p>
        </w:tc>
        <w:tc>
          <w:tcPr>
            <w:tcW w:w="840" w:type="dxa"/>
            <w:vAlign w:val="bottom"/>
            <w:tcBorders>
              <w:bottom w:val="single" w:sz="8" w:color="auto"/>
            </w:tcBorders>
          </w:tcPr>
          <w:p>
            <w:pPr>
              <w:spacing w:after="0"/>
              <w:rPr>
                <w:sz w:val="15"/>
                <w:szCs w:val="15"/>
                <w:color w:val="auto"/>
              </w:rPr>
            </w:pPr>
          </w:p>
        </w:tc>
      </w:tr>
      <w:tr>
        <w:trPr>
          <w:trHeight w:val="174"/>
        </w:trPr>
        <w:tc>
          <w:tcPr>
            <w:tcW w:w="3880" w:type="dxa"/>
            <w:vAlign w:val="bottom"/>
            <w:tcBorders>
              <w:bottom w:val="single" w:sz="8" w:color="CCEEFF"/>
            </w:tcBorders>
          </w:tcPr>
          <w:p>
            <w:pPr>
              <w:spacing w:after="0"/>
              <w:rPr>
                <w:sz w:val="15"/>
                <w:szCs w:val="15"/>
                <w:color w:val="auto"/>
              </w:rPr>
            </w:pPr>
          </w:p>
        </w:tc>
        <w:tc>
          <w:tcPr>
            <w:tcW w:w="240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2020</w:t>
            </w:r>
          </w:p>
        </w:tc>
      </w:tr>
      <w:tr>
        <w:trPr>
          <w:trHeight w:val="201"/>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w w:val="95"/>
              </w:rPr>
              <w:t>Transportation segment (average daily volumes in thousands of barrels per day):</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20"/>
        </w:trPr>
        <w:tc>
          <w:tcPr>
            <w:tcW w:w="6280" w:type="dxa"/>
            <w:vAlign w:val="bottom"/>
            <w:gridSpan w:val="2"/>
          </w:tcPr>
          <w:p>
            <w:pPr>
              <w:ind w:left="20"/>
              <w:spacing w:after="0"/>
              <w:rPr>
                <w:sz w:val="20"/>
                <w:szCs w:val="20"/>
                <w:color w:val="auto"/>
              </w:rPr>
            </w:pPr>
            <w:r>
              <w:rPr>
                <w:rFonts w:ascii="Arial" w:cs="Arial" w:eastAsia="Arial" w:hAnsi="Arial"/>
                <w:sz w:val="17"/>
                <w:szCs w:val="17"/>
                <w:color w:val="auto"/>
              </w:rPr>
              <w:t>Tariff activities volumes</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0"/>
        </w:trPr>
        <w:tc>
          <w:tcPr>
            <w:tcW w:w="62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Crude oil pipelines (by region):</w:t>
            </w: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0"/>
        </w:trPr>
        <w:tc>
          <w:tcPr>
            <w:tcW w:w="6280" w:type="dxa"/>
            <w:vAlign w:val="bottom"/>
            <w:gridSpan w:val="2"/>
          </w:tcPr>
          <w:p>
            <w:pPr>
              <w:ind w:left="220"/>
              <w:spacing w:after="0" w:line="220" w:lineRule="exact"/>
              <w:rPr>
                <w:sz w:val="20"/>
                <w:szCs w:val="20"/>
                <w:color w:val="auto"/>
              </w:rPr>
            </w:pPr>
            <w:r>
              <w:rPr>
                <w:rFonts w:ascii="Arial" w:cs="Arial" w:eastAsia="Arial" w:hAnsi="Arial"/>
                <w:sz w:val="17"/>
                <w:szCs w:val="17"/>
                <w:color w:val="auto"/>
              </w:rPr>
              <w:t xml:space="preserve">Permian Basin </w:t>
            </w:r>
            <w:r>
              <w:rPr>
                <w:rFonts w:ascii="Arial" w:cs="Arial" w:eastAsia="Arial" w:hAnsi="Arial"/>
                <w:sz w:val="22"/>
                <w:szCs w:val="22"/>
                <w:color w:val="auto"/>
                <w:vertAlign w:val="superscript"/>
              </w:rPr>
              <w:t>(2)</w:t>
            </w:r>
          </w:p>
        </w:tc>
        <w:tc>
          <w:tcPr>
            <w:tcW w:w="1160" w:type="dxa"/>
            <w:vAlign w:val="bottom"/>
          </w:tcPr>
          <w:p>
            <w:pPr>
              <w:jc w:val="right"/>
              <w:spacing w:after="0"/>
              <w:rPr>
                <w:sz w:val="20"/>
                <w:szCs w:val="20"/>
                <w:color w:val="auto"/>
              </w:rPr>
            </w:pPr>
            <w:r>
              <w:rPr>
                <w:rFonts w:ascii="Arial" w:cs="Arial" w:eastAsia="Arial" w:hAnsi="Arial"/>
                <w:sz w:val="17"/>
                <w:szCs w:val="17"/>
                <w:color w:val="auto"/>
              </w:rPr>
              <w:t>4,189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4,161</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3,972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4,663</w:t>
            </w:r>
          </w:p>
        </w:tc>
      </w:tr>
      <w:tr>
        <w:trPr>
          <w:trHeight w:val="220"/>
        </w:trPr>
        <w:tc>
          <w:tcPr>
            <w:tcW w:w="6280" w:type="dxa"/>
            <w:vAlign w:val="bottom"/>
            <w:gridSpan w:val="2"/>
            <w:shd w:val="clear" w:color="auto" w:fill="CCEEFF"/>
          </w:tcPr>
          <w:p>
            <w:pPr>
              <w:ind w:left="220"/>
              <w:spacing w:after="0" w:line="220" w:lineRule="exact"/>
              <w:rPr>
                <w:sz w:val="20"/>
                <w:szCs w:val="20"/>
                <w:color w:val="auto"/>
              </w:rPr>
            </w:pPr>
            <w:r>
              <w:rPr>
                <w:rFonts w:ascii="Arial" w:cs="Arial" w:eastAsia="Arial" w:hAnsi="Arial"/>
                <w:sz w:val="17"/>
                <w:szCs w:val="17"/>
                <w:color w:val="auto"/>
              </w:rPr>
              <w:t xml:space="preserve">South Texas / Eagle Ford </w:t>
            </w:r>
            <w:r>
              <w:rPr>
                <w:rFonts w:ascii="Arial" w:cs="Arial" w:eastAsia="Arial" w:hAnsi="Arial"/>
                <w:sz w:val="22"/>
                <w:szCs w:val="22"/>
                <w:color w:val="auto"/>
                <w:vertAlign w:val="superscript"/>
              </w:rPr>
              <w:t>(2)</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321</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389</w:t>
            </w:r>
          </w:p>
        </w:tc>
      </w:tr>
      <w:tr>
        <w:trPr>
          <w:trHeight w:val="220"/>
        </w:trPr>
        <w:tc>
          <w:tcPr>
            <w:tcW w:w="6280" w:type="dxa"/>
            <w:vAlign w:val="bottom"/>
            <w:gridSpan w:val="2"/>
          </w:tcPr>
          <w:p>
            <w:pPr>
              <w:ind w:left="220"/>
              <w:spacing w:after="0" w:line="220" w:lineRule="exact"/>
              <w:rPr>
                <w:sz w:val="20"/>
                <w:szCs w:val="20"/>
                <w:color w:val="auto"/>
              </w:rPr>
            </w:pPr>
            <w:r>
              <w:rPr>
                <w:rFonts w:ascii="Arial" w:cs="Arial" w:eastAsia="Arial" w:hAnsi="Arial"/>
                <w:sz w:val="17"/>
                <w:szCs w:val="17"/>
                <w:color w:val="auto"/>
              </w:rPr>
              <w:t xml:space="preserve">Central </w:t>
            </w:r>
            <w:r>
              <w:rPr>
                <w:rFonts w:ascii="Arial" w:cs="Arial" w:eastAsia="Arial" w:hAnsi="Arial"/>
                <w:sz w:val="22"/>
                <w:szCs w:val="22"/>
                <w:color w:val="auto"/>
                <w:vertAlign w:val="superscript"/>
              </w:rPr>
              <w:t>(2)</w:t>
            </w:r>
          </w:p>
        </w:tc>
        <w:tc>
          <w:tcPr>
            <w:tcW w:w="1160" w:type="dxa"/>
            <w:vAlign w:val="bottom"/>
          </w:tcPr>
          <w:p>
            <w:pPr>
              <w:jc w:val="right"/>
              <w:spacing w:after="0"/>
              <w:rPr>
                <w:sz w:val="20"/>
                <w:szCs w:val="20"/>
                <w:color w:val="auto"/>
              </w:rPr>
            </w:pPr>
            <w:r>
              <w:rPr>
                <w:rFonts w:ascii="Arial" w:cs="Arial" w:eastAsia="Arial" w:hAnsi="Arial"/>
                <w:sz w:val="17"/>
                <w:szCs w:val="17"/>
                <w:color w:val="auto"/>
              </w:rPr>
              <w:t>467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355</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380</w:t>
            </w:r>
          </w:p>
        </w:tc>
      </w:tr>
      <w:tr>
        <w:trPr>
          <w:trHeight w:val="220"/>
        </w:trPr>
        <w:tc>
          <w:tcPr>
            <w:tcW w:w="62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Gulf Coast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w:t>
            </w:r>
          </w:p>
        </w:tc>
      </w:tr>
      <w:tr>
        <w:trPr>
          <w:trHeight w:val="220"/>
        </w:trPr>
        <w:tc>
          <w:tcPr>
            <w:tcW w:w="6280" w:type="dxa"/>
            <w:vAlign w:val="bottom"/>
            <w:gridSpan w:val="2"/>
          </w:tcPr>
          <w:p>
            <w:pPr>
              <w:ind w:left="220"/>
              <w:spacing w:after="0" w:line="220" w:lineRule="exact"/>
              <w:rPr>
                <w:sz w:val="20"/>
                <w:szCs w:val="20"/>
                <w:color w:val="auto"/>
              </w:rPr>
            </w:pPr>
            <w:r>
              <w:rPr>
                <w:rFonts w:ascii="Arial" w:cs="Arial" w:eastAsia="Arial" w:hAnsi="Arial"/>
                <w:sz w:val="17"/>
                <w:szCs w:val="17"/>
                <w:color w:val="auto"/>
              </w:rPr>
              <w:t xml:space="preserve">Rocky Mountain </w:t>
            </w:r>
            <w:r>
              <w:rPr>
                <w:rFonts w:ascii="Arial" w:cs="Arial" w:eastAsia="Arial" w:hAnsi="Arial"/>
                <w:sz w:val="22"/>
                <w:szCs w:val="22"/>
                <w:color w:val="auto"/>
                <w:vertAlign w:val="superscript"/>
              </w:rPr>
              <w:t>(2)</w:t>
            </w:r>
          </w:p>
        </w:tc>
        <w:tc>
          <w:tcPr>
            <w:tcW w:w="1160" w:type="dxa"/>
            <w:vAlign w:val="bottom"/>
          </w:tcPr>
          <w:p>
            <w:pPr>
              <w:jc w:val="right"/>
              <w:spacing w:after="0"/>
              <w:rPr>
                <w:sz w:val="20"/>
                <w:szCs w:val="20"/>
                <w:color w:val="auto"/>
              </w:rPr>
            </w:pPr>
            <w:r>
              <w:rPr>
                <w:rFonts w:ascii="Arial" w:cs="Arial" w:eastAsia="Arial" w:hAnsi="Arial"/>
                <w:sz w:val="17"/>
                <w:szCs w:val="17"/>
                <w:color w:val="auto"/>
              </w:rPr>
              <w:t>327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244</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258</w:t>
            </w:r>
          </w:p>
        </w:tc>
      </w:tr>
      <w:tr>
        <w:trPr>
          <w:trHeight w:val="220"/>
        </w:trPr>
        <w:tc>
          <w:tcPr>
            <w:tcW w:w="62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Western</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w:t>
            </w:r>
          </w:p>
        </w:tc>
      </w:tr>
      <w:tr>
        <w:trPr>
          <w:trHeight w:val="220"/>
        </w:trPr>
        <w:tc>
          <w:tcPr>
            <w:tcW w:w="6280" w:type="dxa"/>
            <w:vAlign w:val="bottom"/>
            <w:tcBorders>
              <w:bottom w:val="single" w:sz="8" w:color="CCEEFF"/>
            </w:tcBorders>
            <w:gridSpan w:val="2"/>
          </w:tcPr>
          <w:p>
            <w:pPr>
              <w:ind w:left="220"/>
              <w:spacing w:after="0"/>
              <w:rPr>
                <w:sz w:val="20"/>
                <w:szCs w:val="20"/>
                <w:color w:val="auto"/>
              </w:rPr>
            </w:pPr>
            <w:r>
              <w:rPr>
                <w:rFonts w:ascii="Arial" w:cs="Arial" w:eastAsia="Arial" w:hAnsi="Arial"/>
                <w:sz w:val="17"/>
                <w:szCs w:val="17"/>
                <w:color w:val="auto"/>
              </w:rPr>
              <w:t>Canada</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242</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285</w:t>
            </w:r>
          </w:p>
        </w:tc>
      </w:tr>
      <w:tr>
        <w:trPr>
          <w:trHeight w:val="213"/>
        </w:trPr>
        <w:tc>
          <w:tcPr>
            <w:tcW w:w="62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Crude oil pipelines</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5,656</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5,719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6,315</w:t>
            </w:r>
          </w:p>
        </w:tc>
      </w:tr>
      <w:tr>
        <w:trPr>
          <w:trHeight w:val="220"/>
        </w:trPr>
        <w:tc>
          <w:tcPr>
            <w:tcW w:w="6280" w:type="dxa"/>
            <w:vAlign w:val="bottom"/>
            <w:tcBorders>
              <w:bottom w:val="single" w:sz="8" w:color="CCEEFF"/>
            </w:tcBorders>
            <w:gridSpan w:val="2"/>
          </w:tcPr>
          <w:p>
            <w:pPr>
              <w:ind w:left="120"/>
              <w:spacing w:after="0"/>
              <w:rPr>
                <w:sz w:val="20"/>
                <w:szCs w:val="20"/>
                <w:color w:val="auto"/>
              </w:rPr>
            </w:pPr>
            <w:r>
              <w:rPr>
                <w:rFonts w:ascii="Arial" w:cs="Arial" w:eastAsia="Arial" w:hAnsi="Arial"/>
                <w:sz w:val="17"/>
                <w:szCs w:val="17"/>
                <w:color w:val="auto"/>
              </w:rPr>
              <w:t>NGL pipelines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194</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190</w:t>
            </w:r>
          </w:p>
        </w:tc>
      </w:tr>
      <w:tr>
        <w:trPr>
          <w:trHeight w:val="213"/>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Tariff activities total volumes</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6,187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5,850</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5,901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6,505</w:t>
            </w:r>
          </w:p>
        </w:tc>
      </w:tr>
      <w:tr>
        <w:trPr>
          <w:trHeight w:val="220"/>
        </w:trPr>
        <w:tc>
          <w:tcPr>
            <w:tcW w:w="6280" w:type="dxa"/>
            <w:vAlign w:val="bottom"/>
            <w:tcBorders>
              <w:bottom w:val="single" w:sz="8" w:color="CCEEFF"/>
            </w:tcBorders>
            <w:gridSpan w:val="2"/>
          </w:tcPr>
          <w:p>
            <w:pPr>
              <w:ind w:left="120"/>
              <w:spacing w:after="0"/>
              <w:rPr>
                <w:sz w:val="20"/>
                <w:szCs w:val="20"/>
                <w:color w:val="auto"/>
              </w:rPr>
            </w:pPr>
            <w:r>
              <w:rPr>
                <w:rFonts w:ascii="Arial" w:cs="Arial" w:eastAsia="Arial" w:hAnsi="Arial"/>
                <w:sz w:val="17"/>
                <w:szCs w:val="17"/>
                <w:color w:val="auto"/>
              </w:rPr>
              <w:t>Trucking volumes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w:t>
            </w:r>
          </w:p>
        </w:tc>
      </w:tr>
      <w:tr>
        <w:trPr>
          <w:trHeight w:val="238"/>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Transportation segment total volumes</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6,248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5,914</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5,966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6,585</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38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220"/>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Facilities segment (average monthly volumes):</w:t>
            </w: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0"/>
        </w:trPr>
        <w:tc>
          <w:tcPr>
            <w:tcW w:w="6280" w:type="dxa"/>
            <w:vAlign w:val="bottom"/>
            <w:gridSpan w:val="2"/>
          </w:tcPr>
          <w:p>
            <w:pPr>
              <w:ind w:left="120"/>
              <w:spacing w:after="0" w:line="220" w:lineRule="exact"/>
              <w:rPr>
                <w:sz w:val="20"/>
                <w:szCs w:val="20"/>
                <w:color w:val="auto"/>
              </w:rPr>
            </w:pPr>
            <w:r>
              <w:rPr>
                <w:rFonts w:ascii="Arial" w:cs="Arial" w:eastAsia="Arial" w:hAnsi="Arial"/>
                <w:sz w:val="17"/>
                <w:szCs w:val="17"/>
                <w:color w:val="auto"/>
              </w:rPr>
              <w:t xml:space="preserve">Liquids storage (average monthly capacity in millions of barrels) </w:t>
            </w:r>
            <w:r>
              <w:rPr>
                <w:rFonts w:ascii="Arial" w:cs="Arial" w:eastAsia="Arial" w:hAnsi="Arial"/>
                <w:sz w:val="22"/>
                <w:szCs w:val="22"/>
                <w:color w:val="auto"/>
                <w:vertAlign w:val="superscript"/>
              </w:rPr>
              <w:t>(3)</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w:t>
            </w:r>
          </w:p>
        </w:tc>
        <w:tc>
          <w:tcPr>
            <w:tcW w:w="10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36"/>
        </w:trPr>
        <w:tc>
          <w:tcPr>
            <w:tcW w:w="62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7"/>
                <w:szCs w:val="17"/>
                <w:color w:val="auto"/>
              </w:rPr>
              <w:t>Natural gas storage (average monthly working capacity in billions of cubic feet)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6280" w:type="dxa"/>
            <w:vAlign w:val="bottom"/>
            <w:gridSpan w:val="2"/>
          </w:tcPr>
          <w:p>
            <w:pPr>
              <w:ind w:left="120"/>
              <w:spacing w:after="0" w:line="191" w:lineRule="exact"/>
              <w:rPr>
                <w:sz w:val="20"/>
                <w:szCs w:val="20"/>
                <w:color w:val="auto"/>
              </w:rPr>
            </w:pPr>
            <w:r>
              <w:rPr>
                <w:rFonts w:ascii="Arial" w:cs="Arial" w:eastAsia="Arial" w:hAnsi="Arial"/>
                <w:sz w:val="17"/>
                <w:szCs w:val="17"/>
                <w:color w:val="auto"/>
              </w:rPr>
              <w:t>NGL fractionation (average volumes in thousands of barrels per day)</w:t>
            </w:r>
          </w:p>
        </w:tc>
        <w:tc>
          <w:tcPr>
            <w:tcW w:w="116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129</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122</w:t>
            </w:r>
          </w:p>
        </w:tc>
        <w:tc>
          <w:tcPr>
            <w:tcW w:w="100" w:type="dxa"/>
            <w:vAlign w:val="bottom"/>
          </w:tcPr>
          <w:p>
            <w:pPr>
              <w:spacing w:after="0"/>
              <w:rPr>
                <w:sz w:val="16"/>
                <w:szCs w:val="16"/>
                <w:color w:val="auto"/>
              </w:rPr>
            </w:pPr>
          </w:p>
        </w:tc>
        <w:tc>
          <w:tcPr>
            <w:tcW w:w="116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136</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138</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36"/>
        </w:trPr>
        <w:tc>
          <w:tcPr>
            <w:tcW w:w="6280" w:type="dxa"/>
            <w:vAlign w:val="bottom"/>
            <w:tcBorders>
              <w:bottom w:val="single" w:sz="8" w:color="CCEEFF"/>
            </w:tcBorders>
            <w:gridSpan w:val="2"/>
            <w:shd w:val="clear" w:color="auto" w:fill="CCEEFF"/>
          </w:tcPr>
          <w:p>
            <w:pPr>
              <w:ind w:left="20"/>
              <w:spacing w:after="0" w:line="211" w:lineRule="exact"/>
              <w:rPr>
                <w:sz w:val="20"/>
                <w:szCs w:val="20"/>
                <w:color w:val="auto"/>
              </w:rPr>
            </w:pPr>
            <w:r>
              <w:rPr>
                <w:rFonts w:ascii="Arial" w:cs="Arial" w:eastAsia="Arial" w:hAnsi="Arial"/>
                <w:sz w:val="17"/>
                <w:szCs w:val="17"/>
                <w:color w:val="auto"/>
                <w:w w:val="99"/>
              </w:rPr>
              <w:t xml:space="preserve">Facilities segment total volumes (average monthly volumes in millions of barrels) </w:t>
            </w:r>
            <w:r>
              <w:rPr>
                <w:rFonts w:ascii="Arial" w:cs="Arial" w:eastAsia="Arial" w:hAnsi="Arial"/>
                <w:sz w:val="22"/>
                <w:szCs w:val="22"/>
                <w:color w:val="auto"/>
                <w:w w:val="99"/>
                <w:vertAlign w:val="superscript"/>
              </w:rPr>
              <w:t>(4)</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38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8"/>
        </w:trPr>
        <w:tc>
          <w:tcPr>
            <w:tcW w:w="6280" w:type="dxa"/>
            <w:vAlign w:val="bottom"/>
            <w:gridSpan w:val="2"/>
            <w:shd w:val="clear" w:color="auto" w:fill="CCEEFF"/>
          </w:tcPr>
          <w:p>
            <w:pPr>
              <w:ind w:left="20"/>
              <w:spacing w:after="0" w:line="168" w:lineRule="exact"/>
              <w:rPr>
                <w:sz w:val="20"/>
                <w:szCs w:val="20"/>
                <w:color w:val="auto"/>
              </w:rPr>
            </w:pPr>
            <w:r>
              <w:rPr>
                <w:rFonts w:ascii="Arial" w:cs="Arial" w:eastAsia="Arial" w:hAnsi="Arial"/>
                <w:sz w:val="17"/>
                <w:szCs w:val="17"/>
                <w:b w:val="1"/>
                <w:bCs w:val="1"/>
                <w:color w:val="auto"/>
                <w:w w:val="94"/>
              </w:rPr>
              <w:t>Supply and Logistics segment (average daily volumes in thousands of barrels per</w:t>
            </w: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220"/>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day):</w:t>
            </w: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0"/>
        </w:trPr>
        <w:tc>
          <w:tcPr>
            <w:tcW w:w="6280" w:type="dxa"/>
            <w:vAlign w:val="bottom"/>
            <w:gridSpan w:val="2"/>
          </w:tcPr>
          <w:p>
            <w:pPr>
              <w:ind w:left="120"/>
              <w:spacing w:after="0"/>
              <w:rPr>
                <w:sz w:val="20"/>
                <w:szCs w:val="20"/>
                <w:color w:val="auto"/>
              </w:rPr>
            </w:pPr>
            <w:r>
              <w:rPr>
                <w:rFonts w:ascii="Arial" w:cs="Arial" w:eastAsia="Arial" w:hAnsi="Arial"/>
                <w:sz w:val="17"/>
                <w:szCs w:val="17"/>
                <w:color w:val="auto"/>
              </w:rPr>
              <w:t>Crude oil lease gathering purchases</w:t>
            </w:r>
          </w:p>
        </w:tc>
        <w:tc>
          <w:tcPr>
            <w:tcW w:w="1160" w:type="dxa"/>
            <w:vAlign w:val="bottom"/>
          </w:tcPr>
          <w:p>
            <w:pPr>
              <w:jc w:val="right"/>
              <w:spacing w:after="0"/>
              <w:rPr>
                <w:sz w:val="20"/>
                <w:szCs w:val="20"/>
                <w:color w:val="auto"/>
              </w:rPr>
            </w:pPr>
            <w:r>
              <w:rPr>
                <w:rFonts w:ascii="Arial" w:cs="Arial" w:eastAsia="Arial" w:hAnsi="Arial"/>
                <w:sz w:val="17"/>
                <w:szCs w:val="17"/>
                <w:color w:val="auto"/>
              </w:rPr>
              <w:t>1,352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1,077</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1,264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1,198</w:t>
            </w:r>
          </w:p>
        </w:tc>
      </w:tr>
      <w:tr>
        <w:trPr>
          <w:trHeight w:val="220"/>
        </w:trPr>
        <w:tc>
          <w:tcPr>
            <w:tcW w:w="62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NGL sales</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156</w:t>
            </w:r>
          </w:p>
        </w:tc>
      </w:tr>
      <w:tr>
        <w:trPr>
          <w:trHeight w:val="213"/>
        </w:trPr>
        <w:tc>
          <w:tcPr>
            <w:tcW w:w="6280" w:type="dxa"/>
            <w:vAlign w:val="bottom"/>
            <w:gridSpan w:val="2"/>
          </w:tcPr>
          <w:p>
            <w:pPr>
              <w:ind w:left="20"/>
              <w:spacing w:after="0"/>
              <w:rPr>
                <w:sz w:val="20"/>
                <w:szCs w:val="20"/>
                <w:color w:val="auto"/>
              </w:rPr>
            </w:pPr>
            <w:r>
              <w:rPr>
                <w:rFonts w:ascii="Arial" w:cs="Arial" w:eastAsia="Arial" w:hAnsi="Arial"/>
                <w:sz w:val="17"/>
                <w:szCs w:val="17"/>
                <w:color w:val="auto"/>
              </w:rPr>
              <w:t>Supply and Logistics segment total volumes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1,464</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1,171</w:t>
            </w: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1,429</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1,354</w:t>
            </w:r>
          </w:p>
        </w:tc>
      </w:tr>
      <w:tr>
        <w:trPr>
          <w:trHeight w:val="20"/>
        </w:trPr>
        <w:tc>
          <w:tcPr>
            <w:tcW w:w="38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47"/>
        </w:trPr>
        <w:tc>
          <w:tcPr>
            <w:tcW w:w="3880" w:type="dxa"/>
            <w:vAlign w:val="bottom"/>
            <w:tcBorders>
              <w:bottom w:val="single" w:sz="8" w:color="auto"/>
            </w:tcBorders>
          </w:tcPr>
          <w:p>
            <w:pPr>
              <w:spacing w:after="0"/>
              <w:rPr>
                <w:sz w:val="12"/>
                <w:szCs w:val="12"/>
                <w:color w:val="auto"/>
              </w:rPr>
            </w:pPr>
          </w:p>
        </w:tc>
        <w:tc>
          <w:tcPr>
            <w:tcW w:w="24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r>
    </w:tbl>
    <w:p>
      <w:pPr>
        <w:spacing w:after="0" w:line="108" w:lineRule="exact"/>
        <w:rPr>
          <w:sz w:val="20"/>
          <w:szCs w:val="20"/>
          <w:color w:val="auto"/>
        </w:rPr>
      </w:pPr>
    </w:p>
    <w:p>
      <w:pPr>
        <w:ind w:left="300" w:hanging="297"/>
        <w:spacing w:after="0"/>
        <w:tabs>
          <w:tab w:leader="none" w:pos="300" w:val="left"/>
        </w:tabs>
        <w:numPr>
          <w:ilvl w:val="0"/>
          <w:numId w:val="21"/>
        </w:numPr>
        <w:rPr>
          <w:rFonts w:ascii="Arial" w:cs="Arial" w:eastAsia="Arial" w:hAnsi="Arial"/>
          <w:sz w:val="21"/>
          <w:szCs w:val="21"/>
          <w:color w:val="auto"/>
          <w:vertAlign w:val="superscript"/>
        </w:rPr>
      </w:pPr>
      <w:r>
        <w:rPr>
          <w:rFonts w:ascii="Arial" w:cs="Arial" w:eastAsia="Arial" w:hAnsi="Arial"/>
          <w:sz w:val="16"/>
          <w:szCs w:val="16"/>
          <w:color w:val="auto"/>
        </w:rPr>
        <w:t>Average volumes are calculated as the total volumes (attributable to our interest) for the period divided by the number of days or months in the period.</w:t>
      </w:r>
    </w:p>
    <w:p>
      <w:pPr>
        <w:spacing w:after="0" w:line="52" w:lineRule="exact"/>
        <w:rPr>
          <w:rFonts w:ascii="Arial" w:cs="Arial" w:eastAsia="Arial" w:hAnsi="Arial"/>
          <w:sz w:val="21"/>
          <w:szCs w:val="21"/>
          <w:color w:val="auto"/>
          <w:vertAlign w:val="superscript"/>
        </w:rPr>
      </w:pPr>
    </w:p>
    <w:p>
      <w:pPr>
        <w:ind w:left="300" w:hanging="297"/>
        <w:spacing w:after="0" w:line="194" w:lineRule="auto"/>
        <w:tabs>
          <w:tab w:leader="none" w:pos="300" w:val="left"/>
        </w:tabs>
        <w:numPr>
          <w:ilvl w:val="0"/>
          <w:numId w:val="21"/>
        </w:numPr>
        <w:rPr>
          <w:rFonts w:ascii="Arial" w:cs="Arial" w:eastAsia="Arial" w:hAnsi="Arial"/>
          <w:sz w:val="22"/>
          <w:szCs w:val="22"/>
          <w:color w:val="auto"/>
          <w:vertAlign w:val="superscript"/>
        </w:rPr>
      </w:pPr>
      <w:r>
        <w:rPr>
          <w:rFonts w:ascii="Arial" w:cs="Arial" w:eastAsia="Arial" w:hAnsi="Arial"/>
          <w:sz w:val="17"/>
          <w:szCs w:val="17"/>
          <w:color w:val="auto"/>
        </w:rPr>
        <w:t>Region includes volumes (attributable to our interest) from pipelines owned by unconsolidated entities.</w:t>
      </w:r>
    </w:p>
    <w:p>
      <w:pPr>
        <w:spacing w:after="0" w:line="53" w:lineRule="exact"/>
        <w:rPr>
          <w:rFonts w:ascii="Arial" w:cs="Arial" w:eastAsia="Arial" w:hAnsi="Arial"/>
          <w:sz w:val="22"/>
          <w:szCs w:val="22"/>
          <w:color w:val="auto"/>
          <w:vertAlign w:val="superscript"/>
        </w:rPr>
      </w:pPr>
    </w:p>
    <w:p>
      <w:pPr>
        <w:ind w:left="300" w:hanging="297"/>
        <w:spacing w:after="0" w:line="194" w:lineRule="auto"/>
        <w:tabs>
          <w:tab w:leader="none" w:pos="300" w:val="left"/>
        </w:tabs>
        <w:numPr>
          <w:ilvl w:val="0"/>
          <w:numId w:val="21"/>
        </w:numPr>
        <w:rPr>
          <w:rFonts w:ascii="Arial" w:cs="Arial" w:eastAsia="Arial" w:hAnsi="Arial"/>
          <w:sz w:val="22"/>
          <w:szCs w:val="22"/>
          <w:color w:val="auto"/>
          <w:vertAlign w:val="superscript"/>
        </w:rPr>
      </w:pPr>
      <w:r>
        <w:rPr>
          <w:rFonts w:ascii="Arial" w:cs="Arial" w:eastAsia="Arial" w:hAnsi="Arial"/>
          <w:sz w:val="17"/>
          <w:szCs w:val="17"/>
          <w:color w:val="auto"/>
        </w:rPr>
        <w:t>Includes volumes (attributable to our interest) from facilities owned by unconsolidated entities.</w:t>
      </w:r>
    </w:p>
    <w:p>
      <w:pPr>
        <w:spacing w:after="0" w:line="53" w:lineRule="exact"/>
        <w:rPr>
          <w:rFonts w:ascii="Arial" w:cs="Arial" w:eastAsia="Arial" w:hAnsi="Arial"/>
          <w:sz w:val="22"/>
          <w:szCs w:val="22"/>
          <w:color w:val="auto"/>
          <w:vertAlign w:val="superscript"/>
        </w:rPr>
      </w:pPr>
    </w:p>
    <w:p>
      <w:pPr>
        <w:ind w:left="320" w:right="60" w:hanging="317"/>
        <w:spacing w:after="0" w:line="230" w:lineRule="auto"/>
        <w:tabs>
          <w:tab w:leader="none" w:pos="308" w:val="left"/>
        </w:tabs>
        <w:numPr>
          <w:ilvl w:val="0"/>
          <w:numId w:val="21"/>
        </w:numPr>
        <w:rPr>
          <w:rFonts w:ascii="Arial" w:cs="Arial" w:eastAsia="Arial" w:hAnsi="Arial"/>
          <w:sz w:val="22"/>
          <w:szCs w:val="22"/>
          <w:color w:val="auto"/>
          <w:vertAlign w:val="superscript"/>
        </w:rPr>
      </w:pPr>
      <w:r>
        <w:rPr>
          <w:rFonts w:ascii="Arial" w:cs="Arial" w:eastAsia="Arial" w:hAnsi="Arial"/>
          <w:sz w:val="17"/>
          <w:szCs w:val="17"/>
          <w:color w:val="auto"/>
        </w:rPr>
        <w:t>Facilities segment total volumes are calculated as the sum of: (i) liquids storage capacity; (ii) natural gas storage working capacity divided by 6 to account for the 6:1 mcf of natural gas to crude Btu equivalent ratio and further divided by 1,000 to convert to monthly volumes in millions; and (iii) NGL fractionation volumes multiplied by the number of days in the period and divided by the number of months in the period.</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23" w:name="page24"/>
    <w:bookmarkEnd w:id="23"/>
    <w:p>
      <w:pPr>
        <w:ind w:left="100"/>
        <w:spacing w:after="0"/>
        <w:rPr>
          <w:sz w:val="20"/>
          <w:szCs w:val="20"/>
          <w:color w:val="auto"/>
        </w:rPr>
      </w:pPr>
      <w:r>
        <w:rPr>
          <w:rFonts w:ascii="Arial" w:cs="Arial" w:eastAsia="Arial" w:hAnsi="Arial"/>
          <w:sz w:val="17"/>
          <w:szCs w:val="17"/>
          <w:u w:val="single" w:color="auto"/>
          <w:color w:val="auto"/>
        </w:rPr>
        <w:t>Page 21</w:t>
      </w:r>
    </w:p>
    <w:p>
      <w:pPr>
        <w:spacing w:after="0" w:line="341"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30"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55880</wp:posOffset>
            </wp:positionV>
            <wp:extent cx="71215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05" w:lineRule="exact"/>
        <w:rPr>
          <w:sz w:val="20"/>
          <w:szCs w:val="20"/>
          <w:color w:val="auto"/>
        </w:rPr>
      </w:pPr>
    </w:p>
    <w:p>
      <w:pPr>
        <w:ind w:left="100"/>
        <w:spacing w:after="0"/>
        <w:rPr>
          <w:sz w:val="20"/>
          <w:szCs w:val="20"/>
          <w:color w:val="auto"/>
        </w:rPr>
      </w:pPr>
      <w:r>
        <w:rPr>
          <w:rFonts w:ascii="Arial" w:cs="Arial" w:eastAsia="Arial" w:hAnsi="Arial"/>
          <w:sz w:val="17"/>
          <w:szCs w:val="17"/>
          <w:b w:val="1"/>
          <w:bCs w:val="1"/>
          <w:u w:val="single" w:color="auto"/>
          <w:color w:val="auto"/>
        </w:rPr>
        <w:t>NON-GAAP SEGMENT RECONCILIATIONS</w:t>
      </w:r>
    </w:p>
    <w:p>
      <w:pPr>
        <w:spacing w:after="0" w:line="3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(in millions)</w:t>
      </w:r>
    </w:p>
    <w:p>
      <w:pPr>
        <w:spacing w:after="0" w:line="93"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Fee-based Segment Adjusted EBITDA to Adjusted EBITDA Reconciliation:</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980" w:type="dxa"/>
            <w:vAlign w:val="bottom"/>
            <w:gridSpan w:val="4"/>
          </w:tcPr>
          <w:p>
            <w:pPr>
              <w:jc w:val="right"/>
              <w:ind w:right="171"/>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4"/>
          </w:tcPr>
          <w:p>
            <w:pPr>
              <w:jc w:val="right"/>
              <w:ind w:right="171"/>
              <w:spacing w:after="0"/>
              <w:rPr>
                <w:sz w:val="20"/>
                <w:szCs w:val="20"/>
                <w:color w:val="auto"/>
              </w:rPr>
            </w:pPr>
            <w:r>
              <w:rPr>
                <w:rFonts w:ascii="Arial" w:cs="Arial" w:eastAsia="Arial" w:hAnsi="Arial"/>
                <w:sz w:val="14"/>
                <w:szCs w:val="14"/>
                <w:b w:val="1"/>
                <w:bCs w:val="1"/>
                <w:color w:val="auto"/>
              </w:rPr>
              <w:t>Six Months Ended</w:t>
            </w: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0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471"/>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right"/>
              <w:ind w:right="391"/>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00" w:type="dxa"/>
            <w:vAlign w:val="bottom"/>
          </w:tcPr>
          <w:p>
            <w:pPr>
              <w:spacing w:after="0"/>
              <w:rPr>
                <w:sz w:val="15"/>
                <w:szCs w:val="15"/>
                <w:color w:val="auto"/>
              </w:rPr>
            </w:pPr>
          </w:p>
        </w:tc>
        <w:tc>
          <w:tcPr>
            <w:tcW w:w="3880" w:type="dxa"/>
            <w:vAlign w:val="bottom"/>
            <w:tcBorders>
              <w:bottom w:val="single" w:sz="8" w:color="CCEEFF"/>
            </w:tcBorders>
          </w:tcPr>
          <w:p>
            <w:pPr>
              <w:spacing w:after="0"/>
              <w:rPr>
                <w:sz w:val="15"/>
                <w:szCs w:val="15"/>
                <w:color w:val="auto"/>
              </w:rPr>
            </w:pPr>
          </w:p>
        </w:tc>
        <w:tc>
          <w:tcPr>
            <w:tcW w:w="230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7"/>
                <w:szCs w:val="17"/>
                <w:color w:val="auto"/>
              </w:rPr>
              <w:t>Transportation Segment Adjusted EBITDA</w:t>
            </w:r>
          </w:p>
        </w:tc>
        <w:tc>
          <w:tcPr>
            <w:tcW w:w="2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433</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821</w:t>
            </w:r>
          </w:p>
        </w:tc>
        <w:tc>
          <w:tcPr>
            <w:tcW w:w="100" w:type="dxa"/>
            <w:vAlign w:val="bottom"/>
            <w:shd w:val="clear" w:color="auto" w:fill="CCEEFF"/>
          </w:tcPr>
          <w:p>
            <w:pPr>
              <w:jc w:val="right"/>
              <w:ind w:right="33"/>
              <w:spacing w:after="0"/>
              <w:rPr>
                <w:sz w:val="20"/>
                <w:szCs w:val="20"/>
                <w:color w:val="auto"/>
              </w:rPr>
            </w:pPr>
            <w:r>
              <w:rPr>
                <w:rFonts w:ascii="Arial" w:cs="Arial" w:eastAsia="Arial" w:hAnsi="Arial"/>
                <w:sz w:val="5"/>
                <w:szCs w:val="5"/>
                <w:color w:val="auto"/>
                <w:w w:val="70"/>
              </w:rPr>
              <w:t>$</w:t>
            </w: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788</w:t>
            </w:r>
          </w:p>
        </w:tc>
        <w:tc>
          <w:tcPr>
            <w:tcW w:w="0" w:type="dxa"/>
            <w:vAlign w:val="bottom"/>
          </w:tcPr>
          <w:p>
            <w:pPr>
              <w:spacing w:after="0"/>
              <w:rPr>
                <w:sz w:val="1"/>
                <w:szCs w:val="1"/>
                <w:color w:val="auto"/>
              </w:rPr>
            </w:pPr>
          </w:p>
        </w:tc>
      </w:tr>
      <w:tr>
        <w:trPr>
          <w:trHeight w:val="220"/>
        </w:trPr>
        <w:tc>
          <w:tcPr>
            <w:tcW w:w="3980" w:type="dxa"/>
            <w:vAlign w:val="bottom"/>
            <w:gridSpan w:val="2"/>
          </w:tcPr>
          <w:p>
            <w:pPr>
              <w:spacing w:after="0"/>
              <w:rPr>
                <w:sz w:val="20"/>
                <w:szCs w:val="20"/>
                <w:color w:val="auto"/>
              </w:rPr>
            </w:pPr>
            <w:r>
              <w:rPr>
                <w:rFonts w:ascii="Arial" w:cs="Arial" w:eastAsia="Arial" w:hAnsi="Arial"/>
                <w:sz w:val="17"/>
                <w:szCs w:val="17"/>
                <w:color w:val="auto"/>
              </w:rPr>
              <w:t>Facilities Segment Adjusted EBITDA</w:t>
            </w:r>
          </w:p>
        </w:tc>
        <w:tc>
          <w:tcPr>
            <w:tcW w:w="2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140</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174</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311</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384</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88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Fee-based Segment Adjusted EBITDA</w:t>
            </w:r>
          </w:p>
        </w:tc>
        <w:tc>
          <w:tcPr>
            <w:tcW w:w="23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00" w:type="dxa"/>
            <w:vAlign w:val="bottom"/>
          </w:tcPr>
          <w:p>
            <w:pPr>
              <w:spacing w:after="0"/>
              <w:rPr>
                <w:sz w:val="18"/>
                <w:szCs w:val="18"/>
                <w:color w:val="auto"/>
              </w:rPr>
            </w:pPr>
          </w:p>
        </w:tc>
        <w:tc>
          <w:tcPr>
            <w:tcW w:w="3880" w:type="dxa"/>
            <w:vAlign w:val="bottom"/>
            <w:vMerge w:val="continue"/>
            <w:shd w:val="clear" w:color="auto" w:fill="CCEEFF"/>
          </w:tcPr>
          <w:p>
            <w:pPr>
              <w:spacing w:after="0"/>
              <w:rPr>
                <w:sz w:val="18"/>
                <w:szCs w:val="18"/>
                <w:color w:val="auto"/>
              </w:rPr>
            </w:pPr>
          </w:p>
        </w:tc>
        <w:tc>
          <w:tcPr>
            <w:tcW w:w="2300" w:type="dxa"/>
            <w:vAlign w:val="bottom"/>
            <w:vMerge w:val="continue"/>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573</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520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9"/>
              </w:rPr>
              <w:t>1,132</w:t>
            </w:r>
          </w:p>
        </w:tc>
        <w:tc>
          <w:tcPr>
            <w:tcW w:w="100" w:type="dxa"/>
            <w:vAlign w:val="bottom"/>
            <w:shd w:val="clear" w:color="auto" w:fill="CCEEFF"/>
          </w:tcPr>
          <w:p>
            <w:pPr>
              <w:jc w:val="right"/>
              <w:ind w:right="33"/>
              <w:spacing w:after="0"/>
              <w:rPr>
                <w:sz w:val="20"/>
                <w:szCs w:val="20"/>
                <w:color w:val="auto"/>
              </w:rPr>
            </w:pPr>
            <w:r>
              <w:rPr>
                <w:rFonts w:ascii="Arial" w:cs="Arial" w:eastAsia="Arial" w:hAnsi="Arial"/>
                <w:sz w:val="5"/>
                <w:szCs w:val="5"/>
                <w:color w:val="auto"/>
                <w:w w:val="70"/>
              </w:rPr>
              <w:t>$</w:t>
            </w: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1,172</w:t>
            </w:r>
          </w:p>
        </w:tc>
        <w:tc>
          <w:tcPr>
            <w:tcW w:w="0" w:type="dxa"/>
            <w:vAlign w:val="bottom"/>
          </w:tcPr>
          <w:p>
            <w:pPr>
              <w:spacing w:after="0"/>
              <w:rPr>
                <w:sz w:val="1"/>
                <w:szCs w:val="1"/>
                <w:color w:val="auto"/>
              </w:rPr>
            </w:pPr>
          </w:p>
        </w:tc>
      </w:tr>
      <w:tr>
        <w:trPr>
          <w:trHeight w:val="220"/>
        </w:trPr>
        <w:tc>
          <w:tcPr>
            <w:tcW w:w="3980" w:type="dxa"/>
            <w:vAlign w:val="bottom"/>
            <w:gridSpan w:val="2"/>
          </w:tcPr>
          <w:p>
            <w:pPr>
              <w:spacing w:after="0"/>
              <w:rPr>
                <w:sz w:val="20"/>
                <w:szCs w:val="20"/>
                <w:color w:val="auto"/>
              </w:rPr>
            </w:pPr>
            <w:r>
              <w:rPr>
                <w:rFonts w:ascii="Arial" w:cs="Arial" w:eastAsia="Arial" w:hAnsi="Arial"/>
                <w:sz w:val="17"/>
                <w:szCs w:val="17"/>
                <w:color w:val="auto"/>
              </w:rPr>
              <w:t>Supply and Logistics Segment Adjusted EBITDA</w:t>
            </w:r>
          </w:p>
        </w:tc>
        <w:tc>
          <w:tcPr>
            <w:tcW w:w="2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5</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144</w:t>
            </w:r>
          </w:p>
        </w:tc>
        <w:tc>
          <w:tcPr>
            <w:tcW w:w="0" w:type="dxa"/>
            <w:vAlign w:val="bottom"/>
          </w:tcPr>
          <w:p>
            <w:pPr>
              <w:spacing w:after="0"/>
              <w:rPr>
                <w:sz w:val="1"/>
                <w:szCs w:val="1"/>
                <w:color w:val="auto"/>
              </w:rPr>
            </w:pPr>
          </w:p>
        </w:tc>
      </w:tr>
      <w:tr>
        <w:trPr>
          <w:trHeight w:val="220"/>
        </w:trPr>
        <w:tc>
          <w:tcPr>
            <w:tcW w:w="100" w:type="dxa"/>
            <w:vAlign w:val="bottom"/>
          </w:tcPr>
          <w:p>
            <w:pPr>
              <w:spacing w:after="0"/>
              <w:rPr>
                <w:sz w:val="19"/>
                <w:szCs w:val="19"/>
                <w:color w:val="auto"/>
              </w:rPr>
            </w:pPr>
          </w:p>
        </w:tc>
        <w:tc>
          <w:tcPr>
            <w:tcW w:w="3880" w:type="dxa"/>
            <w:vAlign w:val="bottom"/>
            <w:shd w:val="clear" w:color="auto" w:fill="CCEEFF"/>
          </w:tcPr>
          <w:p>
            <w:pPr>
              <w:spacing w:after="0" w:line="220" w:lineRule="exact"/>
              <w:rPr>
                <w:sz w:val="20"/>
                <w:szCs w:val="20"/>
                <w:color w:val="auto"/>
              </w:rPr>
            </w:pPr>
            <w:r>
              <w:rPr>
                <w:rFonts w:ascii="Arial" w:cs="Arial" w:eastAsia="Arial" w:hAnsi="Arial"/>
                <w:sz w:val="17"/>
                <w:szCs w:val="17"/>
                <w:color w:val="auto"/>
              </w:rPr>
              <w:t xml:space="preserve">Adjusted other income/(expense), net </w:t>
            </w:r>
            <w:r>
              <w:rPr>
                <w:rFonts w:ascii="Arial" w:cs="Arial" w:eastAsia="Arial" w:hAnsi="Arial"/>
                <w:sz w:val="22"/>
                <w:szCs w:val="22"/>
                <w:color w:val="auto"/>
                <w:vertAlign w:val="superscript"/>
              </w:rPr>
              <w:t>(1)</w:t>
            </w:r>
          </w:p>
        </w:tc>
        <w:tc>
          <w:tcPr>
            <w:tcW w:w="23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3"/>
        </w:trPr>
        <w:tc>
          <w:tcPr>
            <w:tcW w:w="3980" w:type="dxa"/>
            <w:vAlign w:val="bottom"/>
            <w:gridSpan w:val="2"/>
          </w:tcPr>
          <w:p>
            <w:pPr>
              <w:spacing w:after="0" w:line="212" w:lineRule="exact"/>
              <w:rPr>
                <w:sz w:val="20"/>
                <w:szCs w:val="20"/>
                <w:color w:val="auto"/>
              </w:rPr>
            </w:pPr>
            <w:r>
              <w:rPr>
                <w:rFonts w:ascii="Arial" w:cs="Arial" w:eastAsia="Arial" w:hAnsi="Arial"/>
                <w:sz w:val="17"/>
                <w:szCs w:val="17"/>
                <w:color w:val="auto"/>
              </w:rPr>
              <w:t xml:space="preserve">Adjusted EBITDA </w:t>
            </w:r>
            <w:r>
              <w:rPr>
                <w:rFonts w:ascii="Arial" w:cs="Arial" w:eastAsia="Arial" w:hAnsi="Arial"/>
                <w:sz w:val="22"/>
                <w:szCs w:val="22"/>
                <w:color w:val="auto"/>
                <w:vertAlign w:val="superscript"/>
              </w:rPr>
              <w:t>(2)</w:t>
            </w:r>
          </w:p>
        </w:tc>
        <w:tc>
          <w:tcPr>
            <w:tcW w:w="2300" w:type="dxa"/>
            <w:vAlign w:val="bottom"/>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579</w:t>
            </w: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524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89"/>
              </w:rPr>
              <w:t>1,125</w:t>
            </w:r>
          </w:p>
        </w:tc>
        <w:tc>
          <w:tcPr>
            <w:tcW w:w="100" w:type="dxa"/>
            <w:vAlign w:val="bottom"/>
          </w:tcPr>
          <w:p>
            <w:pPr>
              <w:jc w:val="right"/>
              <w:ind w:right="33"/>
              <w:spacing w:after="0"/>
              <w:rPr>
                <w:sz w:val="20"/>
                <w:szCs w:val="20"/>
                <w:color w:val="auto"/>
              </w:rPr>
            </w:pPr>
            <w:r>
              <w:rPr>
                <w:rFonts w:ascii="Arial" w:cs="Arial" w:eastAsia="Arial" w:hAnsi="Arial"/>
                <w:sz w:val="5"/>
                <w:szCs w:val="5"/>
                <w:color w:val="auto"/>
                <w:w w:val="70"/>
              </w:rPr>
              <w:t>$</w:t>
            </w:r>
          </w:p>
        </w:tc>
        <w:tc>
          <w:tcPr>
            <w:tcW w:w="6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93"/>
              </w:rPr>
              <w:t>1,319</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00" w:type="dxa"/>
            <w:vAlign w:val="bottom"/>
          </w:tcPr>
          <w:p>
            <w:pPr>
              <w:spacing w:after="0"/>
              <w:rPr>
                <w:sz w:val="17"/>
                <w:szCs w:val="17"/>
                <w:color w:val="auto"/>
              </w:rPr>
            </w:pPr>
          </w:p>
        </w:tc>
        <w:tc>
          <w:tcPr>
            <w:tcW w:w="3880" w:type="dxa"/>
            <w:vAlign w:val="bottom"/>
            <w:tcBorders>
              <w:bottom w:val="single" w:sz="8" w:color="auto"/>
            </w:tcBorders>
          </w:tcPr>
          <w:p>
            <w:pPr>
              <w:spacing w:after="0"/>
              <w:rPr>
                <w:sz w:val="17"/>
                <w:szCs w:val="17"/>
                <w:color w:val="auto"/>
              </w:rPr>
            </w:pPr>
          </w:p>
        </w:tc>
        <w:tc>
          <w:tcPr>
            <w:tcW w:w="2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420" w:right="100" w:hanging="317"/>
        <w:spacing w:after="0" w:line="235" w:lineRule="auto"/>
        <w:tabs>
          <w:tab w:leader="none" w:pos="408" w:val="left"/>
        </w:tabs>
        <w:numPr>
          <w:ilvl w:val="0"/>
          <w:numId w:val="22"/>
        </w:numPr>
        <w:rPr>
          <w:rFonts w:ascii="Arial" w:cs="Arial" w:eastAsia="Arial" w:hAnsi="Arial"/>
          <w:sz w:val="22"/>
          <w:szCs w:val="22"/>
          <w:color w:val="auto"/>
          <w:vertAlign w:val="superscript"/>
        </w:rPr>
      </w:pPr>
      <w:r>
        <w:rPr>
          <w:rFonts w:ascii="Arial" w:cs="Arial" w:eastAsia="Arial" w:hAnsi="Arial"/>
          <w:sz w:val="17"/>
          <w:szCs w:val="17"/>
          <w:color w:val="auto"/>
        </w:rPr>
        <w:t>Represents “Other income/(expense), net” as reported on our Condensed Consolidated Statements of Operations, adjusted for selected items impacting comparability of $(83) million, $(17) million, $(22) million and $16 million for the three and six months ended June 30, 2021 and 2020, respectively. See the “Selected Items Impacting Comparability” table for additional information.</w:t>
      </w:r>
    </w:p>
    <w:p>
      <w:pPr>
        <w:spacing w:after="0" w:line="7" w:lineRule="exact"/>
        <w:rPr>
          <w:rFonts w:ascii="Arial" w:cs="Arial" w:eastAsia="Arial" w:hAnsi="Arial"/>
          <w:sz w:val="22"/>
          <w:szCs w:val="22"/>
          <w:color w:val="auto"/>
          <w:vertAlign w:val="superscript"/>
        </w:rPr>
      </w:pPr>
    </w:p>
    <w:p>
      <w:pPr>
        <w:ind w:left="400" w:hanging="297"/>
        <w:spacing w:after="0"/>
        <w:tabs>
          <w:tab w:leader="none" w:pos="400" w:val="left"/>
        </w:tabs>
        <w:numPr>
          <w:ilvl w:val="0"/>
          <w:numId w:val="22"/>
        </w:numPr>
        <w:rPr>
          <w:rFonts w:ascii="Arial" w:cs="Arial" w:eastAsia="Arial" w:hAnsi="Arial"/>
          <w:sz w:val="22"/>
          <w:szCs w:val="22"/>
          <w:color w:val="auto"/>
          <w:vertAlign w:val="superscript"/>
        </w:rPr>
      </w:pPr>
      <w:r>
        <w:rPr>
          <w:rFonts w:ascii="Arial" w:cs="Arial" w:eastAsia="Arial" w:hAnsi="Arial"/>
          <w:sz w:val="17"/>
          <w:szCs w:val="17"/>
          <w:color w:val="auto"/>
        </w:rPr>
        <w:t>See the “Net Income/(Loss) to Adjusted EBITDA and Implied DCF Reconciliation” table for reconciliation to Net Income/(Loss).</w:t>
      </w:r>
    </w:p>
    <w:p>
      <w:pPr>
        <w:spacing w:after="0" w:line="317"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Reconciliation of Segment Adjusted EBITDA to Segment Adjusted EBITDA further adjusted for impact of divested assets:</w:t>
      </w:r>
    </w:p>
    <w:p>
      <w:pPr>
        <w:spacing w:after="0" w:line="75"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Three Months Ended</w:t>
            </w: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Three Months Ended</w:t>
            </w: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7"/>
              </w:rPr>
              <w:t>June 30, 2021</w:t>
            </w:r>
          </w:p>
        </w:tc>
        <w:tc>
          <w:tcPr>
            <w:tcW w:w="6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7"/>
              </w:rPr>
              <w:t>June 30, 2020</w:t>
            </w:r>
          </w:p>
        </w:tc>
        <w:tc>
          <w:tcPr>
            <w:tcW w:w="5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3"/>
          </w:tcPr>
          <w:p>
            <w:pPr>
              <w:ind w:left="60"/>
              <w:spacing w:after="0"/>
              <w:rPr>
                <w:sz w:val="20"/>
                <w:szCs w:val="20"/>
                <w:color w:val="auto"/>
              </w:rPr>
            </w:pPr>
            <w:r>
              <w:rPr>
                <w:rFonts w:ascii="Arial" w:cs="Arial" w:eastAsia="Arial" w:hAnsi="Arial"/>
                <w:sz w:val="15"/>
                <w:szCs w:val="15"/>
                <w:b w:val="1"/>
                <w:bCs w:val="1"/>
                <w:color w:val="auto"/>
              </w:rPr>
              <w:t>Transportation</w:t>
            </w:r>
          </w:p>
        </w:tc>
        <w:tc>
          <w:tcPr>
            <w:tcW w:w="10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7"/>
              </w:rPr>
              <w:t>Facilities</w:t>
            </w:r>
          </w:p>
        </w:tc>
        <w:tc>
          <w:tcPr>
            <w:tcW w:w="1340" w:type="dxa"/>
            <w:vAlign w:val="bottom"/>
            <w:gridSpan w:val="2"/>
          </w:tcPr>
          <w:p>
            <w:pPr>
              <w:ind w:left="20"/>
              <w:spacing w:after="0"/>
              <w:rPr>
                <w:sz w:val="20"/>
                <w:szCs w:val="20"/>
                <w:color w:val="auto"/>
              </w:rPr>
            </w:pPr>
            <w:r>
              <w:rPr>
                <w:rFonts w:ascii="Arial" w:cs="Arial" w:eastAsia="Arial" w:hAnsi="Arial"/>
                <w:sz w:val="15"/>
                <w:szCs w:val="15"/>
                <w:b w:val="1"/>
                <w:bCs w:val="1"/>
                <w:color w:val="auto"/>
                <w:w w:val="86"/>
              </w:rPr>
              <w:t>Supply and Logistics</w:t>
            </w:r>
          </w:p>
        </w:tc>
        <w:tc>
          <w:tcPr>
            <w:tcW w:w="200" w:type="dxa"/>
            <w:vAlign w:val="bottom"/>
            <w:gridSpan w:val="2"/>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ind w:left="60"/>
              <w:spacing w:after="0"/>
              <w:rPr>
                <w:sz w:val="20"/>
                <w:szCs w:val="20"/>
                <w:color w:val="auto"/>
              </w:rPr>
            </w:pPr>
            <w:r>
              <w:rPr>
                <w:rFonts w:ascii="Arial" w:cs="Arial" w:eastAsia="Arial" w:hAnsi="Arial"/>
                <w:sz w:val="15"/>
                <w:szCs w:val="15"/>
                <w:b w:val="1"/>
                <w:bCs w:val="1"/>
                <w:color w:val="auto"/>
              </w:rPr>
              <w:t>Transportation</w:t>
            </w:r>
          </w:p>
        </w:tc>
        <w:tc>
          <w:tcPr>
            <w:tcW w:w="12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7"/>
              </w:rPr>
              <w:t>Facilities</w:t>
            </w:r>
          </w:p>
        </w:tc>
        <w:tc>
          <w:tcPr>
            <w:tcW w:w="1360" w:type="dxa"/>
            <w:vAlign w:val="bottom"/>
            <w:gridSpan w:val="2"/>
          </w:tcPr>
          <w:p>
            <w:pPr>
              <w:ind w:left="20"/>
              <w:spacing w:after="0"/>
              <w:rPr>
                <w:sz w:val="20"/>
                <w:szCs w:val="20"/>
                <w:color w:val="auto"/>
              </w:rPr>
            </w:pPr>
            <w:r>
              <w:rPr>
                <w:rFonts w:ascii="Arial" w:cs="Arial" w:eastAsia="Arial" w:hAnsi="Arial"/>
                <w:sz w:val="15"/>
                <w:szCs w:val="15"/>
                <w:b w:val="1"/>
                <w:bCs w:val="1"/>
                <w:color w:val="auto"/>
                <w:w w:val="87"/>
              </w:rPr>
              <w:t>Supply and Logistics</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Segment Adjusted EBITDA</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433</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140</w:t>
            </w: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6"/>
                <w:szCs w:val="16"/>
                <w:color w:val="auto"/>
              </w:rPr>
              <w:t>174</w:t>
            </w: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00" w:type="dxa"/>
            <w:vAlign w:val="bottom"/>
          </w:tcPr>
          <w:p>
            <w:pPr>
              <w:ind w:left="20"/>
              <w:spacing w:after="0" w:line="207" w:lineRule="exact"/>
              <w:rPr>
                <w:sz w:val="20"/>
                <w:szCs w:val="20"/>
                <w:color w:val="auto"/>
              </w:rPr>
            </w:pPr>
            <w:r>
              <w:rPr>
                <w:rFonts w:ascii="Arial" w:cs="Arial" w:eastAsia="Arial" w:hAnsi="Arial"/>
                <w:sz w:val="16"/>
                <w:szCs w:val="16"/>
                <w:color w:val="auto"/>
              </w:rPr>
              <w:t xml:space="preserve">Impact of divested assets </w:t>
            </w:r>
            <w:r>
              <w:rPr>
                <w:rFonts w:ascii="Arial" w:cs="Arial" w:eastAsia="Arial" w:hAnsi="Arial"/>
                <w:sz w:val="21"/>
                <w:szCs w:val="21"/>
                <w:color w:val="auto"/>
                <w:vertAlign w:val="superscript"/>
              </w:rPr>
              <w:t>(1)</w:t>
            </w:r>
          </w:p>
        </w:tc>
        <w:tc>
          <w:tcPr>
            <w:tcW w:w="140" w:type="dxa"/>
            <w:vAlign w:val="bottom"/>
          </w:tcPr>
          <w:p>
            <w:pPr>
              <w:spacing w:after="0"/>
              <w:rPr>
                <w:sz w:val="17"/>
                <w:szCs w:val="17"/>
                <w:color w:val="auto"/>
              </w:rPr>
            </w:pPr>
          </w:p>
        </w:tc>
        <w:tc>
          <w:tcPr>
            <w:tcW w:w="13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7"/>
                <w:szCs w:val="17"/>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40" w:type="dxa"/>
            <w:vAlign w:val="bottom"/>
          </w:tcPr>
          <w:p>
            <w:pPr>
              <w:ind w:left="940"/>
              <w:spacing w:after="0"/>
              <w:rPr>
                <w:sz w:val="20"/>
                <w:szCs w:val="20"/>
                <w:color w:val="auto"/>
              </w:rPr>
            </w:pPr>
            <w:r>
              <w:rPr>
                <w:rFonts w:ascii="Arial" w:cs="Arial" w:eastAsia="Arial" w:hAnsi="Arial"/>
                <w:sz w:val="16"/>
                <w:szCs w:val="16"/>
                <w:color w:val="auto"/>
                <w:w w:val="98"/>
              </w:rPr>
              <w:t>(15)</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00" w:type="dxa"/>
            <w:vAlign w:val="bottom"/>
            <w:tcBorders>
              <w:top w:val="single" w:sz="8" w:color="CCEEFF"/>
            </w:tcBorders>
            <w:shd w:val="clear" w:color="auto" w:fill="CCEEFF"/>
          </w:tcPr>
          <w:p>
            <w:pPr>
              <w:ind w:left="20"/>
              <w:spacing w:after="0" w:line="135" w:lineRule="exact"/>
              <w:rPr>
                <w:sz w:val="20"/>
                <w:szCs w:val="20"/>
                <w:color w:val="auto"/>
              </w:rPr>
            </w:pPr>
            <w:r>
              <w:rPr>
                <w:rFonts w:ascii="Arial" w:cs="Arial" w:eastAsia="Arial" w:hAnsi="Arial"/>
                <w:sz w:val="15"/>
                <w:szCs w:val="15"/>
                <w:color w:val="auto"/>
              </w:rPr>
              <w:t>Segment Adjusted EBITDA further</w:t>
            </w:r>
          </w:p>
        </w:tc>
        <w:tc>
          <w:tcPr>
            <w:tcW w:w="140" w:type="dxa"/>
            <w:vAlign w:val="bottom"/>
            <w:tcBorders>
              <w:top w:val="single" w:sz="8" w:color="auto"/>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right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500" w:type="dxa"/>
            <w:vAlign w:val="bottom"/>
            <w:shd w:val="clear" w:color="auto" w:fill="CCEEFF"/>
          </w:tcPr>
          <w:p>
            <w:pPr>
              <w:ind w:left="160"/>
              <w:spacing w:after="0" w:line="155" w:lineRule="exact"/>
              <w:rPr>
                <w:sz w:val="20"/>
                <w:szCs w:val="20"/>
                <w:color w:val="auto"/>
              </w:rPr>
            </w:pPr>
            <w:r>
              <w:rPr>
                <w:rFonts w:ascii="Arial" w:cs="Arial" w:eastAsia="Arial" w:hAnsi="Arial"/>
                <w:sz w:val="16"/>
                <w:szCs w:val="16"/>
                <w:color w:val="auto"/>
              </w:rPr>
              <w:t>adjusted for impact of divested</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433</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140</w:t>
            </w:r>
          </w:p>
        </w:tc>
        <w:tc>
          <w:tcPr>
            <w:tcW w:w="10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346</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vMerge w:val="restart"/>
            <w:shd w:val="clear" w:color="auto" w:fill="CCEEFF"/>
          </w:tcPr>
          <w:p>
            <w:pPr>
              <w:ind w:left="920"/>
              <w:spacing w:after="0"/>
              <w:rPr>
                <w:sz w:val="20"/>
                <w:szCs w:val="20"/>
                <w:color w:val="auto"/>
              </w:rPr>
            </w:pPr>
            <w:r>
              <w:rPr>
                <w:rFonts w:ascii="Arial" w:cs="Arial" w:eastAsia="Arial" w:hAnsi="Arial"/>
                <w:sz w:val="16"/>
                <w:szCs w:val="16"/>
                <w:color w:val="auto"/>
              </w:rPr>
              <w:t>159</w:t>
            </w:r>
          </w:p>
        </w:tc>
        <w:tc>
          <w:tcPr>
            <w:tcW w:w="10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500" w:type="dxa"/>
            <w:vAlign w:val="bottom"/>
            <w:tcBorders>
              <w:bottom w:val="single" w:sz="8" w:color="CCEEFF"/>
            </w:tcBorders>
            <w:shd w:val="clear" w:color="auto" w:fill="CCEEFF"/>
          </w:tcPr>
          <w:p>
            <w:pPr>
              <w:ind w:left="160"/>
              <w:spacing w:after="0" w:line="181" w:lineRule="exact"/>
              <w:rPr>
                <w:sz w:val="20"/>
                <w:szCs w:val="20"/>
                <w:color w:val="auto"/>
              </w:rPr>
            </w:pPr>
            <w:r>
              <w:rPr>
                <w:rFonts w:ascii="Arial" w:cs="Arial" w:eastAsia="Arial" w:hAnsi="Arial"/>
                <w:sz w:val="16"/>
                <w:szCs w:val="16"/>
                <w:color w:val="auto"/>
              </w:rPr>
              <w:t>assets</w:t>
            </w: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1200" w:type="dxa"/>
            <w:vAlign w:val="bottom"/>
            <w:tcBorders>
              <w:bottom w:val="single" w:sz="8" w:color="auto"/>
            </w:tcBorders>
            <w:vMerge w:val="continue"/>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12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auto"/>
            </w:tcBorders>
            <w:vMerge w:val="continue"/>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right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vMerge w:val="continue"/>
            <w:shd w:val="clear" w:color="auto" w:fill="CCEEFF"/>
          </w:tcPr>
          <w:p>
            <w:pPr>
              <w:spacing w:after="0"/>
              <w:rPr>
                <w:sz w:val="17"/>
                <w:szCs w:val="17"/>
                <w:color w:val="auto"/>
              </w:rPr>
            </w:pPr>
          </w:p>
        </w:tc>
        <w:tc>
          <w:tcPr>
            <w:tcW w:w="12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12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vMerge w:val="continue"/>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3"/>
        </w:trPr>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Six Months Ended</w:t>
            </w: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Six Months Ended</w:t>
            </w: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7"/>
              </w:rPr>
              <w:t>June 30, 2021</w:t>
            </w:r>
          </w:p>
        </w:tc>
        <w:tc>
          <w:tcPr>
            <w:tcW w:w="6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7"/>
              </w:rPr>
              <w:t>June 30, 2020</w:t>
            </w:r>
          </w:p>
        </w:tc>
        <w:tc>
          <w:tcPr>
            <w:tcW w:w="5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3"/>
          </w:tcPr>
          <w:p>
            <w:pPr>
              <w:ind w:left="60"/>
              <w:spacing w:after="0"/>
              <w:rPr>
                <w:sz w:val="20"/>
                <w:szCs w:val="20"/>
                <w:color w:val="auto"/>
              </w:rPr>
            </w:pPr>
            <w:r>
              <w:rPr>
                <w:rFonts w:ascii="Arial" w:cs="Arial" w:eastAsia="Arial" w:hAnsi="Arial"/>
                <w:sz w:val="15"/>
                <w:szCs w:val="15"/>
                <w:b w:val="1"/>
                <w:bCs w:val="1"/>
                <w:color w:val="auto"/>
              </w:rPr>
              <w:t>Transportation</w:t>
            </w:r>
          </w:p>
        </w:tc>
        <w:tc>
          <w:tcPr>
            <w:tcW w:w="10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7"/>
              </w:rPr>
              <w:t>Facilities</w:t>
            </w:r>
          </w:p>
        </w:tc>
        <w:tc>
          <w:tcPr>
            <w:tcW w:w="1340" w:type="dxa"/>
            <w:vAlign w:val="bottom"/>
            <w:gridSpan w:val="2"/>
          </w:tcPr>
          <w:p>
            <w:pPr>
              <w:ind w:left="20"/>
              <w:spacing w:after="0"/>
              <w:rPr>
                <w:sz w:val="20"/>
                <w:szCs w:val="20"/>
                <w:color w:val="auto"/>
              </w:rPr>
            </w:pPr>
            <w:r>
              <w:rPr>
                <w:rFonts w:ascii="Arial" w:cs="Arial" w:eastAsia="Arial" w:hAnsi="Arial"/>
                <w:sz w:val="15"/>
                <w:szCs w:val="15"/>
                <w:b w:val="1"/>
                <w:bCs w:val="1"/>
                <w:color w:val="auto"/>
                <w:w w:val="86"/>
              </w:rPr>
              <w:t>Supply and Logistics</w:t>
            </w:r>
          </w:p>
        </w:tc>
        <w:tc>
          <w:tcPr>
            <w:tcW w:w="200" w:type="dxa"/>
            <w:vAlign w:val="bottom"/>
            <w:gridSpan w:val="2"/>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ind w:left="60"/>
              <w:spacing w:after="0"/>
              <w:rPr>
                <w:sz w:val="20"/>
                <w:szCs w:val="20"/>
                <w:color w:val="auto"/>
              </w:rPr>
            </w:pPr>
            <w:r>
              <w:rPr>
                <w:rFonts w:ascii="Arial" w:cs="Arial" w:eastAsia="Arial" w:hAnsi="Arial"/>
                <w:sz w:val="15"/>
                <w:szCs w:val="15"/>
                <w:b w:val="1"/>
                <w:bCs w:val="1"/>
                <w:color w:val="auto"/>
              </w:rPr>
              <w:t>Transportation</w:t>
            </w:r>
          </w:p>
        </w:tc>
        <w:tc>
          <w:tcPr>
            <w:tcW w:w="12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7"/>
              </w:rPr>
              <w:t>Facilities</w:t>
            </w:r>
          </w:p>
        </w:tc>
        <w:tc>
          <w:tcPr>
            <w:tcW w:w="1360" w:type="dxa"/>
            <w:vAlign w:val="bottom"/>
            <w:gridSpan w:val="2"/>
          </w:tcPr>
          <w:p>
            <w:pPr>
              <w:ind w:left="20"/>
              <w:spacing w:after="0"/>
              <w:rPr>
                <w:sz w:val="20"/>
                <w:szCs w:val="20"/>
                <w:color w:val="auto"/>
              </w:rPr>
            </w:pPr>
            <w:r>
              <w:rPr>
                <w:rFonts w:ascii="Arial" w:cs="Arial" w:eastAsia="Arial" w:hAnsi="Arial"/>
                <w:sz w:val="15"/>
                <w:szCs w:val="15"/>
                <w:b w:val="1"/>
                <w:bCs w:val="1"/>
                <w:color w:val="auto"/>
                <w:w w:val="87"/>
              </w:rPr>
              <w:t>Supply and Logistics</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Segment Adjusted EBITDA</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821</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311</w:t>
            </w: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6"/>
                <w:szCs w:val="16"/>
                <w:color w:val="auto"/>
              </w:rPr>
              <w:t>384</w:t>
            </w: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00" w:type="dxa"/>
            <w:vAlign w:val="bottom"/>
          </w:tcPr>
          <w:p>
            <w:pPr>
              <w:ind w:left="20"/>
              <w:spacing w:after="0" w:line="207" w:lineRule="exact"/>
              <w:rPr>
                <w:sz w:val="20"/>
                <w:szCs w:val="20"/>
                <w:color w:val="auto"/>
              </w:rPr>
            </w:pPr>
            <w:r>
              <w:rPr>
                <w:rFonts w:ascii="Arial" w:cs="Arial" w:eastAsia="Arial" w:hAnsi="Arial"/>
                <w:sz w:val="16"/>
                <w:szCs w:val="16"/>
                <w:color w:val="auto"/>
              </w:rPr>
              <w:t xml:space="preserve">Impact of divested assets </w:t>
            </w:r>
            <w:r>
              <w:rPr>
                <w:rFonts w:ascii="Arial" w:cs="Arial" w:eastAsia="Arial" w:hAnsi="Arial"/>
                <w:sz w:val="21"/>
                <w:szCs w:val="21"/>
                <w:color w:val="auto"/>
                <w:vertAlign w:val="superscript"/>
              </w:rPr>
              <w:t>(1)</w:t>
            </w:r>
          </w:p>
        </w:tc>
        <w:tc>
          <w:tcPr>
            <w:tcW w:w="140" w:type="dxa"/>
            <w:vAlign w:val="bottom"/>
          </w:tcPr>
          <w:p>
            <w:pPr>
              <w:spacing w:after="0"/>
              <w:rPr>
                <w:sz w:val="17"/>
                <w:szCs w:val="17"/>
                <w:color w:val="auto"/>
              </w:rPr>
            </w:pPr>
          </w:p>
        </w:tc>
        <w:tc>
          <w:tcPr>
            <w:tcW w:w="13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7"/>
                <w:szCs w:val="17"/>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ind w:left="940"/>
              <w:spacing w:after="0"/>
              <w:rPr>
                <w:sz w:val="20"/>
                <w:szCs w:val="20"/>
                <w:color w:val="auto"/>
              </w:rPr>
            </w:pPr>
            <w:r>
              <w:rPr>
                <w:rFonts w:ascii="Arial" w:cs="Arial" w:eastAsia="Arial" w:hAnsi="Arial"/>
                <w:sz w:val="16"/>
                <w:szCs w:val="16"/>
                <w:color w:val="auto"/>
                <w:w w:val="98"/>
              </w:rPr>
              <w:t>(33)</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00" w:type="dxa"/>
            <w:vAlign w:val="bottom"/>
            <w:tcBorders>
              <w:top w:val="single" w:sz="8" w:color="CCEEFF"/>
            </w:tcBorders>
            <w:shd w:val="clear" w:color="auto" w:fill="CCEEFF"/>
          </w:tcPr>
          <w:p>
            <w:pPr>
              <w:ind w:left="20"/>
              <w:spacing w:after="0" w:line="135" w:lineRule="exact"/>
              <w:rPr>
                <w:sz w:val="20"/>
                <w:szCs w:val="20"/>
                <w:color w:val="auto"/>
              </w:rPr>
            </w:pPr>
            <w:r>
              <w:rPr>
                <w:rFonts w:ascii="Arial" w:cs="Arial" w:eastAsia="Arial" w:hAnsi="Arial"/>
                <w:sz w:val="15"/>
                <w:szCs w:val="15"/>
                <w:color w:val="auto"/>
              </w:rPr>
              <w:t>Segment Adjusted EBITDA further</w:t>
            </w:r>
          </w:p>
        </w:tc>
        <w:tc>
          <w:tcPr>
            <w:tcW w:w="140" w:type="dxa"/>
            <w:vAlign w:val="bottom"/>
            <w:tcBorders>
              <w:top w:val="single" w:sz="8" w:color="auto"/>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right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500" w:type="dxa"/>
            <w:vAlign w:val="bottom"/>
            <w:shd w:val="clear" w:color="auto" w:fill="CCEEFF"/>
          </w:tcPr>
          <w:p>
            <w:pPr>
              <w:ind w:left="160"/>
              <w:spacing w:after="0" w:line="155" w:lineRule="exact"/>
              <w:rPr>
                <w:sz w:val="20"/>
                <w:szCs w:val="20"/>
                <w:color w:val="auto"/>
              </w:rPr>
            </w:pPr>
            <w:r>
              <w:rPr>
                <w:rFonts w:ascii="Arial" w:cs="Arial" w:eastAsia="Arial" w:hAnsi="Arial"/>
                <w:sz w:val="16"/>
                <w:szCs w:val="16"/>
                <w:color w:val="auto"/>
              </w:rPr>
              <w:t>adjusted for impact of divested</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821</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311</w:t>
            </w:r>
          </w:p>
        </w:tc>
        <w:tc>
          <w:tcPr>
            <w:tcW w:w="10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787</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vMerge w:val="restart"/>
            <w:shd w:val="clear" w:color="auto" w:fill="CCEEFF"/>
          </w:tcPr>
          <w:p>
            <w:pPr>
              <w:ind w:left="920"/>
              <w:spacing w:after="0"/>
              <w:rPr>
                <w:sz w:val="20"/>
                <w:szCs w:val="20"/>
                <w:color w:val="auto"/>
              </w:rPr>
            </w:pPr>
            <w:r>
              <w:rPr>
                <w:rFonts w:ascii="Arial" w:cs="Arial" w:eastAsia="Arial" w:hAnsi="Arial"/>
                <w:sz w:val="16"/>
                <w:szCs w:val="16"/>
                <w:color w:val="auto"/>
              </w:rPr>
              <w:t>351</w:t>
            </w:r>
          </w:p>
        </w:tc>
        <w:tc>
          <w:tcPr>
            <w:tcW w:w="10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500" w:type="dxa"/>
            <w:vAlign w:val="bottom"/>
            <w:tcBorders>
              <w:bottom w:val="single" w:sz="8" w:color="CCEEFF"/>
            </w:tcBorders>
            <w:shd w:val="clear" w:color="auto" w:fill="CCEEFF"/>
          </w:tcPr>
          <w:p>
            <w:pPr>
              <w:ind w:left="160"/>
              <w:spacing w:after="0" w:line="181" w:lineRule="exact"/>
              <w:rPr>
                <w:sz w:val="20"/>
                <w:szCs w:val="20"/>
                <w:color w:val="auto"/>
              </w:rPr>
            </w:pPr>
            <w:r>
              <w:rPr>
                <w:rFonts w:ascii="Arial" w:cs="Arial" w:eastAsia="Arial" w:hAnsi="Arial"/>
                <w:sz w:val="16"/>
                <w:szCs w:val="16"/>
                <w:color w:val="auto"/>
              </w:rPr>
              <w:t>assets</w:t>
            </w: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1200" w:type="dxa"/>
            <w:vAlign w:val="bottom"/>
            <w:tcBorders>
              <w:bottom w:val="single" w:sz="8" w:color="auto"/>
            </w:tcBorders>
            <w:vMerge w:val="continue"/>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12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auto"/>
            </w:tcBorders>
            <w:vMerge w:val="continue"/>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right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vMerge w:val="continue"/>
            <w:shd w:val="clear" w:color="auto" w:fill="CCEEFF"/>
          </w:tcPr>
          <w:p>
            <w:pPr>
              <w:spacing w:after="0"/>
              <w:rPr>
                <w:sz w:val="17"/>
                <w:szCs w:val="17"/>
                <w:color w:val="auto"/>
              </w:rPr>
            </w:pPr>
          </w:p>
        </w:tc>
        <w:tc>
          <w:tcPr>
            <w:tcW w:w="12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12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vMerge w:val="continue"/>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Borders>
              <w:bottom w:val="single" w:sz="8" w:color="auto"/>
            </w:tcBorders>
          </w:tcPr>
          <w:p>
            <w:pPr>
              <w:spacing w:after="0"/>
              <w:rPr>
                <w:sz w:val="11"/>
                <w:szCs w:val="11"/>
                <w:color w:val="auto"/>
              </w:rPr>
            </w:pPr>
          </w:p>
        </w:tc>
        <w:tc>
          <w:tcPr>
            <w:tcW w:w="25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420" w:right="120" w:hanging="317"/>
        <w:spacing w:after="0" w:line="221" w:lineRule="auto"/>
        <w:tabs>
          <w:tab w:leader="none" w:pos="408" w:val="left"/>
        </w:tabs>
        <w:numPr>
          <w:ilvl w:val="0"/>
          <w:numId w:val="23"/>
        </w:numPr>
        <w:rPr>
          <w:rFonts w:ascii="Arial" w:cs="Arial" w:eastAsia="Arial" w:hAnsi="Arial"/>
          <w:sz w:val="22"/>
          <w:szCs w:val="22"/>
          <w:color w:val="auto"/>
          <w:vertAlign w:val="superscript"/>
        </w:rPr>
      </w:pPr>
      <w:r>
        <w:rPr>
          <w:rFonts w:ascii="Arial" w:cs="Arial" w:eastAsia="Arial" w:hAnsi="Arial"/>
          <w:sz w:val="17"/>
          <w:szCs w:val="17"/>
          <w:color w:val="auto"/>
        </w:rPr>
        <w:t>Estimated impact of divestitures completed during 2020 and 2021, assuming an effective date of January 1, 2020. Divested assets primarily included certain NGL storage terminals and Los Angeles Basin crude oil storage terminals that were previously included in our Facilities segment and the sale of a portion of our interest in a joint venture pipeline that was previously reported in our Transportation segment.</w:t>
      </w:r>
    </w:p>
    <w:p>
      <w:pPr>
        <w:spacing w:after="0" w:line="2" w:lineRule="exact"/>
        <w:rPr>
          <w:rFonts w:ascii="Arial" w:cs="Arial" w:eastAsia="Arial" w:hAnsi="Arial"/>
          <w:sz w:val="22"/>
          <w:szCs w:val="22"/>
          <w:color w:val="auto"/>
          <w:vertAlign w:val="superscript"/>
        </w:rPr>
      </w:pPr>
    </w:p>
    <w:p>
      <w:pPr>
        <w:ind w:left="5540" w:hanging="93"/>
        <w:spacing w:after="0"/>
        <w:tabs>
          <w:tab w:leader="none" w:pos="5540" w:val="left"/>
        </w:tabs>
        <w:numPr>
          <w:ilvl w:val="1"/>
          <w:numId w:val="23"/>
        </w:numPr>
        <w:rPr>
          <w:rFonts w:ascii="Arial" w:cs="Arial" w:eastAsia="Arial" w:hAnsi="Arial"/>
          <w:sz w:val="17"/>
          <w:szCs w:val="17"/>
          <w:color w:val="auto"/>
        </w:rPr>
      </w:pPr>
      <w:r>
        <w:rPr>
          <w:rFonts w:ascii="Arial" w:cs="Arial" w:eastAsia="Arial" w:hAnsi="Arial"/>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88265</wp:posOffset>
            </wp:positionV>
            <wp:extent cx="71215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30" w:lineRule="exact"/>
        <w:rPr>
          <w:sz w:val="20"/>
          <w:szCs w:val="20"/>
          <w:color w:val="auto"/>
        </w:rPr>
      </w:pPr>
    </w:p>
    <w:p>
      <w:pPr>
        <w:ind w:left="1840"/>
        <w:spacing w:after="0"/>
        <w:tabs>
          <w:tab w:leader="none" w:pos="4900" w:val="left"/>
          <w:tab w:leader="none" w:pos="75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340"/>
          </w:cols>
          <w:pgMar w:left="220" w:top="360"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u w:val="single" w:color="auto"/>
          <w:color w:val="auto"/>
        </w:rPr>
        <w:t>Page 22</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GP HOLDINGS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CONDENSED CONSOLIDATING STATEMENTS OF OPERATIONS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 millions, except per share data)</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Three Months Ended</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Three Months Ended</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7"/>
              </w:rPr>
              <w:t>June 30, 2021</w:t>
            </w: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7"/>
              </w:rPr>
              <w:t>June 30, 2020</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3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Consolidating</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Consolidating</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1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right"/>
              <w:ind w:right="334"/>
              <w:spacing w:after="0"/>
              <w:rPr>
                <w:sz w:val="20"/>
                <w:szCs w:val="20"/>
                <w:color w:val="auto"/>
              </w:rPr>
            </w:pPr>
            <w:r>
              <w:rPr>
                <w:rFonts w:ascii="Arial" w:cs="Arial" w:eastAsia="Arial" w:hAnsi="Arial"/>
                <w:sz w:val="14"/>
                <w:szCs w:val="14"/>
                <w:b w:val="1"/>
                <w:bCs w:val="1"/>
                <w:color w:val="auto"/>
              </w:rPr>
              <w:t>PAA</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6"/>
              <w:spacing w:after="0" w:line="194" w:lineRule="exact"/>
              <w:rPr>
                <w:sz w:val="20"/>
                <w:szCs w:val="20"/>
                <w:color w:val="auto"/>
              </w:rPr>
            </w:pPr>
            <w:r>
              <w:rPr>
                <w:rFonts w:ascii="Arial" w:cs="Arial" w:eastAsia="Arial" w:hAnsi="Arial"/>
                <w:sz w:val="14"/>
                <w:szCs w:val="14"/>
                <w:b w:val="1"/>
                <w:bCs w:val="1"/>
                <w:color w:val="auto"/>
                <w:w w:val="85"/>
              </w:rPr>
              <w:t xml:space="preserve">Adjustments </w:t>
            </w:r>
            <w:r>
              <w:rPr>
                <w:rFonts w:ascii="Arial" w:cs="Arial" w:eastAsia="Arial" w:hAnsi="Arial"/>
                <w:sz w:val="17"/>
                <w:szCs w:val="17"/>
                <w:b w:val="1"/>
                <w:bCs w:val="1"/>
                <w:color w:val="auto"/>
                <w:w w:val="85"/>
                <w:vertAlign w:val="superscript"/>
              </w:rPr>
              <w:t>(1)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PAGP</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PAA</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96"/>
              <w:spacing w:after="0" w:line="194" w:lineRule="exact"/>
              <w:rPr>
                <w:sz w:val="20"/>
                <w:szCs w:val="20"/>
                <w:color w:val="auto"/>
              </w:rPr>
            </w:pPr>
            <w:r>
              <w:rPr>
                <w:rFonts w:ascii="Arial" w:cs="Arial" w:eastAsia="Arial" w:hAnsi="Arial"/>
                <w:sz w:val="14"/>
                <w:szCs w:val="14"/>
                <w:b w:val="1"/>
                <w:bCs w:val="1"/>
                <w:color w:val="auto"/>
                <w:w w:val="87"/>
              </w:rPr>
              <w:t xml:space="preserve">Adjustments </w:t>
            </w:r>
            <w:r>
              <w:rPr>
                <w:rFonts w:ascii="Arial" w:cs="Arial" w:eastAsia="Arial" w:hAnsi="Arial"/>
                <w:sz w:val="17"/>
                <w:szCs w:val="17"/>
                <w:b w:val="1"/>
                <w:bCs w:val="1"/>
                <w:color w:val="auto"/>
                <w:w w:val="87"/>
                <w:vertAlign w:val="superscript"/>
              </w:rPr>
              <w:t>(1)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213"/>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REVENUES</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9,930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9,930</w:t>
            </w:r>
          </w:p>
        </w:tc>
        <w:tc>
          <w:tcPr>
            <w:tcW w:w="120" w:type="dxa"/>
            <w:vAlign w:val="bottom"/>
            <w:tcBorders>
              <w:right w:val="single" w:sz="8" w:color="auto"/>
            </w:tcBorders>
            <w:shd w:val="clear" w:color="auto" w:fill="CCEEFF"/>
          </w:tcPr>
          <w:p>
            <w:pPr>
              <w:spacing w:after="0"/>
              <w:rPr>
                <w:sz w:val="18"/>
                <w:szCs w:val="18"/>
                <w:color w:val="auto"/>
              </w:rPr>
            </w:pPr>
          </w:p>
        </w:tc>
        <w:tc>
          <w:tcPr>
            <w:tcW w:w="3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3,225</w:t>
            </w:r>
          </w:p>
        </w:tc>
        <w:tc>
          <w:tcPr>
            <w:tcW w:w="0" w:type="dxa"/>
            <w:vAlign w:val="bottom"/>
          </w:tcPr>
          <w:p>
            <w:pPr>
              <w:spacing w:after="0"/>
              <w:rPr>
                <w:sz w:val="1"/>
                <w:szCs w:val="1"/>
                <w:color w:val="auto"/>
              </w:rPr>
            </w:pPr>
          </w:p>
        </w:tc>
      </w:tr>
      <w:tr>
        <w:trPr>
          <w:trHeight w:val="142"/>
        </w:trPr>
        <w:tc>
          <w:tcPr>
            <w:tcW w:w="3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COSTS AND EXPENSES</w:t>
            </w: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140" w:type="dxa"/>
            <w:vAlign w:val="bottom"/>
          </w:tcPr>
          <w:p>
            <w:pPr>
              <w:ind w:left="20"/>
              <w:spacing w:after="0"/>
              <w:rPr>
                <w:sz w:val="20"/>
                <w:szCs w:val="20"/>
                <w:color w:val="auto"/>
              </w:rPr>
            </w:pPr>
            <w:r>
              <w:rPr>
                <w:rFonts w:ascii="Arial" w:cs="Arial" w:eastAsia="Arial" w:hAnsi="Arial"/>
                <w:sz w:val="17"/>
                <w:szCs w:val="17"/>
                <w:color w:val="auto"/>
              </w:rPr>
              <w:t>Purchases and related costs</w:t>
            </w:r>
          </w:p>
        </w:tc>
        <w:tc>
          <w:tcPr>
            <w:tcW w:w="2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9,277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9,277</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2,525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2,525</w:t>
            </w: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Field operating costs</w:t>
            </w: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w:t>
            </w:r>
          </w:p>
        </w:tc>
        <w:tc>
          <w:tcPr>
            <w:tcW w:w="0" w:type="dxa"/>
            <w:vAlign w:val="bottom"/>
          </w:tcPr>
          <w:p>
            <w:pPr>
              <w:spacing w:after="0"/>
              <w:rPr>
                <w:sz w:val="1"/>
                <w:szCs w:val="1"/>
                <w:color w:val="auto"/>
              </w:rPr>
            </w:pPr>
          </w:p>
        </w:tc>
      </w:tr>
      <w:tr>
        <w:trPr>
          <w:trHeight w:val="220"/>
        </w:trPr>
        <w:tc>
          <w:tcPr>
            <w:tcW w:w="3140" w:type="dxa"/>
            <w:vAlign w:val="bottom"/>
          </w:tcPr>
          <w:p>
            <w:pPr>
              <w:ind w:left="20"/>
              <w:spacing w:after="0"/>
              <w:rPr>
                <w:sz w:val="20"/>
                <w:szCs w:val="20"/>
                <w:color w:val="auto"/>
              </w:rPr>
            </w:pPr>
            <w:r>
              <w:rPr>
                <w:rFonts w:ascii="Arial" w:cs="Arial" w:eastAsia="Arial" w:hAnsi="Arial"/>
                <w:sz w:val="17"/>
                <w:szCs w:val="17"/>
                <w:color w:val="auto"/>
              </w:rPr>
              <w:t>General and administrative expenses</w:t>
            </w:r>
          </w:p>
        </w:tc>
        <w:tc>
          <w:tcPr>
            <w:tcW w:w="2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72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74</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74</w:t>
            </w: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Depreciation and amortization</w:t>
            </w: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w:t>
            </w:r>
          </w:p>
        </w:tc>
        <w:tc>
          <w:tcPr>
            <w:tcW w:w="0" w:type="dxa"/>
            <w:vAlign w:val="bottom"/>
          </w:tcPr>
          <w:p>
            <w:pPr>
              <w:spacing w:after="0"/>
              <w:rPr>
                <w:sz w:val="1"/>
                <w:szCs w:val="1"/>
                <w:color w:val="auto"/>
              </w:rPr>
            </w:pPr>
          </w:p>
        </w:tc>
      </w:tr>
      <w:tr>
        <w:trPr>
          <w:trHeight w:val="168"/>
        </w:trPr>
        <w:tc>
          <w:tcPr>
            <w:tcW w:w="3140" w:type="dxa"/>
            <w:vAlign w:val="bottom"/>
          </w:tcPr>
          <w:p>
            <w:pPr>
              <w:ind w:left="20"/>
              <w:spacing w:after="0" w:line="168" w:lineRule="exact"/>
              <w:rPr>
                <w:sz w:val="20"/>
                <w:szCs w:val="20"/>
                <w:color w:val="auto"/>
              </w:rPr>
            </w:pPr>
            <w:r>
              <w:rPr>
                <w:rFonts w:ascii="Arial" w:cs="Arial" w:eastAsia="Arial" w:hAnsi="Arial"/>
                <w:sz w:val="17"/>
                <w:szCs w:val="17"/>
                <w:color w:val="auto"/>
              </w:rPr>
              <w:t>(Gains)/losses on asset sales and asset</w:t>
            </w:r>
          </w:p>
        </w:tc>
        <w:tc>
          <w:tcPr>
            <w:tcW w:w="260" w:type="dxa"/>
            <w:vAlign w:val="bottom"/>
          </w:tcPr>
          <w:p>
            <w:pPr>
              <w:spacing w:after="0"/>
              <w:rPr>
                <w:sz w:val="14"/>
                <w:szCs w:val="14"/>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7"/>
                <w:szCs w:val="17"/>
                <w:color w:val="auto"/>
              </w:rPr>
              <w:t>369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369</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9"/>
        </w:trPr>
        <w:tc>
          <w:tcPr>
            <w:tcW w:w="3140" w:type="dxa"/>
            <w:vAlign w:val="bottom"/>
          </w:tcPr>
          <w:p>
            <w:pPr>
              <w:ind w:left="180"/>
              <w:spacing w:after="0"/>
              <w:rPr>
                <w:sz w:val="20"/>
                <w:szCs w:val="20"/>
                <w:color w:val="auto"/>
              </w:rPr>
            </w:pPr>
            <w:r>
              <w:rPr>
                <w:rFonts w:ascii="Arial" w:cs="Arial" w:eastAsia="Arial" w:hAnsi="Arial"/>
                <w:sz w:val="17"/>
                <w:szCs w:val="17"/>
                <w:color w:val="auto"/>
              </w:rPr>
              <w:t>impairments, net</w:t>
            </w:r>
          </w:p>
        </w:tc>
        <w:tc>
          <w:tcPr>
            <w:tcW w:w="26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1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Total costs and expenses</w:t>
            </w: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10,166</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10,169</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3,015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3,017</w:t>
            </w:r>
          </w:p>
        </w:tc>
        <w:tc>
          <w:tcPr>
            <w:tcW w:w="0" w:type="dxa"/>
            <w:vAlign w:val="bottom"/>
          </w:tcPr>
          <w:p>
            <w:pPr>
              <w:spacing w:after="0"/>
              <w:rPr>
                <w:sz w:val="1"/>
                <w:szCs w:val="1"/>
                <w:color w:val="auto"/>
              </w:rPr>
            </w:pPr>
          </w:p>
        </w:tc>
      </w:tr>
      <w:tr>
        <w:trPr>
          <w:trHeight w:val="142"/>
        </w:trPr>
        <w:tc>
          <w:tcPr>
            <w:tcW w:w="3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OPERATING INCOME/(LOSS)</w:t>
            </w: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w:t>
            </w:r>
          </w:p>
        </w:tc>
        <w:tc>
          <w:tcPr>
            <w:tcW w:w="0" w:type="dxa"/>
            <w:vAlign w:val="bottom"/>
          </w:tcPr>
          <w:p>
            <w:pPr>
              <w:spacing w:after="0"/>
              <w:rPr>
                <w:sz w:val="1"/>
                <w:szCs w:val="1"/>
                <w:color w:val="auto"/>
              </w:rPr>
            </w:pPr>
          </w:p>
        </w:tc>
      </w:tr>
      <w:tr>
        <w:trPr>
          <w:trHeight w:val="142"/>
        </w:trPr>
        <w:tc>
          <w:tcPr>
            <w:tcW w:w="3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OTHER INCOME/(EXPENSE)</w:t>
            </w: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140" w:type="dxa"/>
            <w:vAlign w:val="bottom"/>
          </w:tcPr>
          <w:p>
            <w:pPr>
              <w:ind w:left="20"/>
              <w:spacing w:after="0"/>
              <w:rPr>
                <w:sz w:val="20"/>
                <w:szCs w:val="20"/>
                <w:color w:val="auto"/>
              </w:rPr>
            </w:pPr>
            <w:r>
              <w:rPr>
                <w:rFonts w:ascii="Arial" w:cs="Arial" w:eastAsia="Arial" w:hAnsi="Arial"/>
                <w:sz w:val="17"/>
                <w:szCs w:val="17"/>
                <w:color w:val="auto"/>
                <w:w w:val="99"/>
              </w:rPr>
              <w:t>Equity earnings in unconsolidated entities</w:t>
            </w:r>
          </w:p>
        </w:tc>
        <w:tc>
          <w:tcPr>
            <w:tcW w:w="2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33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33</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81</w:t>
            </w:r>
          </w:p>
        </w:tc>
        <w:tc>
          <w:tcPr>
            <w:tcW w:w="0" w:type="dxa"/>
            <w:vAlign w:val="bottom"/>
          </w:tcPr>
          <w:p>
            <w:pPr>
              <w:spacing w:after="0"/>
              <w:rPr>
                <w:sz w:val="1"/>
                <w:szCs w:val="1"/>
                <w:color w:val="auto"/>
              </w:rPr>
            </w:pPr>
          </w:p>
        </w:tc>
      </w:tr>
      <w:tr>
        <w:trPr>
          <w:trHeight w:val="168"/>
        </w:trPr>
        <w:tc>
          <w:tcPr>
            <w:tcW w:w="314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Gain on/(impairment of) investments in</w:t>
            </w:r>
          </w:p>
        </w:tc>
        <w:tc>
          <w:tcPr>
            <w:tcW w:w="2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5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unconsolidated entities, net</w:t>
            </w: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140" w:type="dxa"/>
            <w:vAlign w:val="bottom"/>
          </w:tcPr>
          <w:p>
            <w:pPr>
              <w:ind w:left="20"/>
              <w:spacing w:after="0"/>
              <w:rPr>
                <w:sz w:val="20"/>
                <w:szCs w:val="20"/>
                <w:color w:val="auto"/>
              </w:rPr>
            </w:pPr>
            <w:r>
              <w:rPr>
                <w:rFonts w:ascii="Arial" w:cs="Arial" w:eastAsia="Arial" w:hAnsi="Arial"/>
                <w:sz w:val="17"/>
                <w:szCs w:val="17"/>
                <w:color w:val="auto"/>
              </w:rPr>
              <w:t>Interest expense, net</w:t>
            </w:r>
          </w:p>
        </w:tc>
        <w:tc>
          <w:tcPr>
            <w:tcW w:w="2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(107)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(107)</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(108)</w:t>
            </w: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income/(expense), net</w:t>
            </w: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122"/>
        </w:trPr>
        <w:tc>
          <w:tcPr>
            <w:tcW w:w="314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INCOME/(LOSS) BEFORE TAX</w:t>
            </w: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w:t>
            </w:r>
          </w:p>
        </w:tc>
        <w:tc>
          <w:tcPr>
            <w:tcW w:w="0" w:type="dxa"/>
            <w:vAlign w:val="bottom"/>
          </w:tcPr>
          <w:p>
            <w:pPr>
              <w:spacing w:after="0"/>
              <w:rPr>
                <w:sz w:val="1"/>
                <w:szCs w:val="1"/>
                <w:color w:val="auto"/>
              </w:rPr>
            </w:pPr>
          </w:p>
        </w:tc>
      </w:tr>
      <w:tr>
        <w:trPr>
          <w:trHeight w:val="220"/>
        </w:trPr>
        <w:tc>
          <w:tcPr>
            <w:tcW w:w="3140" w:type="dxa"/>
            <w:vAlign w:val="bottom"/>
          </w:tcPr>
          <w:p>
            <w:pPr>
              <w:ind w:left="20"/>
              <w:spacing w:after="0"/>
              <w:rPr>
                <w:sz w:val="20"/>
                <w:szCs w:val="20"/>
                <w:color w:val="auto"/>
              </w:rPr>
            </w:pPr>
            <w:r>
              <w:rPr>
                <w:rFonts w:ascii="Arial" w:cs="Arial" w:eastAsia="Arial" w:hAnsi="Arial"/>
                <w:sz w:val="17"/>
                <w:szCs w:val="17"/>
                <w:color w:val="auto"/>
              </w:rPr>
              <w:t>Current income tax expense</w:t>
            </w:r>
          </w:p>
        </w:tc>
        <w:tc>
          <w:tcPr>
            <w:tcW w:w="2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income tax benefit</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122"/>
        </w:trPr>
        <w:tc>
          <w:tcPr>
            <w:tcW w:w="3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INCOME/(LOSS)</w:t>
            </w: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w:t>
            </w:r>
          </w:p>
        </w:tc>
        <w:tc>
          <w:tcPr>
            <w:tcW w:w="0" w:type="dxa"/>
            <w:vAlign w:val="bottom"/>
          </w:tcPr>
          <w:p>
            <w:pPr>
              <w:spacing w:after="0"/>
              <w:rPr>
                <w:sz w:val="1"/>
                <w:szCs w:val="1"/>
                <w:color w:val="auto"/>
              </w:rPr>
            </w:pPr>
          </w:p>
        </w:tc>
      </w:tr>
      <w:tr>
        <w:trPr>
          <w:trHeight w:val="168"/>
        </w:trPr>
        <w:tc>
          <w:tcPr>
            <w:tcW w:w="3140" w:type="dxa"/>
            <w:vAlign w:val="bottom"/>
          </w:tcPr>
          <w:p>
            <w:pPr>
              <w:ind w:left="180"/>
              <w:spacing w:after="0" w:line="168" w:lineRule="exact"/>
              <w:rPr>
                <w:sz w:val="20"/>
                <w:szCs w:val="20"/>
                <w:color w:val="auto"/>
              </w:rPr>
            </w:pPr>
            <w:r>
              <w:rPr>
                <w:rFonts w:ascii="Arial" w:cs="Arial" w:eastAsia="Arial" w:hAnsi="Arial"/>
                <w:sz w:val="17"/>
                <w:szCs w:val="17"/>
                <w:color w:val="auto"/>
              </w:rPr>
              <w:t>Net (income)/loss attributable to</w:t>
            </w:r>
          </w:p>
        </w:tc>
        <w:tc>
          <w:tcPr>
            <w:tcW w:w="260" w:type="dxa"/>
            <w:vAlign w:val="bottom"/>
          </w:tcPr>
          <w:p>
            <w:pPr>
              <w:spacing w:after="0"/>
              <w:rPr>
                <w:sz w:val="14"/>
                <w:szCs w:val="14"/>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7"/>
                <w:szCs w:val="17"/>
                <w:color w:val="auto"/>
              </w:rPr>
              <w:t>147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143</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7"/>
                <w:szCs w:val="17"/>
                <w:color w:val="auto"/>
              </w:rPr>
              <w:t>(119)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(121)</w:t>
            </w:r>
          </w:p>
        </w:tc>
        <w:tc>
          <w:tcPr>
            <w:tcW w:w="0" w:type="dxa"/>
            <w:vAlign w:val="bottom"/>
          </w:tcPr>
          <w:p>
            <w:pPr>
              <w:spacing w:after="0"/>
              <w:rPr>
                <w:sz w:val="1"/>
                <w:szCs w:val="1"/>
                <w:color w:val="auto"/>
              </w:rPr>
            </w:pPr>
          </w:p>
        </w:tc>
      </w:tr>
      <w:tr>
        <w:trPr>
          <w:trHeight w:val="219"/>
        </w:trPr>
        <w:tc>
          <w:tcPr>
            <w:tcW w:w="314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noncontrolling interests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3140" w:type="dxa"/>
            <w:vAlign w:val="bottom"/>
            <w:shd w:val="clear" w:color="auto" w:fill="CCEEFF"/>
          </w:tcPr>
          <w:p>
            <w:pPr>
              <w:ind w:left="20"/>
              <w:spacing w:after="0" w:line="148" w:lineRule="exact"/>
              <w:rPr>
                <w:sz w:val="20"/>
                <w:szCs w:val="20"/>
                <w:color w:val="auto"/>
              </w:rPr>
            </w:pPr>
            <w:r>
              <w:rPr>
                <w:rFonts w:ascii="Arial" w:cs="Arial" w:eastAsia="Arial" w:hAnsi="Arial"/>
                <w:sz w:val="17"/>
                <w:szCs w:val="17"/>
                <w:b w:val="1"/>
                <w:bCs w:val="1"/>
                <w:color w:val="auto"/>
              </w:rPr>
              <w:t>NET INCOME/(LOSS)</w:t>
            </w:r>
          </w:p>
        </w:tc>
        <w:tc>
          <w:tcPr>
            <w:tcW w:w="260" w:type="dxa"/>
            <w:vAlign w:val="bottom"/>
            <w:vMerge w:val="restart"/>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86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(220)</w:t>
            </w:r>
          </w:p>
        </w:tc>
        <w:tc>
          <w:tcPr>
            <w:tcW w:w="12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151</w:t>
            </w: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vMerge w:val="restart"/>
            <w:shd w:val="clear" w:color="auto" w:fill="CCEEFF"/>
          </w:tcPr>
          <w:p>
            <w:pPr>
              <w:spacing w:after="0"/>
              <w:rPr>
                <w:sz w:val="12"/>
                <w:szCs w:val="12"/>
                <w:color w:val="auto"/>
              </w:rPr>
            </w:pPr>
          </w:p>
        </w:tc>
        <w:tc>
          <w:tcPr>
            <w:tcW w:w="260" w:type="dxa"/>
            <w:vAlign w:val="bottom"/>
            <w:vMerge w:val="restart"/>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142</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(126)</w:t>
            </w:r>
          </w:p>
        </w:tc>
        <w:tc>
          <w:tcPr>
            <w:tcW w:w="10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14"/>
        </w:trPr>
        <w:tc>
          <w:tcPr>
            <w:tcW w:w="3140" w:type="dxa"/>
            <w:vAlign w:val="bottom"/>
            <w:tcBorders>
              <w:bottom w:val="single" w:sz="8" w:color="CCEEFF"/>
            </w:tcBorders>
            <w:shd w:val="clear" w:color="auto" w:fill="CCEEFF"/>
          </w:tcPr>
          <w:p>
            <w:pPr>
              <w:ind w:left="180"/>
              <w:spacing w:after="0" w:line="194" w:lineRule="exact"/>
              <w:rPr>
                <w:sz w:val="20"/>
                <w:szCs w:val="20"/>
                <w:color w:val="auto"/>
              </w:rPr>
            </w:pPr>
            <w:r>
              <w:rPr>
                <w:rFonts w:ascii="Arial" w:cs="Arial" w:eastAsia="Arial" w:hAnsi="Arial"/>
                <w:sz w:val="17"/>
                <w:szCs w:val="17"/>
                <w:b w:val="1"/>
                <w:bCs w:val="1"/>
                <w:color w:val="auto"/>
              </w:rPr>
              <w:t>ATTRIBUTABLE TO PAGP</w:t>
            </w: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auto"/>
            </w:tcBorders>
            <w:gridSpan w:val="2"/>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100" w:type="dxa"/>
            <w:vAlign w:val="bottom"/>
            <w:tcBorders>
              <w:bottom w:val="single" w:sz="8" w:color="CCEEFF"/>
            </w:tcBorders>
            <w:vMerge w:val="continue"/>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140" w:type="dxa"/>
            <w:vAlign w:val="bottom"/>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2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2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5900" w:type="dxa"/>
            <w:vAlign w:val="bottom"/>
            <w:tcBorders>
              <w:bottom w:val="single" w:sz="8" w:color="CCEEFF"/>
            </w:tcBorders>
            <w:gridSpan w:val="8"/>
            <w:shd w:val="clear" w:color="auto" w:fill="CCEEFF"/>
          </w:tcPr>
          <w:p>
            <w:pPr>
              <w:ind w:left="20"/>
              <w:spacing w:after="0"/>
              <w:rPr>
                <w:sz w:val="20"/>
                <w:szCs w:val="20"/>
                <w:color w:val="auto"/>
              </w:rPr>
            </w:pPr>
            <w:r>
              <w:rPr>
                <w:rFonts w:ascii="Arial" w:cs="Arial" w:eastAsia="Arial" w:hAnsi="Arial"/>
                <w:sz w:val="17"/>
                <w:szCs w:val="17"/>
                <w:b w:val="1"/>
                <w:bCs w:val="1"/>
                <w:color w:val="auto"/>
              </w:rPr>
              <w:t>BASIC AND DILUTED NET INCOME/(LOSS) PER CLASS A SHARE</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(0.35)</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0.09</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gridSpan w:val="3"/>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5900" w:type="dxa"/>
            <w:vAlign w:val="bottom"/>
            <w:gridSpan w:val="8"/>
            <w:shd w:val="clear" w:color="auto" w:fill="CCEEFF"/>
          </w:tcPr>
          <w:p>
            <w:pPr>
              <w:ind w:left="20"/>
              <w:spacing w:after="0" w:line="168" w:lineRule="exact"/>
              <w:rPr>
                <w:sz w:val="20"/>
                <w:szCs w:val="20"/>
                <w:color w:val="auto"/>
              </w:rPr>
            </w:pPr>
            <w:r>
              <w:rPr>
                <w:rFonts w:ascii="Arial" w:cs="Arial" w:eastAsia="Arial" w:hAnsi="Arial"/>
                <w:sz w:val="17"/>
                <w:szCs w:val="17"/>
                <w:b w:val="1"/>
                <w:bCs w:val="1"/>
                <w:color w:val="auto"/>
              </w:rPr>
              <w:t>BASIC AND DILUTED WEIGHTED AVERAGE CLASS A SHARES</w:t>
            </w:r>
          </w:p>
        </w:tc>
        <w:tc>
          <w:tcPr>
            <w:tcW w:w="2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194</w:t>
            </w:r>
          </w:p>
        </w:tc>
        <w:tc>
          <w:tcPr>
            <w:tcW w:w="12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184</w:t>
            </w:r>
          </w:p>
        </w:tc>
        <w:tc>
          <w:tcPr>
            <w:tcW w:w="0" w:type="dxa"/>
            <w:vAlign w:val="bottom"/>
          </w:tcPr>
          <w:p>
            <w:pPr>
              <w:spacing w:after="0"/>
              <w:rPr>
                <w:sz w:val="1"/>
                <w:szCs w:val="1"/>
                <w:color w:val="auto"/>
              </w:rPr>
            </w:pPr>
          </w:p>
        </w:tc>
      </w:tr>
      <w:tr>
        <w:trPr>
          <w:trHeight w:val="214"/>
        </w:trPr>
        <w:tc>
          <w:tcPr>
            <w:tcW w:w="3140" w:type="dxa"/>
            <w:vAlign w:val="bottom"/>
            <w:tcBorders>
              <w:bottom w:val="single" w:sz="8" w:color="CCEEFF"/>
            </w:tcBorders>
            <w:shd w:val="clear" w:color="auto" w:fill="CCEEFF"/>
          </w:tcPr>
          <w:p>
            <w:pPr>
              <w:ind w:left="20"/>
              <w:spacing w:after="0" w:line="194" w:lineRule="exact"/>
              <w:rPr>
                <w:sz w:val="20"/>
                <w:szCs w:val="20"/>
                <w:color w:val="auto"/>
              </w:rPr>
            </w:pPr>
            <w:r>
              <w:rPr>
                <w:rFonts w:ascii="Arial" w:cs="Arial" w:eastAsia="Arial" w:hAnsi="Arial"/>
                <w:sz w:val="17"/>
                <w:szCs w:val="17"/>
                <w:b w:val="1"/>
                <w:bCs w:val="1"/>
                <w:color w:val="auto"/>
              </w:rPr>
              <w:t>OUTSTANDING</w:t>
            </w:r>
          </w:p>
        </w:tc>
        <w:tc>
          <w:tcPr>
            <w:tcW w:w="2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31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300" w:hanging="297"/>
        <w:spacing w:after="0"/>
        <w:tabs>
          <w:tab w:leader="none" w:pos="300" w:val="left"/>
        </w:tabs>
        <w:numPr>
          <w:ilvl w:val="0"/>
          <w:numId w:val="24"/>
        </w:numPr>
        <w:rPr>
          <w:rFonts w:ascii="Arial" w:cs="Arial" w:eastAsia="Arial" w:hAnsi="Arial"/>
          <w:sz w:val="22"/>
          <w:szCs w:val="22"/>
          <w:color w:val="auto"/>
          <w:vertAlign w:val="superscript"/>
        </w:rPr>
      </w:pPr>
      <w:r>
        <w:rPr>
          <w:rFonts w:ascii="Arial" w:cs="Arial" w:eastAsia="Arial" w:hAnsi="Arial"/>
          <w:sz w:val="17"/>
          <w:szCs w:val="17"/>
          <w:color w:val="auto"/>
        </w:rPr>
        <w:t>Represents the aggregate consolidating adjustments necessary to produce consolidated financial statements for PAGP.</w:t>
      </w:r>
    </w:p>
    <w:p>
      <w:pPr>
        <w:ind w:left="5440" w:hanging="93"/>
        <w:spacing w:after="0"/>
        <w:tabs>
          <w:tab w:leader="none" w:pos="5440" w:val="left"/>
        </w:tabs>
        <w:numPr>
          <w:ilvl w:val="1"/>
          <w:numId w:val="24"/>
        </w:numPr>
        <w:rPr>
          <w:rFonts w:ascii="Arial" w:cs="Arial" w:eastAsia="Arial" w:hAnsi="Arial"/>
          <w:sz w:val="17"/>
          <w:szCs w:val="17"/>
          <w:color w:val="auto"/>
        </w:rPr>
      </w:pPr>
      <w:r>
        <w:rPr>
          <w:rFonts w:ascii="Arial" w:cs="Arial" w:eastAsia="Arial" w:hAnsi="Arial"/>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88265</wp:posOffset>
            </wp:positionV>
            <wp:extent cx="71215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30"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160"/>
          </w:cols>
          <w:pgMar w:left="320" w:top="360" w:right="419" w:bottom="1440" w:gutter="0" w:footer="0" w:header="0"/>
        </w:sectPr>
      </w:pPr>
    </w:p>
    <w:bookmarkStart w:id="25" w:name="page26"/>
    <w:bookmarkEnd w:id="25"/>
    <w:p>
      <w:pPr>
        <w:spacing w:after="0"/>
        <w:rPr>
          <w:sz w:val="20"/>
          <w:szCs w:val="20"/>
          <w:color w:val="auto"/>
        </w:rPr>
      </w:pPr>
      <w:r>
        <w:rPr>
          <w:rFonts w:ascii="Arial" w:cs="Arial" w:eastAsia="Arial" w:hAnsi="Arial"/>
          <w:sz w:val="17"/>
          <w:szCs w:val="17"/>
          <w:u w:val="single" w:color="auto"/>
          <w:color w:val="auto"/>
        </w:rPr>
        <w:t>Page 23</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GP HOLDINGS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CONDENSED CONSOLIDATING STATEMENTS OF OPERATIONS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 millions, except per share data)</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Six Months Ended</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Six Months Ended</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7"/>
              </w:rPr>
              <w:t>June 30, 2021</w:t>
            </w: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7"/>
              </w:rPr>
              <w:t>June 30, 2020</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3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Consolidating</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Consolidating</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1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right"/>
              <w:ind w:right="334"/>
              <w:spacing w:after="0"/>
              <w:rPr>
                <w:sz w:val="20"/>
                <w:szCs w:val="20"/>
                <w:color w:val="auto"/>
              </w:rPr>
            </w:pPr>
            <w:r>
              <w:rPr>
                <w:rFonts w:ascii="Arial" w:cs="Arial" w:eastAsia="Arial" w:hAnsi="Arial"/>
                <w:sz w:val="14"/>
                <w:szCs w:val="14"/>
                <w:b w:val="1"/>
                <w:bCs w:val="1"/>
                <w:color w:val="auto"/>
              </w:rPr>
              <w:t>PAA</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77"/>
              <w:spacing w:after="0" w:line="194" w:lineRule="exact"/>
              <w:rPr>
                <w:sz w:val="20"/>
                <w:szCs w:val="20"/>
                <w:color w:val="auto"/>
              </w:rPr>
            </w:pPr>
            <w:r>
              <w:rPr>
                <w:rFonts w:ascii="Arial" w:cs="Arial" w:eastAsia="Arial" w:hAnsi="Arial"/>
                <w:sz w:val="14"/>
                <w:szCs w:val="14"/>
                <w:b w:val="1"/>
                <w:bCs w:val="1"/>
                <w:color w:val="auto"/>
                <w:w w:val="85"/>
              </w:rPr>
              <w:t xml:space="preserve">Adjustments </w:t>
            </w:r>
            <w:r>
              <w:rPr>
                <w:rFonts w:ascii="Arial" w:cs="Arial" w:eastAsia="Arial" w:hAnsi="Arial"/>
                <w:sz w:val="17"/>
                <w:szCs w:val="17"/>
                <w:b w:val="1"/>
                <w:bCs w:val="1"/>
                <w:color w:val="auto"/>
                <w:w w:val="85"/>
                <w:vertAlign w:val="superscript"/>
              </w:rPr>
              <w:t>(1)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PAGP</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PAA</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57"/>
              <w:spacing w:after="0" w:line="194" w:lineRule="exact"/>
              <w:rPr>
                <w:sz w:val="20"/>
                <w:szCs w:val="20"/>
                <w:color w:val="auto"/>
              </w:rPr>
            </w:pPr>
            <w:r>
              <w:rPr>
                <w:rFonts w:ascii="Arial" w:cs="Arial" w:eastAsia="Arial" w:hAnsi="Arial"/>
                <w:sz w:val="14"/>
                <w:szCs w:val="14"/>
                <w:b w:val="1"/>
                <w:bCs w:val="1"/>
                <w:color w:val="auto"/>
                <w:w w:val="87"/>
              </w:rPr>
              <w:t xml:space="preserve">Adjustments </w:t>
            </w:r>
            <w:r>
              <w:rPr>
                <w:rFonts w:ascii="Arial" w:cs="Arial" w:eastAsia="Arial" w:hAnsi="Arial"/>
                <w:sz w:val="17"/>
                <w:szCs w:val="17"/>
                <w:b w:val="1"/>
                <w:bCs w:val="1"/>
                <w:color w:val="auto"/>
                <w:w w:val="87"/>
                <w:vertAlign w:val="superscript"/>
              </w:rPr>
              <w:t>(1)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213"/>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REVENUES</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18,313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18,313</w:t>
            </w:r>
          </w:p>
        </w:tc>
        <w:tc>
          <w:tcPr>
            <w:tcW w:w="120" w:type="dxa"/>
            <w:vAlign w:val="bottom"/>
            <w:tcBorders>
              <w:right w:val="single" w:sz="8" w:color="auto"/>
            </w:tcBorders>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11,494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11,494</w:t>
            </w:r>
          </w:p>
        </w:tc>
        <w:tc>
          <w:tcPr>
            <w:tcW w:w="0" w:type="dxa"/>
            <w:vAlign w:val="bottom"/>
          </w:tcPr>
          <w:p>
            <w:pPr>
              <w:spacing w:after="0"/>
              <w:rPr>
                <w:sz w:val="1"/>
                <w:szCs w:val="1"/>
                <w:color w:val="auto"/>
              </w:rPr>
            </w:pPr>
          </w:p>
        </w:tc>
      </w:tr>
      <w:tr>
        <w:trPr>
          <w:trHeight w:val="142"/>
        </w:trPr>
        <w:tc>
          <w:tcPr>
            <w:tcW w:w="3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COSTS AND EXPENSES</w:t>
            </w: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140" w:type="dxa"/>
            <w:vAlign w:val="bottom"/>
          </w:tcPr>
          <w:p>
            <w:pPr>
              <w:ind w:left="20"/>
              <w:spacing w:after="0"/>
              <w:rPr>
                <w:sz w:val="20"/>
                <w:szCs w:val="20"/>
                <w:color w:val="auto"/>
              </w:rPr>
            </w:pPr>
            <w:r>
              <w:rPr>
                <w:rFonts w:ascii="Arial" w:cs="Arial" w:eastAsia="Arial" w:hAnsi="Arial"/>
                <w:sz w:val="17"/>
                <w:szCs w:val="17"/>
                <w:color w:val="auto"/>
              </w:rPr>
              <w:t>Purchases and related costs</w:t>
            </w:r>
          </w:p>
        </w:tc>
        <w:tc>
          <w:tcPr>
            <w:tcW w:w="2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16,669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16,669</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9,893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9,893</w:t>
            </w: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Field operating costs</w:t>
            </w: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471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471</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557</w:t>
            </w:r>
          </w:p>
        </w:tc>
        <w:tc>
          <w:tcPr>
            <w:tcW w:w="0" w:type="dxa"/>
            <w:vAlign w:val="bottom"/>
          </w:tcPr>
          <w:p>
            <w:pPr>
              <w:spacing w:after="0"/>
              <w:rPr>
                <w:sz w:val="1"/>
                <w:szCs w:val="1"/>
                <w:color w:val="auto"/>
              </w:rPr>
            </w:pPr>
          </w:p>
        </w:tc>
      </w:tr>
      <w:tr>
        <w:trPr>
          <w:trHeight w:val="220"/>
        </w:trPr>
        <w:tc>
          <w:tcPr>
            <w:tcW w:w="3140" w:type="dxa"/>
            <w:vAlign w:val="bottom"/>
          </w:tcPr>
          <w:p>
            <w:pPr>
              <w:ind w:left="20"/>
              <w:spacing w:after="0"/>
              <w:rPr>
                <w:sz w:val="20"/>
                <w:szCs w:val="20"/>
                <w:color w:val="auto"/>
              </w:rPr>
            </w:pPr>
            <w:r>
              <w:rPr>
                <w:rFonts w:ascii="Arial" w:cs="Arial" w:eastAsia="Arial" w:hAnsi="Arial"/>
                <w:sz w:val="17"/>
                <w:szCs w:val="17"/>
                <w:color w:val="auto"/>
              </w:rPr>
              <w:t>General and administrative expenses</w:t>
            </w:r>
          </w:p>
        </w:tc>
        <w:tc>
          <w:tcPr>
            <w:tcW w:w="2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139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142</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144</w:t>
            </w: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Depreciation and amortization</w:t>
            </w: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374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335</w:t>
            </w:r>
          </w:p>
        </w:tc>
        <w:tc>
          <w:tcPr>
            <w:tcW w:w="0" w:type="dxa"/>
            <w:vAlign w:val="bottom"/>
          </w:tcPr>
          <w:p>
            <w:pPr>
              <w:spacing w:after="0"/>
              <w:rPr>
                <w:sz w:val="1"/>
                <w:szCs w:val="1"/>
                <w:color w:val="auto"/>
              </w:rPr>
            </w:pPr>
          </w:p>
        </w:tc>
      </w:tr>
      <w:tr>
        <w:trPr>
          <w:trHeight w:val="168"/>
        </w:trPr>
        <w:tc>
          <w:tcPr>
            <w:tcW w:w="3140" w:type="dxa"/>
            <w:vAlign w:val="bottom"/>
          </w:tcPr>
          <w:p>
            <w:pPr>
              <w:ind w:left="20"/>
              <w:spacing w:after="0" w:line="168" w:lineRule="exact"/>
              <w:rPr>
                <w:sz w:val="20"/>
                <w:szCs w:val="20"/>
                <w:color w:val="auto"/>
              </w:rPr>
            </w:pPr>
            <w:r>
              <w:rPr>
                <w:rFonts w:ascii="Arial" w:cs="Arial" w:eastAsia="Arial" w:hAnsi="Arial"/>
                <w:sz w:val="17"/>
                <w:szCs w:val="17"/>
                <w:color w:val="auto"/>
              </w:rPr>
              <w:t>(Gains)/losses on asset sales and asset</w:t>
            </w:r>
          </w:p>
        </w:tc>
        <w:tc>
          <w:tcPr>
            <w:tcW w:w="260" w:type="dxa"/>
            <w:vAlign w:val="bottom"/>
          </w:tcPr>
          <w:p>
            <w:pPr>
              <w:spacing w:after="0"/>
              <w:rPr>
                <w:sz w:val="14"/>
                <w:szCs w:val="14"/>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7"/>
                <w:szCs w:val="17"/>
                <w:color w:val="auto"/>
              </w:rPr>
              <w:t>370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370</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618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618</w:t>
            </w:r>
          </w:p>
        </w:tc>
        <w:tc>
          <w:tcPr>
            <w:tcW w:w="0" w:type="dxa"/>
            <w:vAlign w:val="bottom"/>
          </w:tcPr>
          <w:p>
            <w:pPr>
              <w:spacing w:after="0"/>
              <w:rPr>
                <w:sz w:val="1"/>
                <w:szCs w:val="1"/>
                <w:color w:val="auto"/>
              </w:rPr>
            </w:pPr>
          </w:p>
        </w:tc>
      </w:tr>
      <w:tr>
        <w:trPr>
          <w:trHeight w:val="219"/>
        </w:trPr>
        <w:tc>
          <w:tcPr>
            <w:tcW w:w="3140" w:type="dxa"/>
            <w:vAlign w:val="bottom"/>
          </w:tcPr>
          <w:p>
            <w:pPr>
              <w:ind w:left="180"/>
              <w:spacing w:after="0"/>
              <w:rPr>
                <w:sz w:val="20"/>
                <w:szCs w:val="20"/>
                <w:color w:val="auto"/>
              </w:rPr>
            </w:pPr>
            <w:r>
              <w:rPr>
                <w:rFonts w:ascii="Arial" w:cs="Arial" w:eastAsia="Arial" w:hAnsi="Arial"/>
                <w:sz w:val="17"/>
                <w:szCs w:val="17"/>
                <w:color w:val="auto"/>
              </w:rPr>
              <w:t>impairments, net</w:t>
            </w:r>
          </w:p>
        </w:tc>
        <w:tc>
          <w:tcPr>
            <w:tcW w:w="26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 impairment losses</w:t>
            </w: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2,515</w:t>
            </w:r>
          </w:p>
        </w:tc>
        <w:tc>
          <w:tcPr>
            <w:tcW w:w="0" w:type="dxa"/>
            <w:vAlign w:val="bottom"/>
          </w:tcPr>
          <w:p>
            <w:pPr>
              <w:spacing w:after="0"/>
              <w:rPr>
                <w:sz w:val="1"/>
                <w:szCs w:val="1"/>
                <w:color w:val="auto"/>
              </w:rPr>
            </w:pPr>
          </w:p>
        </w:tc>
      </w:tr>
      <w:tr>
        <w:trPr>
          <w:trHeight w:val="213"/>
        </w:trPr>
        <w:tc>
          <w:tcPr>
            <w:tcW w:w="3140" w:type="dxa"/>
            <w:vAlign w:val="bottom"/>
          </w:tcPr>
          <w:p>
            <w:pPr>
              <w:ind w:left="180"/>
              <w:spacing w:after="0"/>
              <w:rPr>
                <w:sz w:val="20"/>
                <w:szCs w:val="20"/>
                <w:color w:val="auto"/>
              </w:rPr>
            </w:pPr>
            <w:r>
              <w:rPr>
                <w:rFonts w:ascii="Arial" w:cs="Arial" w:eastAsia="Arial" w:hAnsi="Arial"/>
                <w:sz w:val="17"/>
                <w:szCs w:val="17"/>
                <w:color w:val="auto"/>
              </w:rPr>
              <w:t>Total costs and expenses</w:t>
            </w: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rPr>
              <w:t>18,023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18,027</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14,057</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14,062</w:t>
            </w:r>
          </w:p>
        </w:tc>
        <w:tc>
          <w:tcPr>
            <w:tcW w:w="0" w:type="dxa"/>
            <w:vAlign w:val="bottom"/>
          </w:tcPr>
          <w:p>
            <w:pPr>
              <w:spacing w:after="0"/>
              <w:rPr>
                <w:sz w:val="1"/>
                <w:szCs w:val="1"/>
                <w:color w:val="auto"/>
              </w:rPr>
            </w:pPr>
          </w:p>
        </w:tc>
      </w:tr>
      <w:tr>
        <w:trPr>
          <w:trHeight w:val="142"/>
        </w:trPr>
        <w:tc>
          <w:tcPr>
            <w:tcW w:w="3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0"/>
        </w:trPr>
        <w:tc>
          <w:tcPr>
            <w:tcW w:w="3140" w:type="dxa"/>
            <w:vAlign w:val="bottom"/>
          </w:tcPr>
          <w:p>
            <w:pPr>
              <w:ind w:left="20"/>
              <w:spacing w:after="0"/>
              <w:rPr>
                <w:sz w:val="20"/>
                <w:szCs w:val="20"/>
                <w:color w:val="auto"/>
              </w:rPr>
            </w:pPr>
            <w:r>
              <w:rPr>
                <w:rFonts w:ascii="Arial" w:cs="Arial" w:eastAsia="Arial" w:hAnsi="Arial"/>
                <w:sz w:val="17"/>
                <w:szCs w:val="17"/>
                <w:b w:val="1"/>
                <w:bCs w:val="1"/>
                <w:color w:val="auto"/>
              </w:rPr>
              <w:t>OPERATING INCOME/(LOSS)</w:t>
            </w:r>
          </w:p>
        </w:tc>
        <w:tc>
          <w:tcPr>
            <w:tcW w:w="2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290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286</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(2,563)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(2,568)</w:t>
            </w:r>
          </w:p>
        </w:tc>
        <w:tc>
          <w:tcPr>
            <w:tcW w:w="0" w:type="dxa"/>
            <w:vAlign w:val="bottom"/>
          </w:tcPr>
          <w:p>
            <w:pPr>
              <w:spacing w:after="0"/>
              <w:rPr>
                <w:sz w:val="1"/>
                <w:szCs w:val="1"/>
                <w:color w:val="auto"/>
              </w:rPr>
            </w:pPr>
          </w:p>
        </w:tc>
      </w:tr>
      <w:tr>
        <w:trPr>
          <w:trHeight w:val="142"/>
        </w:trPr>
        <w:tc>
          <w:tcPr>
            <w:tcW w:w="3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0"/>
        </w:trPr>
        <w:tc>
          <w:tcPr>
            <w:tcW w:w="3140" w:type="dxa"/>
            <w:vAlign w:val="bottom"/>
          </w:tcPr>
          <w:p>
            <w:pPr>
              <w:ind w:left="20"/>
              <w:spacing w:after="0"/>
              <w:rPr>
                <w:sz w:val="20"/>
                <w:szCs w:val="20"/>
                <w:color w:val="auto"/>
              </w:rPr>
            </w:pPr>
            <w:r>
              <w:rPr>
                <w:rFonts w:ascii="Arial" w:cs="Arial" w:eastAsia="Arial" w:hAnsi="Arial"/>
                <w:sz w:val="17"/>
                <w:szCs w:val="17"/>
                <w:b w:val="1"/>
                <w:bCs w:val="1"/>
                <w:color w:val="auto"/>
              </w:rPr>
              <w:t>OTHER INCOME/(EXPENSE)</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color w:val="auto"/>
                <w:w w:val="99"/>
              </w:rPr>
              <w:t>Equity earnings in unconsolidated entities</w:t>
            </w: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w:t>
            </w:r>
          </w:p>
        </w:tc>
        <w:tc>
          <w:tcPr>
            <w:tcW w:w="0" w:type="dxa"/>
            <w:vAlign w:val="bottom"/>
          </w:tcPr>
          <w:p>
            <w:pPr>
              <w:spacing w:after="0"/>
              <w:rPr>
                <w:sz w:val="1"/>
                <w:szCs w:val="1"/>
                <w:color w:val="auto"/>
              </w:rPr>
            </w:pPr>
          </w:p>
        </w:tc>
      </w:tr>
      <w:tr>
        <w:trPr>
          <w:trHeight w:val="168"/>
        </w:trPr>
        <w:tc>
          <w:tcPr>
            <w:tcW w:w="3140" w:type="dxa"/>
            <w:vAlign w:val="bottom"/>
          </w:tcPr>
          <w:p>
            <w:pPr>
              <w:ind w:left="20"/>
              <w:spacing w:after="0" w:line="168" w:lineRule="exact"/>
              <w:rPr>
                <w:sz w:val="20"/>
                <w:szCs w:val="20"/>
                <w:color w:val="auto"/>
              </w:rPr>
            </w:pPr>
            <w:r>
              <w:rPr>
                <w:rFonts w:ascii="Arial" w:cs="Arial" w:eastAsia="Arial" w:hAnsi="Arial"/>
                <w:sz w:val="17"/>
                <w:szCs w:val="17"/>
                <w:color w:val="auto"/>
              </w:rPr>
              <w:t>Gain on/(impairment of) investments in</w:t>
            </w: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4"/>
                <w:szCs w:val="14"/>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(91)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(91)</w:t>
            </w:r>
          </w:p>
        </w:tc>
        <w:tc>
          <w:tcPr>
            <w:tcW w:w="0" w:type="dxa"/>
            <w:vAlign w:val="bottom"/>
          </w:tcPr>
          <w:p>
            <w:pPr>
              <w:spacing w:after="0"/>
              <w:rPr>
                <w:sz w:val="1"/>
                <w:szCs w:val="1"/>
                <w:color w:val="auto"/>
              </w:rPr>
            </w:pPr>
          </w:p>
        </w:tc>
      </w:tr>
      <w:tr>
        <w:trPr>
          <w:trHeight w:val="219"/>
        </w:trPr>
        <w:tc>
          <w:tcPr>
            <w:tcW w:w="3140" w:type="dxa"/>
            <w:vAlign w:val="bottom"/>
          </w:tcPr>
          <w:p>
            <w:pPr>
              <w:ind w:left="180"/>
              <w:spacing w:after="0"/>
              <w:rPr>
                <w:sz w:val="20"/>
                <w:szCs w:val="20"/>
                <w:color w:val="auto"/>
              </w:rPr>
            </w:pPr>
            <w:r>
              <w:rPr>
                <w:rFonts w:ascii="Arial" w:cs="Arial" w:eastAsia="Arial" w:hAnsi="Arial"/>
                <w:sz w:val="17"/>
                <w:szCs w:val="17"/>
                <w:color w:val="auto"/>
              </w:rPr>
              <w:t>unconsolidated entities, net</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 net</w:t>
            </w: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w:t>
            </w:r>
          </w:p>
        </w:tc>
        <w:tc>
          <w:tcPr>
            <w:tcW w:w="0" w:type="dxa"/>
            <w:vAlign w:val="bottom"/>
          </w:tcPr>
          <w:p>
            <w:pPr>
              <w:spacing w:after="0"/>
              <w:rPr>
                <w:sz w:val="1"/>
                <w:szCs w:val="1"/>
                <w:color w:val="auto"/>
              </w:rPr>
            </w:pPr>
          </w:p>
        </w:tc>
      </w:tr>
      <w:tr>
        <w:trPr>
          <w:trHeight w:val="220"/>
        </w:trPr>
        <w:tc>
          <w:tcPr>
            <w:tcW w:w="3140" w:type="dxa"/>
            <w:vAlign w:val="bottom"/>
          </w:tcPr>
          <w:p>
            <w:pPr>
              <w:ind w:left="20"/>
              <w:spacing w:after="0"/>
              <w:rPr>
                <w:sz w:val="20"/>
                <w:szCs w:val="20"/>
                <w:color w:val="auto"/>
              </w:rPr>
            </w:pPr>
            <w:r>
              <w:rPr>
                <w:rFonts w:ascii="Arial" w:cs="Arial" w:eastAsia="Arial" w:hAnsi="Arial"/>
                <w:sz w:val="17"/>
                <w:szCs w:val="17"/>
                <w:color w:val="auto"/>
              </w:rPr>
              <w:t>Other expense, net</w:t>
            </w:r>
          </w:p>
        </w:tc>
        <w:tc>
          <w:tcPr>
            <w:tcW w:w="2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23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23</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122"/>
        </w:trPr>
        <w:tc>
          <w:tcPr>
            <w:tcW w:w="314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12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right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12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3140" w:type="dxa"/>
            <w:vAlign w:val="bottom"/>
          </w:tcPr>
          <w:p>
            <w:pPr>
              <w:ind w:left="20"/>
              <w:spacing w:after="0"/>
              <w:rPr>
                <w:sz w:val="20"/>
                <w:szCs w:val="20"/>
                <w:color w:val="auto"/>
              </w:rPr>
            </w:pPr>
            <w:r>
              <w:rPr>
                <w:rFonts w:ascii="Arial" w:cs="Arial" w:eastAsia="Arial" w:hAnsi="Arial"/>
                <w:sz w:val="17"/>
                <w:szCs w:val="17"/>
                <w:b w:val="1"/>
                <w:bCs w:val="1"/>
                <w:color w:val="auto"/>
              </w:rPr>
              <w:t>INCOME/(LOSS) BEFORE TAX</w:t>
            </w:r>
          </w:p>
        </w:tc>
        <w:tc>
          <w:tcPr>
            <w:tcW w:w="2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221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217</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(2,691)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(2,696)</w:t>
            </w: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income tax expense</w:t>
            </w: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20"/>
        </w:trPr>
        <w:tc>
          <w:tcPr>
            <w:tcW w:w="31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Deferred income tax (expense)/benefit</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w:t>
            </w:r>
          </w:p>
        </w:tc>
        <w:tc>
          <w:tcPr>
            <w:tcW w:w="12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162</w:t>
            </w:r>
          </w:p>
        </w:tc>
        <w:tc>
          <w:tcPr>
            <w:tcW w:w="0" w:type="dxa"/>
            <w:vAlign w:val="bottom"/>
          </w:tcPr>
          <w:p>
            <w:pPr>
              <w:spacing w:after="0"/>
              <w:rPr>
                <w:sz w:val="1"/>
                <w:szCs w:val="1"/>
                <w:color w:val="auto"/>
              </w:rPr>
            </w:pPr>
          </w:p>
        </w:tc>
      </w:tr>
      <w:tr>
        <w:trPr>
          <w:trHeight w:val="122"/>
        </w:trPr>
        <w:tc>
          <w:tcPr>
            <w:tcW w:w="31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3140" w:type="dxa"/>
            <w:vAlign w:val="bottom"/>
          </w:tcPr>
          <w:p>
            <w:pPr>
              <w:ind w:left="20"/>
              <w:spacing w:after="0"/>
              <w:rPr>
                <w:sz w:val="20"/>
                <w:szCs w:val="20"/>
                <w:color w:val="auto"/>
              </w:rPr>
            </w:pPr>
            <w:r>
              <w:rPr>
                <w:rFonts w:ascii="Arial" w:cs="Arial" w:eastAsia="Arial" w:hAnsi="Arial"/>
                <w:sz w:val="17"/>
                <w:szCs w:val="17"/>
                <w:b w:val="1"/>
                <w:bCs w:val="1"/>
                <w:color w:val="auto"/>
              </w:rPr>
              <w:t>NET INCOME/(LOSS)</w:t>
            </w:r>
          </w:p>
        </w:tc>
        <w:tc>
          <w:tcPr>
            <w:tcW w:w="2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207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181</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(2,701)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(2,556)</w:t>
            </w:r>
          </w:p>
        </w:tc>
        <w:tc>
          <w:tcPr>
            <w:tcW w:w="0" w:type="dxa"/>
            <w:vAlign w:val="bottom"/>
          </w:tcPr>
          <w:p>
            <w:pPr>
              <w:spacing w:after="0"/>
              <w:rPr>
                <w:sz w:val="1"/>
                <w:szCs w:val="1"/>
                <w:color w:val="auto"/>
              </w:rPr>
            </w:pPr>
          </w:p>
        </w:tc>
      </w:tr>
      <w:tr>
        <w:trPr>
          <w:trHeight w:val="168"/>
        </w:trPr>
        <w:tc>
          <w:tcPr>
            <w:tcW w:w="3140" w:type="dxa"/>
            <w:vAlign w:val="bottom"/>
            <w:shd w:val="clear" w:color="auto" w:fill="CCEEFF"/>
          </w:tcPr>
          <w:p>
            <w:pPr>
              <w:ind w:left="180"/>
              <w:spacing w:after="0" w:line="168" w:lineRule="exact"/>
              <w:rPr>
                <w:sz w:val="20"/>
                <w:szCs w:val="20"/>
                <w:color w:val="auto"/>
              </w:rPr>
            </w:pPr>
            <w:r>
              <w:rPr>
                <w:rFonts w:ascii="Arial" w:cs="Arial" w:eastAsia="Arial" w:hAnsi="Arial"/>
                <w:sz w:val="17"/>
                <w:szCs w:val="17"/>
                <w:color w:val="auto"/>
              </w:rPr>
              <w:t>Net (income)/loss attributable to</w:t>
            </w:r>
          </w:p>
        </w:tc>
        <w:tc>
          <w:tcPr>
            <w:tcW w:w="2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(175)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(180)</w:t>
            </w:r>
          </w:p>
        </w:tc>
        <w:tc>
          <w:tcPr>
            <w:tcW w:w="12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1,995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1,991</w:t>
            </w: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3140" w:type="dxa"/>
            <w:vAlign w:val="bottom"/>
          </w:tcPr>
          <w:p>
            <w:pPr>
              <w:ind w:left="20"/>
              <w:spacing w:after="0" w:line="148" w:lineRule="exact"/>
              <w:rPr>
                <w:sz w:val="20"/>
                <w:szCs w:val="20"/>
                <w:color w:val="auto"/>
              </w:rPr>
            </w:pPr>
            <w:r>
              <w:rPr>
                <w:rFonts w:ascii="Arial" w:cs="Arial" w:eastAsia="Arial" w:hAnsi="Arial"/>
                <w:sz w:val="17"/>
                <w:szCs w:val="17"/>
                <w:b w:val="1"/>
                <w:bCs w:val="1"/>
                <w:color w:val="auto"/>
              </w:rPr>
              <w:t>NET INCOME/(LOSS)</w:t>
            </w:r>
          </w:p>
        </w:tc>
        <w:tc>
          <w:tcPr>
            <w:tcW w:w="260" w:type="dxa"/>
            <w:vAlign w:val="bottom"/>
            <w:vMerge w:val="restart"/>
          </w:tcPr>
          <w:p>
            <w:pPr>
              <w:jc w:val="right"/>
              <w:ind w:right="74"/>
              <w:spacing w:after="0"/>
              <w:rPr>
                <w:sz w:val="20"/>
                <w:szCs w:val="20"/>
                <w:color w:val="auto"/>
              </w:rPr>
            </w:pPr>
            <w:r>
              <w:rPr>
                <w:rFonts w:ascii="Arial" w:cs="Arial" w:eastAsia="Arial" w:hAnsi="Arial"/>
                <w:sz w:val="17"/>
                <w:szCs w:val="17"/>
                <w:color w:val="auto"/>
                <w:w w:val="84"/>
              </w:rPr>
              <w:t>$</w:t>
            </w:r>
          </w:p>
        </w:tc>
        <w:tc>
          <w:tcPr>
            <w:tcW w:w="860" w:type="dxa"/>
            <w:vAlign w:val="bottom"/>
            <w:gridSpan w:val="2"/>
            <w:vMerge w:val="restart"/>
          </w:tcPr>
          <w:p>
            <w:pPr>
              <w:jc w:val="right"/>
              <w:spacing w:after="0"/>
              <w:rPr>
                <w:sz w:val="20"/>
                <w:szCs w:val="20"/>
                <w:color w:val="auto"/>
              </w:rPr>
            </w:pPr>
            <w:r>
              <w:rPr>
                <w:rFonts w:ascii="Arial" w:cs="Arial" w:eastAsia="Arial" w:hAnsi="Arial"/>
                <w:sz w:val="17"/>
                <w:szCs w:val="17"/>
                <w:color w:val="auto"/>
              </w:rPr>
              <w:t>202</w:t>
            </w:r>
          </w:p>
        </w:tc>
        <w:tc>
          <w:tcPr>
            <w:tcW w:w="12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vMerge w:val="restart"/>
          </w:tcPr>
          <w:p>
            <w:pPr>
              <w:jc w:val="right"/>
              <w:spacing w:after="0"/>
              <w:rPr>
                <w:sz w:val="20"/>
                <w:szCs w:val="20"/>
                <w:color w:val="auto"/>
              </w:rPr>
            </w:pPr>
            <w:r>
              <w:rPr>
                <w:rFonts w:ascii="Arial" w:cs="Arial" w:eastAsia="Arial" w:hAnsi="Arial"/>
                <w:sz w:val="17"/>
                <w:szCs w:val="17"/>
                <w:color w:val="auto"/>
              </w:rPr>
              <w:t>(201)</w:t>
            </w:r>
          </w:p>
        </w:tc>
        <w:tc>
          <w:tcPr>
            <w:tcW w:w="100" w:type="dxa"/>
            <w:vAlign w:val="bottom"/>
          </w:tcPr>
          <w:p>
            <w:pPr>
              <w:spacing w:after="0"/>
              <w:rPr>
                <w:sz w:val="12"/>
                <w:szCs w:val="12"/>
                <w:color w:val="auto"/>
              </w:rPr>
            </w:pPr>
          </w:p>
        </w:tc>
        <w:tc>
          <w:tcPr>
            <w:tcW w:w="240" w:type="dxa"/>
            <w:vAlign w:val="bottom"/>
            <w:vMerge w:val="restart"/>
          </w:tcPr>
          <w:p>
            <w:pPr>
              <w:jc w:val="right"/>
              <w:ind w:right="54"/>
              <w:spacing w:after="0"/>
              <w:rPr>
                <w:sz w:val="20"/>
                <w:szCs w:val="20"/>
                <w:color w:val="auto"/>
              </w:rPr>
            </w:pPr>
            <w:r>
              <w:rPr>
                <w:rFonts w:ascii="Arial" w:cs="Arial" w:eastAsia="Arial" w:hAnsi="Arial"/>
                <w:sz w:val="17"/>
                <w:szCs w:val="17"/>
                <w:color w:val="auto"/>
                <w:w w:val="84"/>
              </w:rPr>
              <w:t>$</w:t>
            </w: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1</w:t>
            </w:r>
          </w:p>
        </w:tc>
        <w:tc>
          <w:tcPr>
            <w:tcW w:w="120" w:type="dxa"/>
            <w:vAlign w:val="bottom"/>
            <w:tcBorders>
              <w:right w:val="single" w:sz="8" w:color="auto"/>
            </w:tcBorders>
          </w:tcPr>
          <w:p>
            <w:pPr>
              <w:spacing w:after="0"/>
              <w:rPr>
                <w:sz w:val="12"/>
                <w:szCs w:val="12"/>
                <w:color w:val="auto"/>
              </w:rPr>
            </w:pPr>
          </w:p>
        </w:tc>
        <w:tc>
          <w:tcPr>
            <w:tcW w:w="36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(2,705)</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vMerge w:val="restart"/>
          </w:tcPr>
          <w:p>
            <w:pPr>
              <w:jc w:val="right"/>
              <w:spacing w:after="0"/>
              <w:rPr>
                <w:sz w:val="20"/>
                <w:szCs w:val="20"/>
                <w:color w:val="auto"/>
              </w:rPr>
            </w:pPr>
            <w:r>
              <w:rPr>
                <w:rFonts w:ascii="Arial" w:cs="Arial" w:eastAsia="Arial" w:hAnsi="Arial"/>
                <w:sz w:val="17"/>
                <w:szCs w:val="17"/>
                <w:color w:val="auto"/>
              </w:rPr>
              <w:t>2,140</w:t>
            </w:r>
          </w:p>
        </w:tc>
        <w:tc>
          <w:tcPr>
            <w:tcW w:w="100" w:type="dxa"/>
            <w:vAlign w:val="bottom"/>
          </w:tcPr>
          <w:p>
            <w:pPr>
              <w:spacing w:after="0"/>
              <w:rPr>
                <w:sz w:val="12"/>
                <w:szCs w:val="12"/>
                <w:color w:val="auto"/>
              </w:rPr>
            </w:pPr>
          </w:p>
        </w:tc>
        <w:tc>
          <w:tcPr>
            <w:tcW w:w="260" w:type="dxa"/>
            <w:vAlign w:val="bottom"/>
            <w:vMerge w:val="restart"/>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(565)</w:t>
            </w:r>
          </w:p>
        </w:tc>
        <w:tc>
          <w:tcPr>
            <w:tcW w:w="0" w:type="dxa"/>
            <w:vAlign w:val="bottom"/>
          </w:tcPr>
          <w:p>
            <w:pPr>
              <w:spacing w:after="0"/>
              <w:rPr>
                <w:sz w:val="1"/>
                <w:szCs w:val="1"/>
                <w:color w:val="auto"/>
              </w:rPr>
            </w:pPr>
          </w:p>
        </w:tc>
      </w:tr>
      <w:tr>
        <w:trPr>
          <w:trHeight w:val="194"/>
        </w:trPr>
        <w:tc>
          <w:tcPr>
            <w:tcW w:w="3140" w:type="dxa"/>
            <w:vAlign w:val="bottom"/>
          </w:tcPr>
          <w:p>
            <w:pPr>
              <w:ind w:left="180"/>
              <w:spacing w:after="0" w:line="194" w:lineRule="exact"/>
              <w:rPr>
                <w:sz w:val="20"/>
                <w:szCs w:val="20"/>
                <w:color w:val="auto"/>
              </w:rPr>
            </w:pPr>
            <w:r>
              <w:rPr>
                <w:rFonts w:ascii="Arial" w:cs="Arial" w:eastAsia="Arial" w:hAnsi="Arial"/>
                <w:sz w:val="17"/>
                <w:szCs w:val="17"/>
                <w:b w:val="1"/>
                <w:bCs w:val="1"/>
                <w:color w:val="auto"/>
              </w:rPr>
              <w:t>ATTRIBUTABLE TO PAGP</w:t>
            </w:r>
          </w:p>
        </w:tc>
        <w:tc>
          <w:tcPr>
            <w:tcW w:w="260" w:type="dxa"/>
            <w:vAlign w:val="bottom"/>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14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31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20" w:type="dxa"/>
            <w:vAlign w:val="bottom"/>
            <w:tcBorders>
              <w:right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0"/>
        </w:trPr>
        <w:tc>
          <w:tcPr>
            <w:tcW w:w="5900" w:type="dxa"/>
            <w:vAlign w:val="bottom"/>
            <w:gridSpan w:val="8"/>
          </w:tcPr>
          <w:p>
            <w:pPr>
              <w:ind w:left="20"/>
              <w:spacing w:after="0"/>
              <w:rPr>
                <w:sz w:val="20"/>
                <w:szCs w:val="20"/>
                <w:color w:val="auto"/>
              </w:rPr>
            </w:pPr>
            <w:r>
              <w:rPr>
                <w:rFonts w:ascii="Arial" w:cs="Arial" w:eastAsia="Arial" w:hAnsi="Arial"/>
                <w:sz w:val="17"/>
                <w:szCs w:val="17"/>
                <w:b w:val="1"/>
                <w:bCs w:val="1"/>
                <w:color w:val="auto"/>
              </w:rPr>
              <w:t>BASIC AND DILUTED NET INCOME/(LOSS) PER CLASS A SHARE</w:t>
            </w: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(3.08)</w:t>
            </w:r>
          </w:p>
        </w:tc>
        <w:tc>
          <w:tcPr>
            <w:tcW w:w="0" w:type="dxa"/>
            <w:vAlign w:val="bottom"/>
          </w:tcPr>
          <w:p>
            <w:pPr>
              <w:spacing w:after="0"/>
              <w:rPr>
                <w:sz w:val="1"/>
                <w:szCs w:val="1"/>
                <w:color w:val="auto"/>
              </w:rPr>
            </w:pPr>
          </w:p>
        </w:tc>
      </w:tr>
      <w:tr>
        <w:trPr>
          <w:trHeight w:val="20"/>
        </w:trPr>
        <w:tc>
          <w:tcPr>
            <w:tcW w:w="3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31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20" w:type="dxa"/>
            <w:vAlign w:val="bottom"/>
            <w:tcBorders>
              <w:right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5900" w:type="dxa"/>
            <w:vAlign w:val="bottom"/>
            <w:gridSpan w:val="8"/>
          </w:tcPr>
          <w:p>
            <w:pPr>
              <w:ind w:left="20"/>
              <w:spacing w:after="0" w:line="168" w:lineRule="exact"/>
              <w:rPr>
                <w:sz w:val="20"/>
                <w:szCs w:val="20"/>
                <w:color w:val="auto"/>
              </w:rPr>
            </w:pPr>
            <w:r>
              <w:rPr>
                <w:rFonts w:ascii="Arial" w:cs="Arial" w:eastAsia="Arial" w:hAnsi="Arial"/>
                <w:sz w:val="17"/>
                <w:szCs w:val="17"/>
                <w:b w:val="1"/>
                <w:bCs w:val="1"/>
                <w:color w:val="auto"/>
              </w:rPr>
              <w:t>BASIC AND DILUTED WEIGHTED AVERAGE CLASS A SHARES</w:t>
            </w:r>
          </w:p>
        </w:tc>
        <w:tc>
          <w:tcPr>
            <w:tcW w:w="2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194</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183</w:t>
            </w:r>
          </w:p>
        </w:tc>
        <w:tc>
          <w:tcPr>
            <w:tcW w:w="0" w:type="dxa"/>
            <w:vAlign w:val="bottom"/>
          </w:tcPr>
          <w:p>
            <w:pPr>
              <w:spacing w:after="0"/>
              <w:rPr>
                <w:sz w:val="1"/>
                <w:szCs w:val="1"/>
                <w:color w:val="auto"/>
              </w:rPr>
            </w:pPr>
          </w:p>
        </w:tc>
      </w:tr>
      <w:tr>
        <w:trPr>
          <w:trHeight w:val="234"/>
        </w:trPr>
        <w:tc>
          <w:tcPr>
            <w:tcW w:w="3140" w:type="dxa"/>
            <w:vAlign w:val="bottom"/>
          </w:tcPr>
          <w:p>
            <w:pPr>
              <w:ind w:left="20"/>
              <w:spacing w:after="0" w:line="194" w:lineRule="exact"/>
              <w:rPr>
                <w:sz w:val="20"/>
                <w:szCs w:val="20"/>
                <w:color w:val="auto"/>
              </w:rPr>
            </w:pPr>
            <w:r>
              <w:rPr>
                <w:rFonts w:ascii="Arial" w:cs="Arial" w:eastAsia="Arial" w:hAnsi="Arial"/>
                <w:sz w:val="17"/>
                <w:szCs w:val="17"/>
                <w:b w:val="1"/>
                <w:bCs w:val="1"/>
                <w:color w:val="auto"/>
              </w:rPr>
              <w:t>OUTSTANDING</w:t>
            </w: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31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300" w:hanging="297"/>
        <w:spacing w:after="0"/>
        <w:tabs>
          <w:tab w:leader="none" w:pos="300" w:val="left"/>
        </w:tabs>
        <w:numPr>
          <w:ilvl w:val="0"/>
          <w:numId w:val="25"/>
        </w:numPr>
        <w:rPr>
          <w:rFonts w:ascii="Arial" w:cs="Arial" w:eastAsia="Arial" w:hAnsi="Arial"/>
          <w:sz w:val="22"/>
          <w:szCs w:val="22"/>
          <w:color w:val="auto"/>
          <w:vertAlign w:val="superscript"/>
        </w:rPr>
      </w:pPr>
      <w:r>
        <w:rPr>
          <w:rFonts w:ascii="Arial" w:cs="Arial" w:eastAsia="Arial" w:hAnsi="Arial"/>
          <w:sz w:val="17"/>
          <w:szCs w:val="17"/>
          <w:color w:val="auto"/>
        </w:rPr>
        <w:t>Represents the aggregate consolidating adjustments necessary to produce consolidated financial statements for PAGP.</w:t>
      </w:r>
    </w:p>
    <w:p>
      <w:pPr>
        <w:ind w:left="5440" w:hanging="93"/>
        <w:spacing w:after="0"/>
        <w:tabs>
          <w:tab w:leader="none" w:pos="5440" w:val="left"/>
        </w:tabs>
        <w:numPr>
          <w:ilvl w:val="1"/>
          <w:numId w:val="25"/>
        </w:numPr>
        <w:rPr>
          <w:rFonts w:ascii="Arial" w:cs="Arial" w:eastAsia="Arial" w:hAnsi="Arial"/>
          <w:sz w:val="17"/>
          <w:szCs w:val="17"/>
          <w:color w:val="auto"/>
        </w:rPr>
      </w:pPr>
      <w:r>
        <w:rPr>
          <w:rFonts w:ascii="Arial" w:cs="Arial" w:eastAsia="Arial" w:hAnsi="Arial"/>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88265</wp:posOffset>
            </wp:positionV>
            <wp:extent cx="71215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30"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160"/>
          </w:cols>
          <w:pgMar w:left="320" w:top="360" w:right="419" w:bottom="1440" w:gutter="0" w:footer="0" w:header="0"/>
        </w:sectPr>
      </w:pPr>
    </w:p>
    <w:bookmarkStart w:id="26" w:name="page27"/>
    <w:bookmarkEnd w:id="26"/>
    <w:p>
      <w:pPr>
        <w:spacing w:after="0"/>
        <w:rPr>
          <w:sz w:val="20"/>
          <w:szCs w:val="20"/>
          <w:color w:val="auto"/>
        </w:rPr>
      </w:pPr>
      <w:r>
        <w:rPr>
          <w:rFonts w:ascii="Arial" w:cs="Arial" w:eastAsia="Arial" w:hAnsi="Arial"/>
          <w:sz w:val="17"/>
          <w:szCs w:val="17"/>
          <w:u w:val="single" w:color="auto"/>
          <w:color w:val="auto"/>
        </w:rPr>
        <w:t>Page 24</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GP HOLDINGS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CONDENSED CONSOLIDATING BALANCE SHEET DATA</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 millions)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7"/>
              </w:rPr>
              <w:t>June 30, 2021</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7"/>
              </w:rPr>
              <w:t>December 31, 2020</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3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Consolidating</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Consolidating</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3"/>
          </w:tcPr>
          <w:p>
            <w:pPr>
              <w:ind w:left="180"/>
              <w:spacing w:after="0"/>
              <w:rPr>
                <w:sz w:val="20"/>
                <w:szCs w:val="20"/>
                <w:color w:val="auto"/>
              </w:rPr>
            </w:pPr>
            <w:r>
              <w:rPr>
                <w:rFonts w:ascii="Arial" w:cs="Arial" w:eastAsia="Arial" w:hAnsi="Arial"/>
                <w:sz w:val="14"/>
                <w:szCs w:val="14"/>
                <w:b w:val="1"/>
                <w:bCs w:val="1"/>
                <w:color w:val="auto"/>
              </w:rPr>
              <w:t>PAA</w:t>
            </w:r>
          </w:p>
        </w:tc>
        <w:tc>
          <w:tcPr>
            <w:tcW w:w="200" w:type="dxa"/>
            <w:vAlign w:val="bottom"/>
          </w:tcPr>
          <w:p>
            <w:pPr>
              <w:spacing w:after="0"/>
              <w:rPr>
                <w:sz w:val="16"/>
                <w:szCs w:val="16"/>
                <w:color w:val="auto"/>
              </w:rPr>
            </w:pPr>
          </w:p>
        </w:tc>
        <w:tc>
          <w:tcPr>
            <w:tcW w:w="1340" w:type="dxa"/>
            <w:vAlign w:val="bottom"/>
            <w:gridSpan w:val="2"/>
          </w:tcPr>
          <w:p>
            <w:pPr>
              <w:jc w:val="center"/>
              <w:ind w:right="300"/>
              <w:spacing w:after="0" w:line="194" w:lineRule="exact"/>
              <w:rPr>
                <w:sz w:val="20"/>
                <w:szCs w:val="20"/>
                <w:color w:val="auto"/>
              </w:rPr>
            </w:pPr>
            <w:r>
              <w:rPr>
                <w:rFonts w:ascii="Arial" w:cs="Arial" w:eastAsia="Arial" w:hAnsi="Arial"/>
                <w:sz w:val="14"/>
                <w:szCs w:val="14"/>
                <w:b w:val="1"/>
                <w:bCs w:val="1"/>
                <w:color w:val="auto"/>
                <w:w w:val="85"/>
              </w:rPr>
              <w:t xml:space="preserve">Adjustments </w:t>
            </w:r>
            <w:r>
              <w:rPr>
                <w:rFonts w:ascii="Arial" w:cs="Arial" w:eastAsia="Arial" w:hAnsi="Arial"/>
                <w:sz w:val="17"/>
                <w:szCs w:val="17"/>
                <w:b w:val="1"/>
                <w:bCs w:val="1"/>
                <w:color w:val="auto"/>
                <w:w w:val="85"/>
                <w:vertAlign w:val="superscript"/>
              </w:rPr>
              <w:t>(1)</w:t>
            </w:r>
          </w:p>
        </w:tc>
        <w:tc>
          <w:tcPr>
            <w:tcW w:w="240" w:type="dxa"/>
            <w:vAlign w:val="bottom"/>
          </w:tcPr>
          <w:p>
            <w:pPr>
              <w:spacing w:after="0"/>
              <w:rPr>
                <w:sz w:val="16"/>
                <w:szCs w:val="16"/>
                <w:color w:val="auto"/>
              </w:rPr>
            </w:pPr>
          </w:p>
        </w:tc>
        <w:tc>
          <w:tcPr>
            <w:tcW w:w="1120" w:type="dxa"/>
            <w:vAlign w:val="bottom"/>
            <w:gridSpan w:val="3"/>
          </w:tcPr>
          <w:p>
            <w:pPr>
              <w:ind w:left="140"/>
              <w:spacing w:after="0"/>
              <w:rPr>
                <w:sz w:val="20"/>
                <w:szCs w:val="20"/>
                <w:color w:val="auto"/>
              </w:rPr>
            </w:pPr>
            <w:r>
              <w:rPr>
                <w:rFonts w:ascii="Arial" w:cs="Arial" w:eastAsia="Arial" w:hAnsi="Arial"/>
                <w:sz w:val="14"/>
                <w:szCs w:val="14"/>
                <w:b w:val="1"/>
                <w:bCs w:val="1"/>
                <w:color w:val="auto"/>
              </w:rPr>
              <w:t>PAGP</w:t>
            </w:r>
          </w:p>
        </w:tc>
        <w:tc>
          <w:tcPr>
            <w:tcW w:w="260" w:type="dxa"/>
            <w:vAlign w:val="bottom"/>
          </w:tcPr>
          <w:p>
            <w:pPr>
              <w:spacing w:after="0"/>
              <w:rPr>
                <w:sz w:val="16"/>
                <w:szCs w:val="16"/>
                <w:color w:val="auto"/>
              </w:rPr>
            </w:pPr>
          </w:p>
        </w:tc>
        <w:tc>
          <w:tcPr>
            <w:tcW w:w="980" w:type="dxa"/>
            <w:vAlign w:val="bottom"/>
            <w:gridSpan w:val="2"/>
          </w:tcPr>
          <w:p>
            <w:pPr>
              <w:ind w:left="160"/>
              <w:spacing w:after="0"/>
              <w:rPr>
                <w:sz w:val="20"/>
                <w:szCs w:val="20"/>
                <w:color w:val="auto"/>
              </w:rPr>
            </w:pPr>
            <w:r>
              <w:rPr>
                <w:rFonts w:ascii="Arial" w:cs="Arial" w:eastAsia="Arial" w:hAnsi="Arial"/>
                <w:sz w:val="14"/>
                <w:szCs w:val="14"/>
                <w:b w:val="1"/>
                <w:bCs w:val="1"/>
                <w:color w:val="auto"/>
              </w:rPr>
              <w:t>PAA</w:t>
            </w:r>
          </w:p>
        </w:tc>
        <w:tc>
          <w:tcPr>
            <w:tcW w:w="140" w:type="dxa"/>
            <w:vAlign w:val="bottom"/>
          </w:tcPr>
          <w:p>
            <w:pPr>
              <w:spacing w:after="0"/>
              <w:rPr>
                <w:sz w:val="16"/>
                <w:szCs w:val="16"/>
                <w:color w:val="auto"/>
              </w:rPr>
            </w:pPr>
          </w:p>
        </w:tc>
        <w:tc>
          <w:tcPr>
            <w:tcW w:w="1400" w:type="dxa"/>
            <w:vAlign w:val="bottom"/>
            <w:gridSpan w:val="2"/>
          </w:tcPr>
          <w:p>
            <w:pPr>
              <w:jc w:val="center"/>
              <w:ind w:right="240"/>
              <w:spacing w:after="0" w:line="194" w:lineRule="exact"/>
              <w:rPr>
                <w:sz w:val="20"/>
                <w:szCs w:val="20"/>
                <w:color w:val="auto"/>
              </w:rPr>
            </w:pPr>
            <w:r>
              <w:rPr>
                <w:rFonts w:ascii="Arial" w:cs="Arial" w:eastAsia="Arial" w:hAnsi="Arial"/>
                <w:sz w:val="14"/>
                <w:szCs w:val="14"/>
                <w:b w:val="1"/>
                <w:bCs w:val="1"/>
                <w:color w:val="auto"/>
                <w:w w:val="85"/>
              </w:rPr>
              <w:t xml:space="preserve">Adjustments </w:t>
            </w:r>
            <w:r>
              <w:rPr>
                <w:rFonts w:ascii="Arial" w:cs="Arial" w:eastAsia="Arial" w:hAnsi="Arial"/>
                <w:sz w:val="17"/>
                <w:szCs w:val="17"/>
                <w:b w:val="1"/>
                <w:bCs w:val="1"/>
                <w:color w:val="auto"/>
                <w:w w:val="85"/>
                <w:vertAlign w:val="superscript"/>
              </w:rPr>
              <w:t>(1)</w:t>
            </w:r>
          </w:p>
        </w:tc>
        <w:tc>
          <w:tcPr>
            <w:tcW w:w="260" w:type="dxa"/>
            <w:vAlign w:val="bottom"/>
          </w:tcPr>
          <w:p>
            <w:pPr>
              <w:spacing w:after="0"/>
              <w:rPr>
                <w:sz w:val="16"/>
                <w:szCs w:val="16"/>
                <w:color w:val="auto"/>
              </w:rPr>
            </w:pPr>
          </w:p>
        </w:tc>
        <w:tc>
          <w:tcPr>
            <w:tcW w:w="900" w:type="dxa"/>
            <w:vAlign w:val="bottom"/>
          </w:tcPr>
          <w:p>
            <w:pPr>
              <w:jc w:val="right"/>
              <w:ind w:right="315"/>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200"/>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16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5,676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5,678</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3,665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3,668</w:t>
            </w:r>
          </w:p>
        </w:tc>
        <w:tc>
          <w:tcPr>
            <w:tcW w:w="0" w:type="dxa"/>
            <w:vAlign w:val="bottom"/>
          </w:tcPr>
          <w:p>
            <w:pPr>
              <w:spacing w:after="0"/>
              <w:rPr>
                <w:sz w:val="1"/>
                <w:szCs w:val="1"/>
                <w:color w:val="auto"/>
              </w:rPr>
            </w:pPr>
          </w:p>
        </w:tc>
      </w:tr>
      <w:tr>
        <w:trPr>
          <w:trHeight w:val="220"/>
        </w:trPr>
        <w:tc>
          <w:tcPr>
            <w:tcW w:w="3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Property and equipment, net</w:t>
            </w:r>
          </w:p>
        </w:tc>
        <w:tc>
          <w:tcPr>
            <w:tcW w:w="2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13,451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13,458</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14,620</w:t>
            </w:r>
          </w:p>
        </w:tc>
        <w:tc>
          <w:tcPr>
            <w:tcW w:w="0" w:type="dxa"/>
            <w:vAlign w:val="bottom"/>
          </w:tcPr>
          <w:p>
            <w:pPr>
              <w:spacing w:after="0"/>
              <w:rPr>
                <w:sz w:val="1"/>
                <w:szCs w:val="1"/>
                <w:color w:val="auto"/>
              </w:rPr>
            </w:pPr>
          </w:p>
        </w:tc>
      </w:tr>
      <w:tr>
        <w:trPr>
          <w:trHeight w:val="220"/>
        </w:trPr>
        <w:tc>
          <w:tcPr>
            <w:tcW w:w="3160" w:type="dxa"/>
            <w:vAlign w:val="bottom"/>
          </w:tcPr>
          <w:p>
            <w:pPr>
              <w:ind w:left="20"/>
              <w:spacing w:after="0"/>
              <w:rPr>
                <w:sz w:val="20"/>
                <w:szCs w:val="20"/>
                <w:color w:val="auto"/>
              </w:rPr>
            </w:pPr>
            <w:r>
              <w:rPr>
                <w:rFonts w:ascii="Arial" w:cs="Arial" w:eastAsia="Arial" w:hAnsi="Arial"/>
                <w:sz w:val="17"/>
                <w:szCs w:val="17"/>
                <w:color w:val="auto"/>
              </w:rPr>
              <w:t>Investments in unconsolidated entities</w:t>
            </w:r>
          </w:p>
        </w:tc>
        <w:tc>
          <w:tcPr>
            <w:tcW w:w="2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3,745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3,745</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3,764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3,764</w:t>
            </w:r>
          </w:p>
        </w:tc>
        <w:tc>
          <w:tcPr>
            <w:tcW w:w="0" w:type="dxa"/>
            <w:vAlign w:val="bottom"/>
          </w:tcPr>
          <w:p>
            <w:pPr>
              <w:spacing w:after="0"/>
              <w:rPr>
                <w:sz w:val="1"/>
                <w:szCs w:val="1"/>
                <w:color w:val="auto"/>
              </w:rPr>
            </w:pPr>
          </w:p>
        </w:tc>
      </w:tr>
      <w:tr>
        <w:trPr>
          <w:trHeight w:val="220"/>
        </w:trPr>
        <w:tc>
          <w:tcPr>
            <w:tcW w:w="3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tax asset</w:t>
            </w: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1,414</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1,444</w:t>
            </w:r>
          </w:p>
        </w:tc>
        <w:tc>
          <w:tcPr>
            <w:tcW w:w="0" w:type="dxa"/>
            <w:vAlign w:val="bottom"/>
          </w:tcPr>
          <w:p>
            <w:pPr>
              <w:spacing w:after="0"/>
              <w:rPr>
                <w:sz w:val="1"/>
                <w:szCs w:val="1"/>
                <w:color w:val="auto"/>
              </w:rPr>
            </w:pPr>
          </w:p>
        </w:tc>
      </w:tr>
      <w:tr>
        <w:trPr>
          <w:trHeight w:val="220"/>
        </w:trPr>
        <w:tc>
          <w:tcPr>
            <w:tcW w:w="3160" w:type="dxa"/>
            <w:vAlign w:val="bottom"/>
          </w:tcPr>
          <w:p>
            <w:pPr>
              <w:ind w:left="20"/>
              <w:spacing w:after="0"/>
              <w:rPr>
                <w:sz w:val="20"/>
                <w:szCs w:val="20"/>
                <w:color w:val="auto"/>
              </w:rPr>
            </w:pPr>
            <w:r>
              <w:rPr>
                <w:rFonts w:ascii="Arial" w:cs="Arial" w:eastAsia="Arial" w:hAnsi="Arial"/>
                <w:sz w:val="17"/>
                <w:szCs w:val="17"/>
                <w:color w:val="auto"/>
              </w:rPr>
              <w:t>Linefill and base gas</w:t>
            </w:r>
          </w:p>
        </w:tc>
        <w:tc>
          <w:tcPr>
            <w:tcW w:w="2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909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909</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982</w:t>
            </w:r>
          </w:p>
        </w:tc>
        <w:tc>
          <w:tcPr>
            <w:tcW w:w="0" w:type="dxa"/>
            <w:vAlign w:val="bottom"/>
          </w:tcPr>
          <w:p>
            <w:pPr>
              <w:spacing w:after="0"/>
              <w:rPr>
                <w:sz w:val="1"/>
                <w:szCs w:val="1"/>
                <w:color w:val="auto"/>
              </w:rPr>
            </w:pPr>
          </w:p>
        </w:tc>
      </w:tr>
      <w:tr>
        <w:trPr>
          <w:trHeight w:val="168"/>
        </w:trPr>
        <w:tc>
          <w:tcPr>
            <w:tcW w:w="316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Long-term operating lease right-of-use</w:t>
            </w:r>
          </w:p>
        </w:tc>
        <w:tc>
          <w:tcPr>
            <w:tcW w:w="26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344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344</w:t>
            </w:r>
          </w:p>
        </w:tc>
        <w:tc>
          <w:tcPr>
            <w:tcW w:w="12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378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378</w:t>
            </w: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assets, net</w:t>
            </w:r>
          </w:p>
        </w:tc>
        <w:tc>
          <w:tcPr>
            <w:tcW w:w="26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160" w:type="dxa"/>
            <w:vAlign w:val="bottom"/>
          </w:tcPr>
          <w:p>
            <w:pPr>
              <w:ind w:left="20"/>
              <w:spacing w:after="0"/>
              <w:rPr>
                <w:sz w:val="20"/>
                <w:szCs w:val="20"/>
                <w:color w:val="auto"/>
              </w:rPr>
            </w:pPr>
            <w:r>
              <w:rPr>
                <w:rFonts w:ascii="Arial" w:cs="Arial" w:eastAsia="Arial" w:hAnsi="Arial"/>
                <w:sz w:val="17"/>
                <w:szCs w:val="17"/>
                <w:color w:val="auto"/>
              </w:rPr>
              <w:t>Long-term inventory</w:t>
            </w:r>
          </w:p>
        </w:tc>
        <w:tc>
          <w:tcPr>
            <w:tcW w:w="2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210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210</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130</w:t>
            </w:r>
          </w:p>
        </w:tc>
        <w:tc>
          <w:tcPr>
            <w:tcW w:w="0" w:type="dxa"/>
            <w:vAlign w:val="bottom"/>
          </w:tcPr>
          <w:p>
            <w:pPr>
              <w:spacing w:after="0"/>
              <w:rPr>
                <w:sz w:val="1"/>
                <w:szCs w:val="1"/>
                <w:color w:val="auto"/>
              </w:rPr>
            </w:pPr>
          </w:p>
        </w:tc>
      </w:tr>
      <w:tr>
        <w:trPr>
          <w:trHeight w:val="220"/>
        </w:trPr>
        <w:tc>
          <w:tcPr>
            <w:tcW w:w="3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long-term assets, net</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1,056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1,054</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965</w:t>
            </w:r>
          </w:p>
        </w:tc>
        <w:tc>
          <w:tcPr>
            <w:tcW w:w="0" w:type="dxa"/>
            <w:vAlign w:val="bottom"/>
          </w:tcPr>
          <w:p>
            <w:pPr>
              <w:spacing w:after="0"/>
              <w:rPr>
                <w:sz w:val="1"/>
                <w:szCs w:val="1"/>
                <w:color w:val="auto"/>
              </w:rPr>
            </w:pPr>
          </w:p>
        </w:tc>
      </w:tr>
      <w:tr>
        <w:trPr>
          <w:trHeight w:val="213"/>
        </w:trPr>
        <w:tc>
          <w:tcPr>
            <w:tcW w:w="3160" w:type="dxa"/>
            <w:vAlign w:val="bottom"/>
          </w:tcPr>
          <w:p>
            <w:pPr>
              <w:ind w:left="180"/>
              <w:spacing w:after="0"/>
              <w:rPr>
                <w:sz w:val="20"/>
                <w:szCs w:val="20"/>
                <w:color w:val="auto"/>
              </w:rPr>
            </w:pPr>
            <w:r>
              <w:rPr>
                <w:rFonts w:ascii="Arial" w:cs="Arial" w:eastAsia="Arial" w:hAnsi="Arial"/>
                <w:sz w:val="17"/>
                <w:szCs w:val="17"/>
                <w:color w:val="auto"/>
              </w:rPr>
              <w:t>Total assets</w:t>
            </w: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25,391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1,421</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26,812</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24,497</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1,454</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25,951</w:t>
            </w:r>
          </w:p>
        </w:tc>
        <w:tc>
          <w:tcPr>
            <w:tcW w:w="0" w:type="dxa"/>
            <w:vAlign w:val="bottom"/>
          </w:tcPr>
          <w:p>
            <w:pPr>
              <w:spacing w:after="0"/>
              <w:rPr>
                <w:sz w:val="1"/>
                <w:szCs w:val="1"/>
                <w:color w:val="auto"/>
              </w:rPr>
            </w:pP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160" w:type="dxa"/>
            <w:vAlign w:val="bottom"/>
          </w:tcPr>
          <w:p>
            <w:pPr>
              <w:ind w:left="20"/>
              <w:spacing w:after="0" w:line="168" w:lineRule="exact"/>
              <w:rPr>
                <w:sz w:val="20"/>
                <w:szCs w:val="20"/>
                <w:color w:val="auto"/>
              </w:rPr>
            </w:pPr>
            <w:r>
              <w:rPr>
                <w:rFonts w:ascii="Arial" w:cs="Arial" w:eastAsia="Arial" w:hAnsi="Arial"/>
                <w:sz w:val="17"/>
                <w:szCs w:val="17"/>
                <w:b w:val="1"/>
                <w:bCs w:val="1"/>
                <w:color w:val="auto"/>
              </w:rPr>
              <w:t>LIABILITIES AND PARTNERS’</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3160" w:type="dxa"/>
            <w:vAlign w:val="bottom"/>
          </w:tcPr>
          <w:p>
            <w:pPr>
              <w:ind w:left="180"/>
              <w:spacing w:after="0"/>
              <w:rPr>
                <w:sz w:val="20"/>
                <w:szCs w:val="20"/>
                <w:color w:val="auto"/>
              </w:rPr>
            </w:pPr>
            <w:r>
              <w:rPr>
                <w:rFonts w:ascii="Arial" w:cs="Arial" w:eastAsia="Arial" w:hAnsi="Arial"/>
                <w:sz w:val="17"/>
                <w:szCs w:val="17"/>
                <w:b w:val="1"/>
                <w:bCs w:val="1"/>
                <w:color w:val="auto"/>
              </w:rPr>
              <w:t>CAPITAL</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6,163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6,163</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4,255</w:t>
            </w:r>
          </w:p>
        </w:tc>
        <w:tc>
          <w:tcPr>
            <w:tcW w:w="0" w:type="dxa"/>
            <w:vAlign w:val="bottom"/>
          </w:tcPr>
          <w:p>
            <w:pPr>
              <w:spacing w:after="0"/>
              <w:rPr>
                <w:sz w:val="1"/>
                <w:szCs w:val="1"/>
                <w:color w:val="auto"/>
              </w:rPr>
            </w:pPr>
          </w:p>
        </w:tc>
      </w:tr>
      <w:tr>
        <w:trPr>
          <w:trHeight w:val="220"/>
        </w:trPr>
        <w:tc>
          <w:tcPr>
            <w:tcW w:w="3160" w:type="dxa"/>
            <w:vAlign w:val="bottom"/>
          </w:tcPr>
          <w:p>
            <w:pPr>
              <w:ind w:left="20"/>
              <w:spacing w:after="0"/>
              <w:rPr>
                <w:sz w:val="20"/>
                <w:szCs w:val="20"/>
                <w:color w:val="auto"/>
              </w:rPr>
            </w:pPr>
            <w:r>
              <w:rPr>
                <w:rFonts w:ascii="Arial" w:cs="Arial" w:eastAsia="Arial" w:hAnsi="Arial"/>
                <w:sz w:val="17"/>
                <w:szCs w:val="17"/>
                <w:color w:val="auto"/>
              </w:rPr>
              <w:t>Senior notes, net</w:t>
            </w:r>
          </w:p>
        </w:tc>
        <w:tc>
          <w:tcPr>
            <w:tcW w:w="2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8,326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8,326</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9,071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9,071</w:t>
            </w:r>
          </w:p>
        </w:tc>
        <w:tc>
          <w:tcPr>
            <w:tcW w:w="0" w:type="dxa"/>
            <w:vAlign w:val="bottom"/>
          </w:tcPr>
          <w:p>
            <w:pPr>
              <w:spacing w:after="0"/>
              <w:rPr>
                <w:sz w:val="1"/>
                <w:szCs w:val="1"/>
                <w:color w:val="auto"/>
              </w:rPr>
            </w:pPr>
          </w:p>
        </w:tc>
      </w:tr>
      <w:tr>
        <w:trPr>
          <w:trHeight w:val="220"/>
        </w:trPr>
        <w:tc>
          <w:tcPr>
            <w:tcW w:w="3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long-term debt, net</w:t>
            </w:r>
          </w:p>
        </w:tc>
        <w:tc>
          <w:tcPr>
            <w:tcW w:w="2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311</w:t>
            </w:r>
          </w:p>
        </w:tc>
        <w:tc>
          <w:tcPr>
            <w:tcW w:w="0" w:type="dxa"/>
            <w:vAlign w:val="bottom"/>
          </w:tcPr>
          <w:p>
            <w:pPr>
              <w:spacing w:after="0"/>
              <w:rPr>
                <w:sz w:val="1"/>
                <w:szCs w:val="1"/>
                <w:color w:val="auto"/>
              </w:rPr>
            </w:pPr>
          </w:p>
        </w:tc>
      </w:tr>
      <w:tr>
        <w:trPr>
          <w:trHeight w:val="220"/>
        </w:trPr>
        <w:tc>
          <w:tcPr>
            <w:tcW w:w="3160" w:type="dxa"/>
            <w:vAlign w:val="bottom"/>
          </w:tcPr>
          <w:p>
            <w:pPr>
              <w:ind w:left="20"/>
              <w:spacing w:after="0"/>
              <w:rPr>
                <w:sz w:val="20"/>
                <w:szCs w:val="20"/>
                <w:color w:val="auto"/>
              </w:rPr>
            </w:pPr>
            <w:r>
              <w:rPr>
                <w:rFonts w:ascii="Arial" w:cs="Arial" w:eastAsia="Arial" w:hAnsi="Arial"/>
                <w:sz w:val="17"/>
                <w:szCs w:val="17"/>
                <w:color w:val="auto"/>
              </w:rPr>
              <w:t>Long-term operating lease liabilities</w:t>
            </w:r>
          </w:p>
        </w:tc>
        <w:tc>
          <w:tcPr>
            <w:tcW w:w="2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289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289</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317</w:t>
            </w:r>
          </w:p>
        </w:tc>
        <w:tc>
          <w:tcPr>
            <w:tcW w:w="0" w:type="dxa"/>
            <w:vAlign w:val="bottom"/>
          </w:tcPr>
          <w:p>
            <w:pPr>
              <w:spacing w:after="0"/>
              <w:rPr>
                <w:sz w:val="1"/>
                <w:szCs w:val="1"/>
                <w:color w:val="auto"/>
              </w:rPr>
            </w:pPr>
          </w:p>
        </w:tc>
      </w:tr>
      <w:tr>
        <w:trPr>
          <w:trHeight w:val="168"/>
        </w:trPr>
        <w:tc>
          <w:tcPr>
            <w:tcW w:w="316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Other long-term liabilities and deferred</w:t>
            </w:r>
          </w:p>
        </w:tc>
        <w:tc>
          <w:tcPr>
            <w:tcW w:w="26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910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vMerge w:val="restart"/>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910</w:t>
            </w:r>
          </w:p>
        </w:tc>
        <w:tc>
          <w:tcPr>
            <w:tcW w:w="12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807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vMerge w:val="restart"/>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807</w:t>
            </w: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credits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160" w:type="dxa"/>
            <w:vAlign w:val="bottom"/>
          </w:tcPr>
          <w:p>
            <w:pPr>
              <w:ind w:left="180"/>
              <w:spacing w:after="0"/>
              <w:rPr>
                <w:sz w:val="20"/>
                <w:szCs w:val="20"/>
                <w:color w:val="auto"/>
              </w:rPr>
            </w:pPr>
            <w:r>
              <w:rPr>
                <w:rFonts w:ascii="Arial" w:cs="Arial" w:eastAsia="Arial" w:hAnsi="Arial"/>
                <w:sz w:val="17"/>
                <w:szCs w:val="17"/>
                <w:color w:val="auto"/>
              </w:rPr>
              <w:t>Total liabilities</w:t>
            </w:r>
          </w:p>
        </w:tc>
        <w:tc>
          <w:tcPr>
            <w:tcW w:w="2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15,751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15,751</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14,759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14,761</w:t>
            </w:r>
          </w:p>
        </w:tc>
        <w:tc>
          <w:tcPr>
            <w:tcW w:w="0" w:type="dxa"/>
            <w:vAlign w:val="bottom"/>
          </w:tcPr>
          <w:p>
            <w:pPr>
              <w:spacing w:after="0"/>
              <w:rPr>
                <w:sz w:val="1"/>
                <w:szCs w:val="1"/>
                <w:color w:val="auto"/>
              </w:rPr>
            </w:pPr>
          </w:p>
        </w:tc>
      </w:tr>
      <w:tr>
        <w:trPr>
          <w:trHeight w:val="207"/>
        </w:trPr>
        <w:tc>
          <w:tcPr>
            <w:tcW w:w="3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3160" w:type="dxa"/>
            <w:vAlign w:val="bottom"/>
          </w:tcPr>
          <w:p>
            <w:pPr>
              <w:ind w:left="20"/>
              <w:spacing w:after="0" w:line="168" w:lineRule="exact"/>
              <w:rPr>
                <w:sz w:val="20"/>
                <w:szCs w:val="20"/>
                <w:color w:val="auto"/>
              </w:rPr>
            </w:pPr>
            <w:r>
              <w:rPr>
                <w:rFonts w:ascii="Arial" w:cs="Arial" w:eastAsia="Arial" w:hAnsi="Arial"/>
                <w:sz w:val="17"/>
                <w:szCs w:val="17"/>
                <w:color w:val="auto"/>
              </w:rPr>
              <w:t>Partners’ capital excluding noncontrolling</w:t>
            </w:r>
          </w:p>
        </w:tc>
        <w:tc>
          <w:tcPr>
            <w:tcW w:w="260" w:type="dxa"/>
            <w:vAlign w:val="bottom"/>
          </w:tcPr>
          <w:p>
            <w:pPr>
              <w:spacing w:after="0"/>
              <w:rPr>
                <w:sz w:val="14"/>
                <w:szCs w:val="14"/>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7"/>
                <w:szCs w:val="17"/>
                <w:color w:val="auto"/>
              </w:rPr>
              <w:t>9,495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7"/>
                <w:szCs w:val="17"/>
                <w:color w:val="auto"/>
              </w:rPr>
              <w:t>(8,074)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1,421</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9,593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7"/>
                <w:szCs w:val="17"/>
                <w:color w:val="auto"/>
              </w:rPr>
              <w:t>(8,129)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1,464</w:t>
            </w:r>
          </w:p>
        </w:tc>
        <w:tc>
          <w:tcPr>
            <w:tcW w:w="0" w:type="dxa"/>
            <w:vAlign w:val="bottom"/>
          </w:tcPr>
          <w:p>
            <w:pPr>
              <w:spacing w:after="0"/>
              <w:rPr>
                <w:sz w:val="1"/>
                <w:szCs w:val="1"/>
                <w:color w:val="auto"/>
              </w:rPr>
            </w:pPr>
          </w:p>
        </w:tc>
      </w:tr>
      <w:tr>
        <w:trPr>
          <w:trHeight w:val="219"/>
        </w:trPr>
        <w:tc>
          <w:tcPr>
            <w:tcW w:w="3160" w:type="dxa"/>
            <w:vAlign w:val="bottom"/>
          </w:tcPr>
          <w:p>
            <w:pPr>
              <w:ind w:left="180"/>
              <w:spacing w:after="0"/>
              <w:rPr>
                <w:sz w:val="20"/>
                <w:szCs w:val="20"/>
                <w:color w:val="auto"/>
              </w:rPr>
            </w:pPr>
            <w:r>
              <w:rPr>
                <w:rFonts w:ascii="Arial" w:cs="Arial" w:eastAsia="Arial" w:hAnsi="Arial"/>
                <w:sz w:val="17"/>
                <w:szCs w:val="17"/>
                <w:color w:val="auto"/>
              </w:rPr>
              <w:t>interests</w:t>
            </w:r>
          </w:p>
        </w:tc>
        <w:tc>
          <w:tcPr>
            <w:tcW w:w="26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145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9,495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9,640</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9,581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9,726</w:t>
            </w:r>
          </w:p>
        </w:tc>
        <w:tc>
          <w:tcPr>
            <w:tcW w:w="0" w:type="dxa"/>
            <w:vAlign w:val="bottom"/>
          </w:tcPr>
          <w:p>
            <w:pPr>
              <w:spacing w:after="0"/>
              <w:rPr>
                <w:sz w:val="1"/>
                <w:szCs w:val="1"/>
                <w:color w:val="auto"/>
              </w:rPr>
            </w:pPr>
          </w:p>
        </w:tc>
      </w:tr>
      <w:tr>
        <w:trPr>
          <w:trHeight w:val="213"/>
        </w:trPr>
        <w:tc>
          <w:tcPr>
            <w:tcW w:w="316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Total partners’ capital</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9,640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11,061</w:t>
            </w:r>
          </w:p>
        </w:tc>
        <w:tc>
          <w:tcPr>
            <w:tcW w:w="120" w:type="dxa"/>
            <w:vAlign w:val="bottom"/>
            <w:tcBorders>
              <w:bottom w:val="single" w:sz="8" w:color="CCEEFF"/>
              <w:right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9,738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11,190</w:t>
            </w:r>
          </w:p>
        </w:tc>
        <w:tc>
          <w:tcPr>
            <w:tcW w:w="0" w:type="dxa"/>
            <w:vAlign w:val="bottom"/>
          </w:tcPr>
          <w:p>
            <w:pPr>
              <w:spacing w:after="0"/>
              <w:rPr>
                <w:sz w:val="1"/>
                <w:szCs w:val="1"/>
                <w:color w:val="auto"/>
              </w:rPr>
            </w:pPr>
          </w:p>
        </w:tc>
      </w:tr>
      <w:tr>
        <w:trPr>
          <w:trHeight w:val="238"/>
        </w:trPr>
        <w:tc>
          <w:tcPr>
            <w:tcW w:w="3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liabilities and partners’ capital</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25,391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26,812</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24,497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25,951</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1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300" w:hanging="297"/>
        <w:spacing w:after="0"/>
        <w:tabs>
          <w:tab w:leader="none" w:pos="300" w:val="left"/>
        </w:tabs>
        <w:numPr>
          <w:ilvl w:val="0"/>
          <w:numId w:val="26"/>
        </w:numPr>
        <w:rPr>
          <w:rFonts w:ascii="Arial" w:cs="Arial" w:eastAsia="Arial" w:hAnsi="Arial"/>
          <w:sz w:val="22"/>
          <w:szCs w:val="22"/>
          <w:color w:val="auto"/>
          <w:vertAlign w:val="superscript"/>
        </w:rPr>
      </w:pPr>
      <w:r>
        <w:rPr>
          <w:rFonts w:ascii="Arial" w:cs="Arial" w:eastAsia="Arial" w:hAnsi="Arial"/>
          <w:sz w:val="17"/>
          <w:szCs w:val="17"/>
          <w:color w:val="auto"/>
        </w:rPr>
        <w:t>Represents the aggregate consolidating adjustments necessary to produce consolidated financial statements for PAGP.</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u w:val="single" w:color="auto"/>
          <w:color w:val="auto"/>
        </w:rPr>
        <w:t>Page 25</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GP HOLDINGS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COMPUTATION OF BASIC AND DILUTED NET INCOME/(LOSS) PER CLASS A SHARE</w:t>
      </w:r>
      <w:r>
        <w:rPr>
          <w:rFonts w:ascii="Arial" w:cs="Arial" w:eastAsia="Arial" w:hAnsi="Arial"/>
          <w:sz w:val="17"/>
          <w:szCs w:val="17"/>
          <w:b w:val="1"/>
          <w:bCs w:val="1"/>
          <w:color w:val="auto"/>
        </w:rPr>
        <w:t xml:space="preserve"> </w:t>
      </w:r>
      <w:r>
        <w:rPr>
          <w:rFonts w:ascii="Arial" w:cs="Arial" w:eastAsia="Arial" w:hAnsi="Arial"/>
          <w:sz w:val="22"/>
          <w:szCs w:val="22"/>
          <w:b w:val="1"/>
          <w:bCs w:val="1"/>
          <w:color w:val="auto"/>
          <w:vertAlign w:val="superscript"/>
        </w:rPr>
        <w:t>(1)</w:t>
      </w:r>
    </w:p>
    <w:p>
      <w:pPr>
        <w:spacing w:after="0"/>
        <w:rPr>
          <w:sz w:val="20"/>
          <w:szCs w:val="20"/>
          <w:color w:val="auto"/>
        </w:rPr>
      </w:pPr>
      <w:r>
        <w:rPr>
          <w:rFonts w:ascii="Arial" w:cs="Arial" w:eastAsia="Arial" w:hAnsi="Arial"/>
          <w:sz w:val="17"/>
          <w:szCs w:val="17"/>
          <w:color w:val="auto"/>
        </w:rPr>
        <w:t>(in millions, except per share data)</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22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760" w:type="dxa"/>
            <w:vAlign w:val="bottom"/>
          </w:tcPr>
          <w:p>
            <w:pPr>
              <w:spacing w:after="0"/>
              <w:rPr>
                <w:sz w:val="14"/>
                <w:szCs w:val="14"/>
                <w:color w:val="auto"/>
              </w:rPr>
            </w:pPr>
          </w:p>
        </w:tc>
      </w:tr>
      <w:tr>
        <w:trPr>
          <w:trHeight w:val="180"/>
        </w:trPr>
        <w:tc>
          <w:tcPr>
            <w:tcW w:w="38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560"/>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ind w:right="214"/>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5"/>
                <w:szCs w:val="15"/>
                <w:color w:val="auto"/>
              </w:rPr>
            </w:pPr>
          </w:p>
        </w:tc>
      </w:tr>
      <w:tr>
        <w:trPr>
          <w:trHeight w:val="174"/>
        </w:trPr>
        <w:tc>
          <w:tcPr>
            <w:tcW w:w="3880" w:type="dxa"/>
            <w:vAlign w:val="bottom"/>
            <w:tcBorders>
              <w:bottom w:val="single" w:sz="8" w:color="CCEEFF"/>
            </w:tcBorders>
          </w:tcPr>
          <w:p>
            <w:pPr>
              <w:spacing w:after="0"/>
              <w:rPr>
                <w:sz w:val="15"/>
                <w:szCs w:val="15"/>
                <w:color w:val="auto"/>
              </w:rPr>
            </w:pPr>
          </w:p>
        </w:tc>
        <w:tc>
          <w:tcPr>
            <w:tcW w:w="198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w w:val="76"/>
              </w:rPr>
              <w:t>2020</w:t>
            </w:r>
          </w:p>
        </w:tc>
      </w:tr>
      <w:tr>
        <w:trPr>
          <w:trHeight w:val="201"/>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Basic and Diluted Net Income/(Loss) per Class A Share</w:t>
            </w:r>
          </w:p>
        </w:tc>
        <w:tc>
          <w:tcPr>
            <w:tcW w:w="8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20"/>
        </w:trPr>
        <w:tc>
          <w:tcPr>
            <w:tcW w:w="5860" w:type="dxa"/>
            <w:vAlign w:val="bottom"/>
            <w:gridSpan w:val="2"/>
          </w:tcPr>
          <w:p>
            <w:pPr>
              <w:ind w:left="140"/>
              <w:spacing w:after="0"/>
              <w:rPr>
                <w:sz w:val="20"/>
                <w:szCs w:val="20"/>
                <w:color w:val="auto"/>
              </w:rPr>
            </w:pPr>
            <w:r>
              <w:rPr>
                <w:rFonts w:ascii="Arial" w:cs="Arial" w:eastAsia="Arial" w:hAnsi="Arial"/>
                <w:sz w:val="17"/>
                <w:szCs w:val="17"/>
                <w:color w:val="auto"/>
              </w:rPr>
              <w:t>Net income/(loss) attributable to PAGP</w:t>
            </w:r>
          </w:p>
        </w:tc>
        <w:tc>
          <w:tcPr>
            <w:tcW w:w="800" w:type="dxa"/>
            <w:vAlign w:val="bottom"/>
          </w:tcPr>
          <w:p>
            <w:pPr>
              <w:jc w:val="right"/>
              <w:ind w:right="603"/>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(69)</w:t>
            </w:r>
          </w:p>
        </w:tc>
        <w:tc>
          <w:tcPr>
            <w:tcW w:w="100" w:type="dxa"/>
            <w:vAlign w:val="bottom"/>
          </w:tcPr>
          <w:p>
            <w:pPr>
              <w:spacing w:after="0"/>
              <w:rPr>
                <w:sz w:val="19"/>
                <w:szCs w:val="19"/>
                <w:color w:val="auto"/>
              </w:rPr>
            </w:pPr>
          </w:p>
        </w:tc>
        <w:tc>
          <w:tcPr>
            <w:tcW w:w="840" w:type="dxa"/>
            <w:vAlign w:val="bottom"/>
          </w:tcPr>
          <w:p>
            <w:pPr>
              <w:jc w:val="right"/>
              <w:ind w:right="660"/>
              <w:spacing w:after="0"/>
              <w:rPr>
                <w:sz w:val="20"/>
                <w:szCs w:val="20"/>
                <w:color w:val="auto"/>
              </w:rPr>
            </w:pPr>
            <w:r>
              <w:rPr>
                <w:rFonts w:ascii="Arial" w:cs="Arial" w:eastAsia="Arial" w:hAnsi="Arial"/>
                <w:sz w:val="17"/>
                <w:szCs w:val="17"/>
                <w:color w:val="auto"/>
                <w:w w:val="84"/>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9"/>
                <w:szCs w:val="19"/>
                <w:color w:val="auto"/>
              </w:rPr>
            </w:pPr>
          </w:p>
        </w:tc>
        <w:tc>
          <w:tcPr>
            <w:tcW w:w="30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3"/>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500" w:type="dxa"/>
            <w:vAlign w:val="bottom"/>
          </w:tcPr>
          <w:p>
            <w:pPr>
              <w:jc w:val="right"/>
              <w:ind w:right="314"/>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(565)</w:t>
            </w:r>
          </w:p>
        </w:tc>
      </w:tr>
      <w:tr>
        <w:trPr>
          <w:trHeight w:val="220"/>
        </w:trPr>
        <w:tc>
          <w:tcPr>
            <w:tcW w:w="58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Basic and diluted weighted average Class A shares outstanding</w:t>
            </w: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7"/>
                <w:szCs w:val="17"/>
                <w:color w:val="auto"/>
              </w:rPr>
              <w:t>194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w:t>
            </w:r>
          </w:p>
        </w:tc>
      </w:tr>
      <w:tr>
        <w:trPr>
          <w:trHeight w:val="245"/>
        </w:trPr>
        <w:tc>
          <w:tcPr>
            <w:tcW w:w="388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40"/>
        </w:trPr>
        <w:tc>
          <w:tcPr>
            <w:tcW w:w="58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Basic and diluted net income/(loss) per Class A share</w:t>
            </w:r>
          </w:p>
        </w:tc>
        <w:tc>
          <w:tcPr>
            <w:tcW w:w="800" w:type="dxa"/>
            <w:vAlign w:val="bottom"/>
            <w:shd w:val="clear" w:color="auto" w:fill="CCEEFF"/>
          </w:tcPr>
          <w:p>
            <w:pPr>
              <w:jc w:val="right"/>
              <w:ind w:right="603"/>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(0.35)</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660"/>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101"/>
        </w:trPr>
        <w:tc>
          <w:tcPr>
            <w:tcW w:w="3880" w:type="dxa"/>
            <w:vAlign w:val="bottom"/>
            <w:tcBorders>
              <w:bottom w:val="single" w:sz="8" w:color="auto"/>
            </w:tcBorders>
          </w:tcPr>
          <w:p>
            <w:pPr>
              <w:spacing w:after="0"/>
              <w:rPr>
                <w:sz w:val="8"/>
                <w:szCs w:val="8"/>
                <w:color w:val="auto"/>
              </w:rPr>
            </w:pPr>
          </w:p>
        </w:tc>
        <w:tc>
          <w:tcPr>
            <w:tcW w:w="1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760" w:type="dxa"/>
            <w:vAlign w:val="bottom"/>
          </w:tcPr>
          <w:p>
            <w:pPr>
              <w:spacing w:after="0"/>
              <w:rPr>
                <w:sz w:val="8"/>
                <w:szCs w:val="8"/>
                <w:color w:val="auto"/>
              </w:rPr>
            </w:pPr>
          </w:p>
        </w:tc>
      </w:tr>
    </w:tbl>
    <w:p>
      <w:pPr>
        <w:spacing w:after="0" w:line="73" w:lineRule="exact"/>
        <w:rPr>
          <w:sz w:val="20"/>
          <w:szCs w:val="20"/>
          <w:color w:val="auto"/>
        </w:rPr>
      </w:pPr>
    </w:p>
    <w:p>
      <w:pPr>
        <w:ind w:left="320" w:right="120" w:hanging="317"/>
        <w:spacing w:after="0" w:line="226" w:lineRule="auto"/>
        <w:tabs>
          <w:tab w:leader="none" w:pos="315" w:val="left"/>
        </w:tabs>
        <w:numPr>
          <w:ilvl w:val="0"/>
          <w:numId w:val="27"/>
        </w:numPr>
        <w:rPr>
          <w:rFonts w:ascii="Arial" w:cs="Arial" w:eastAsia="Arial" w:hAnsi="Arial"/>
          <w:sz w:val="21"/>
          <w:szCs w:val="21"/>
          <w:color w:val="auto"/>
          <w:vertAlign w:val="superscript"/>
        </w:rPr>
      </w:pPr>
      <w:r>
        <w:rPr>
          <w:rFonts w:ascii="Arial" w:cs="Arial" w:eastAsia="Arial" w:hAnsi="Arial"/>
          <w:sz w:val="16"/>
          <w:szCs w:val="16"/>
          <w:color w:val="auto"/>
        </w:rPr>
        <w:t>For the three and six months ended June 30, 2021 and 2020, the possible exchange of AAP units and AAP Management units would not have had a dilutive effect on basic net income/(loss) per Class A share.</w:t>
      </w: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Forward-Looking Statements</w:t>
      </w:r>
    </w:p>
    <w:p>
      <w:pPr>
        <w:spacing w:after="0" w:line="244" w:lineRule="exact"/>
        <w:rPr>
          <w:sz w:val="20"/>
          <w:szCs w:val="20"/>
          <w:color w:val="auto"/>
        </w:rPr>
      </w:pPr>
    </w:p>
    <w:p>
      <w:pPr>
        <w:jc w:val="both"/>
        <w:ind w:right="360" w:firstLine="620"/>
        <w:spacing w:after="0" w:line="268" w:lineRule="auto"/>
        <w:rPr>
          <w:sz w:val="20"/>
          <w:szCs w:val="20"/>
          <w:color w:val="auto"/>
        </w:rPr>
      </w:pPr>
      <w:r>
        <w:rPr>
          <w:rFonts w:ascii="Arial" w:cs="Arial" w:eastAsia="Arial" w:hAnsi="Arial"/>
          <w:sz w:val="17"/>
          <w:szCs w:val="17"/>
          <w:color w:val="auto"/>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 These risks and uncertainties include, among other things, the following:</w:t>
      </w:r>
    </w:p>
    <w:p>
      <w:pPr>
        <w:spacing w:after="0" w:line="237" w:lineRule="exact"/>
        <w:rPr>
          <w:sz w:val="20"/>
          <w:szCs w:val="20"/>
          <w:color w:val="auto"/>
        </w:rPr>
      </w:pPr>
    </w:p>
    <w:p>
      <w:pPr>
        <w:ind w:left="620" w:right="120" w:hanging="307"/>
        <w:spacing w:after="0" w:line="265" w:lineRule="auto"/>
        <w:tabs>
          <w:tab w:leader="none" w:pos="615" w:val="left"/>
        </w:tabs>
        <w:numPr>
          <w:ilvl w:val="0"/>
          <w:numId w:val="28"/>
        </w:numPr>
        <w:rPr>
          <w:rFonts w:ascii="Arial" w:cs="Arial" w:eastAsia="Arial" w:hAnsi="Arial"/>
          <w:sz w:val="20"/>
          <w:szCs w:val="20"/>
          <w:color w:val="auto"/>
        </w:rPr>
      </w:pPr>
      <w:r>
        <w:rPr>
          <w:rFonts w:ascii="Arial" w:cs="Arial" w:eastAsia="Arial" w:hAnsi="Arial"/>
          <w:sz w:val="16"/>
          <w:szCs w:val="16"/>
          <w:color w:val="auto"/>
        </w:rPr>
        <w:t>declines in global crude oil demand and crude oil prices (whether due to the COVID-19 pandemic, future pandemics or other factors) that correspondingly lead to a significant reduction of North American crude oil, natural gas liquids (“NGL”) and natural gas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commercial opportunities that might otherwise be available to us;</w:t>
      </w:r>
    </w:p>
    <w:p>
      <w:pPr>
        <w:spacing w:after="0" w:line="112" w:lineRule="exact"/>
        <w:rPr>
          <w:rFonts w:ascii="Arial" w:cs="Arial" w:eastAsia="Arial" w:hAnsi="Arial"/>
          <w:sz w:val="20"/>
          <w:szCs w:val="20"/>
          <w:color w:val="auto"/>
        </w:rPr>
      </w:pPr>
    </w:p>
    <w:p>
      <w:pPr>
        <w:ind w:left="620" w:right="460" w:hanging="307"/>
        <w:spacing w:after="0" w:line="305" w:lineRule="auto"/>
        <w:tabs>
          <w:tab w:leader="none" w:pos="615" w:val="left"/>
        </w:tabs>
        <w:numPr>
          <w:ilvl w:val="0"/>
          <w:numId w:val="28"/>
        </w:numPr>
        <w:rPr>
          <w:rFonts w:ascii="Arial" w:cs="Arial" w:eastAsia="Arial" w:hAnsi="Arial"/>
          <w:sz w:val="18"/>
          <w:szCs w:val="18"/>
          <w:color w:val="auto"/>
        </w:rPr>
      </w:pPr>
      <w:r>
        <w:rPr>
          <w:rFonts w:ascii="Arial" w:cs="Arial" w:eastAsia="Arial" w:hAnsi="Arial"/>
          <w:sz w:val="15"/>
          <w:szCs w:val="15"/>
          <w:color w:val="auto"/>
        </w:rPr>
        <w:t>the effects of competition and capacity overbuild in areas where we operate, including contract renewal risk and the risk of loss of business to other midstream operators who are willing or under pressure to aggressively reduce transportation rates in order to capture or preserve customers;</w:t>
      </w:r>
    </w:p>
    <w:p>
      <w:pPr>
        <w:spacing w:after="0" w:line="73" w:lineRule="exact"/>
        <w:rPr>
          <w:rFonts w:ascii="Arial" w:cs="Arial" w:eastAsia="Arial" w:hAnsi="Arial"/>
          <w:sz w:val="18"/>
          <w:szCs w:val="18"/>
          <w:color w:val="auto"/>
        </w:rPr>
      </w:pPr>
    </w:p>
    <w:p>
      <w:pPr>
        <w:ind w:left="620" w:right="240" w:hanging="307"/>
        <w:spacing w:after="0" w:line="234" w:lineRule="auto"/>
        <w:tabs>
          <w:tab w:leader="none" w:pos="615" w:val="left"/>
        </w:tabs>
        <w:numPr>
          <w:ilvl w:val="0"/>
          <w:numId w:val="28"/>
        </w:numPr>
        <w:rPr>
          <w:rFonts w:ascii="Arial" w:cs="Arial" w:eastAsia="Arial" w:hAnsi="Arial"/>
          <w:sz w:val="21"/>
          <w:szCs w:val="21"/>
          <w:color w:val="auto"/>
        </w:rPr>
      </w:pPr>
      <w:r>
        <w:rPr>
          <w:rFonts w:ascii="Arial" w:cs="Arial" w:eastAsia="Arial" w:hAnsi="Arial"/>
          <w:sz w:val="17"/>
          <w:szCs w:val="17"/>
          <w:color w:val="auto"/>
        </w:rPr>
        <w:t>negative societal sentiment regarding the hydrocarbon energy industry and the continued development and consumption of hydrocarbons, which could influence consumer preferences and governmental or regulatory actions that adversely impact our business;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8"/>
        </w:numPr>
        <w:rPr>
          <w:rFonts w:ascii="Arial" w:cs="Arial" w:eastAsia="Arial" w:hAnsi="Arial"/>
          <w:sz w:val="21"/>
          <w:szCs w:val="21"/>
          <w:color w:val="auto"/>
        </w:rPr>
      </w:pPr>
      <w:r>
        <w:rPr>
          <w:rFonts w:ascii="Arial" w:cs="Arial" w:eastAsia="Arial" w:hAnsi="Arial"/>
          <w:sz w:val="17"/>
          <w:szCs w:val="17"/>
          <w:color w:val="auto"/>
        </w:rPr>
        <w:t>unanticipated changes in crude oil and NGL market structure, grade differentials and volatility (or lack thereof);</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8"/>
        </w:numPr>
        <w:rPr>
          <w:rFonts w:ascii="Arial" w:cs="Arial" w:eastAsia="Arial" w:hAnsi="Arial"/>
          <w:sz w:val="21"/>
          <w:szCs w:val="21"/>
          <w:color w:val="auto"/>
        </w:rPr>
      </w:pPr>
      <w:r>
        <w:rPr>
          <w:rFonts w:ascii="Arial" w:cs="Arial" w:eastAsia="Arial" w:hAnsi="Arial"/>
          <w:sz w:val="17"/>
          <w:szCs w:val="17"/>
          <w:color w:val="auto"/>
        </w:rPr>
        <w:t>environmental liabilities or events that are not covered by an indemnity, insurance or existing reserves;</w:t>
      </w:r>
    </w:p>
    <w:p>
      <w:pPr>
        <w:spacing w:after="0" w:line="129" w:lineRule="exact"/>
        <w:rPr>
          <w:rFonts w:ascii="Arial" w:cs="Arial" w:eastAsia="Arial" w:hAnsi="Arial"/>
          <w:sz w:val="21"/>
          <w:szCs w:val="21"/>
          <w:color w:val="auto"/>
        </w:rPr>
      </w:pPr>
    </w:p>
    <w:p>
      <w:pPr>
        <w:ind w:left="620" w:right="200" w:hanging="307"/>
        <w:spacing w:after="0" w:line="234" w:lineRule="auto"/>
        <w:tabs>
          <w:tab w:leader="none" w:pos="615" w:val="left"/>
        </w:tabs>
        <w:numPr>
          <w:ilvl w:val="0"/>
          <w:numId w:val="28"/>
        </w:numPr>
        <w:rPr>
          <w:rFonts w:ascii="Arial" w:cs="Arial" w:eastAsia="Arial" w:hAnsi="Arial"/>
          <w:sz w:val="21"/>
          <w:szCs w:val="21"/>
          <w:color w:val="auto"/>
        </w:rPr>
      </w:pPr>
      <w:r>
        <w:rPr>
          <w:rFonts w:ascii="Arial" w:cs="Arial" w:eastAsia="Arial" w:hAnsi="Arial"/>
          <w:sz w:val="17"/>
          <w:szCs w:val="17"/>
          <w:color w:val="auto"/>
        </w:rPr>
        <w:t>fluctuations in refinery capacity in areas supplied by our mainlines and other factors affecting demand for various grades of crude oil, NGL and natural gas and resulting changes in pricing conditions or transportation throughput requirements;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8"/>
        </w:numPr>
        <w:rPr>
          <w:rFonts w:ascii="Arial" w:cs="Arial" w:eastAsia="Arial" w:hAnsi="Arial"/>
          <w:sz w:val="21"/>
          <w:szCs w:val="21"/>
          <w:color w:val="auto"/>
        </w:rPr>
      </w:pPr>
      <w:r>
        <w:rPr>
          <w:rFonts w:ascii="Arial" w:cs="Arial" w:eastAsia="Arial" w:hAnsi="Arial"/>
          <w:sz w:val="17"/>
          <w:szCs w:val="17"/>
          <w:color w:val="auto"/>
        </w:rPr>
        <w:t>the availability of, and our ability to consummate, divestitures, joint ventures, acquisitions or other strategic opportunities;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8"/>
        </w:numPr>
        <w:rPr>
          <w:rFonts w:ascii="Arial" w:cs="Arial" w:eastAsia="Arial" w:hAnsi="Arial"/>
          <w:sz w:val="21"/>
          <w:szCs w:val="21"/>
          <w:color w:val="auto"/>
        </w:rPr>
      </w:pPr>
      <w:r>
        <w:rPr>
          <w:rFonts w:ascii="Arial" w:cs="Arial" w:eastAsia="Arial" w:hAnsi="Arial"/>
          <w:sz w:val="17"/>
          <w:szCs w:val="17"/>
          <w:color w:val="auto"/>
        </w:rPr>
        <w:t>maintenance of our credit rating and ability to receive open credit from our suppliers and trade counterparties;</w:t>
      </w:r>
    </w:p>
    <w:p>
      <w:pPr>
        <w:spacing w:after="0" w:line="51" w:lineRule="exact"/>
        <w:rPr>
          <w:rFonts w:ascii="Arial" w:cs="Arial" w:eastAsia="Arial" w:hAnsi="Arial"/>
          <w:sz w:val="21"/>
          <w:szCs w:val="21"/>
          <w:color w:val="auto"/>
        </w:rPr>
      </w:pPr>
    </w:p>
    <w:p>
      <w:pPr>
        <w:ind w:left="5440" w:hanging="93"/>
        <w:spacing w:after="0"/>
        <w:tabs>
          <w:tab w:leader="none" w:pos="5440" w:val="left"/>
        </w:tabs>
        <w:numPr>
          <w:ilvl w:val="1"/>
          <w:numId w:val="28"/>
        </w:numPr>
        <w:rPr>
          <w:rFonts w:ascii="Arial" w:cs="Arial" w:eastAsia="Arial" w:hAnsi="Arial"/>
          <w:sz w:val="17"/>
          <w:szCs w:val="17"/>
          <w:color w:val="auto"/>
        </w:rPr>
      </w:pPr>
      <w:r>
        <w:rPr>
          <w:rFonts w:ascii="Arial" w:cs="Arial" w:eastAsia="Arial" w:hAnsi="Arial"/>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u w:val="single" w:color="auto"/>
          <w:color w:val="auto"/>
        </w:rPr>
        <w:t>Page 26</w:t>
      </w:r>
    </w:p>
    <w:p>
      <w:pPr>
        <w:spacing w:after="0" w:line="200" w:lineRule="exact"/>
        <w:rPr>
          <w:sz w:val="20"/>
          <w:szCs w:val="20"/>
          <w:color w:val="auto"/>
        </w:rPr>
      </w:pPr>
    </w:p>
    <w:p>
      <w:pPr>
        <w:spacing w:after="0" w:line="263" w:lineRule="exact"/>
        <w:rPr>
          <w:sz w:val="20"/>
          <w:szCs w:val="20"/>
          <w:color w:val="auto"/>
        </w:rPr>
      </w:pPr>
    </w:p>
    <w:p>
      <w:pPr>
        <w:ind w:left="620" w:right="360" w:hanging="307"/>
        <w:spacing w:after="0" w:line="234" w:lineRule="auto"/>
        <w:tabs>
          <w:tab w:leader="none" w:pos="615" w:val="left"/>
        </w:tabs>
        <w:numPr>
          <w:ilvl w:val="0"/>
          <w:numId w:val="29"/>
        </w:numPr>
        <w:rPr>
          <w:rFonts w:ascii="Arial" w:cs="Arial" w:eastAsia="Arial" w:hAnsi="Arial"/>
          <w:sz w:val="21"/>
          <w:szCs w:val="21"/>
          <w:color w:val="auto"/>
        </w:rPr>
      </w:pPr>
      <w:r>
        <w:rPr>
          <w:rFonts w:ascii="Arial" w:cs="Arial" w:eastAsia="Arial" w:hAnsi="Arial"/>
          <w:sz w:val="17"/>
          <w:szCs w:val="17"/>
          <w:color w:val="auto"/>
        </w:rPr>
        <w:t>the occurrence of a natural disaster, catastrophe, terrorist attack (including eco-terrorist attacks) or other event that materially impacts our operations, including cyber or other attacks on our electronic and computer systems;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9"/>
        </w:numPr>
        <w:rPr>
          <w:rFonts w:ascii="Arial" w:cs="Arial" w:eastAsia="Arial" w:hAnsi="Arial"/>
          <w:sz w:val="21"/>
          <w:szCs w:val="21"/>
          <w:color w:val="auto"/>
        </w:rPr>
      </w:pPr>
      <w:r>
        <w:rPr>
          <w:rFonts w:ascii="Arial" w:cs="Arial" w:eastAsia="Arial" w:hAnsi="Arial"/>
          <w:sz w:val="17"/>
          <w:szCs w:val="17"/>
          <w:color w:val="auto"/>
        </w:rPr>
        <w:t>weather interference with business operations or project construction, including the impact of extreme weather events or conditions;</w:t>
      </w:r>
    </w:p>
    <w:p>
      <w:pPr>
        <w:spacing w:after="0" w:line="129" w:lineRule="exact"/>
        <w:rPr>
          <w:rFonts w:ascii="Arial" w:cs="Arial" w:eastAsia="Arial" w:hAnsi="Arial"/>
          <w:sz w:val="21"/>
          <w:szCs w:val="21"/>
          <w:color w:val="auto"/>
        </w:rPr>
      </w:pPr>
    </w:p>
    <w:p>
      <w:pPr>
        <w:ind w:left="620" w:right="20" w:hanging="307"/>
        <w:spacing w:after="0" w:line="263" w:lineRule="auto"/>
        <w:tabs>
          <w:tab w:leader="none" w:pos="615" w:val="left"/>
        </w:tabs>
        <w:numPr>
          <w:ilvl w:val="0"/>
          <w:numId w:val="29"/>
        </w:numPr>
        <w:rPr>
          <w:rFonts w:ascii="Arial" w:cs="Arial" w:eastAsia="Arial" w:hAnsi="Arial"/>
          <w:sz w:val="20"/>
          <w:szCs w:val="20"/>
          <w:color w:val="auto"/>
        </w:rPr>
      </w:pPr>
      <w:r>
        <w:rPr>
          <w:rFonts w:ascii="Arial" w:cs="Arial" w:eastAsia="Arial" w:hAnsi="Arial"/>
          <w:sz w:val="16"/>
          <w:szCs w:val="16"/>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112" w:lineRule="exact"/>
        <w:rPr>
          <w:rFonts w:ascii="Arial" w:cs="Arial" w:eastAsia="Arial" w:hAnsi="Arial"/>
          <w:sz w:val="20"/>
          <w:szCs w:val="20"/>
          <w:color w:val="auto"/>
        </w:rPr>
      </w:pPr>
    </w:p>
    <w:p>
      <w:pPr>
        <w:ind w:left="620" w:right="120" w:hanging="307"/>
        <w:spacing w:after="0" w:line="234" w:lineRule="auto"/>
        <w:tabs>
          <w:tab w:leader="none" w:pos="615" w:val="left"/>
        </w:tabs>
        <w:numPr>
          <w:ilvl w:val="0"/>
          <w:numId w:val="29"/>
        </w:numPr>
        <w:rPr>
          <w:rFonts w:ascii="Arial" w:cs="Arial" w:eastAsia="Arial" w:hAnsi="Arial"/>
          <w:sz w:val="21"/>
          <w:szCs w:val="21"/>
          <w:color w:val="auto"/>
        </w:rPr>
      </w:pPr>
      <w:r>
        <w:rPr>
          <w:rFonts w:ascii="Arial" w:cs="Arial" w:eastAsia="Arial" w:hAnsi="Arial"/>
          <w:sz w:val="17"/>
          <w:szCs w:val="17"/>
          <w:color w:val="auto"/>
        </w:rPr>
        <w:t>our inability to perform our obligations under our contracts, whether due to non-performance by third parties, including our customers or counterparties, market constraints, third-party constraints, legal constraints (including governmental orders or guidance), or other factors;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9"/>
        </w:numPr>
        <w:rPr>
          <w:rFonts w:ascii="Arial" w:cs="Arial" w:eastAsia="Arial" w:hAnsi="Arial"/>
          <w:sz w:val="21"/>
          <w:szCs w:val="21"/>
          <w:color w:val="auto"/>
        </w:rPr>
      </w:pPr>
      <w:r>
        <w:rPr>
          <w:rFonts w:ascii="Arial" w:cs="Arial" w:eastAsia="Arial" w:hAnsi="Arial"/>
          <w:sz w:val="17"/>
          <w:szCs w:val="17"/>
          <w:color w:val="auto"/>
        </w:rPr>
        <w:t>the incurrence of costs and expenses related to unexpected or unplanned capital expenditures, third-party claims or other factors;</w:t>
      </w:r>
    </w:p>
    <w:p>
      <w:pPr>
        <w:spacing w:after="0" w:line="129" w:lineRule="exact"/>
        <w:rPr>
          <w:rFonts w:ascii="Arial" w:cs="Arial" w:eastAsia="Arial" w:hAnsi="Arial"/>
          <w:sz w:val="21"/>
          <w:szCs w:val="21"/>
          <w:color w:val="auto"/>
        </w:rPr>
      </w:pPr>
    </w:p>
    <w:p>
      <w:pPr>
        <w:ind w:left="620" w:hanging="307"/>
        <w:spacing w:after="0" w:line="234" w:lineRule="auto"/>
        <w:tabs>
          <w:tab w:leader="none" w:pos="615" w:val="left"/>
        </w:tabs>
        <w:numPr>
          <w:ilvl w:val="0"/>
          <w:numId w:val="29"/>
        </w:numPr>
        <w:rPr>
          <w:rFonts w:ascii="Arial" w:cs="Arial" w:eastAsia="Arial" w:hAnsi="Arial"/>
          <w:sz w:val="21"/>
          <w:szCs w:val="21"/>
          <w:color w:val="auto"/>
        </w:rPr>
      </w:pPr>
      <w:r>
        <w:rPr>
          <w:rFonts w:ascii="Arial" w:cs="Arial" w:eastAsia="Arial" w:hAnsi="Arial"/>
          <w:sz w:val="17"/>
          <w:szCs w:val="17"/>
          <w:color w:val="auto"/>
        </w:rPr>
        <w:t>the successful operation of joint ventures and joint operating arrangements we enter into from time to time, whether relating to assets operated by us or by third parties, and the successful integration and future performance of acquired assets or businesses;</w:t>
      </w:r>
    </w:p>
    <w:p>
      <w:pPr>
        <w:spacing w:after="0" w:line="129" w:lineRule="exact"/>
        <w:rPr>
          <w:rFonts w:ascii="Arial" w:cs="Arial" w:eastAsia="Arial" w:hAnsi="Arial"/>
          <w:sz w:val="21"/>
          <w:szCs w:val="21"/>
          <w:color w:val="auto"/>
        </w:rPr>
      </w:pPr>
    </w:p>
    <w:p>
      <w:pPr>
        <w:ind w:left="620" w:right="100" w:hanging="307"/>
        <w:spacing w:after="0" w:line="234" w:lineRule="auto"/>
        <w:tabs>
          <w:tab w:leader="none" w:pos="615" w:val="left"/>
        </w:tabs>
        <w:numPr>
          <w:ilvl w:val="0"/>
          <w:numId w:val="29"/>
        </w:numPr>
        <w:rPr>
          <w:rFonts w:ascii="Arial" w:cs="Arial" w:eastAsia="Arial" w:hAnsi="Arial"/>
          <w:sz w:val="21"/>
          <w:szCs w:val="21"/>
          <w:color w:val="auto"/>
        </w:rPr>
      </w:pPr>
      <w:r>
        <w:rPr>
          <w:rFonts w:ascii="Arial" w:cs="Arial" w:eastAsia="Arial" w:hAnsi="Arial"/>
          <w:sz w:val="17"/>
          <w:szCs w:val="17"/>
          <w:color w:val="auto"/>
        </w:rPr>
        <w:t>failure to implement or capitalize, or delays in implementing or capitalizing, on investment capital projects, whether due to permitting delays, permitting withdrawals or other factors;</w:t>
      </w:r>
    </w:p>
    <w:p>
      <w:pPr>
        <w:spacing w:after="0" w:line="129" w:lineRule="exact"/>
        <w:rPr>
          <w:rFonts w:ascii="Arial" w:cs="Arial" w:eastAsia="Arial" w:hAnsi="Arial"/>
          <w:sz w:val="21"/>
          <w:szCs w:val="21"/>
          <w:color w:val="auto"/>
        </w:rPr>
      </w:pPr>
    </w:p>
    <w:p>
      <w:pPr>
        <w:ind w:left="620" w:right="420" w:hanging="307"/>
        <w:spacing w:after="0" w:line="234" w:lineRule="auto"/>
        <w:tabs>
          <w:tab w:leader="none" w:pos="615" w:val="left"/>
        </w:tabs>
        <w:numPr>
          <w:ilvl w:val="0"/>
          <w:numId w:val="29"/>
        </w:numPr>
        <w:rPr>
          <w:rFonts w:ascii="Arial" w:cs="Arial" w:eastAsia="Arial" w:hAnsi="Arial"/>
          <w:sz w:val="21"/>
          <w:szCs w:val="21"/>
          <w:color w:val="auto"/>
        </w:rPr>
      </w:pPr>
      <w:r>
        <w:rPr>
          <w:rFonts w:ascii="Arial" w:cs="Arial" w:eastAsia="Arial" w:hAnsi="Arial"/>
          <w:sz w:val="17"/>
          <w:szCs w:val="17"/>
          <w:color w:val="auto"/>
        </w:rPr>
        <w:t>disruptions to futures markets for crude oil, NGL and other petroleum products, which may impair our ability to execute our commercial or hedging strategies;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9"/>
        </w:numPr>
        <w:rPr>
          <w:rFonts w:ascii="Arial" w:cs="Arial" w:eastAsia="Arial" w:hAnsi="Arial"/>
          <w:sz w:val="21"/>
          <w:szCs w:val="21"/>
          <w:color w:val="auto"/>
        </w:rPr>
      </w:pPr>
      <w:r>
        <w:rPr>
          <w:rFonts w:ascii="Arial" w:cs="Arial" w:eastAsia="Arial" w:hAnsi="Arial"/>
          <w:sz w:val="17"/>
          <w:szCs w:val="17"/>
          <w:color w:val="auto"/>
        </w:rPr>
        <w:t>shortages or cost increases of supplies, materials or labor;</w:t>
      </w:r>
    </w:p>
    <w:p>
      <w:pPr>
        <w:spacing w:after="0" w:line="129" w:lineRule="exact"/>
        <w:rPr>
          <w:rFonts w:ascii="Arial" w:cs="Arial" w:eastAsia="Arial" w:hAnsi="Arial"/>
          <w:sz w:val="21"/>
          <w:szCs w:val="21"/>
          <w:color w:val="auto"/>
        </w:rPr>
      </w:pPr>
    </w:p>
    <w:p>
      <w:pPr>
        <w:ind w:left="620" w:right="140" w:hanging="307"/>
        <w:spacing w:after="0" w:line="261" w:lineRule="auto"/>
        <w:tabs>
          <w:tab w:leader="none" w:pos="615" w:val="left"/>
        </w:tabs>
        <w:numPr>
          <w:ilvl w:val="0"/>
          <w:numId w:val="29"/>
        </w:numPr>
        <w:rPr>
          <w:rFonts w:ascii="Arial" w:cs="Arial" w:eastAsia="Arial" w:hAnsi="Arial"/>
          <w:sz w:val="21"/>
          <w:szCs w:val="21"/>
          <w:color w:val="auto"/>
        </w:rPr>
      </w:pPr>
      <w:r>
        <w:rPr>
          <w:rFonts w:ascii="Arial" w:cs="Arial" w:eastAsia="Arial" w:hAnsi="Arial"/>
          <w:sz w:val="17"/>
          <w:szCs w:val="17"/>
          <w:color w:val="auto"/>
        </w:rPr>
        <w:t>the impact of current and future laws, rulings, governmental regulations, trade policies, accounting standards and statements, and related interpretations, including legislation or regulatory initiatives that prohibit, restrict or regulate hydraulic fracturing or that prohibit the development of oil and gas resources and the related infrastructure on lands dedicated to or served by our pipelines;</w:t>
      </w:r>
    </w:p>
    <w:p>
      <w:pPr>
        <w:spacing w:after="0" w:line="113" w:lineRule="exact"/>
        <w:rPr>
          <w:rFonts w:ascii="Arial" w:cs="Arial" w:eastAsia="Arial" w:hAnsi="Arial"/>
          <w:sz w:val="21"/>
          <w:szCs w:val="21"/>
          <w:color w:val="auto"/>
        </w:rPr>
      </w:pPr>
    </w:p>
    <w:p>
      <w:pPr>
        <w:ind w:left="620" w:right="300" w:hanging="307"/>
        <w:spacing w:after="0" w:line="255" w:lineRule="auto"/>
        <w:tabs>
          <w:tab w:leader="none" w:pos="615" w:val="left"/>
        </w:tabs>
        <w:numPr>
          <w:ilvl w:val="0"/>
          <w:numId w:val="29"/>
        </w:numPr>
        <w:rPr>
          <w:rFonts w:ascii="Arial" w:cs="Arial" w:eastAsia="Arial" w:hAnsi="Arial"/>
          <w:sz w:val="20"/>
          <w:szCs w:val="20"/>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spacing w:after="0" w:line="93" w:lineRule="exact"/>
        <w:rPr>
          <w:rFonts w:ascii="Arial" w:cs="Arial" w:eastAsia="Arial" w:hAnsi="Arial"/>
          <w:sz w:val="20"/>
          <w:szCs w:val="20"/>
          <w:color w:val="auto"/>
        </w:rPr>
      </w:pPr>
    </w:p>
    <w:p>
      <w:pPr>
        <w:ind w:left="620" w:hanging="307"/>
        <w:spacing w:after="0"/>
        <w:tabs>
          <w:tab w:leader="none" w:pos="620" w:val="left"/>
        </w:tabs>
        <w:numPr>
          <w:ilvl w:val="0"/>
          <w:numId w:val="29"/>
        </w:numPr>
        <w:rPr>
          <w:rFonts w:ascii="Arial" w:cs="Arial" w:eastAsia="Arial" w:hAnsi="Arial"/>
          <w:sz w:val="21"/>
          <w:szCs w:val="21"/>
          <w:color w:val="auto"/>
        </w:rPr>
      </w:pPr>
      <w:r>
        <w:rPr>
          <w:rFonts w:ascii="Arial" w:cs="Arial" w:eastAsia="Arial" w:hAnsi="Arial"/>
          <w:sz w:val="17"/>
          <w:szCs w:val="17"/>
          <w:color w:val="auto"/>
        </w:rPr>
        <w:t>inability of producers, who have made commitments to our pipelines, to access capital to fund their drilling and completion activities;</w:t>
      </w:r>
    </w:p>
    <w:p>
      <w:pPr>
        <w:spacing w:after="0" w:line="129" w:lineRule="exact"/>
        <w:rPr>
          <w:rFonts w:ascii="Arial" w:cs="Arial" w:eastAsia="Arial" w:hAnsi="Arial"/>
          <w:sz w:val="21"/>
          <w:szCs w:val="21"/>
          <w:color w:val="auto"/>
        </w:rPr>
      </w:pPr>
    </w:p>
    <w:p>
      <w:pPr>
        <w:jc w:val="both"/>
        <w:ind w:left="620" w:right="220" w:hanging="307"/>
        <w:spacing w:after="0"/>
        <w:tabs>
          <w:tab w:leader="none" w:pos="615" w:val="left"/>
        </w:tabs>
        <w:numPr>
          <w:ilvl w:val="0"/>
          <w:numId w:val="29"/>
        </w:numPr>
        <w:rPr>
          <w:rFonts w:ascii="Arial" w:cs="Arial" w:eastAsia="Arial" w:hAnsi="Arial"/>
          <w:sz w:val="21"/>
          <w:szCs w:val="21"/>
          <w:color w:val="auto"/>
        </w:rPr>
      </w:pPr>
      <w:r>
        <w:rPr>
          <w:rFonts w:ascii="Arial" w:cs="Arial" w:eastAsia="Arial" w:hAnsi="Arial"/>
          <w:sz w:val="17"/>
          <w:szCs w:val="17"/>
          <w:color w:val="auto"/>
        </w:rPr>
        <w:t>general economic, market or business conditions in the United States and elsewhere (including the potential for a recession or significant slowdown in economic activity levels and the timing, pace and extent of economic recovery) that impact demand for crude oil, drilling and production activities and therefore the demand for the midstream services we provide and commercial opportunities available to us;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9"/>
        </w:numPr>
        <w:rPr>
          <w:rFonts w:ascii="Arial" w:cs="Arial" w:eastAsia="Arial" w:hAnsi="Arial"/>
          <w:sz w:val="21"/>
          <w:szCs w:val="21"/>
          <w:color w:val="auto"/>
        </w:rPr>
      </w:pPr>
      <w:r>
        <w:rPr>
          <w:rFonts w:ascii="Arial" w:cs="Arial" w:eastAsia="Arial" w:hAnsi="Arial"/>
          <w:sz w:val="17"/>
          <w:szCs w:val="17"/>
          <w:color w:val="auto"/>
        </w:rPr>
        <w:t>the amplification of other risks caused by volatile financial markets, capital constraints, liquidity concerns and inflation;</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9"/>
        </w:numPr>
        <w:rPr>
          <w:rFonts w:ascii="Arial" w:cs="Arial" w:eastAsia="Arial" w:hAnsi="Arial"/>
          <w:sz w:val="21"/>
          <w:szCs w:val="21"/>
          <w:color w:val="auto"/>
        </w:rPr>
      </w:pPr>
      <w:r>
        <w:rPr>
          <w:rFonts w:ascii="Arial" w:cs="Arial" w:eastAsia="Arial" w:hAnsi="Arial"/>
          <w:sz w:val="17"/>
          <w:szCs w:val="17"/>
          <w:color w:val="auto"/>
        </w:rPr>
        <w:t>the use or availability of third-party assets upon which our operations depend and over which we have little or no control;</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9"/>
        </w:numPr>
        <w:rPr>
          <w:rFonts w:ascii="Arial" w:cs="Arial" w:eastAsia="Arial" w:hAnsi="Arial"/>
          <w:sz w:val="21"/>
          <w:szCs w:val="21"/>
          <w:color w:val="auto"/>
        </w:rPr>
      </w:pPr>
      <w:r>
        <w:rPr>
          <w:rFonts w:ascii="Arial" w:cs="Arial" w:eastAsia="Arial" w:hAnsi="Arial"/>
          <w:sz w:val="17"/>
          <w:szCs w:val="17"/>
          <w:color w:val="auto"/>
        </w:rPr>
        <w:t>the currency exchange rate of the Canadian dollar to the United States dollar;</w:t>
      </w:r>
    </w:p>
    <w:p>
      <w:pPr>
        <w:spacing w:after="0" w:line="51" w:lineRule="exact"/>
        <w:rPr>
          <w:rFonts w:ascii="Arial" w:cs="Arial" w:eastAsia="Arial" w:hAnsi="Arial"/>
          <w:sz w:val="21"/>
          <w:szCs w:val="21"/>
          <w:color w:val="auto"/>
        </w:rPr>
      </w:pPr>
    </w:p>
    <w:p>
      <w:pPr>
        <w:ind w:left="5440" w:hanging="93"/>
        <w:spacing w:after="0"/>
        <w:tabs>
          <w:tab w:leader="none" w:pos="5440" w:val="left"/>
        </w:tabs>
        <w:numPr>
          <w:ilvl w:val="1"/>
          <w:numId w:val="29"/>
        </w:numPr>
        <w:rPr>
          <w:rFonts w:ascii="Arial" w:cs="Arial" w:eastAsia="Arial" w:hAnsi="Arial"/>
          <w:sz w:val="17"/>
          <w:szCs w:val="17"/>
          <w:color w:val="auto"/>
        </w:rPr>
      </w:pPr>
      <w:r>
        <w:rPr>
          <w:rFonts w:ascii="Arial" w:cs="Arial" w:eastAsia="Arial" w:hAnsi="Arial"/>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u w:val="single" w:color="auto"/>
          <w:color w:val="auto"/>
        </w:rPr>
        <w:t>Page 27</w:t>
      </w:r>
    </w:p>
    <w:p>
      <w:pPr>
        <w:spacing w:after="0" w:line="200" w:lineRule="exact"/>
        <w:rPr>
          <w:sz w:val="20"/>
          <w:szCs w:val="20"/>
          <w:color w:val="auto"/>
        </w:rPr>
      </w:pPr>
    </w:p>
    <w:p>
      <w:pPr>
        <w:spacing w:after="0" w:line="263" w:lineRule="exact"/>
        <w:rPr>
          <w:sz w:val="20"/>
          <w:szCs w:val="20"/>
          <w:color w:val="auto"/>
        </w:rPr>
      </w:pPr>
    </w:p>
    <w:p>
      <w:pPr>
        <w:ind w:left="620" w:right="620" w:hanging="307"/>
        <w:spacing w:after="0" w:line="234" w:lineRule="auto"/>
        <w:tabs>
          <w:tab w:leader="none" w:pos="615" w:val="left"/>
        </w:tabs>
        <w:numPr>
          <w:ilvl w:val="0"/>
          <w:numId w:val="30"/>
        </w:numPr>
        <w:rPr>
          <w:rFonts w:ascii="Arial" w:cs="Arial" w:eastAsia="Arial" w:hAnsi="Arial"/>
          <w:sz w:val="21"/>
          <w:szCs w:val="21"/>
          <w:color w:val="auto"/>
        </w:rPr>
      </w:pPr>
      <w:r>
        <w:rPr>
          <w:rFonts w:ascii="Arial" w:cs="Arial" w:eastAsia="Arial" w:hAnsi="Arial"/>
          <w:sz w:val="17"/>
          <w:szCs w:val="17"/>
          <w:color w:val="auto"/>
        </w:rPr>
        <w:t>inability to recognize current revenue attributable to deficiency payments received from customers who fail to ship or move more than minimum contracted volumes until the related credits expire or are used;</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30"/>
        </w:numPr>
        <w:rPr>
          <w:rFonts w:ascii="Arial" w:cs="Arial" w:eastAsia="Arial" w:hAnsi="Arial"/>
          <w:sz w:val="21"/>
          <w:szCs w:val="21"/>
          <w:color w:val="auto"/>
        </w:rPr>
      </w:pPr>
      <w:r>
        <w:rPr>
          <w:rFonts w:ascii="Arial" w:cs="Arial" w:eastAsia="Arial" w:hAnsi="Arial"/>
          <w:sz w:val="17"/>
          <w:szCs w:val="17"/>
          <w:color w:val="auto"/>
        </w:rPr>
        <w:t>significant under-utilization of our assets and facilities;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30"/>
        </w:numPr>
        <w:rPr>
          <w:rFonts w:ascii="Arial" w:cs="Arial" w:eastAsia="Arial" w:hAnsi="Arial"/>
          <w:sz w:val="21"/>
          <w:szCs w:val="21"/>
          <w:color w:val="auto"/>
        </w:rPr>
      </w:pPr>
      <w:r>
        <w:rPr>
          <w:rFonts w:ascii="Arial" w:cs="Arial" w:eastAsia="Arial" w:hAnsi="Arial"/>
          <w:sz w:val="17"/>
          <w:szCs w:val="17"/>
          <w:color w:val="auto"/>
        </w:rPr>
        <w:t>increased costs, or lack of availability, of insurance;</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30"/>
        </w:numPr>
        <w:rPr>
          <w:rFonts w:ascii="Arial" w:cs="Arial" w:eastAsia="Arial" w:hAnsi="Arial"/>
          <w:sz w:val="21"/>
          <w:szCs w:val="21"/>
          <w:color w:val="auto"/>
        </w:rPr>
      </w:pPr>
      <w:r>
        <w:rPr>
          <w:rFonts w:ascii="Arial" w:cs="Arial" w:eastAsia="Arial" w:hAnsi="Arial"/>
          <w:sz w:val="17"/>
          <w:szCs w:val="17"/>
          <w:color w:val="auto"/>
        </w:rPr>
        <w:t>the effectiveness of our risk management activities;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30"/>
        </w:numPr>
        <w:rPr>
          <w:rFonts w:ascii="Arial" w:cs="Arial" w:eastAsia="Arial" w:hAnsi="Arial"/>
          <w:sz w:val="21"/>
          <w:szCs w:val="21"/>
          <w:color w:val="auto"/>
        </w:rPr>
      </w:pPr>
      <w:r>
        <w:rPr>
          <w:rFonts w:ascii="Arial" w:cs="Arial" w:eastAsia="Arial" w:hAnsi="Arial"/>
          <w:sz w:val="17"/>
          <w:szCs w:val="17"/>
          <w:color w:val="auto"/>
        </w:rPr>
        <w:t>fluctuations in the debt and equity markets, including the price of our units at the time of vesting under our long-term incentive plans;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30"/>
        </w:numPr>
        <w:rPr>
          <w:rFonts w:ascii="Arial" w:cs="Arial" w:eastAsia="Arial" w:hAnsi="Arial"/>
          <w:sz w:val="21"/>
          <w:szCs w:val="21"/>
          <w:color w:val="auto"/>
        </w:rPr>
      </w:pPr>
      <w:r>
        <w:rPr>
          <w:rFonts w:ascii="Arial" w:cs="Arial" w:eastAsia="Arial" w:hAnsi="Arial"/>
          <w:sz w:val="17"/>
          <w:szCs w:val="17"/>
          <w:color w:val="auto"/>
        </w:rPr>
        <w:t>risks related to the development and operation of our assets; and</w:t>
      </w:r>
    </w:p>
    <w:p>
      <w:pPr>
        <w:spacing w:after="0" w:line="129" w:lineRule="exact"/>
        <w:rPr>
          <w:rFonts w:ascii="Arial" w:cs="Arial" w:eastAsia="Arial" w:hAnsi="Arial"/>
          <w:sz w:val="21"/>
          <w:szCs w:val="21"/>
          <w:color w:val="auto"/>
        </w:rPr>
      </w:pPr>
    </w:p>
    <w:p>
      <w:pPr>
        <w:ind w:left="620" w:right="100" w:hanging="307"/>
        <w:spacing w:after="0"/>
        <w:tabs>
          <w:tab w:leader="none" w:pos="615" w:val="left"/>
        </w:tabs>
        <w:numPr>
          <w:ilvl w:val="0"/>
          <w:numId w:val="30"/>
        </w:numPr>
        <w:rPr>
          <w:rFonts w:ascii="Arial" w:cs="Arial" w:eastAsia="Arial" w:hAnsi="Arial"/>
          <w:sz w:val="21"/>
          <w:szCs w:val="21"/>
          <w:color w:val="auto"/>
        </w:rPr>
      </w:pPr>
      <w:r>
        <w:rPr>
          <w:rFonts w:ascii="Arial" w:cs="Arial" w:eastAsia="Arial" w:hAnsi="Arial"/>
          <w:sz w:val="17"/>
          <w:szCs w:val="17"/>
          <w:color w:val="auto"/>
        </w:rPr>
        <w:t>other factors and uncertainties inherent in the transportation, storage, terminalling and marketing of crude oil, as well as in the storage of natural gas and the processing, transportation, fractionation, storage and marketing of NGL as discussed in the Partnerships’ filings with the Securities and Exchange Commission.</w:t>
      </w:r>
    </w:p>
    <w:p>
      <w:pPr>
        <w:spacing w:after="0" w:line="246" w:lineRule="exact"/>
        <w:rPr>
          <w:sz w:val="20"/>
          <w:szCs w:val="20"/>
          <w:color w:val="auto"/>
        </w:rPr>
      </w:pPr>
    </w:p>
    <w:p>
      <w:pPr>
        <w:ind w:right="120" w:firstLine="620"/>
        <w:spacing w:after="0" w:line="309" w:lineRule="auto"/>
        <w:rPr>
          <w:sz w:val="20"/>
          <w:szCs w:val="20"/>
          <w:color w:val="auto"/>
        </w:rPr>
      </w:pPr>
      <w:r>
        <w:rPr>
          <w:rFonts w:ascii="Arial" w:cs="Arial" w:eastAsia="Arial" w:hAnsi="Arial"/>
          <w:sz w:val="15"/>
          <w:szCs w:val="15"/>
          <w:color w:val="auto"/>
        </w:rPr>
        <w:t>PAA is a publicly traded master limited partnership that owns and operates midstream energy infrastructure and provides logistics services for crude oil, NGL and natural gas. PAA owns an extensive network of pipeline transportation, terminalling, storage and gathering assets in key crude oil and NGL producing basins and transportation corridors and at major market hubs in the United States and Canada. On average, PAA handles more than 5 million barrels per day of crude oil and NGL in its Transportation segment. PAA is headquartered in Houston, Texas. More information is available at www.plainsallamerican.com.</w:t>
      </w:r>
    </w:p>
    <w:p>
      <w:pPr>
        <w:spacing w:after="0" w:line="171" w:lineRule="exact"/>
        <w:rPr>
          <w:sz w:val="20"/>
          <w:szCs w:val="20"/>
          <w:color w:val="auto"/>
        </w:rPr>
      </w:pPr>
    </w:p>
    <w:p>
      <w:pPr>
        <w:jc w:val="both"/>
        <w:ind w:firstLine="620"/>
        <w:spacing w:after="0" w:line="268" w:lineRule="auto"/>
        <w:rPr>
          <w:sz w:val="20"/>
          <w:szCs w:val="20"/>
          <w:color w:val="auto"/>
        </w:rPr>
      </w:pPr>
      <w:r>
        <w:rPr>
          <w:rFonts w:ascii="Arial" w:cs="Arial" w:eastAsia="Arial" w:hAnsi="Arial"/>
          <w:sz w:val="17"/>
          <w:szCs w:val="17"/>
          <w:color w:val="auto"/>
        </w:rPr>
        <w:t>PAGP is a publicly traded entity that owns an indirect, non-economic controlling general partner interest in PAA and an indirect limited partner interest in PAA, one of the largest energy infrastructure and logistics companies in North America. PAGP is headquartered in Houston, Texas. More information is available at www.plainsallamerican.com.</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Contacts</w:t>
      </w:r>
      <w:r>
        <w:rPr>
          <w:rFonts w:ascii="Arial" w:cs="Arial" w:eastAsia="Arial" w:hAnsi="Arial"/>
          <w:sz w:val="17"/>
          <w:szCs w:val="17"/>
          <w:color w:val="auto"/>
        </w:rPr>
        <w:t>:</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7"/>
          <w:szCs w:val="17"/>
          <w:color w:val="auto"/>
        </w:rPr>
        <w:t>Roy Lamoreaux</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Vice President, Investor Relations, Communications and Government Relations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(866) 809-1291</w:t>
      </w:r>
    </w:p>
    <w:p>
      <w:pPr>
        <w:spacing w:after="0" w:line="283" w:lineRule="exact"/>
        <w:rPr>
          <w:sz w:val="20"/>
          <w:szCs w:val="20"/>
          <w:color w:val="auto"/>
        </w:rPr>
      </w:pPr>
    </w:p>
    <w:p>
      <w:pPr>
        <w:ind w:left="20"/>
        <w:spacing w:after="0"/>
        <w:rPr>
          <w:sz w:val="20"/>
          <w:szCs w:val="20"/>
          <w:color w:val="auto"/>
        </w:rPr>
      </w:pPr>
      <w:r>
        <w:rPr>
          <w:rFonts w:ascii="Arial" w:cs="Arial" w:eastAsia="Arial" w:hAnsi="Arial"/>
          <w:sz w:val="17"/>
          <w:szCs w:val="17"/>
          <w:color w:val="auto"/>
        </w:rPr>
        <w:t>Brett Magill</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Director, Investor Relations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(866) 809-1291</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sectPr>
      <w:pgSz w:w="11900" w:h="16838" w:orient="portrait"/>
      <w:cols w:equalWidth="0" w:num="1">
        <w:col w:w="11220"/>
      </w:cols>
      <w:pgMar w:left="320" w:top="36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1)"/>
      <w:numFmt w:val="decimal"/>
      <w:start w:val="1"/>
    </w:lvl>
    <w:lvl w:ilvl="1">
      <w:lvlJc w:val="left"/>
      <w:lvlText w:val="-"/>
      <w:numFmt w:val="bullet"/>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1."/>
      <w:numFmt w:val="decimal"/>
      <w:start w:val="1"/>
    </w:lvl>
  </w:abstractNum>
  <w:abstractNum w:abstractNumId="7">
    <w:nsid w:val="7C83E458"/>
    <w:multiLevelType w:val="hybridMultilevel"/>
    <w:lvl w:ilvl="0">
      <w:lvlJc w:val="left"/>
      <w:lvlText w:val="(%1)"/>
      <w:numFmt w:val="lowerRoman"/>
      <w:start w:val="4"/>
    </w:lvl>
  </w:abstractNum>
  <w:abstractNum w:abstractNumId="8">
    <w:nsid w:val="257130A3"/>
    <w:multiLevelType w:val="hybridMultilevel"/>
    <w:lvl w:ilvl="0">
      <w:lvlJc w:val="left"/>
      <w:lvlText w:val="(%1)"/>
      <w:numFmt w:val="decimal"/>
      <w:start w:val="1"/>
    </w:lvl>
    <w:lvl w:ilvl="1">
      <w:lvlJc w:val="left"/>
      <w:lvlText w:val="-"/>
      <w:numFmt w:val="bullet"/>
      <w:start w:val="1"/>
    </w:lvl>
  </w:abstractNum>
  <w:abstractNum w:abstractNumId="9">
    <w:nsid w:val="62BBD95A"/>
    <w:multiLevelType w:val="hybridMultilevel"/>
    <w:lvl w:ilvl="0">
      <w:lvlJc w:val="left"/>
      <w:lvlText w:val="(%1)"/>
      <w:numFmt w:val="decimal"/>
      <w:start w:val="1"/>
    </w:lvl>
    <w:lvl w:ilvl="1">
      <w:lvlJc w:val="left"/>
      <w:lvlText w:val="-"/>
      <w:numFmt w:val="bullet"/>
      <w:start w:val="1"/>
    </w:lvl>
  </w:abstractNum>
  <w:abstractNum w:abstractNumId="10">
    <w:nsid w:val="436C6125"/>
    <w:multiLevelType w:val="hybridMultilevel"/>
    <w:lvl w:ilvl="0">
      <w:lvlJc w:val="left"/>
      <w:lvlText w:val="(%1)"/>
      <w:numFmt w:val="decimal"/>
      <w:start w:val="1"/>
    </w:lvl>
  </w:abstractNum>
  <w:abstractNum w:abstractNumId="11">
    <w:nsid w:val="628C895D"/>
    <w:multiLevelType w:val="hybridMultilevel"/>
    <w:lvl w:ilvl="0">
      <w:lvlJc w:val="left"/>
      <w:lvlText w:val="(%1)"/>
      <w:numFmt w:val="decimal"/>
      <w:start w:val="1"/>
    </w:lvl>
  </w:abstractNum>
  <w:abstractNum w:abstractNumId="12">
    <w:nsid w:val="333AB105"/>
    <w:multiLevelType w:val="hybridMultilevel"/>
    <w:lvl w:ilvl="0">
      <w:lvlJc w:val="left"/>
      <w:lvlText w:val="(%1)"/>
      <w:numFmt w:val="decimal"/>
      <w:start w:val="1"/>
    </w:lvl>
    <w:lvl w:ilvl="1">
      <w:lvlJc w:val="left"/>
      <w:lvlText w:val="-"/>
      <w:numFmt w:val="bullet"/>
      <w:start w:val="1"/>
    </w:lvl>
  </w:abstractNum>
  <w:abstractNum w:abstractNumId="13">
    <w:nsid w:val="721DA317"/>
    <w:multiLevelType w:val="hybridMultilevel"/>
    <w:lvl w:ilvl="0">
      <w:lvlJc w:val="left"/>
      <w:lvlText w:val="(%1)"/>
      <w:numFmt w:val="decimal"/>
      <w:start w:val="1"/>
    </w:lvl>
    <w:lvl w:ilvl="1">
      <w:lvlJc w:val="left"/>
      <w:lvlText w:val="-"/>
      <w:numFmt w:val="bullet"/>
      <w:start w:val="1"/>
    </w:lvl>
  </w:abstractNum>
  <w:abstractNum w:abstractNumId="14">
    <w:nsid w:val="2443A858"/>
    <w:multiLevelType w:val="hybridMultilevel"/>
    <w:lvl w:ilvl="0">
      <w:lvlJc w:val="left"/>
      <w:lvlText w:val="(%1)"/>
      <w:numFmt w:val="decimal"/>
      <w:start w:val="1"/>
    </w:lvl>
  </w:abstractNum>
  <w:abstractNum w:abstractNumId="15">
    <w:nsid w:val="2D1D5AE9"/>
    <w:multiLevelType w:val="hybridMultilevel"/>
    <w:lvl w:ilvl="0">
      <w:lvlJc w:val="left"/>
      <w:lvlText w:val="(%1)"/>
      <w:numFmt w:val="decimal"/>
      <w:start w:val="1"/>
    </w:lvl>
    <w:lvl w:ilvl="1">
      <w:lvlJc w:val="left"/>
      <w:lvlText w:val="-"/>
      <w:numFmt w:val="bullet"/>
      <w:start w:val="1"/>
    </w:lvl>
  </w:abstractNum>
  <w:abstractNum w:abstractNumId="16">
    <w:nsid w:val="6763845E"/>
    <w:multiLevelType w:val="hybridMultilevel"/>
    <w:lvl w:ilvl="0">
      <w:lvlJc w:val="left"/>
      <w:lvlText w:val="(%1)"/>
      <w:numFmt w:val="decimal"/>
      <w:start w:val="1"/>
    </w:lvl>
    <w:lvl w:ilvl="1">
      <w:lvlJc w:val="left"/>
      <w:lvlText w:val="-"/>
      <w:numFmt w:val="bullet"/>
      <w:start w:val="1"/>
    </w:lvl>
  </w:abstractNum>
  <w:abstractNum w:abstractNumId="17">
    <w:nsid w:val="75A2A8D4"/>
    <w:multiLevelType w:val="hybridMultilevel"/>
    <w:lvl w:ilvl="0">
      <w:lvlJc w:val="left"/>
      <w:lvlText w:val="(%1)"/>
      <w:numFmt w:val="decimal"/>
      <w:start w:val="1"/>
    </w:lvl>
    <w:lvl w:ilvl="1">
      <w:lvlJc w:val="left"/>
      <w:lvlText w:val="-"/>
      <w:numFmt w:val="bullet"/>
      <w:start w:val="1"/>
    </w:lvl>
  </w:abstractNum>
  <w:abstractNum w:abstractNumId="18">
    <w:nsid w:val="8EDBDAB"/>
    <w:multiLevelType w:val="hybridMultilevel"/>
    <w:lvl w:ilvl="0">
      <w:lvlJc w:val="left"/>
      <w:lvlText w:val="(%1)"/>
      <w:numFmt w:val="decimal"/>
      <w:start w:val="3"/>
    </w:lvl>
  </w:abstractNum>
  <w:abstractNum w:abstractNumId="19">
    <w:nsid w:val="79838CB2"/>
    <w:multiLevelType w:val="hybridMultilevel"/>
    <w:lvl w:ilvl="0">
      <w:lvlJc w:val="left"/>
      <w:lvlText w:val="(%1)"/>
      <w:numFmt w:val="decimal"/>
      <w:start w:val="3"/>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1)"/>
      <w:numFmt w:val="decimal"/>
      <w:start w:val="1"/>
    </w:lvl>
  </w:abstractNum>
  <w:abstractNum w:abstractNumId="22">
    <w:nsid w:val="189A769B"/>
    <w:multiLevelType w:val="hybridMultilevel"/>
    <w:lvl w:ilvl="0">
      <w:lvlJc w:val="left"/>
      <w:lvlText w:val="(%1)"/>
      <w:numFmt w:val="decimal"/>
      <w:start w:val="1"/>
    </w:lvl>
    <w:lvl w:ilvl="1">
      <w:lvlJc w:val="left"/>
      <w:lvlText w:val="-"/>
      <w:numFmt w:val="bullet"/>
      <w:start w:val="1"/>
    </w:lvl>
  </w:abstractNum>
  <w:abstractNum w:abstractNumId="23">
    <w:nsid w:val="54E49EB4"/>
    <w:multiLevelType w:val="hybridMultilevel"/>
    <w:lvl w:ilvl="0">
      <w:lvlJc w:val="left"/>
      <w:lvlText w:val="(%1)"/>
      <w:numFmt w:val="decimal"/>
      <w:start w:val="1"/>
    </w:lvl>
    <w:lvl w:ilvl="1">
      <w:lvlJc w:val="left"/>
      <w:lvlText w:val="-"/>
      <w:numFmt w:val="bullet"/>
      <w:start w:val="1"/>
    </w:lvl>
  </w:abstractNum>
  <w:abstractNum w:abstractNumId="24">
    <w:nsid w:val="71F32454"/>
    <w:multiLevelType w:val="hybridMultilevel"/>
    <w:lvl w:ilvl="0">
      <w:lvlJc w:val="left"/>
      <w:lvlText w:val="(%1)"/>
      <w:numFmt w:val="decimal"/>
      <w:start w:val="1"/>
    </w:lvl>
    <w:lvl w:ilvl="1">
      <w:lvlJc w:val="left"/>
      <w:lvlText w:val="-"/>
      <w:numFmt w:val="bullet"/>
      <w:start w:val="1"/>
    </w:lvl>
  </w:abstractNum>
  <w:abstractNum w:abstractNumId="25">
    <w:nsid w:val="2CA88611"/>
    <w:multiLevelType w:val="hybridMultilevel"/>
    <w:lvl w:ilvl="0">
      <w:lvlJc w:val="left"/>
      <w:lvlText w:val="(%1)"/>
      <w:numFmt w:val="decimal"/>
      <w:start w:val="1"/>
    </w:lvl>
  </w:abstractNum>
  <w:abstractNum w:abstractNumId="26">
    <w:nsid w:val="836C40E"/>
    <w:multiLevelType w:val="hybridMultilevel"/>
    <w:lvl w:ilvl="0">
      <w:lvlJc w:val="left"/>
      <w:lvlText w:val="(%1)"/>
      <w:numFmt w:val="decimal"/>
      <w:start w:val="1"/>
    </w:lvl>
  </w:abstractNum>
  <w:abstractNum w:abstractNumId="27">
    <w:nsid w:val="2901D82"/>
    <w:multiLevelType w:val="hybridMultilevel"/>
    <w:lvl w:ilvl="0">
      <w:lvlJc w:val="left"/>
      <w:lvlText w:val="•"/>
      <w:numFmt w:val="bullet"/>
      <w:start w:val="1"/>
    </w:lvl>
    <w:lvl w:ilvl="1">
      <w:lvlJc w:val="left"/>
      <w:lvlText w:val="-"/>
      <w:numFmt w:val="bullet"/>
      <w:start w:val="1"/>
    </w:lvl>
  </w:abstractNum>
  <w:abstractNum w:abstractNumId="28">
    <w:nsid w:val="3A95F874"/>
    <w:multiLevelType w:val="hybridMultilevel"/>
    <w:lvl w:ilvl="0">
      <w:lvlJc w:val="left"/>
      <w:lvlText w:val="•"/>
      <w:numFmt w:val="bullet"/>
      <w:start w:val="1"/>
    </w:lvl>
    <w:lvl w:ilvl="1">
      <w:lvlJc w:val="left"/>
      <w:lvlText w:val="-"/>
      <w:numFmt w:val="bullet"/>
      <w:start w:val="1"/>
    </w:lvl>
  </w:abstractNum>
  <w:abstractNum w:abstractNumId="29">
    <w:nsid w:val="813864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2021-08-03T16:05:59Z</dcterms:created>
  <dcterms:modified xsi:type="dcterms:W3CDTF">2021-08-03T16:05:59Z</dcterms:modified>
</cp:coreProperties>
</file>