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6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 </w:t>
      </w:r>
      <w:r>
        <w:rPr>
          <w:rFonts w:ascii="Times New Roman" w:cs="Times New Roman" w:eastAsia="Times New Roman" w:hAnsi="Times New Roman"/>
          <w:sz w:val="17"/>
          <w:szCs w:val="17"/>
          <w:b w:val="1"/>
          <w:bCs w:val="1"/>
          <w:color w:val="auto"/>
        </w:rPr>
        <w:t>February 6, 2026</w:t>
      </w:r>
    </w:p>
    <w:p>
      <w:pPr>
        <w:spacing w:after="0" w:line="2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Plains GP Holdings, L.P.</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080"/>
          </w:cols>
          <w:pgMar w:left="320" w:top="1270" w:right="499" w:bottom="1440" w:gutter="0" w:footer="0" w:header="0"/>
        </w:sectPr>
      </w:pPr>
    </w:p>
    <w:p>
      <w:pPr>
        <w:spacing w:after="0" w:line="28"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32"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3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40" w:space="720"/>
            <w:col w:w="2540" w:space="720"/>
            <w:col w:w="3160"/>
          </w:cols>
          <w:pgMar w:left="320" w:top="1270" w:right="499" w:bottom="1440" w:gutter="0" w:footer="0" w:header="0"/>
          <w:type w:val="continuous"/>
        </w:sectPr>
      </w:pPr>
    </w:p>
    <w:p>
      <w:pPr>
        <w:ind w:left="1640"/>
        <w:spacing w:after="0" w:line="235" w:lineRule="auto"/>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080"/>
          </w:cols>
          <w:pgMar w:left="320" w:top="1270" w:right="499" w:bottom="1440" w:gutter="0" w:footer="0" w:header="0"/>
          <w:type w:val="continuous"/>
        </w:sectPr>
      </w:pPr>
    </w:p>
    <w:p>
      <w:pPr>
        <w:spacing w:after="0" w:line="31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p>
      <w:pPr>
        <w:spacing w:after="0" w:line="2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713-646-4100</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44" w:lineRule="exact"/>
        <w:rPr>
          <w:sz w:val="24"/>
          <w:szCs w:val="24"/>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340" w:hanging="337"/>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060" w:firstLine="3"/>
        <w:spacing w:after="0" w:line="560" w:lineRule="auto"/>
        <w:tabs>
          <w:tab w:leader="none" w:pos="32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6"/>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Shares</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PAGP</w:t>
            </w:r>
          </w:p>
        </w:tc>
        <w:tc>
          <w:tcPr>
            <w:tcW w:w="1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w:t>
            </w:r>
          </w:p>
        </w:tc>
      </w:tr>
    </w:tbl>
    <w:p>
      <w:pPr>
        <w:spacing w:after="0" w:line="212" w:lineRule="exact"/>
        <w:rPr>
          <w:sz w:val="24"/>
          <w:szCs w:val="24"/>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939800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205740</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147955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0"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and Item 7.01. Results of Operations and Financial Condition; Regulation FD Disclosure.</w:t>
      </w:r>
    </w:p>
    <w:p>
      <w:pPr>
        <w:spacing w:after="0" w:line="248" w:lineRule="exact"/>
        <w:rPr>
          <w:sz w:val="20"/>
          <w:szCs w:val="20"/>
          <w:color w:val="auto"/>
        </w:rPr>
      </w:pPr>
    </w:p>
    <w:p>
      <w:pPr>
        <w:ind w:firstLine="172"/>
        <w:spacing w:after="0" w:line="265" w:lineRule="auto"/>
        <w:rPr>
          <w:sz w:val="20"/>
          <w:szCs w:val="20"/>
          <w:color w:val="auto"/>
        </w:rPr>
      </w:pPr>
      <w:r>
        <w:rPr>
          <w:rFonts w:ascii="Times New Roman" w:cs="Times New Roman" w:eastAsia="Times New Roman" w:hAnsi="Times New Roman"/>
          <w:sz w:val="17"/>
          <w:szCs w:val="17"/>
          <w:color w:val="auto"/>
        </w:rPr>
        <w:t>On February 6, 2026, the Registrant issued a press release reporting its fourth-quarter 2025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 Exhibits.</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860" w:type="dxa"/>
            <w:vAlign w:val="bottom"/>
            <w:vMerge w:val="restart"/>
          </w:tcPr>
          <w:p>
            <w:pPr>
              <w:ind w:left="7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5"/>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4"/>
              </w:rPr>
              <w:t>Number</w:t>
            </w:r>
          </w:p>
        </w:tc>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580" w:type="dxa"/>
            <w:vAlign w:val="bottom"/>
            <w:tcBorders>
              <w:top w:val="single" w:sz="8" w:color="auto"/>
              <w:bottom w:val="single" w:sz="8" w:color="0000FF"/>
            </w:tcBorders>
          </w:tcPr>
          <w:p>
            <w:pPr>
              <w:spacing w:after="0" w:line="175" w:lineRule="exact"/>
              <w:rPr>
                <w:sz w:val="20"/>
                <w:szCs w:val="20"/>
                <w:color w:val="auto"/>
              </w:rPr>
            </w:pPr>
            <w:r>
              <w:rPr>
                <w:rFonts w:ascii="Times New Roman" w:cs="Times New Roman" w:eastAsia="Times New Roman" w:hAnsi="Times New Roman"/>
                <w:sz w:val="17"/>
                <w:szCs w:val="17"/>
                <w:color w:val="0000FF"/>
              </w:rPr>
              <w:t>Press Release dated February 6, 2026</w:t>
            </w:r>
          </w:p>
        </w:tc>
        <w:tc>
          <w:tcPr>
            <w:tcW w:w="4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20" w:hanging="783"/>
        <w:spacing w:after="0"/>
        <w:tabs>
          <w:tab w:leader="none" w:pos="18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6"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6" w:right="45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93" w:lineRule="exact"/>
        <w:rPr>
          <w:sz w:val="20"/>
          <w:szCs w:val="20"/>
          <w:color w:val="auto"/>
        </w:rPr>
      </w:pPr>
    </w:p>
    <w:p>
      <w:pPr>
        <w:ind w:right="320" w:firstLine="233"/>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74"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7640" w:type="dxa"/>
            <w:vAlign w:val="bottom"/>
            <w:gridSpan w:val="3"/>
          </w:tcPr>
          <w:p>
            <w:pPr>
              <w:ind w:left="1460"/>
              <w:spacing w:after="0"/>
              <w:rPr>
                <w:sz w:val="20"/>
                <w:szCs w:val="20"/>
                <w:color w:val="auto"/>
              </w:rPr>
            </w:pPr>
            <w:r>
              <w:rPr>
                <w:rFonts w:ascii="Times New Roman" w:cs="Times New Roman" w:eastAsia="Times New Roman" w:hAnsi="Times New Roman"/>
                <w:sz w:val="17"/>
                <w:szCs w:val="17"/>
                <w:color w:val="auto"/>
              </w:rPr>
              <w:t>PLAINS GP HOLDINGS, L.P.</w:t>
            </w:r>
          </w:p>
        </w:tc>
      </w:tr>
      <w:tr>
        <w:trPr>
          <w:trHeight w:val="478"/>
        </w:trPr>
        <w:tc>
          <w:tcPr>
            <w:tcW w:w="3060" w:type="dxa"/>
            <w:vAlign w:val="bottom"/>
          </w:tcPr>
          <w:p>
            <w:pPr>
              <w:spacing w:after="0"/>
              <w:rPr>
                <w:sz w:val="24"/>
                <w:szCs w:val="24"/>
                <w:color w:val="auto"/>
              </w:rPr>
            </w:pPr>
          </w:p>
        </w:tc>
        <w:tc>
          <w:tcPr>
            <w:tcW w:w="19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PAA GP Holdings LLC, its general partner</w:t>
            </w:r>
          </w:p>
        </w:tc>
      </w:tr>
      <w:tr>
        <w:trPr>
          <w:trHeight w:val="478"/>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6, 2026</w:t>
            </w:r>
          </w:p>
        </w:tc>
        <w:tc>
          <w:tcPr>
            <w:tcW w:w="190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Al Swanson</w:t>
            </w:r>
          </w:p>
        </w:tc>
      </w:tr>
      <w:tr>
        <w:trPr>
          <w:trHeight w:val="205"/>
        </w:trPr>
        <w:tc>
          <w:tcPr>
            <w:tcW w:w="3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Al Swanson</w:t>
            </w:r>
          </w:p>
        </w:tc>
      </w:tr>
      <w:tr>
        <w:trPr>
          <w:trHeight w:val="227"/>
        </w:trPr>
        <w:tc>
          <w:tcPr>
            <w:tcW w:w="3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340"/>
          </w:cols>
          <w:pgMar w:left="320" w:top="94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2389505</wp:posOffset>
            </wp:positionH>
            <wp:positionV relativeFrom="paragraph">
              <wp:posOffset>282575</wp:posOffset>
            </wp:positionV>
            <wp:extent cx="2362835" cy="910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2835" cy="91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Plains All American Reports Fourth-Quarter and Full-Year 2025 Results</w:t>
      </w:r>
    </w:p>
    <w:p>
      <w:pPr>
        <w:spacing w:after="0" w:line="242"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Houston, TX – February 6, 2026 – Plains All American Pipeline, L.P. (Nasdaq: PAA) and Plains GP Holdings (Nasdaq: PAGP) today reported fourth-quarter and full-year 2025 results, announced 2026 guidance and provided the following highlights: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Fourth Quarter and Full-Year 2025 Results</w:t>
      </w:r>
    </w:p>
    <w:p>
      <w:pPr>
        <w:spacing w:after="0" w:line="144" w:lineRule="exact"/>
        <w:rPr>
          <w:sz w:val="20"/>
          <w:szCs w:val="20"/>
          <w:color w:val="auto"/>
        </w:rPr>
      </w:pPr>
    </w:p>
    <w:p>
      <w:pPr>
        <w:ind w:left="620" w:right="5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Fourth-quarter and full-year 2025 Net income attributable to PAA of $342 million and $1.435 billion, respectively, and 2025 Net cash provided by operating activities of $785 million and $2.94 billion, respectively</w:t>
      </w:r>
    </w:p>
    <w:p>
      <w:pPr>
        <w:spacing w:after="0" w:line="6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fourth-quarter and full-year 2025 Adjusted EBITDA attributable to PAA of $738 million and $2.833 billion, respectively</w:t>
      </w:r>
    </w:p>
    <w:p>
      <w:pPr>
        <w:spacing w:after="0" w:line="127"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 forma leverage ratio of 3.9x at year-end 2025; expect to return toward the midpoint of the target range of 3.25 to 3.75x following anticipated closing of the NGL divestiture toward the end of the first quarter 2026</w:t>
      </w:r>
    </w:p>
    <w:p>
      <w:pPr>
        <w:spacing w:after="0" w:line="73" w:lineRule="exact"/>
        <w:rPr>
          <w:rFonts w:ascii="Times New Roman" w:cs="Times New Roman" w:eastAsia="Times New Roman" w:hAnsi="Times New Roman"/>
          <w:sz w:val="17"/>
          <w:szCs w:val="17"/>
          <w:color w:val="auto"/>
        </w:rPr>
      </w:pPr>
    </w:p>
    <w:p>
      <w:pPr>
        <w:ind w:left="620" w:right="26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Plains successfully raised $750 million in aggregate senior unsecured notes with proceeds allocated toward the reduction of commercial paper and funding the EPIC acquisition (now Cactus III)</w:t>
      </w:r>
    </w:p>
    <w:p>
      <w:pPr>
        <w:spacing w:after="0" w:line="60"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November, Plains also paid off a $1.1 billion EPIC term loan assumed as part of the EPIC acquisition by issuing a $1.1 billion senior unsecured term loan at PAA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2026 Outlook and Key Highlights</w:t>
      </w:r>
    </w:p>
    <w:p>
      <w:pPr>
        <w:spacing w:after="0" w:line="132" w:lineRule="exact"/>
        <w:rPr>
          <w:sz w:val="20"/>
          <w:szCs w:val="20"/>
          <w:color w:val="auto"/>
        </w:rPr>
      </w:pPr>
    </w:p>
    <w:p>
      <w:pPr>
        <w:ind w:left="6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 full-year 2026 Adjusted EBITDA attributable to PAA midpoint of $2.75 billion +/- $75 million (assumes one quarter of NGL contribution of $100 million)</w:t>
      </w:r>
    </w:p>
    <w:p>
      <w:pPr>
        <w:spacing w:after="0" w:line="73" w:lineRule="exact"/>
        <w:rPr>
          <w:rFonts w:ascii="Times New Roman" w:cs="Times New Roman" w:eastAsia="Times New Roman" w:hAnsi="Times New Roman"/>
          <w:sz w:val="17"/>
          <w:szCs w:val="17"/>
          <w:color w:val="auto"/>
        </w:rPr>
      </w:pPr>
    </w:p>
    <w:p>
      <w:pPr>
        <w:ind w:left="620" w:right="18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Capture efficiency initiatives of approximately $100 million of cost savings through 2027 (with approximately half realized in 2026); coupled with $50 million of synergies expected on Cactus III, these initiatives create self-help growth opportunities despite expectation of a relatively flat Permian production profile for 2026</w:t>
      </w:r>
    </w:p>
    <w:p>
      <w:pPr>
        <w:spacing w:after="0" w:line="76" w:lineRule="exact"/>
        <w:rPr>
          <w:rFonts w:ascii="Times New Roman" w:cs="Times New Roman" w:eastAsia="Times New Roman" w:hAnsi="Times New Roman"/>
          <w:sz w:val="17"/>
          <w:szCs w:val="17"/>
          <w:color w:val="auto"/>
        </w:rPr>
      </w:pPr>
    </w:p>
    <w:p>
      <w:pPr>
        <w:ind w:left="620" w:right="56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annualized distribution increase of $0.15 per unit payable February 13, 2026, representing a 10% aggregate increase in the annualized distribution rate versus 2025 levels (new annualized distribution rate of $1.67 per unit)</w:t>
      </w:r>
    </w:p>
    <w:p>
      <w:pPr>
        <w:spacing w:after="0" w:line="60" w:lineRule="exact"/>
        <w:rPr>
          <w:rFonts w:ascii="Times New Roman" w:cs="Times New Roman" w:eastAsia="Times New Roman" w:hAnsi="Times New Roman"/>
          <w:sz w:val="17"/>
          <w:szCs w:val="17"/>
          <w:color w:val="auto"/>
        </w:rPr>
      </w:pPr>
    </w:p>
    <w:p>
      <w:pPr>
        <w:ind w:left="620" w:right="2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Coverage ratio threshold lowered from 160% to 150% reflecting more predictable cash flow and providing multi-year runway for targeted annual distribution growth of $0.15 per unit</w:t>
      </w:r>
    </w:p>
    <w:p>
      <w:pPr>
        <w:spacing w:after="0" w:line="73" w:lineRule="exact"/>
        <w:rPr>
          <w:rFonts w:ascii="Times New Roman" w:cs="Times New Roman" w:eastAsia="Times New Roman" w:hAnsi="Times New Roman"/>
          <w:sz w:val="17"/>
          <w:szCs w:val="17"/>
          <w:color w:val="auto"/>
        </w:rPr>
      </w:pPr>
    </w:p>
    <w:p>
      <w:pPr>
        <w:ind w:left="620" w:right="58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 strong Adjusted Free Cash flow generation of approximately $1.80 billion (excluding changes in Assets &amp; Liabilities and anticipated cash proceeds from the NGL divestiture)</w:t>
      </w:r>
    </w:p>
    <w:p>
      <w:pPr>
        <w:spacing w:after="0" w:line="60"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 focused on disciplined capital investments, anticipating full-year 2026 Growth Capital of +/- $350 million and Maintenance Capital of +/- $165 million net to Plains</w:t>
      </w:r>
    </w:p>
    <w:p>
      <w:pPr>
        <w:spacing w:after="0" w:line="177" w:lineRule="exact"/>
        <w:rPr>
          <w:sz w:val="20"/>
          <w:szCs w:val="20"/>
          <w:color w:val="auto"/>
        </w:rPr>
      </w:pPr>
    </w:p>
    <w:p>
      <w:pPr>
        <w:ind w:right="60" w:firstLine="620"/>
        <w:spacing w:after="0" w:line="250" w:lineRule="auto"/>
        <w:rPr>
          <w:sz w:val="20"/>
          <w:szCs w:val="20"/>
          <w:color w:val="auto"/>
        </w:rPr>
      </w:pPr>
      <w:r>
        <w:rPr>
          <w:rFonts w:ascii="Times New Roman" w:cs="Times New Roman" w:eastAsia="Times New Roman" w:hAnsi="Times New Roman"/>
          <w:sz w:val="17"/>
          <w:szCs w:val="17"/>
          <w:color w:val="auto"/>
        </w:rPr>
        <w:t>“Last year we took significant steps to transition the company toward becoming the premier North American pure play crude oil midstream provider, including the announced sale of our Canadian NGL business and the acquisition of Cactus III. For 2026, the team is focused on closing the pending NGL sale, realizing synergies on the Cactus III acquisition and driving efficiency initiatives throughout the organization. These self-help actions provide levers for efficient growth in an otherwise volatile near-term oil macro environment. We also remain committed to our multi-year capital allocation framework and returning cash to unitholders as evidenced by the recent $0.15 per unit increase in our annualized distribution rate, bringing the distribution yield to ~8.5%. In addition, we have elected to lower our Distribution Coverage ratio threshold from 160% to 150%, thereby paving the way for additional return of capital to unitholders. I’m pleased with the progress being made as we transition into a more focused, streamlined organization that should be well positioned for improving oil market fundamentals into the future,” said Willie Chiang, Chairman, CEO and President.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auto"/>
        </w:rPr>
        <w:t>Page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Reporting Considerations for Pending Sale of Canadian NGL Business</w:t>
      </w:r>
    </w:p>
    <w:p>
      <w:pPr>
        <w:spacing w:after="0" w:line="248"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On June 17, 2025, we entered into a definitive agreement to sell substantially all of our NGL business in Canada (the “Canadian NGL Business”) to Keyera Corp. This transaction is expected to close toward the end of the first quarter of 2026 and is subject to the satisfaction or waiver of customary closing conditions, including receipt of regulatory approvals. While we will divest the Canadian NGL Business as part of the transaction, we will retain substantially all NGL assets in the United States and will also retain all crude oil assets in Canada.</w:t>
      </w:r>
    </w:p>
    <w:p>
      <w:pPr>
        <w:spacing w:after="0" w:line="196"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We have determined that the operations of the Canadian NGL Business meet the criteria for classification as held for sale and for discontinued operations reporting and have applied these changes retrospectively to all periods presented. Results throughout this release specify if they are presented from continuing operations (which exclude the results of the Canadian NGL Business) and/or discontinued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Financial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GAAP Results </w:t>
            </w:r>
            <w:r>
              <w:rPr>
                <w:rFonts w:ascii="Times New Roman" w:cs="Times New Roman" w:eastAsia="Times New Roman" w:hAnsi="Times New Roman"/>
                <w:sz w:val="17"/>
                <w:szCs w:val="17"/>
                <w:b w:val="1"/>
                <w:bCs w:val="1"/>
                <w:i w:val="1"/>
                <w:iCs w:val="1"/>
                <w:color w:val="auto"/>
                <w:vertAlign w:val="superscript"/>
              </w:rPr>
              <w:t>(1)</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5100" w:type="dxa"/>
            <w:vAlign w:val="bottom"/>
            <w:tcBorders>
              <w:top w:val="single" w:sz="8" w:color="auto"/>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Net income attributable to PAA </w:t>
            </w:r>
            <w:r>
              <w:rPr>
                <w:rFonts w:ascii="Times New Roman" w:cs="Times New Roman" w:eastAsia="Times New Roman" w:hAnsi="Times New Roman"/>
                <w:sz w:val="22"/>
                <w:szCs w:val="22"/>
                <w:color w:val="auto"/>
                <w:vertAlign w:val="superscript"/>
              </w:rPr>
              <w:t>(2)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Diluted net income/(loss) per common unit</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0" w:type="dxa"/>
            <w:vAlign w:val="bottom"/>
          </w:tcPr>
          <w:p>
            <w:pPr>
              <w:spacing w:after="0"/>
              <w:rPr>
                <w:sz w:val="1"/>
                <w:szCs w:val="1"/>
                <w:color w:val="auto"/>
              </w:rPr>
            </w:pPr>
          </w:p>
        </w:tc>
      </w:tr>
      <w:tr>
        <w:trPr>
          <w:trHeight w:val="22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units outstanding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2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2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per common unit declared for the period</w:t>
            </w: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478"/>
        </w:trPr>
        <w:tc>
          <w:tcPr>
            <w:tcW w:w="3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0" w:type="dxa"/>
            <w:vAlign w:val="bottom"/>
            <w:gridSpan w:val="4"/>
          </w:tcPr>
          <w:p>
            <w:pPr>
              <w:ind w:left="20"/>
              <w:spacing w:after="0" w:line="194"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7"/>
                <w:szCs w:val="17"/>
                <w:b w:val="1"/>
                <w:bCs w:val="1"/>
                <w:i w:val="1"/>
                <w:iCs w:val="1"/>
                <w:color w:val="auto"/>
                <w:vertAlign w:val="superscript"/>
              </w:rPr>
              <w:t>(1) (3)</w:t>
            </w: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5120" w:type="dxa"/>
            <w:vAlign w:val="bottom"/>
            <w:tcBorders>
              <w:top w:val="single" w:sz="8" w:color="auto"/>
            </w:tcBorders>
            <w:gridSpan w:val="3"/>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net income attributable to PAA </w:t>
            </w:r>
            <w:r>
              <w:rPr>
                <w:rFonts w:ascii="Times New Roman" w:cs="Times New Roman" w:eastAsia="Times New Roman" w:hAnsi="Times New Roman"/>
                <w:sz w:val="22"/>
                <w:szCs w:val="22"/>
                <w:color w:val="auto"/>
                <w:vertAlign w:val="superscript"/>
              </w:rPr>
              <w:t>(2)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Diluted adjusted net income per common unit</w:t>
            </w: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(2)</w:t>
            </w: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20"/>
        </w:trPr>
        <w:tc>
          <w:tcPr>
            <w:tcW w:w="5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(4)</w:t>
            </w: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200" w:type="dxa"/>
            <w:vAlign w:val="bottom"/>
            <w:gridSpan w:val="4"/>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(4)</w:t>
            </w: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20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Free Cash Flow (Excluding Changes in Assets &amp; Liabilities) </w:t>
            </w:r>
            <w:r>
              <w:rPr>
                <w:rFonts w:ascii="Times New Roman" w:cs="Times New Roman" w:eastAsia="Times New Roman" w:hAnsi="Times New Roman"/>
                <w:sz w:val="22"/>
                <w:szCs w:val="22"/>
                <w:color w:val="auto"/>
                <w:vertAlign w:val="superscript"/>
              </w:rPr>
              <w:t>(4)</w:t>
            </w: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5200" w:type="dxa"/>
            <w:vAlign w:val="bottom"/>
            <w:gridSpan w:val="4"/>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200" w:type="dxa"/>
            <w:vAlign w:val="bottom"/>
            <w:gridSpan w:val="4"/>
            <w:shd w:val="clear" w:color="auto" w:fill="CCEEFF"/>
          </w:tcPr>
          <w:p>
            <w:pPr>
              <w:ind w:left="180"/>
              <w:spacing w:after="0" w:line="232" w:lineRule="exact"/>
              <w:rPr>
                <w:sz w:val="20"/>
                <w:szCs w:val="20"/>
                <w:color w:val="auto"/>
              </w:rPr>
            </w:pPr>
            <w:r>
              <w:rPr>
                <w:rFonts w:ascii="Times New Roman" w:cs="Times New Roman" w:eastAsia="Times New Roman" w:hAnsi="Times New Roman"/>
                <w:sz w:val="17"/>
                <w:szCs w:val="17"/>
                <w:color w:val="auto"/>
              </w:rPr>
              <w:t xml:space="preserve">Assets &amp; Liabilities) </w:t>
            </w:r>
            <w:r>
              <w:rPr>
                <w:rFonts w:ascii="Times New Roman" w:cs="Times New Roman" w:eastAsia="Times New Roman" w:hAnsi="Times New Roman"/>
                <w:sz w:val="22"/>
                <w:szCs w:val="22"/>
                <w:color w:val="auto"/>
                <w:vertAlign w:val="superscript"/>
              </w:rPr>
              <w:t>(4)</w:t>
            </w: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that variance as a percentage is not meaningful.</w:t>
      </w:r>
    </w:p>
    <w:p>
      <w:pPr>
        <w:spacing w:after="0" w:line="33"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 See the tables attached hereto for additional information.</w:t>
      </w:r>
    </w:p>
    <w:p>
      <w:pPr>
        <w:spacing w:after="0" w:line="86" w:lineRule="exact"/>
        <w:rPr>
          <w:rFonts w:ascii="Times New Roman" w:cs="Times New Roman" w:eastAsia="Times New Roman" w:hAnsi="Times New Roman"/>
          <w:sz w:val="22"/>
          <w:szCs w:val="22"/>
          <w:color w:val="auto"/>
          <w:vertAlign w:val="superscript"/>
        </w:rPr>
      </w:pPr>
    </w:p>
    <w:p>
      <w:pPr>
        <w:ind w:left="320" w:right="200" w:hanging="317"/>
        <w:spacing w:after="0" w:line="230"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amounts attributable to noncontrolling interests in the Plains Oryx Permian Basin LLC (the “Permian JV”), Cactus II Pipeline LLC and Red River Pipeline LLC joint ventures.</w:t>
      </w:r>
    </w:p>
    <w:p>
      <w:pPr>
        <w:spacing w:after="0" w:line="87" w:lineRule="exact"/>
        <w:rPr>
          <w:rFonts w:ascii="Times New Roman" w:cs="Times New Roman" w:eastAsia="Times New Roman" w:hAnsi="Times New Roman"/>
          <w:sz w:val="22"/>
          <w:szCs w:val="22"/>
          <w:color w:val="auto"/>
          <w:vertAlign w:val="superscript"/>
        </w:rPr>
      </w:pPr>
    </w:p>
    <w:p>
      <w:pPr>
        <w:ind w:left="320" w:right="160" w:hanging="317"/>
        <w:spacing w:after="0" w:line="237"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87" w:lineRule="exact"/>
        <w:rPr>
          <w:rFonts w:ascii="Times New Roman" w:cs="Times New Roman" w:eastAsia="Times New Roman" w:hAnsi="Times New Roman"/>
          <w:sz w:val="22"/>
          <w:szCs w:val="22"/>
          <w:color w:val="auto"/>
          <w:vertAlign w:val="superscript"/>
        </w:rPr>
      </w:pPr>
    </w:p>
    <w:p>
      <w:pPr>
        <w:ind w:left="320" w:right="180" w:hanging="317"/>
        <w:spacing w:after="0" w:line="210" w:lineRule="auto"/>
        <w:tabs>
          <w:tab w:leader="none" w:pos="3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Fourth-quarter and full-year 2025 includes the impact of a net cash outflow of $1.786 billion and $2.651 billion, respectively, for acquisitions, including our Cactus III acquisition completed during the fourth quarter of 2025.</w:t>
      </w:r>
    </w:p>
    <w:p>
      <w:pPr>
        <w:ind w:left="5440" w:hanging="93"/>
        <w:spacing w:after="0"/>
        <w:tabs>
          <w:tab w:leader="none" w:pos="54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Disaggregation of Adjusted EBITDA by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color w:val="auto"/>
          <w:vertAlign w:val="superscript"/>
        </w:rPr>
        <w:t>(1)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(unaudited)</w:t>
      </w: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Adjusted EBITDA from</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Adjusted EBITDA from NGL</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Crude Oil</w:t>
            </w:r>
          </w:p>
        </w:tc>
        <w:tc>
          <w:tcPr>
            <w:tcW w:w="2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 December 31,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Three Months Ended December 31, 2024</w:t>
            </w:r>
          </w:p>
        </w:tc>
        <w:tc>
          <w:tcPr>
            <w:tcW w:w="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rPr>
              <w:t>569</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CEEFF"/>
            </w:tcBorders>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Percentage change versus 2024 period</w:t>
            </w:r>
          </w:p>
        </w:tc>
        <w:tc>
          <w:tcPr>
            <w:tcW w:w="18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7 %</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b w:val="1"/>
                <w:bCs w:val="1"/>
                <w:i w:val="1"/>
                <w:iCs w:val="1"/>
                <w:color w:val="auto"/>
              </w:rPr>
              <w:t>(21)%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Adjusted EBITDA from</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Adjusted EBITDA from NGL</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Crude Oil</w:t>
            </w:r>
          </w:p>
        </w:tc>
        <w:tc>
          <w:tcPr>
            <w:tcW w:w="2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Twelve Months Ended December 31,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2,344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Twelve Months Ended December 31, 2024</w:t>
            </w:r>
          </w:p>
        </w:tc>
        <w:tc>
          <w:tcPr>
            <w:tcW w:w="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rPr>
              <w:t>2,276</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6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Percentage change versus 2024 period</w:t>
            </w:r>
          </w:p>
        </w:tc>
        <w:tc>
          <w:tcPr>
            <w:tcW w:w="18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3 %</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920" w:type="dxa"/>
            <w:vAlign w:val="bottom"/>
            <w:tcBorders>
              <w:bottom w:val="single" w:sz="8" w:color="auto"/>
            </w:tcBorders>
          </w:tcPr>
          <w:p>
            <w:pPr>
              <w:spacing w:after="0"/>
              <w:rPr>
                <w:sz w:val="5"/>
                <w:szCs w:val="5"/>
                <w:color w:val="auto"/>
              </w:rPr>
            </w:pPr>
          </w:p>
        </w:tc>
        <w:tc>
          <w:tcPr>
            <w:tcW w:w="3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00" w:hanging="297"/>
        <w:spacing w:after="0"/>
        <w:tabs>
          <w:tab w:leader="none" w:pos="3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86" w:lineRule="exact"/>
        <w:rPr>
          <w:rFonts w:ascii="Times New Roman" w:cs="Times New Roman" w:eastAsia="Times New Roman" w:hAnsi="Times New Roman"/>
          <w:sz w:val="22"/>
          <w:szCs w:val="22"/>
          <w:color w:val="auto"/>
          <w:vertAlign w:val="superscript"/>
        </w:rPr>
      </w:pPr>
    </w:p>
    <w:p>
      <w:pPr>
        <w:ind w:left="320" w:right="160" w:hanging="317"/>
        <w:spacing w:after="0" w:line="237" w:lineRule="auto"/>
        <w:tabs>
          <w:tab w:leader="none" w:pos="252"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17" w:lineRule="exact"/>
        <w:rPr>
          <w:sz w:val="20"/>
          <w:szCs w:val="20"/>
          <w:color w:val="auto"/>
        </w:rPr>
      </w:pPr>
    </w:p>
    <w:p>
      <w:pPr>
        <w:jc w:val="both"/>
        <w:ind w:right="460" w:firstLine="620"/>
        <w:spacing w:after="0" w:line="270" w:lineRule="auto"/>
        <w:rPr>
          <w:sz w:val="20"/>
          <w:szCs w:val="20"/>
          <w:color w:val="auto"/>
        </w:rPr>
      </w:pPr>
      <w:r>
        <w:rPr>
          <w:rFonts w:ascii="Times New Roman" w:cs="Times New Roman" w:eastAsia="Times New Roman" w:hAnsi="Times New Roman"/>
          <w:sz w:val="17"/>
          <w:szCs w:val="17"/>
          <w:color w:val="auto"/>
        </w:rPr>
        <w:t>Fourth-quarter 2025 Adjusted EBITDA from Crude Oil increased 7% versus comparable 2024 results. Favorable results in the 2025 period from (i) contributions from recently completed bolt-on acquisitions, including our Cactus III pipeline acquisition, (ii) higher volumes on our pipelines and (iii) tariff escalations were offset by the impact of (iv) certain Permian long-haul pipeline contract rate resets and (v) lower commodity prices.</w:t>
      </w:r>
    </w:p>
    <w:p>
      <w:pPr>
        <w:spacing w:after="0" w:line="193" w:lineRule="exact"/>
        <w:rPr>
          <w:sz w:val="20"/>
          <w:szCs w:val="20"/>
          <w:color w:val="auto"/>
        </w:rPr>
      </w:pPr>
    </w:p>
    <w:p>
      <w:pPr>
        <w:ind w:right="500" w:firstLine="620"/>
        <w:spacing w:after="0" w:line="288" w:lineRule="auto"/>
        <w:rPr>
          <w:sz w:val="20"/>
          <w:szCs w:val="20"/>
          <w:color w:val="auto"/>
        </w:rPr>
      </w:pPr>
      <w:r>
        <w:rPr>
          <w:rFonts w:ascii="Times New Roman" w:cs="Times New Roman" w:eastAsia="Times New Roman" w:hAnsi="Times New Roman"/>
          <w:sz w:val="17"/>
          <w:szCs w:val="17"/>
          <w:color w:val="auto"/>
        </w:rPr>
        <w:t>Fourth-quarter 2025 Adjusted EBITDA from NGL decreased 21% versus comparable 2024 results primarily due to lower sales volumes and lower weighted average frac spreads.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Conference Call and Webcast Instructions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will hold a joint conference call at 9:00 a.m. CT on Friday, February 6, 2026 to discuss fourth-quarter performance and related items.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access the internet webcast, please go to https://edge.media-server.com/mmc/p/3ksb2gmv/.</w:t>
      </w:r>
    </w:p>
    <w:p>
      <w:pPr>
        <w:spacing w:after="0" w:line="244"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 and Selected Items Impacting Comparability</w:t>
      </w:r>
    </w:p>
    <w:p>
      <w:pPr>
        <w:spacing w:after="0" w:line="17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auto"/>
        </w:rPr>
        <w:t>Page 4</w:t>
      </w:r>
    </w:p>
    <w:p>
      <w:pPr>
        <w:spacing w:after="0" w:line="200" w:lineRule="exact"/>
        <w:rPr>
          <w:sz w:val="20"/>
          <w:szCs w:val="20"/>
          <w:color w:val="auto"/>
        </w:rPr>
      </w:pPr>
    </w:p>
    <w:p>
      <w:pPr>
        <w:spacing w:after="0" w:line="225"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the Investor Relations section of our website at www.plains.com (navigate to the “Financials” tab, then click on “Quarterly Results”), which presents a reconciliation of our commonly used non-GAAP and supplemental financial measures. We do not reconcile non-GAAP financial measures on a forward-looking basis as it is impractical to do so without unreasonable effort.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Performance Measures</w:t>
      </w:r>
    </w:p>
    <w:p>
      <w:pPr>
        <w:spacing w:after="0" w:line="248" w:lineRule="exact"/>
        <w:rPr>
          <w:sz w:val="20"/>
          <w:szCs w:val="20"/>
          <w:color w:val="auto"/>
        </w:rPr>
      </w:pPr>
    </w:p>
    <w:p>
      <w:pPr>
        <w:ind w:right="100" w:firstLine="620"/>
        <w:spacing w:after="0" w:line="258" w:lineRule="auto"/>
        <w:rPr>
          <w:sz w:val="20"/>
          <w:szCs w:val="20"/>
          <w:color w:val="auto"/>
        </w:rPr>
      </w:pPr>
      <w:r>
        <w:rPr>
          <w:rFonts w:ascii="Times New Roman" w:cs="Times New Roman" w:eastAsia="Times New Roman" w:hAnsi="Times New Roman"/>
          <w:sz w:val="17"/>
          <w:szCs w:val="17"/>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interest income on promissory notes by and among certain Plains entities, and (vii) adjusted for certain selected items impacting comparability. Adjusted EBITDA attributable to PAA excludes the portion of Adjusted EBITDA that is attributable to noncontrolling interests. Adjusted EBITDA disaggregated by product (e.g., Adjusted EBITDA from Crude Oil and Adjusted EBITDA from NGL) excludes amounts related to Other income/(expense).</w:t>
      </w:r>
    </w:p>
    <w:p>
      <w:pPr>
        <w:spacing w:after="0" w:line="205" w:lineRule="exact"/>
        <w:rPr>
          <w:sz w:val="20"/>
          <w:szCs w:val="20"/>
          <w:color w:val="auto"/>
        </w:rPr>
      </w:pPr>
    </w:p>
    <w:p>
      <w:pPr>
        <w:ind w:firstLine="620"/>
        <w:spacing w:after="0" w:line="255" w:lineRule="auto"/>
        <w:rPr>
          <w:sz w:val="20"/>
          <w:szCs w:val="20"/>
          <w:color w:val="auto"/>
        </w:rPr>
      </w:pPr>
      <w:r>
        <w:rPr>
          <w:rFonts w:ascii="Times New Roman" w:cs="Times New Roman" w:eastAsia="Times New Roman" w:hAnsi="Times New Roman"/>
          <w:sz w:val="17"/>
          <w:szCs w:val="17"/>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auto"/>
        </w:rPr>
        <w:t>Page 5</w:t>
      </w:r>
    </w:p>
    <w:p>
      <w:pPr>
        <w:spacing w:after="0" w:line="200" w:lineRule="exact"/>
        <w:rPr>
          <w:sz w:val="20"/>
          <w:szCs w:val="20"/>
          <w:color w:val="auto"/>
        </w:rPr>
      </w:pPr>
    </w:p>
    <w:p>
      <w:pPr>
        <w:spacing w:after="0" w:line="225"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Liquidity Measures</w:t>
      </w:r>
    </w:p>
    <w:p>
      <w:pPr>
        <w:spacing w:after="0" w:line="248" w:lineRule="exact"/>
        <w:rPr>
          <w:sz w:val="20"/>
          <w:szCs w:val="20"/>
          <w:color w:val="auto"/>
        </w:rPr>
      </w:pPr>
    </w:p>
    <w:p>
      <w:pPr>
        <w:ind w:right="100" w:firstLine="620"/>
        <w:spacing w:after="0" w:line="259" w:lineRule="auto"/>
        <w:rPr>
          <w:sz w:val="20"/>
          <w:szCs w:val="20"/>
          <w:color w:val="auto"/>
        </w:rPr>
      </w:pPr>
      <w:r>
        <w:rPr>
          <w:rFonts w:ascii="Times New Roman" w:cs="Times New Roman" w:eastAsia="Times New Roman" w:hAnsi="Times New Roman"/>
          <w:sz w:val="17"/>
          <w:szCs w:val="17"/>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203"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Non-GAAP Financial Measures and Discontinued Operations</w:t>
      </w:r>
    </w:p>
    <w:p>
      <w:pPr>
        <w:spacing w:after="0" w:line="248"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Management believes that the presentation of certain Non-GAAP financial performance measures, such as Adjusted EBITDA, Adjusted EBITDA attributable to PAA, Implied DCF, Adjusted Net Income attributable to PAA, Adjusted Net Income per Common Unit, Adjusted EBITDA from Crude Oil and Adjusted EBITDA from NGL,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the end of the first quarter of 2026, management continues to view the Canadian NGL Business as a component of our overall company performance and ability to fund distributions to our unitholders in the near term.</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auto"/>
        </w:rPr>
        <w:t>Page 6</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20" w:type="dxa"/>
            <w:vAlign w:val="bottom"/>
            <w:gridSpan w:val="4"/>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48,889</w:t>
            </w:r>
          </w:p>
        </w:tc>
      </w:tr>
      <w:tr>
        <w:trPr>
          <w:trHeight w:val="142"/>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45,162</w:t>
            </w:r>
          </w:p>
        </w:tc>
      </w:tr>
      <w:tr>
        <w:trPr>
          <w:trHeight w:val="210"/>
        </w:trPr>
        <w:tc>
          <w:tcPr>
            <w:tcW w:w="612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Field operating costs </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r>
      <w:tr>
        <w:trPr>
          <w:trHeight w:val="20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04"/>
        </w:trPr>
        <w:tc>
          <w:tcPr>
            <w:tcW w:w="6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(Gains)/losses on asset sales, asset impairments and other,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2"/>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48,021</w:t>
            </w:r>
          </w:p>
        </w:tc>
      </w:tr>
      <w:tr>
        <w:trPr>
          <w:trHeight w:val="142"/>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142"/>
        </w:trPr>
        <w:tc>
          <w:tcPr>
            <w:tcW w:w="3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61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Interest expense, net </w:t>
            </w:r>
            <w:r>
              <w:rPr>
                <w:rFonts w:ascii="Times New Roman" w:cs="Times New Roman" w:eastAsia="Times New Roman" w:hAnsi="Times New Roman"/>
                <w:sz w:val="20"/>
                <w:szCs w:val="20"/>
                <w:color w:val="auto"/>
                <w:vertAlign w:val="superscript"/>
              </w:rPr>
              <w:t>(2)</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07"/>
        </w:trPr>
        <w:tc>
          <w:tcPr>
            <w:tcW w:w="612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0"/>
                <w:szCs w:val="20"/>
                <w:color w:val="auto"/>
                <w:vertAlign w:val="superscript"/>
              </w:rPr>
              <w:t>(2)</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22"/>
        </w:trPr>
        <w:tc>
          <w:tcPr>
            <w:tcW w:w="38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07"/>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0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benefit/(expense) from continuing operations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9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145"/>
        </w:trPr>
        <w:tc>
          <w:tcPr>
            <w:tcW w:w="38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5"/>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143"/>
        </w:trPr>
        <w:tc>
          <w:tcPr>
            <w:tcW w:w="38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5"/>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08"/>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197"/>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1"/>
        </w:trPr>
        <w:tc>
          <w:tcPr>
            <w:tcW w:w="388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205"/>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PER COMMON UNIT: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6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4"/>
        </w:trPr>
        <w:tc>
          <w:tcPr>
            <w:tcW w:w="61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7"/>
                <w:szCs w:val="17"/>
                <w:color w:val="auto"/>
              </w:rPr>
            </w:pPr>
          </w:p>
        </w:tc>
        <w:tc>
          <w:tcPr>
            <w:tcW w:w="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10"/>
        </w:trPr>
        <w:tc>
          <w:tcPr>
            <w:tcW w:w="6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197"/>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1"/>
        </w:trPr>
        <w:tc>
          <w:tcPr>
            <w:tcW w:w="3880" w:type="dxa"/>
            <w:vAlign w:val="bottom"/>
            <w:shd w:val="clear" w:color="auto" w:fill="CCEEFF"/>
          </w:tcPr>
          <w:p>
            <w:pPr>
              <w:spacing w:after="0"/>
              <w:rPr>
                <w:sz w:val="9"/>
                <w:szCs w:val="9"/>
                <w:color w:val="auto"/>
              </w:rPr>
            </w:pPr>
          </w:p>
        </w:tc>
        <w:tc>
          <w:tcPr>
            <w:tcW w:w="2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r>
        <w:trPr>
          <w:trHeight w:val="204"/>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145"/>
        </w:trPr>
        <w:tc>
          <w:tcPr>
            <w:tcW w:w="38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4"/>
        </w:trPr>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6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04"/>
        </w:trPr>
        <w:tc>
          <w:tcPr>
            <w:tcW w:w="61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25"/>
        </w:trPr>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388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130" w:lineRule="exact"/>
        <w:rPr>
          <w:sz w:val="20"/>
          <w:szCs w:val="20"/>
          <w:color w:val="auto"/>
        </w:rPr>
      </w:pPr>
    </w:p>
    <w:p>
      <w:pPr>
        <w:ind w:left="320" w:right="60" w:hanging="317"/>
        <w:spacing w:after="0" w:line="230" w:lineRule="auto"/>
        <w:tabs>
          <w:tab w:leader="none" w:pos="30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the three and twelve months ended December 31, 2024, Field operating costs include $225 million and $345 million, respectively, resulting from adjustments related to the Line 901 incident that occurred in May 2015, including the write-off of a receivable for Line 901 insurance proceeds in the fourth quarter of 2024 and settlements in the third quarter of 2024.</w:t>
      </w:r>
    </w:p>
    <w:p>
      <w:pPr>
        <w:spacing w:after="0" w:line="34" w:lineRule="exact"/>
        <w:rPr>
          <w:rFonts w:ascii="Times New Roman" w:cs="Times New Roman" w:eastAsia="Times New Roman" w:hAnsi="Times New Roman"/>
          <w:sz w:val="20"/>
          <w:szCs w:val="20"/>
          <w:color w:val="auto"/>
          <w:vertAlign w:val="superscript"/>
        </w:rPr>
      </w:pPr>
    </w:p>
    <w:p>
      <w:pPr>
        <w:ind w:left="320" w:hanging="317"/>
        <w:spacing w:after="0" w:line="222" w:lineRule="auto"/>
        <w:tabs>
          <w:tab w:leader="none" w:pos="30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“Interest expense, net” and “Other income, net” each include $22 million and $87 million for the three and twelve months ended December 31, 2025, respectively, and $17 million and $48 million for the three and twelve months ended December 31, 2024, respectively, related to interest on such related party promissory notes. These amounts offset and do not impact Net Income or Non-GAAP metrics such as Adjusted EBITDA, Implied DCF and Adjusted Free Cash Flow.</w:t>
      </w:r>
    </w:p>
    <w:p>
      <w:pPr>
        <w:ind w:left="5440" w:hanging="93"/>
        <w:spacing w:after="0"/>
        <w:tabs>
          <w:tab w:leader="none" w:pos="544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auto"/>
        </w:rPr>
        <w:t>Page 7</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0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6560" w:type="dxa"/>
            <w:vAlign w:val="bottom"/>
            <w:tcBorders>
              <w:bottom w:val="single" w:sz="8" w:color="CCEEFF"/>
            </w:tcBorders>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7"/>
        </w:trPr>
        <w:tc>
          <w:tcPr>
            <w:tcW w:w="87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Current assets (including Cash and cash equivalents of $328 and $348, respectively) </w:t>
            </w:r>
            <w:r>
              <w:rPr>
                <w:rFonts w:ascii="Times New Roman" w:cs="Times New Roman" w:eastAsia="Times New Roman" w:hAnsi="Times New Roman"/>
                <w:sz w:val="20"/>
                <w:szCs w:val="20"/>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w:t>
            </w: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Linefill</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right-of-use assets, net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inventory</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r>
      <w:tr>
        <w:trPr>
          <w:trHeight w:val="204"/>
        </w:trPr>
        <w:tc>
          <w:tcPr>
            <w:tcW w:w="8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assets, net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25"/>
        </w:trPr>
        <w:tc>
          <w:tcPr>
            <w:tcW w:w="8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04"/>
        </w:trPr>
        <w:tc>
          <w:tcPr>
            <w:tcW w:w="656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PARTNERS’ CAPITAL</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7"/>
        </w:trPr>
        <w:tc>
          <w:tcPr>
            <w:tcW w:w="874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Current liabilities </w:t>
            </w:r>
            <w:r>
              <w:rPr>
                <w:rFonts w:ascii="Times New Roman" w:cs="Times New Roman" w:eastAsia="Times New Roman" w:hAnsi="Times New Roman"/>
                <w:sz w:val="20"/>
                <w:szCs w:val="20"/>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w:t>
            </w:r>
          </w:p>
        </w:tc>
      </w:tr>
      <w:tr>
        <w:trPr>
          <w:trHeight w:val="207"/>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net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debt, net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and deferred credits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197"/>
        </w:trPr>
        <w:tc>
          <w:tcPr>
            <w:tcW w:w="87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w:t>
            </w:r>
          </w:p>
        </w:tc>
      </w:tr>
      <w:tr>
        <w:trPr>
          <w:trHeight w:val="158"/>
        </w:trPr>
        <w:tc>
          <w:tcPr>
            <w:tcW w:w="656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9,813</w:t>
            </w:r>
          </w:p>
        </w:tc>
      </w:tr>
      <w:tr>
        <w:trPr>
          <w:trHeight w:val="210"/>
        </w:trPr>
        <w:tc>
          <w:tcPr>
            <w:tcW w:w="8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r>
      <w:tr>
        <w:trPr>
          <w:trHeight w:val="197"/>
        </w:trPr>
        <w:tc>
          <w:tcPr>
            <w:tcW w:w="8740" w:type="dxa"/>
            <w:vAlign w:val="bottom"/>
            <w:tcBorders>
              <w:bottom w:val="single" w:sz="8" w:color="CCEEFF"/>
            </w:tcBorders>
            <w:gridSpan w:val="2"/>
          </w:tcPr>
          <w:p>
            <w:pPr>
              <w:ind w:left="140"/>
              <w:spacing w:after="0" w:line="181" w:lineRule="exact"/>
              <w:rPr>
                <w:sz w:val="20"/>
                <w:szCs w:val="20"/>
                <w:color w:val="auto"/>
              </w:rPr>
            </w:pPr>
            <w:r>
              <w:rPr>
                <w:rFonts w:ascii="Times New Roman" w:cs="Times New Roman" w:eastAsia="Times New Roman" w:hAnsi="Times New Roman"/>
                <w:sz w:val="16"/>
                <w:szCs w:val="16"/>
                <w:color w:val="auto"/>
              </w:rPr>
              <w:t>Total partners’ capital</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13,096</w:t>
            </w:r>
          </w:p>
        </w:tc>
      </w:tr>
      <w:tr>
        <w:trPr>
          <w:trHeight w:val="225"/>
        </w:trPr>
        <w:tc>
          <w:tcPr>
            <w:tcW w:w="87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liabilities and partners’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78"/>
        </w:trPr>
        <w:tc>
          <w:tcPr>
            <w:tcW w:w="6560" w:type="dxa"/>
            <w:vAlign w:val="bottom"/>
            <w:tcBorders>
              <w:bottom w:val="single" w:sz="8" w:color="auto"/>
            </w:tcBorders>
          </w:tcPr>
          <w:p>
            <w:pPr>
              <w:spacing w:after="0"/>
              <w:rPr>
                <w:sz w:val="6"/>
                <w:szCs w:val="6"/>
                <w:color w:val="auto"/>
              </w:rPr>
            </w:pPr>
          </w:p>
        </w:tc>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r>
    </w:tbl>
    <w:p>
      <w:pPr>
        <w:spacing w:after="0" w:line="139" w:lineRule="exact"/>
        <w:rPr>
          <w:sz w:val="20"/>
          <w:szCs w:val="20"/>
          <w:color w:val="auto"/>
        </w:rPr>
      </w:pPr>
    </w:p>
    <w:p>
      <w:pPr>
        <w:ind w:left="300" w:hanging="297"/>
        <w:spacing w:after="0"/>
        <w:tabs>
          <w:tab w:leader="none" w:pos="30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current assets of discontinued operations of $479 million and $415 million as of December 31, 2025 and December 31, 2024, respectively.</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92" w:lineRule="auto"/>
        <w:tabs>
          <w:tab w:leader="none" w:pos="30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current liabilities of discontinued operations of $382 million and $350 million as of December 31, 2025 and December 31,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DEBT CAPITALIZATION RATIOS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 except percentages)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656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408</w:t>
            </w:r>
          </w:p>
        </w:tc>
      </w:tr>
      <w:tr>
        <w:trPr>
          <w:trHeight w:val="204"/>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10,698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7,213</w:t>
            </w:r>
          </w:p>
        </w:tc>
      </w:tr>
      <w:tr>
        <w:trPr>
          <w:trHeight w:val="227"/>
        </w:trPr>
        <w:tc>
          <w:tcPr>
            <w:tcW w:w="8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11,262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7,621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65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07"/>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10,698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7,213</w:t>
            </w:r>
          </w:p>
        </w:tc>
      </w:tr>
      <w:tr>
        <w:trPr>
          <w:trHeight w:val="204"/>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9,836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9,813</w:t>
            </w:r>
          </w:p>
        </w:tc>
      </w:tr>
      <w:tr>
        <w:trPr>
          <w:trHeight w:val="227"/>
        </w:trPr>
        <w:tc>
          <w:tcPr>
            <w:tcW w:w="85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book capitalization excluding noncontrolling interests (“Total book capitalization”)</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20,534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17,026</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8500" w:type="dxa"/>
            <w:vAlign w:val="bottom"/>
            <w:gridSpan w:val="2"/>
          </w:tcPr>
          <w:p>
            <w:pPr>
              <w:ind w:left="340"/>
              <w:spacing w:after="0" w:line="178" w:lineRule="exact"/>
              <w:rPr>
                <w:sz w:val="20"/>
                <w:szCs w:val="20"/>
                <w:color w:val="auto"/>
              </w:rPr>
            </w:pPr>
            <w:r>
              <w:rPr>
                <w:rFonts w:ascii="Times New Roman" w:cs="Times New Roman" w:eastAsia="Times New Roman" w:hAnsi="Times New Roman"/>
                <w:sz w:val="16"/>
                <w:szCs w:val="16"/>
                <w:color w:val="auto"/>
              </w:rPr>
              <w:t>Total book capitalization, including short-term debt</w:t>
            </w:r>
          </w:p>
        </w:tc>
        <w:tc>
          <w:tcPr>
            <w:tcW w:w="18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44"/>
              <w:spacing w:after="0" w:line="178" w:lineRule="exact"/>
              <w:rPr>
                <w:sz w:val="20"/>
                <w:szCs w:val="20"/>
                <w:color w:val="auto"/>
              </w:rPr>
            </w:pPr>
            <w:r>
              <w:rPr>
                <w:rFonts w:ascii="Times New Roman" w:cs="Times New Roman" w:eastAsia="Times New Roman" w:hAnsi="Times New Roman"/>
                <w:sz w:val="16"/>
                <w:szCs w:val="16"/>
                <w:color w:val="auto"/>
              </w:rPr>
              <w:t>21,098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44"/>
              <w:spacing w:after="0" w:line="178" w:lineRule="exact"/>
              <w:rPr>
                <w:sz w:val="20"/>
                <w:szCs w:val="20"/>
                <w:color w:val="auto"/>
              </w:rPr>
            </w:pPr>
            <w:r>
              <w:rPr>
                <w:rFonts w:ascii="Times New Roman" w:cs="Times New Roman" w:eastAsia="Times New Roman" w:hAnsi="Times New Roman"/>
                <w:sz w:val="16"/>
                <w:szCs w:val="16"/>
                <w:color w:val="auto"/>
              </w:rPr>
              <w:t>17,434</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1"/>
        </w:trPr>
        <w:tc>
          <w:tcPr>
            <w:tcW w:w="656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0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debt-to-total book capitalization</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1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debt-to-total book capitalization, including short-term debt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155"/>
        </w:trPr>
        <w:tc>
          <w:tcPr>
            <w:tcW w:w="6560" w:type="dxa"/>
            <w:vAlign w:val="bottom"/>
            <w:tcBorders>
              <w:bottom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108"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ind w:left="5440" w:hanging="93"/>
        <w:spacing w:after="0"/>
        <w:tabs>
          <w:tab w:leader="none" w:pos="54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auto"/>
        </w:rPr>
        <w:t>Page 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32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INCOME/(LOSS) PER COMMON UNIT </w:t>
      </w:r>
      <w:r>
        <w:rPr>
          <w:rFonts w:ascii="Times New Roman" w:cs="Times New Roman" w:eastAsia="Times New Roman" w:hAnsi="Times New Roman"/>
          <w:sz w:val="17"/>
          <w:szCs w:val="17"/>
          <w:color w:val="auto"/>
        </w:rPr>
        <w:t>(in millions, except per unit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Net Income/(Loss) per Common Unit</w:t>
            </w: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45"/>
        </w:trPr>
        <w:tc>
          <w:tcPr>
            <w:tcW w:w="38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Continuing Operations: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0"/>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continuing operations, net of tax</w:t>
            </w:r>
          </w:p>
        </w:tc>
        <w:tc>
          <w:tcPr>
            <w:tcW w:w="800" w:type="dxa"/>
            <w:vAlign w:val="bottom"/>
          </w:tcPr>
          <w:p>
            <w:pPr>
              <w:jc w:val="right"/>
              <w:ind w:right="59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tcPr>
          <w:p>
            <w:pPr>
              <w:spacing w:after="0"/>
              <w:rPr>
                <w:sz w:val="19"/>
                <w:szCs w:val="19"/>
                <w:color w:val="auto"/>
              </w:rPr>
            </w:pP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r>
      <w:tr>
        <w:trPr>
          <w:trHeight w:val="220"/>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13"/>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from continuing operations attributable to PAA</w:t>
            </w:r>
          </w:p>
        </w:tc>
        <w:tc>
          <w:tcPr>
            <w:tcW w:w="800" w:type="dxa"/>
            <w:vAlign w:val="bottom"/>
          </w:tcPr>
          <w:p>
            <w:pPr>
              <w:jc w:val="right"/>
              <w:ind w:right="59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18"/>
                <w:szCs w:val="18"/>
                <w:color w:val="auto"/>
              </w:rPr>
            </w:pP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r>
      <w:tr>
        <w:trPr>
          <w:trHeight w:val="22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20"/>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612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Impact from repurchase of Series A preferred units </w:t>
            </w:r>
            <w:r>
              <w:rPr>
                <w:rFonts w:ascii="Times New Roman" w:cs="Times New Roman" w:eastAsia="Times New Roman" w:hAnsi="Times New Roman"/>
                <w:sz w:val="22"/>
                <w:szCs w:val="22"/>
                <w:color w:val="auto"/>
                <w:vertAlign w:val="superscript"/>
              </w:rPr>
              <w:t>(1)</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48"/>
        </w:trPr>
        <w:tc>
          <w:tcPr>
            <w:tcW w:w="6120" w:type="dxa"/>
            <w:vAlign w:val="bottom"/>
            <w:gridSpan w:val="2"/>
          </w:tcPr>
          <w:p>
            <w:pPr>
              <w:ind w:left="220"/>
              <w:spacing w:after="0" w:line="148" w:lineRule="exact"/>
              <w:rPr>
                <w:sz w:val="20"/>
                <w:szCs w:val="20"/>
                <w:color w:val="auto"/>
              </w:rPr>
            </w:pPr>
            <w:r>
              <w:rPr>
                <w:rFonts w:ascii="Times New Roman" w:cs="Times New Roman" w:eastAsia="Times New Roman" w:hAnsi="Times New Roman"/>
                <w:sz w:val="17"/>
                <w:szCs w:val="17"/>
                <w:color w:val="auto"/>
              </w:rPr>
              <w:t>Net income/(loss) from continuing operations allocated to common unitholders -</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33"/>
        </w:trPr>
        <w:tc>
          <w:tcPr>
            <w:tcW w:w="6120" w:type="dxa"/>
            <w:vAlign w:val="bottom"/>
            <w:gridSpan w:val="2"/>
          </w:tcPr>
          <w:p>
            <w:pPr>
              <w:ind w:left="380"/>
              <w:spacing w:after="0" w:line="232" w:lineRule="exact"/>
              <w:rPr>
                <w:sz w:val="20"/>
                <w:szCs w:val="20"/>
                <w:color w:val="auto"/>
              </w:rPr>
            </w:pPr>
            <w:r>
              <w:rPr>
                <w:rFonts w:ascii="Times New Roman" w:cs="Times New Roman" w:eastAsia="Times New Roman" w:hAnsi="Times New Roman"/>
                <w:sz w:val="17"/>
                <w:szCs w:val="17"/>
                <w:color w:val="auto"/>
              </w:rPr>
              <w:t xml:space="preserve">Basic and Diluted </w:t>
            </w:r>
            <w:r>
              <w:rPr>
                <w:rFonts w:ascii="Times New Roman" w:cs="Times New Roman" w:eastAsia="Times New Roman" w:hAnsi="Times New Roman"/>
                <w:sz w:val="22"/>
                <w:szCs w:val="22"/>
                <w:color w:val="auto"/>
                <w:vertAlign w:val="superscript"/>
              </w:rPr>
              <w:t>(2)</w:t>
            </w:r>
          </w:p>
        </w:tc>
        <w:tc>
          <w:tcPr>
            <w:tcW w:w="800" w:type="dxa"/>
            <w:vAlign w:val="bottom"/>
          </w:tcPr>
          <w:p>
            <w:pPr>
              <w:jc w:val="right"/>
              <w:ind w:right="59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Pr>
          <w:p>
            <w:pPr>
              <w:spacing w:after="0"/>
              <w:rPr>
                <w:sz w:val="20"/>
                <w:szCs w:val="20"/>
                <w:color w:val="auto"/>
              </w:rPr>
            </w:pP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w:t>
            </w:r>
          </w:p>
        </w:tc>
        <w:tc>
          <w:tcPr>
            <w:tcW w:w="10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45"/>
        </w:trPr>
        <w:tc>
          <w:tcPr>
            <w:tcW w:w="388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Discontinued Operations:</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68"/>
        </w:trPr>
        <w:tc>
          <w:tcPr>
            <w:tcW w:w="6120" w:type="dxa"/>
            <w:vAlign w:val="bottom"/>
            <w:gridSpan w:val="2"/>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Net income from discontinued operations allocated to common unitholders - Basic</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33"/>
        </w:trPr>
        <w:tc>
          <w:tcPr>
            <w:tcW w:w="6120" w:type="dxa"/>
            <w:vAlign w:val="bottom"/>
            <w:gridSpan w:val="2"/>
            <w:shd w:val="clear" w:color="auto" w:fill="CCEEFF"/>
          </w:tcPr>
          <w:p>
            <w:pPr>
              <w:ind w:left="380"/>
              <w:spacing w:after="0" w:line="232" w:lineRule="exact"/>
              <w:rPr>
                <w:sz w:val="20"/>
                <w:szCs w:val="20"/>
                <w:color w:val="auto"/>
              </w:rPr>
            </w:pPr>
            <w:r>
              <w:rPr>
                <w:rFonts w:ascii="Times New Roman" w:cs="Times New Roman" w:eastAsia="Times New Roman" w:hAnsi="Times New Roman"/>
                <w:sz w:val="17"/>
                <w:szCs w:val="17"/>
                <w:color w:val="auto"/>
              </w:rPr>
              <w:t xml:space="preserve">and Diluted </w:t>
            </w:r>
            <w:r>
              <w:rPr>
                <w:rFonts w:ascii="Times New Roman" w:cs="Times New Roman" w:eastAsia="Times New Roman" w:hAnsi="Times New Roman"/>
                <w:sz w:val="22"/>
                <w:szCs w:val="22"/>
                <w:color w:val="auto"/>
                <w:vertAlign w:val="superscript"/>
              </w:rPr>
              <w:t>(3)</w:t>
            </w:r>
          </w:p>
        </w:tc>
        <w:tc>
          <w:tcPr>
            <w:tcW w:w="80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45"/>
        </w:trPr>
        <w:tc>
          <w:tcPr>
            <w:tcW w:w="3880" w:type="dxa"/>
            <w:vAlign w:val="bottom"/>
            <w:tcBorders>
              <w:bottom w:val="single" w:sz="8" w:color="CCEEFF"/>
            </w:tcBorders>
          </w:tcPr>
          <w:p>
            <w:pPr>
              <w:spacing w:after="0"/>
              <w:rPr>
                <w:sz w:val="21"/>
                <w:szCs w:val="21"/>
                <w:color w:val="auto"/>
              </w:rPr>
            </w:pPr>
          </w:p>
        </w:tc>
        <w:tc>
          <w:tcPr>
            <w:tcW w:w="224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r>
      <w:tr>
        <w:trPr>
          <w:trHeight w:val="23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income/(loss) allocated to common unitholders - Basic and Diluted</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0"/>
        </w:trPr>
        <w:tc>
          <w:tcPr>
            <w:tcW w:w="612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(4) (5)</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45"/>
        </w:trPr>
        <w:tc>
          <w:tcPr>
            <w:tcW w:w="38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income/(loss) per common unit</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0"/>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Continuing operations</w:t>
            </w:r>
          </w:p>
        </w:tc>
        <w:tc>
          <w:tcPr>
            <w:tcW w:w="800" w:type="dxa"/>
            <w:vAlign w:val="bottom"/>
          </w:tcPr>
          <w:p>
            <w:pPr>
              <w:jc w:val="right"/>
              <w:ind w:right="59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20" w:type="dxa"/>
            <w:vAlign w:val="bottom"/>
          </w:tcPr>
          <w:p>
            <w:pPr>
              <w:spacing w:after="0"/>
              <w:rPr>
                <w:sz w:val="19"/>
                <w:szCs w:val="19"/>
                <w:color w:val="auto"/>
              </w:rPr>
            </w:pP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(0.15)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0.40</w:t>
            </w:r>
          </w:p>
        </w:tc>
      </w:tr>
      <w:tr>
        <w:trPr>
          <w:trHeight w:val="220"/>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Discontinued operations</w:t>
            </w:r>
          </w:p>
        </w:tc>
        <w:tc>
          <w:tcPr>
            <w:tcW w:w="800" w:type="dxa"/>
            <w:vAlign w:val="bottom"/>
            <w:tcBorders>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r>
      <w:tr>
        <w:trPr>
          <w:trHeight w:val="213"/>
        </w:trPr>
        <w:tc>
          <w:tcPr>
            <w:tcW w:w="61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Basic and diluted net income/(loss) per common unit</w:t>
            </w:r>
          </w:p>
        </w:tc>
        <w:tc>
          <w:tcPr>
            <w:tcW w:w="8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(0.04)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0.73</w:t>
            </w:r>
          </w:p>
        </w:tc>
      </w:tr>
      <w:tr>
        <w:trPr>
          <w:trHeight w:val="20"/>
        </w:trPr>
        <w:tc>
          <w:tcPr>
            <w:tcW w:w="3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r>
    </w:tbl>
    <w:p>
      <w:pPr>
        <w:spacing w:after="0" w:line="130" w:lineRule="exact"/>
        <w:rPr>
          <w:sz w:val="20"/>
          <w:szCs w:val="20"/>
          <w:color w:val="auto"/>
        </w:rPr>
      </w:pPr>
    </w:p>
    <w:p>
      <w:pPr>
        <w:ind w:left="320" w:right="160" w:hanging="317"/>
        <w:spacing w:after="0" w:line="230" w:lineRule="auto"/>
        <w:tabs>
          <w:tab w:leader="none" w:pos="30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net income from continuing operations allocated to common unitholders.</w:t>
      </w:r>
    </w:p>
    <w:p>
      <w:pPr>
        <w:spacing w:after="0" w:line="34" w:lineRule="exact"/>
        <w:rPr>
          <w:rFonts w:ascii="Times New Roman" w:cs="Times New Roman" w:eastAsia="Times New Roman" w:hAnsi="Times New Roman"/>
          <w:sz w:val="20"/>
          <w:szCs w:val="20"/>
          <w:color w:val="auto"/>
          <w:vertAlign w:val="superscript"/>
        </w:rPr>
      </w:pPr>
    </w:p>
    <w:p>
      <w:pPr>
        <w:ind w:left="320" w:right="120" w:hanging="317"/>
        <w:spacing w:after="0" w:line="246" w:lineRule="auto"/>
        <w:tabs>
          <w:tab w:leader="none" w:pos="30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net income/(loss)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9" w:lineRule="exact"/>
        <w:rPr>
          <w:rFonts w:ascii="Times New Roman" w:cs="Times New Roman" w:eastAsia="Times New Roman" w:hAnsi="Times New Roman"/>
          <w:sz w:val="19"/>
          <w:szCs w:val="19"/>
          <w:color w:val="auto"/>
          <w:vertAlign w:val="superscript"/>
        </w:rPr>
      </w:pPr>
    </w:p>
    <w:p>
      <w:pPr>
        <w:ind w:left="320" w:right="300" w:hanging="317"/>
        <w:spacing w:after="0" w:line="228" w:lineRule="auto"/>
        <w:tabs>
          <w:tab w:leader="none" w:pos="30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Net income from discontinued operations allocated to common unitholders is Income from discontinued operations, net of tax as presented on our Condensed Consolidated Statements of Operations.</w:t>
      </w:r>
    </w:p>
    <w:p>
      <w:pPr>
        <w:spacing w:after="0" w:line="33" w:lineRule="exact"/>
        <w:rPr>
          <w:rFonts w:ascii="Times New Roman" w:cs="Times New Roman" w:eastAsia="Times New Roman" w:hAnsi="Times New Roman"/>
          <w:sz w:val="20"/>
          <w:szCs w:val="20"/>
          <w:color w:val="auto"/>
          <w:vertAlign w:val="superscript"/>
        </w:rPr>
      </w:pPr>
    </w:p>
    <w:p>
      <w:pPr>
        <w:ind w:left="320" w:right="60" w:hanging="317"/>
        <w:spacing w:after="0" w:line="220" w:lineRule="auto"/>
        <w:tabs>
          <w:tab w:leader="none" w:pos="30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net income/(loss) per common unit from continuing operations for each of the three and twelve months ended December 31, 2025 and 2024 as the effect was antidilutive.</w:t>
      </w:r>
    </w:p>
    <w:p>
      <w:pPr>
        <w:spacing w:after="0" w:line="46" w:lineRule="exact"/>
        <w:rPr>
          <w:rFonts w:ascii="Times New Roman" w:cs="Times New Roman" w:eastAsia="Times New Roman" w:hAnsi="Times New Roman"/>
          <w:sz w:val="20"/>
          <w:szCs w:val="20"/>
          <w:color w:val="auto"/>
          <w:vertAlign w:val="superscript"/>
        </w:rPr>
      </w:pPr>
    </w:p>
    <w:p>
      <w:pPr>
        <w:ind w:left="320" w:right="60" w:hanging="317"/>
        <w:spacing w:after="0" w:line="225" w:lineRule="auto"/>
        <w:tabs>
          <w:tab w:leader="none" w:pos="30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 w:lineRule="exact"/>
        <w:rPr>
          <w:rFonts w:ascii="Times New Roman" w:cs="Times New Roman" w:eastAsia="Times New Roman" w:hAnsi="Times New Roman"/>
          <w:sz w:val="19"/>
          <w:szCs w:val="19"/>
          <w:color w:val="auto"/>
          <w:vertAlign w:val="superscript"/>
        </w:rPr>
      </w:pPr>
    </w:p>
    <w:p>
      <w:pPr>
        <w:ind w:left="5440" w:hanging="93"/>
        <w:spacing w:after="0"/>
        <w:tabs>
          <w:tab w:leader="none" w:pos="54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auto"/>
        </w:rPr>
        <w:t>Page 9</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CONSOLIDATED CASH FLOW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8"/>
              </w:rPr>
              <w:t>Twelve Months Ended December 31,</w:t>
            </w:r>
          </w:p>
        </w:tc>
      </w:tr>
      <w:tr>
        <w:trPr>
          <w:trHeight w:val="23"/>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3880" w:type="dxa"/>
            <w:vAlign w:val="bottom"/>
            <w:tcBorders>
              <w:bottom w:val="single" w:sz="8" w:color="CCEEFF"/>
            </w:tcBorders>
          </w:tcPr>
          <w:p>
            <w:pPr>
              <w:spacing w:after="0"/>
              <w:rPr>
                <w:sz w:val="15"/>
                <w:szCs w:val="15"/>
                <w:color w:val="auto"/>
              </w:rPr>
            </w:pPr>
          </w:p>
        </w:tc>
        <w:tc>
          <w:tcPr>
            <w:tcW w:w="48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Reconciliation of net income to net cash provided by operating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(Gains)/losses on asset sales, asset impairments and other, net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Deferred income tax expense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(Gain)/loss on foreign currency revaluation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Settlement of terminated interest rate hedging instruments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Distributions on earnings from unconsolidated entities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investments in unconsolidated entities, net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3"/>
        </w:trPr>
        <w:tc>
          <w:tcPr>
            <w:tcW w:w="8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Cash provided by operating activities - continuing operations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w:t>
            </w:r>
          </w:p>
        </w:tc>
      </w:tr>
      <w:tr>
        <w:trPr>
          <w:trHeight w:val="220"/>
        </w:trPr>
        <w:tc>
          <w:tcPr>
            <w:tcW w:w="8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provided by operating activities -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13"/>
        </w:trPr>
        <w:tc>
          <w:tcPr>
            <w:tcW w:w="8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r>
      <w:tr>
        <w:trPr>
          <w:trHeight w:val="207"/>
        </w:trPr>
        <w:tc>
          <w:tcPr>
            <w:tcW w:w="388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used in investing activities - continuing operations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w:t>
            </w:r>
          </w:p>
        </w:tc>
      </w:tr>
      <w:tr>
        <w:trPr>
          <w:trHeight w:val="220"/>
        </w:trPr>
        <w:tc>
          <w:tcPr>
            <w:tcW w:w="8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Cash used in investing activities - discontinued operations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13"/>
        </w:trPr>
        <w:tc>
          <w:tcPr>
            <w:tcW w:w="8720" w:type="dxa"/>
            <w:vAlign w:val="bottom"/>
            <w:gridSpan w:val="2"/>
            <w:shd w:val="clear" w:color="auto" w:fill="CCEEFF"/>
          </w:tcPr>
          <w:p>
            <w:pPr>
              <w:ind w:left="220"/>
              <w:spacing w:after="0" w:line="212"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 (2)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0"/>
        </w:trPr>
        <w:tc>
          <w:tcPr>
            <w:tcW w:w="8720" w:type="dxa"/>
            <w:vAlign w:val="bottom"/>
            <w:gridSpan w:val="2"/>
          </w:tcPr>
          <w:p>
            <w:pPr>
              <w:ind w:left="220"/>
              <w:spacing w:after="0" w:line="220" w:lineRule="exact"/>
              <w:rPr>
                <w:sz w:val="20"/>
                <w:szCs w:val="20"/>
                <w:color w:val="auto"/>
              </w:rPr>
            </w:pPr>
            <w:r>
              <w:rPr>
                <w:rFonts w:ascii="Times New Roman" w:cs="Times New Roman" w:eastAsia="Times New Roman" w:hAnsi="Times New Roman"/>
                <w:sz w:val="17"/>
                <w:szCs w:val="17"/>
                <w:color w:val="auto"/>
              </w:rPr>
              <w:t xml:space="preserve">Net cash provided by/(used in) financing activities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w:t>
            </w:r>
          </w:p>
        </w:tc>
      </w:tr>
      <w:tr>
        <w:trPr>
          <w:trHeight w:val="207"/>
        </w:trPr>
        <w:tc>
          <w:tcPr>
            <w:tcW w:w="388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0"/>
        </w:trPr>
        <w:tc>
          <w:tcPr>
            <w:tcW w:w="87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Effect of translation adjustment - continuing operations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8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Effect of translation adjustment - discontinued operations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 and restricted cash</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07"/>
        </w:trPr>
        <w:tc>
          <w:tcPr>
            <w:tcW w:w="38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0"/>
        </w:trPr>
        <w:tc>
          <w:tcPr>
            <w:tcW w:w="3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126" w:lineRule="exact"/>
        <w:rPr>
          <w:sz w:val="20"/>
          <w:szCs w:val="20"/>
          <w:color w:val="auto"/>
        </w:rPr>
      </w:pPr>
    </w:p>
    <w:p>
      <w:pPr>
        <w:ind w:left="320" w:right="140" w:hanging="317"/>
        <w:spacing w:after="0" w:line="241"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Plains entities have issued promissory notes by and among such entities to facilitate financing. For the twelve months ended December 31, 2025 and 2024, “Net cash used in investing activities” includes a cash outflow of approximately $330 million and $629 million, respectively, associated with our investment in related party notes. An equal and offsetting cash inflow associated with our issuance of related party notes is included in “Net cash provided by/(used in) financing activities.”</w:t>
      </w:r>
    </w:p>
    <w:p>
      <w:pPr>
        <w:spacing w:after="0" w:line="35" w:lineRule="exact"/>
        <w:rPr>
          <w:rFonts w:ascii="Times New Roman" w:cs="Times New Roman" w:eastAsia="Times New Roman" w:hAnsi="Times New Roman"/>
          <w:sz w:val="22"/>
          <w:szCs w:val="22"/>
          <w:color w:val="auto"/>
          <w:vertAlign w:val="superscript"/>
        </w:rPr>
      </w:pPr>
    </w:p>
    <w:p>
      <w:pPr>
        <w:ind w:left="320" w:right="340" w:hanging="317"/>
        <w:spacing w:after="0" w:line="210" w:lineRule="auto"/>
        <w:tabs>
          <w:tab w:leader="none" w:pos="30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2025 period includes a net cash outflow of $2.651 billion for acquisitions, including our Cactus III acquisition completed during the fourth quarter of 2025.</w:t>
      </w:r>
    </w:p>
    <w:p>
      <w:pPr>
        <w:ind w:left="5440" w:hanging="93"/>
        <w:spacing w:after="0"/>
        <w:tabs>
          <w:tab w:leader="none" w:pos="544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auto"/>
        </w:rPr>
        <w:t>Page 10</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EXPENDITURES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17"/>
                <w:szCs w:val="17"/>
                <w:b w:val="1"/>
                <w:bCs w:val="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22"/>
        </w:trPr>
        <w:tc>
          <w:tcPr>
            <w:tcW w:w="3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gridSpan w:val="5"/>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40" w:type="dxa"/>
            <w:vAlign w:val="bottom"/>
          </w:tcPr>
          <w:p>
            <w:pPr>
              <w:spacing w:after="0"/>
              <w:rPr>
                <w:sz w:val="10"/>
                <w:szCs w:val="10"/>
                <w:color w:val="auto"/>
              </w:rPr>
            </w:pPr>
          </w:p>
        </w:tc>
        <w:tc>
          <w:tcPr>
            <w:tcW w:w="1540" w:type="dxa"/>
            <w:vAlign w:val="bottom"/>
            <w:gridSpan w:val="4"/>
          </w:tcPr>
          <w:p>
            <w:pPr>
              <w:jc w:val="center"/>
              <w:ind w:right="57"/>
              <w:spacing w:after="0" w:line="123" w:lineRule="exact"/>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5"/>
          </w:tcPr>
          <w:p>
            <w:pPr>
              <w:jc w:val="center"/>
              <w:ind w:right="280"/>
              <w:spacing w:after="0" w:line="123"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40" w:type="dxa"/>
            <w:vAlign w:val="bottom"/>
          </w:tcPr>
          <w:p>
            <w:pPr>
              <w:spacing w:after="0"/>
              <w:rPr>
                <w:sz w:val="10"/>
                <w:szCs w:val="10"/>
                <w:color w:val="auto"/>
              </w:rPr>
            </w:pPr>
          </w:p>
        </w:tc>
        <w:tc>
          <w:tcPr>
            <w:tcW w:w="1540" w:type="dxa"/>
            <w:vAlign w:val="bottom"/>
            <w:gridSpan w:val="4"/>
          </w:tcPr>
          <w:p>
            <w:pPr>
              <w:jc w:val="right"/>
              <w:ind w:right="97"/>
              <w:spacing w:after="0" w:line="123" w:lineRule="exact"/>
              <w:rPr>
                <w:sz w:val="20"/>
                <w:szCs w:val="20"/>
                <w:color w:val="auto"/>
              </w:rPr>
            </w:pPr>
            <w:r>
              <w:rPr>
                <w:rFonts w:ascii="Times New Roman" w:cs="Times New Roman" w:eastAsia="Times New Roman" w:hAnsi="Times New Roman"/>
                <w:sz w:val="14"/>
                <w:szCs w:val="14"/>
                <w:b w:val="1"/>
                <w:bCs w:val="1"/>
                <w:color w:val="auto"/>
                <w:w w:val="99"/>
              </w:rPr>
              <w:t>Twelve Months Ended</w:t>
            </w:r>
          </w:p>
        </w:tc>
      </w:tr>
      <w:tr>
        <w:trPr>
          <w:trHeight w:val="188"/>
        </w:trPr>
        <w:tc>
          <w:tcPr>
            <w:tcW w:w="3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6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80" w:type="dxa"/>
            <w:vAlign w:val="bottom"/>
          </w:tcPr>
          <w:p>
            <w:pPr>
              <w:spacing w:after="0"/>
              <w:rPr>
                <w:sz w:val="16"/>
                <w:szCs w:val="16"/>
                <w:color w:val="auto"/>
              </w:rPr>
            </w:pPr>
          </w:p>
        </w:tc>
        <w:tc>
          <w:tcPr>
            <w:tcW w:w="16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0" w:type="dxa"/>
            <w:vAlign w:val="bottom"/>
          </w:tcPr>
          <w:p>
            <w:pPr>
              <w:spacing w:after="0"/>
              <w:rPr>
                <w:sz w:val="16"/>
                <w:szCs w:val="16"/>
                <w:color w:val="auto"/>
              </w:rPr>
            </w:pPr>
          </w:p>
        </w:tc>
        <w:tc>
          <w:tcPr>
            <w:tcW w:w="1540" w:type="dxa"/>
            <w:vAlign w:val="bottom"/>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8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capital expenditures: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20"/>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Crude Oil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r>
      <w:tr>
        <w:trPr>
          <w:trHeight w:val="220"/>
        </w:trPr>
        <w:tc>
          <w:tcPr>
            <w:tcW w:w="41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NGL </w:t>
            </w:r>
            <w:r>
              <w:rPr>
                <w:rFonts w:ascii="Times New Roman" w:cs="Times New Roman" w:eastAsia="Times New Roman" w:hAnsi="Times New Roman"/>
                <w:sz w:val="22"/>
                <w:szCs w:val="22"/>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Investment capital expenditures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w:t>
            </w:r>
          </w:p>
        </w:tc>
      </w:tr>
      <w:tr>
        <w:trPr>
          <w:trHeight w:val="220"/>
        </w:trPr>
        <w:tc>
          <w:tcPr>
            <w:tcW w:w="4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Total Maintenance capital expenditures </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1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Investment and Maintenance capital expenditures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20"/>
        </w:trPr>
        <w:tc>
          <w:tcPr>
            <w:tcW w:w="3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47"/>
        </w:trPr>
        <w:tc>
          <w:tcPr>
            <w:tcW w:w="38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expenditures attributable to noncontrolling interests.</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“Discontinued Operations Detail” section for amounts attributable to discontinued operations.</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84" w:lineRule="auto"/>
        <w:tabs>
          <w:tab w:leader="none" w:pos="30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the “Selected Financial Data by NGL” section for amounts attributable to discontinued operations.</w:t>
      </w:r>
    </w:p>
    <w:p>
      <w:pPr>
        <w:ind w:left="5440" w:hanging="93"/>
        <w:spacing w:after="0"/>
        <w:tabs>
          <w:tab w:leader="none" w:pos="54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auto"/>
        </w:rPr>
        <w:t>Page 11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NON-GAAP RECONCILIATIONS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 millions, except per unit and ratio data)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Computation of Basic and Diluted Adjusted Net Income Per Common Unit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 (2)</w:t>
      </w:r>
      <w:r>
        <w:rPr>
          <w:rFonts w:ascii="Times New Roman" w:cs="Times New Roman" w:eastAsia="Times New Roman" w:hAnsi="Times New Roman"/>
          <w:sz w:val="17"/>
          <w:szCs w:val="17"/>
          <w:b w:val="1"/>
          <w:bCs w:val="1"/>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20" w:type="dxa"/>
            <w:vAlign w:val="bottom"/>
            <w:gridSpan w:val="4"/>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Adjusted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PAA</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tcPr>
          <w:p>
            <w:pPr>
              <w:spacing w:after="0"/>
              <w:rPr>
                <w:sz w:val="19"/>
                <w:szCs w:val="19"/>
                <w:color w:val="auto"/>
              </w:rPr>
            </w:pPr>
          </w:p>
        </w:tc>
        <w:tc>
          <w:tcPr>
            <w:tcW w:w="76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 Adjusted net income attributable to PAA </w:t>
            </w:r>
            <w:r>
              <w:rPr>
                <w:rFonts w:ascii="Times New Roman" w:cs="Times New Roman" w:eastAsia="Times New Roman" w:hAnsi="Times New Roman"/>
                <w:sz w:val="22"/>
                <w:szCs w:val="22"/>
                <w:color w:val="auto"/>
                <w:vertAlign w:val="superscript"/>
              </w:rPr>
              <w:t>(3)</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attributable to PAA</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8"/>
                <w:szCs w:val="18"/>
                <w:color w:val="auto"/>
              </w:rPr>
            </w:pPr>
          </w:p>
        </w:tc>
        <w:tc>
          <w:tcPr>
            <w:tcW w:w="76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20"/>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allocated to participating securities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0"/>
        </w:trPr>
        <w:tc>
          <w:tcPr>
            <w:tcW w:w="628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Impact from repurchase of Series A preferred units </w:t>
            </w:r>
            <w:r>
              <w:rPr>
                <w:rFonts w:ascii="Times New Roman" w:cs="Times New Roman" w:eastAsia="Times New Roman" w:hAnsi="Times New Roman"/>
                <w:sz w:val="22"/>
                <w:szCs w:val="22"/>
                <w:color w:val="auto"/>
                <w:vertAlign w:val="superscript"/>
              </w:rPr>
              <w:t>(4)</w:t>
            </w:r>
          </w:p>
        </w:tc>
        <w:tc>
          <w:tcPr>
            <w:tcW w:w="7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net income allocated to common unitholders</w:t>
            </w:r>
          </w:p>
        </w:tc>
        <w:tc>
          <w:tcPr>
            <w:tcW w:w="7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Basic and diluted weighted average common units outstanding </w:t>
            </w:r>
            <w:r>
              <w:rPr>
                <w:rFonts w:ascii="Times New Roman" w:cs="Times New Roman" w:eastAsia="Times New Roman" w:hAnsi="Times New Roman"/>
                <w:sz w:val="22"/>
                <w:szCs w:val="22"/>
                <w:color w:val="auto"/>
                <w:vertAlign w:val="superscript"/>
              </w:rPr>
              <w:t>(5) (6)</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34"/>
        </w:trPr>
        <w:tc>
          <w:tcPr>
            <w:tcW w:w="3880" w:type="dxa"/>
            <w:vAlign w:val="bottom"/>
            <w:tcBorders>
              <w:bottom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22" w:lineRule="exact"/>
        <w:rPr>
          <w:sz w:val="20"/>
          <w:szCs w:val="20"/>
          <w:color w:val="auto"/>
        </w:rPr>
      </w:pPr>
    </w:p>
    <w:p>
      <w:pPr>
        <w:ind w:left="320" w:right="40" w:hanging="317"/>
        <w:spacing w:after="0" w:line="227" w:lineRule="auto"/>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4" w:lineRule="exact"/>
        <w:rPr>
          <w:rFonts w:ascii="Times New Roman" w:cs="Times New Roman" w:eastAsia="Times New Roman" w:hAnsi="Times New Roman"/>
          <w:sz w:val="18"/>
          <w:szCs w:val="18"/>
          <w:color w:val="auto"/>
          <w:vertAlign w:val="superscript"/>
        </w:rPr>
      </w:pPr>
    </w:p>
    <w:p>
      <w:pPr>
        <w:ind w:left="300" w:hanging="297"/>
        <w:spacing w:after="0"/>
        <w:tabs>
          <w:tab w:leader="none" w:pos="3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51" w:lineRule="exact"/>
        <w:rPr>
          <w:rFonts w:ascii="Times New Roman" w:cs="Times New Roman" w:eastAsia="Times New Roman" w:hAnsi="Times New Roman"/>
          <w:sz w:val="18"/>
          <w:szCs w:val="18"/>
          <w:color w:val="auto"/>
          <w:vertAlign w:val="superscript"/>
        </w:rPr>
      </w:pPr>
    </w:p>
    <w:p>
      <w:pPr>
        <w:ind w:left="300" w:hanging="297"/>
        <w:spacing w:after="0" w:line="194" w:lineRule="auto"/>
        <w:tabs>
          <w:tab w:leader="none" w:pos="3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2" w:lineRule="exact"/>
        <w:rPr>
          <w:rFonts w:ascii="Times New Roman" w:cs="Times New Roman" w:eastAsia="Times New Roman" w:hAnsi="Times New Roman"/>
          <w:sz w:val="18"/>
          <w:szCs w:val="18"/>
          <w:color w:val="auto"/>
          <w:vertAlign w:val="superscript"/>
        </w:rPr>
      </w:pPr>
    </w:p>
    <w:p>
      <w:pPr>
        <w:ind w:left="320" w:right="200" w:hanging="317"/>
        <w:spacing w:after="0" w:line="210" w:lineRule="auto"/>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adjusted net income allocated to common unitholders.</w:t>
      </w:r>
    </w:p>
    <w:p>
      <w:pPr>
        <w:spacing w:after="0" w:line="41" w:lineRule="exact"/>
        <w:rPr>
          <w:rFonts w:ascii="Times New Roman" w:cs="Times New Roman" w:eastAsia="Times New Roman" w:hAnsi="Times New Roman"/>
          <w:sz w:val="18"/>
          <w:szCs w:val="18"/>
          <w:color w:val="auto"/>
          <w:vertAlign w:val="superscript"/>
        </w:rPr>
      </w:pPr>
    </w:p>
    <w:p>
      <w:pPr>
        <w:ind w:left="320" w:right="100" w:hanging="317"/>
        <w:spacing w:after="0" w:line="226" w:lineRule="auto"/>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possible conversion of our Series A preferred units was excluded from the calculation of diluted adjusted net income per common unit for each of the three and twelve months ended December 31, 2025 and 2024 as the effect was antidilutive.</w:t>
      </w:r>
    </w:p>
    <w:p>
      <w:pPr>
        <w:spacing w:after="0" w:line="41" w:lineRule="exact"/>
        <w:rPr>
          <w:rFonts w:ascii="Times New Roman" w:cs="Times New Roman" w:eastAsia="Times New Roman" w:hAnsi="Times New Roman"/>
          <w:sz w:val="18"/>
          <w:szCs w:val="18"/>
          <w:color w:val="auto"/>
          <w:vertAlign w:val="superscript"/>
        </w:rPr>
      </w:pPr>
    </w:p>
    <w:p>
      <w:pPr>
        <w:ind w:left="320" w:hanging="317"/>
        <w:spacing w:after="0" w:line="227" w:lineRule="auto"/>
        <w:tabs>
          <w:tab w:leader="none" w:pos="308"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Net Income/(Loss) Per Common Unit to Adjusted Net Income Per Common Unit Reconciliation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9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income/(loss) per common unit</w:t>
            </w: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0.41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(0.04)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Selected items impacting comparability per common unit </w:t>
            </w:r>
            <w:r>
              <w:rPr>
                <w:rFonts w:ascii="Times New Roman" w:cs="Times New Roman" w:eastAsia="Times New Roman" w:hAnsi="Times New Roman"/>
                <w:sz w:val="22"/>
                <w:szCs w:val="22"/>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(0.01)</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0.78</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adjusted net income per common unit</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93" w:lineRule="exact"/>
        <w:rPr>
          <w:sz w:val="20"/>
          <w:szCs w:val="20"/>
          <w:color w:val="auto"/>
        </w:rPr>
      </w:pPr>
    </w:p>
    <w:p>
      <w:pPr>
        <w:ind w:left="300" w:hanging="297"/>
        <w:spacing w:after="0"/>
        <w:tabs>
          <w:tab w:leader="none" w:pos="30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42" w:lineRule="exact"/>
        <w:rPr>
          <w:rFonts w:ascii="Times New Roman" w:cs="Times New Roman" w:eastAsia="Times New Roman" w:hAnsi="Times New Roman"/>
          <w:sz w:val="18"/>
          <w:szCs w:val="18"/>
          <w:color w:val="auto"/>
          <w:vertAlign w:val="superscript"/>
        </w:rPr>
      </w:pPr>
    </w:p>
    <w:p>
      <w:pPr>
        <w:ind w:left="300" w:hanging="297"/>
        <w:spacing w:after="0" w:line="223" w:lineRule="auto"/>
        <w:tabs>
          <w:tab w:leader="none" w:pos="30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“Selected Items Impacting Comparability” and the “Computation of Basic and Diluted Adjusted Net Income/(Loss) Per Common Unit” tables for additional information.</w:t>
      </w:r>
    </w:p>
    <w:p>
      <w:pPr>
        <w:ind w:left="5440" w:hanging="93"/>
        <w:spacing w:after="0"/>
        <w:tabs>
          <w:tab w:leader="none" w:pos="544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auto"/>
        </w:rPr>
        <w:t>Page 12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Income to Adjusted EBITDA attributable to PAA and Implied DCF Reconciliation: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4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6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752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07"/>
        </w:trPr>
        <w:tc>
          <w:tcPr>
            <w:tcW w:w="7520" w:type="dxa"/>
            <w:vAlign w:val="bottom"/>
          </w:tcPr>
          <w:p>
            <w:pPr>
              <w:ind w:left="100"/>
              <w:spacing w:after="0" w:line="207" w:lineRule="exact"/>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07"/>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 (benefit)/expense from continuing operations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04"/>
        </w:trPr>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expense from discontinued operations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from continuing operations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04"/>
        </w:trPr>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from discontinued operations</w:t>
            </w:r>
          </w:p>
        </w:tc>
        <w:tc>
          <w:tcPr>
            <w:tcW w:w="1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(Gains)/losses on asset sales, asset impairments and other, net from continuing operations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4"/>
        </w:trPr>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Losses on asset sales, asset impairments and other, net from discontinued operations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7520" w:type="dxa"/>
            <w:vAlign w:val="bottom"/>
          </w:tcPr>
          <w:p>
            <w:pPr>
              <w:ind w:left="100"/>
              <w:spacing w:after="0" w:line="207"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0"/>
                <w:szCs w:val="20"/>
                <w:color w:val="auto"/>
                <w:vertAlign w:val="superscript"/>
              </w:rPr>
              <w:t>(3)</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7"/>
        </w:trPr>
        <w:tc>
          <w:tcPr>
            <w:tcW w:w="752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0"/>
                <w:szCs w:val="20"/>
                <w:color w:val="auto"/>
                <w:vertAlign w:val="superscript"/>
              </w:rPr>
              <w:t>(1) (4)</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00"/>
        </w:trPr>
        <w:tc>
          <w:tcPr>
            <w:tcW w:w="7520" w:type="dxa"/>
            <w:vAlign w:val="bottom"/>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0"/>
                <w:szCs w:val="20"/>
                <w:color w:val="auto"/>
                <w:vertAlign w:val="superscript"/>
              </w:rPr>
              <w:t>(1)</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r>
      <w:tr>
        <w:trPr>
          <w:trHeight w:val="207"/>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00"/>
        </w:trPr>
        <w:tc>
          <w:tcPr>
            <w:tcW w:w="7520" w:type="dxa"/>
            <w:vAlign w:val="bottom"/>
          </w:tcPr>
          <w:p>
            <w:pPr>
              <w:ind w:left="40"/>
              <w:spacing w:after="0" w:line="200" w:lineRule="exact"/>
              <w:rPr>
                <w:sz w:val="20"/>
                <w:szCs w:val="20"/>
                <w:color w:val="auto"/>
              </w:rPr>
            </w:pPr>
            <w:r>
              <w:rPr>
                <w:rFonts w:ascii="Times New Roman" w:cs="Times New Roman" w:eastAsia="Times New Roman" w:hAnsi="Times New Roman"/>
                <w:sz w:val="16"/>
                <w:szCs w:val="16"/>
                <w:color w:val="auto"/>
              </w:rPr>
              <w:t xml:space="preserve">Adjusted EBITDA attributable to PAA </w:t>
            </w:r>
            <w:r>
              <w:rPr>
                <w:rFonts w:ascii="Times New Roman" w:cs="Times New Roman" w:eastAsia="Times New Roman" w:hAnsi="Times New Roman"/>
                <w:sz w:val="20"/>
                <w:szCs w:val="20"/>
                <w:color w:val="auto"/>
                <w:vertAlign w:val="superscript"/>
              </w:rPr>
              <w:t>(1)</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69"/>
        </w:trPr>
        <w:tc>
          <w:tcPr>
            <w:tcW w:w="7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r>
      <w:tr>
        <w:trPr>
          <w:trHeight w:val="207"/>
        </w:trPr>
        <w:tc>
          <w:tcPr>
            <w:tcW w:w="752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0"/>
                <w:szCs w:val="20"/>
                <w:color w:val="auto"/>
                <w:vertAlign w:val="superscript"/>
              </w:rPr>
              <w:t>(1)</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r>
      <w:tr>
        <w:trPr>
          <w:trHeight w:val="207"/>
        </w:trPr>
        <w:tc>
          <w:tcPr>
            <w:tcW w:w="7520" w:type="dxa"/>
            <w:vAlign w:val="bottom"/>
            <w:shd w:val="clear" w:color="auto" w:fill="CCEEFF"/>
          </w:tcPr>
          <w:p>
            <w:pPr>
              <w:ind w:left="100"/>
              <w:spacing w:after="0" w:line="207" w:lineRule="exact"/>
              <w:rPr>
                <w:sz w:val="20"/>
                <w:szCs w:val="20"/>
                <w:color w:val="auto"/>
              </w:rPr>
            </w:pPr>
            <w:r>
              <w:rPr>
                <w:rFonts w:ascii="Times New Roman" w:cs="Times New Roman" w:eastAsia="Times New Roman" w:hAnsi="Times New Roman"/>
                <w:sz w:val="16"/>
                <w:szCs w:val="16"/>
                <w:color w:val="auto"/>
              </w:rPr>
              <w:t xml:space="preserve">Interest expense, net of certain non-cash and other items </w:t>
            </w:r>
            <w:r>
              <w:rPr>
                <w:rFonts w:ascii="Times New Roman" w:cs="Times New Roman" w:eastAsia="Times New Roman" w:hAnsi="Times New Roman"/>
                <w:sz w:val="20"/>
                <w:szCs w:val="20"/>
                <w:color w:val="auto"/>
                <w:vertAlign w:val="superscript"/>
              </w:rPr>
              <w:t>(5)</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04"/>
        </w:trPr>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Maintenance capital from continuing operations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0"/>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Maintenance capital from discontinued operations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7"/>
        </w:trPr>
        <w:tc>
          <w:tcPr>
            <w:tcW w:w="7520" w:type="dxa"/>
            <w:vAlign w:val="bottom"/>
          </w:tcPr>
          <w:p>
            <w:pPr>
              <w:ind w:left="100"/>
              <w:spacing w:after="0" w:line="207"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0"/>
                <w:szCs w:val="20"/>
                <w:color w:val="auto"/>
                <w:vertAlign w:val="superscript"/>
              </w:rPr>
              <w:t>(6)</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7"/>
        </w:trPr>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4"/>
        </w:trPr>
        <w:tc>
          <w:tcPr>
            <w:tcW w:w="7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income tax expense from discontinued operations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0"/>
        </w:trPr>
        <w:tc>
          <w:tcPr>
            <w:tcW w:w="7520" w:type="dxa"/>
            <w:vAlign w:val="bottom"/>
            <w:shd w:val="clear" w:color="auto" w:fill="CCEEFF"/>
          </w:tcPr>
          <w:p>
            <w:pPr>
              <w:ind w:left="100"/>
              <w:spacing w:after="0" w:line="209"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0"/>
                <w:szCs w:val="20"/>
                <w:color w:val="auto"/>
                <w:vertAlign w:val="superscript"/>
              </w:rPr>
              <w:t>(7)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7520" w:type="dxa"/>
            <w:vAlign w:val="bottom"/>
            <w:tcBorders>
              <w:bottom w:val="single" w:sz="8" w:color="CCEEFF"/>
            </w:tcBorders>
          </w:tcPr>
          <w:p>
            <w:pPr>
              <w:ind w:left="100"/>
              <w:spacing w:after="0" w:line="207"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0"/>
                <w:szCs w:val="20"/>
                <w:color w:val="auto"/>
                <w:vertAlign w:val="superscript"/>
              </w:rPr>
              <w:t>(8)</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00"/>
        </w:trPr>
        <w:tc>
          <w:tcPr>
            <w:tcW w:w="752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Implied DCF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07"/>
        </w:trPr>
        <w:tc>
          <w:tcPr>
            <w:tcW w:w="7520" w:type="dxa"/>
            <w:vAlign w:val="bottom"/>
            <w:tcBorders>
              <w:bottom w:val="single" w:sz="8" w:color="CCEEFF"/>
            </w:tcBorders>
          </w:tcPr>
          <w:p>
            <w:pPr>
              <w:ind w:left="100"/>
              <w:spacing w:after="0" w:line="207" w:lineRule="exact"/>
              <w:rPr>
                <w:sz w:val="20"/>
                <w:szCs w:val="20"/>
                <w:color w:val="auto"/>
              </w:rPr>
            </w:pPr>
            <w:r>
              <w:rPr>
                <w:rFonts w:ascii="Times New Roman" w:cs="Times New Roman" w:eastAsia="Times New Roman" w:hAnsi="Times New Roman"/>
                <w:sz w:val="16"/>
                <w:szCs w:val="16"/>
                <w:color w:val="auto"/>
              </w:rPr>
              <w:t xml:space="preserve">Preferred unit cash distributions paid </w:t>
            </w:r>
            <w:r>
              <w:rPr>
                <w:rFonts w:ascii="Times New Roman" w:cs="Times New Roman" w:eastAsia="Times New Roman" w:hAnsi="Times New Roman"/>
                <w:sz w:val="20"/>
                <w:szCs w:val="20"/>
                <w:color w:val="auto"/>
                <w:vertAlign w:val="superscript"/>
              </w:rPr>
              <w:t>(8)</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25"/>
        </w:trPr>
        <w:tc>
          <w:tcPr>
            <w:tcW w:w="7520" w:type="dxa"/>
            <w:vAlign w:val="bottom"/>
            <w:tcBorders>
              <w:bottom w:val="single" w:sz="8" w:color="CCEEFF"/>
            </w:tcBorders>
            <w:shd w:val="clear" w:color="auto" w:fill="CCEEFF"/>
          </w:tcPr>
          <w:p>
            <w:pPr>
              <w:ind w:left="20"/>
              <w:spacing w:after="0" w:line="200" w:lineRule="exact"/>
              <w:rPr>
                <w:sz w:val="20"/>
                <w:szCs w:val="20"/>
                <w:color w:val="auto"/>
              </w:rPr>
            </w:pPr>
            <w:r>
              <w:rPr>
                <w:rFonts w:ascii="Times New Roman" w:cs="Times New Roman" w:eastAsia="Times New Roman" w:hAnsi="Times New Roman"/>
                <w:sz w:val="16"/>
                <w:szCs w:val="16"/>
                <w:color w:val="auto"/>
              </w:rPr>
              <w:t xml:space="preserve">Implied DCF Available to Common Unitholders </w:t>
            </w:r>
            <w:r>
              <w:rPr>
                <w:rFonts w:ascii="Times New Roman" w:cs="Times New Roman" w:eastAsia="Times New Roman" w:hAnsi="Times New Roman"/>
                <w:sz w:val="20"/>
                <w:szCs w:val="20"/>
                <w:color w:val="auto"/>
                <w:vertAlign w:val="superscript"/>
              </w:rPr>
              <w:t>(1)</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7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0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0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10"/>
        </w:trPr>
        <w:tc>
          <w:tcPr>
            <w:tcW w:w="752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0"/>
                <w:szCs w:val="20"/>
                <w:color w:val="auto"/>
                <w:vertAlign w:val="superscript"/>
              </w:rPr>
              <w:t>(1) (9)</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07"/>
        </w:trPr>
        <w:tc>
          <w:tcPr>
            <w:tcW w:w="752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0"/>
                <w:szCs w:val="20"/>
                <w:color w:val="auto"/>
                <w:vertAlign w:val="superscript"/>
              </w:rPr>
              <w:t>(1) (10)</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0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w:t>
            </w:r>
          </w:p>
        </w:tc>
      </w:tr>
      <w:tr>
        <w:trPr>
          <w:trHeight w:val="207"/>
        </w:trPr>
        <w:tc>
          <w:tcPr>
            <w:tcW w:w="752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0"/>
                <w:szCs w:val="20"/>
                <w:color w:val="auto"/>
                <w:vertAlign w:val="superscript"/>
              </w:rPr>
              <w:t>(8)</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r>
      <w:tr>
        <w:trPr>
          <w:trHeight w:val="207"/>
        </w:trPr>
        <w:tc>
          <w:tcPr>
            <w:tcW w:w="752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Common Unit Distribution Coverage Ratio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1.79x</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2.01x</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1.72x</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1.97x</w:t>
            </w:r>
          </w:p>
        </w:tc>
      </w:tr>
      <w:tr>
        <w:trPr>
          <w:trHeight w:val="26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Implied DCF Excess </w:t>
            </w:r>
            <w:r>
              <w:rPr>
                <w:rFonts w:ascii="Times New Roman" w:cs="Times New Roman" w:eastAsia="Times New Roman" w:hAnsi="Times New Roman"/>
                <w:sz w:val="20"/>
                <w:szCs w:val="20"/>
                <w:color w:val="auto"/>
                <w:vertAlign w:val="superscript"/>
              </w:rPr>
              <w:t>(1)</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23"/>
                <w:szCs w:val="23"/>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23"/>
                <w:szCs w:val="23"/>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tcPr>
          <w:p>
            <w:pPr>
              <w:spacing w:after="0"/>
              <w:rPr>
                <w:sz w:val="23"/>
                <w:szCs w:val="23"/>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24612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03"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16"/>
          <w:szCs w:val="16"/>
          <w:color w:val="auto"/>
          <w:vertAlign w:val="superscript"/>
        </w:rPr>
      </w:pPr>
    </w:p>
    <w:p>
      <w:pPr>
        <w:ind w:left="300" w:hanging="297"/>
        <w:spacing w:after="0" w:line="197" w:lineRule="auto"/>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“Interest expense, net” as reported on our Condensed Consolidated Statements of Operations, net of interest income associated with promissory notes by and among certain Plains entities.</w:t>
      </w:r>
    </w:p>
    <w:p>
      <w:pPr>
        <w:spacing w:after="0" w:line="42" w:lineRule="exact"/>
        <w:rPr>
          <w:rFonts w:ascii="Times New Roman" w:cs="Times New Roman" w:eastAsia="Times New Roman" w:hAnsi="Times New Roman"/>
          <w:sz w:val="16"/>
          <w:szCs w:val="16"/>
          <w:color w:val="auto"/>
          <w:vertAlign w:val="superscript"/>
        </w:rPr>
      </w:pPr>
    </w:p>
    <w:p>
      <w:pPr>
        <w:ind w:left="300" w:hanging="297"/>
        <w:spacing w:after="0" w:line="197" w:lineRule="auto"/>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to exclude our proportionate share of depreciation and amortization expense (including write-downs related to cancelled projects and impairments) of unconsolidated entities.</w:t>
      </w:r>
    </w:p>
    <w:p>
      <w:pPr>
        <w:spacing w:after="0" w:line="55" w:lineRule="exact"/>
        <w:rPr>
          <w:rFonts w:ascii="Times New Roman" w:cs="Times New Roman" w:eastAsia="Times New Roman" w:hAnsi="Times New Roman"/>
          <w:sz w:val="16"/>
          <w:szCs w:val="16"/>
          <w:color w:val="auto"/>
          <w:vertAlign w:val="superscript"/>
        </w:rPr>
      </w:pPr>
    </w:p>
    <w:p>
      <w:pPr>
        <w:ind w:left="300" w:hanging="297"/>
        <w:spacing w:after="0" w:line="197" w:lineRule="auto"/>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the “Selected Items Impacting Comparability” table for additional information.</w:t>
      </w:r>
    </w:p>
    <w:p>
      <w:pPr>
        <w:spacing w:after="0" w:line="42" w:lineRule="exact"/>
        <w:rPr>
          <w:rFonts w:ascii="Times New Roman" w:cs="Times New Roman" w:eastAsia="Times New Roman" w:hAnsi="Times New Roman"/>
          <w:sz w:val="16"/>
          <w:szCs w:val="16"/>
          <w:color w:val="auto"/>
          <w:vertAlign w:val="superscript"/>
        </w:rPr>
      </w:pPr>
    </w:p>
    <w:p>
      <w:pPr>
        <w:ind w:left="320" w:right="140" w:hanging="317"/>
        <w:spacing w:after="0" w:line="228" w:lineRule="auto"/>
        <w:tabs>
          <w:tab w:leader="none" w:pos="311"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 excludes certain non-cash items impacting interest expense such as amortization of debt issuance costs and terminated interest rate swaps and is net of interest income associated with promissory notes by and among certain Plains entities.</w:t>
      </w:r>
    </w:p>
    <w:p>
      <w:pPr>
        <w:spacing w:after="0" w:line="22"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Investment capital expenditures attributable to noncontrolling interests that reduce Implied DCF available to PAA common unitholders.</w:t>
      </w:r>
    </w:p>
    <w:p>
      <w:pPr>
        <w:spacing w:after="0" w:line="42" w:lineRule="exact"/>
        <w:rPr>
          <w:rFonts w:ascii="Times New Roman" w:cs="Times New Roman" w:eastAsia="Times New Roman" w:hAnsi="Times New Roman"/>
          <w:sz w:val="16"/>
          <w:szCs w:val="16"/>
          <w:color w:val="auto"/>
          <w:vertAlign w:val="superscript"/>
        </w:rPr>
      </w:pPr>
    </w:p>
    <w:p>
      <w:pPr>
        <w:ind w:left="320" w:right="40" w:hanging="317"/>
        <w:spacing w:after="0" w:line="228" w:lineRule="auto"/>
        <w:tabs>
          <w:tab w:leader="none" w:pos="311"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0"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distributions paid during the period presented.</w:t>
      </w:r>
    </w:p>
    <w:p>
      <w:pPr>
        <w:spacing w:after="0" w:line="55" w:lineRule="exact"/>
        <w:rPr>
          <w:rFonts w:ascii="Times New Roman" w:cs="Times New Roman" w:eastAsia="Times New Roman" w:hAnsi="Times New Roman"/>
          <w:sz w:val="16"/>
          <w:szCs w:val="16"/>
          <w:color w:val="auto"/>
          <w:vertAlign w:val="superscript"/>
        </w:rPr>
      </w:pPr>
    </w:p>
    <w:p>
      <w:pPr>
        <w:ind w:left="300" w:hanging="297"/>
        <w:spacing w:after="0" w:line="197" w:lineRule="auto"/>
        <w:tabs>
          <w:tab w:leader="none" w:pos="30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Implied DCF Available to Common Unitholders for the period divided by the weighted average common units outstanding for the period.</w:t>
      </w:r>
    </w:p>
    <w:p>
      <w:pPr>
        <w:spacing w:after="0" w:line="55" w:lineRule="exact"/>
        <w:rPr>
          <w:rFonts w:ascii="Times New Roman" w:cs="Times New Roman" w:eastAsia="Times New Roman" w:hAnsi="Times New Roman"/>
          <w:sz w:val="16"/>
          <w:szCs w:val="16"/>
          <w:color w:val="auto"/>
          <w:vertAlign w:val="superscript"/>
        </w:rPr>
      </w:pPr>
    </w:p>
    <w:p>
      <w:pPr>
        <w:ind w:left="320" w:right="120" w:hanging="317"/>
        <w:spacing w:after="0" w:line="214" w:lineRule="auto"/>
        <w:tabs>
          <w:tab w:leader="none" w:pos="313"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 w:lineRule="exact"/>
        <w:rPr>
          <w:rFonts w:ascii="Times New Roman" w:cs="Times New Roman" w:eastAsia="Times New Roman" w:hAnsi="Times New Roman"/>
          <w:sz w:val="16"/>
          <w:szCs w:val="16"/>
          <w:color w:val="auto"/>
          <w:vertAlign w:val="superscript"/>
        </w:rPr>
      </w:pPr>
    </w:p>
    <w:p>
      <w:pPr>
        <w:ind w:left="5440" w:hanging="93"/>
        <w:spacing w:after="0"/>
        <w:tabs>
          <w:tab w:leader="none" w:pos="54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auto"/>
        </w:rPr>
        <w:t>Page 13</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Income/(Loss) Per Common Unit to Implied DCF Per Common Unit and Common Unit Equivalent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50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income/(loss) per common unit</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0.41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w:t>
            </w:r>
            <w:r>
              <w:rPr>
                <w:rFonts w:ascii="Times New Roman" w:cs="Times New Roman" w:eastAsia="Times New Roman" w:hAnsi="Times New Roman"/>
                <w:sz w:val="22"/>
                <w:szCs w:val="22"/>
                <w:color w:val="auto"/>
                <w:vertAlign w:val="superscript"/>
              </w:rPr>
              <w:t>(2) (3)</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0.27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0.95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0.68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income/(loss) per common unit</w:t>
            </w:r>
          </w:p>
        </w:tc>
        <w:tc>
          <w:tcPr>
            <w:tcW w:w="74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center"/>
              <w:ind w:left="216"/>
              <w:spacing w:after="0"/>
              <w:rPr>
                <w:sz w:val="20"/>
                <w:szCs w:val="20"/>
                <w:color w:val="auto"/>
              </w:rPr>
            </w:pPr>
            <w:r>
              <w:rPr>
                <w:rFonts w:ascii="Times New Roman" w:cs="Times New Roman" w:eastAsia="Times New Roman" w:hAnsi="Times New Roman"/>
                <w:sz w:val="17"/>
                <w:szCs w:val="17"/>
                <w:color w:val="auto"/>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0.73</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Reconciling items per common unit and common unit equivalent </w:t>
            </w:r>
            <w:r>
              <w:rPr>
                <w:rFonts w:ascii="Times New Roman" w:cs="Times New Roman" w:eastAsia="Times New Roman" w:hAnsi="Times New Roman"/>
                <w:sz w:val="22"/>
                <w:szCs w:val="22"/>
                <w:color w:val="auto"/>
                <w:vertAlign w:val="superscript"/>
              </w:rPr>
              <w:t>(2) (4)</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0.27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0.95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Implied DCF per common unit and common unit equivalent</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0.68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center"/>
              <w:ind w:left="256"/>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96"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20" w:hanging="317"/>
        <w:spacing w:after="0" w:line="220"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periods of 706 million, 704 million, 704 million and 702 million, respectively.</w:t>
      </w:r>
    </w:p>
    <w:p>
      <w:pPr>
        <w:spacing w:after="0" w:line="52" w:lineRule="exact"/>
        <w:rPr>
          <w:rFonts w:ascii="Times New Roman" w:cs="Times New Roman" w:eastAsia="Times New Roman" w:hAnsi="Times New Roman"/>
          <w:sz w:val="22"/>
          <w:szCs w:val="22"/>
          <w:color w:val="auto"/>
          <w:vertAlign w:val="superscript"/>
        </w:rPr>
      </w:pPr>
    </w:p>
    <w:p>
      <w:pPr>
        <w:ind w:left="320" w:right="360" w:hanging="317"/>
        <w:spacing w:after="0" w:line="200" w:lineRule="auto"/>
        <w:tabs>
          <w:tab w:leader="none" w:pos="3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common units outstanding for the periods, as well as weighted average Series A preferred units outstanding of 58 million, 71 million, 59 million and 71 million, for the periods presented, respectively.</w:t>
      </w:r>
    </w:p>
    <w:p>
      <w:pPr>
        <w:ind w:left="5440" w:hanging="93"/>
        <w:spacing w:after="0"/>
        <w:tabs>
          <w:tab w:leader="none" w:pos="54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auto"/>
        </w:rPr>
        <w:t>Page 14</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 to Non-GAAP Financial Liquidity Measures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Net cash provided by operating activities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0" w:type="dxa"/>
            <w:vAlign w:val="bottom"/>
          </w:tcPr>
          <w:p>
            <w:pPr>
              <w:spacing w:after="0"/>
              <w:rPr>
                <w:sz w:val="1"/>
                <w:szCs w:val="1"/>
                <w:color w:val="auto"/>
              </w:rPr>
            </w:pPr>
          </w:p>
        </w:tc>
      </w:tr>
      <w:tr>
        <w:trPr>
          <w:trHeight w:val="168"/>
        </w:trPr>
        <w:tc>
          <w:tcPr>
            <w:tcW w:w="628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Adjustments to reconcile Net cash provided by operating activities to Adjusted Free Cash</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Flow:</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80" w:type="dxa"/>
            <w:vAlign w:val="bottom"/>
            <w:gridSpan w:val="2"/>
            <w:shd w:val="clear" w:color="auto" w:fill="CCEEFF"/>
          </w:tcPr>
          <w:p>
            <w:pPr>
              <w:ind w:left="120"/>
              <w:spacing w:after="0" w:line="224" w:lineRule="exact"/>
              <w:rPr>
                <w:sz w:val="20"/>
                <w:szCs w:val="20"/>
                <w:color w:val="auto"/>
              </w:rPr>
            </w:pPr>
            <w:r>
              <w:rPr>
                <w:rFonts w:ascii="Times New Roman" w:cs="Times New Roman" w:eastAsia="Times New Roman" w:hAnsi="Times New Roman"/>
                <w:sz w:val="17"/>
                <w:szCs w:val="17"/>
                <w:color w:val="auto"/>
              </w:rPr>
              <w:t xml:space="preserve">Net cash used in investing activities </w:t>
            </w:r>
            <w:r>
              <w:rPr>
                <w:rFonts w:ascii="Times New Roman" w:cs="Times New Roman" w:eastAsia="Times New Roman" w:hAnsi="Times New Roman"/>
                <w:sz w:val="22"/>
                <w:szCs w:val="22"/>
                <w:color w:val="auto"/>
                <w:vertAlign w:val="superscript"/>
              </w:rPr>
              <w:t>(1) (2) (3)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Cash contributions from noncontrolling interests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Cash distributions paid to noncontrolling interests </w:t>
            </w:r>
            <w:r>
              <w:rPr>
                <w:rFonts w:ascii="Times New Roman" w:cs="Times New Roman" w:eastAsia="Times New Roman" w:hAnsi="Times New Roman"/>
                <w:sz w:val="22"/>
                <w:szCs w:val="22"/>
                <w:color w:val="auto"/>
                <w:vertAlign w:val="superscript"/>
              </w:rPr>
              <w:t>(4)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00"/>
              <w:spacing w:after="0" w:line="220" w:lineRule="exact"/>
              <w:rPr>
                <w:sz w:val="20"/>
                <w:szCs w:val="20"/>
                <w:color w:val="auto"/>
              </w:rPr>
            </w:pPr>
            <w:r>
              <w:rPr>
                <w:rFonts w:ascii="Times New Roman" w:cs="Times New Roman" w:eastAsia="Times New Roman" w:hAnsi="Times New Roman"/>
                <w:sz w:val="17"/>
                <w:szCs w:val="17"/>
                <w:color w:val="auto"/>
              </w:rPr>
              <w:t xml:space="preserve">Proceeds from the issuance of related party notes </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0" w:type="dxa"/>
            <w:vAlign w:val="bottom"/>
          </w:tcPr>
          <w:p>
            <w:pPr>
              <w:spacing w:after="0"/>
              <w:rPr>
                <w:sz w:val="1"/>
                <w:szCs w:val="1"/>
                <w:color w:val="auto"/>
              </w:rPr>
            </w:pPr>
          </w:p>
        </w:tc>
      </w:tr>
      <w:tr>
        <w:trPr>
          <w:trHeight w:val="238"/>
        </w:trPr>
        <w:tc>
          <w:tcPr>
            <w:tcW w:w="6280" w:type="dxa"/>
            <w:vAlign w:val="bottom"/>
            <w:tcBorders>
              <w:top w:val="single" w:sz="8" w:color="CCEEFF"/>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(1) (5)</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8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(322)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7"/>
              </w:rPr>
              <w:t>(286)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(1,295)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(1,145)</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Adjusted Free Cash Flow after Distributions </w:t>
            </w:r>
            <w:r>
              <w:rPr>
                <w:rFonts w:ascii="Times New Roman" w:cs="Times New Roman" w:eastAsia="Times New Roman" w:hAnsi="Times New Roman"/>
                <w:sz w:val="22"/>
                <w:szCs w:val="22"/>
                <w:color w:val="auto"/>
                <w:vertAlign w:val="superscript"/>
              </w:rPr>
              <w:t>(1) (5) (7)</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Adjusted Free Cash Flow </w:t>
            </w:r>
            <w:r>
              <w:rPr>
                <w:rFonts w:ascii="Times New Roman" w:cs="Times New Roman" w:eastAsia="Times New Roman" w:hAnsi="Times New Roman"/>
                <w:sz w:val="22"/>
                <w:szCs w:val="22"/>
                <w:color w:val="auto"/>
                <w:vertAlign w:val="superscript"/>
              </w:rPr>
              <w:t>(1) (5)</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w:t>
            </w: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120"/>
              <w:spacing w:after="0" w:line="220" w:lineRule="exact"/>
              <w:rPr>
                <w:sz w:val="20"/>
                <w:szCs w:val="20"/>
                <w:color w:val="auto"/>
              </w:rPr>
            </w:pPr>
            <w:r>
              <w:rPr>
                <w:rFonts w:ascii="Times New Roman" w:cs="Times New Roman" w:eastAsia="Times New Roman" w:hAnsi="Times New Roman"/>
                <w:sz w:val="17"/>
                <w:szCs w:val="17"/>
                <w:color w:val="auto"/>
              </w:rPr>
              <w:t xml:space="preserve">Changes in assets and liabilities, net of acquisitions </w:t>
            </w:r>
            <w:r>
              <w:rPr>
                <w:rFonts w:ascii="Times New Roman" w:cs="Times New Roman" w:eastAsia="Times New Roman" w:hAnsi="Times New Roman"/>
                <w:sz w:val="22"/>
                <w:szCs w:val="22"/>
                <w:color w:val="auto"/>
                <w:vertAlign w:val="superscript"/>
              </w:rPr>
              <w:t>(1) (8)</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Adjusted Free Cash Flow (Excluding Changes in Assets &amp;</w:t>
            </w: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0" w:type="dxa"/>
            <w:vAlign w:val="bottom"/>
          </w:tcPr>
          <w:p>
            <w:pPr>
              <w:spacing w:after="0"/>
              <w:rPr>
                <w:sz w:val="1"/>
                <w:szCs w:val="1"/>
                <w:color w:val="auto"/>
              </w:rPr>
            </w:pPr>
          </w:p>
        </w:tc>
      </w:tr>
      <w:tr>
        <w:trPr>
          <w:trHeight w:val="227"/>
        </w:trPr>
        <w:tc>
          <w:tcPr>
            <w:tcW w:w="6280" w:type="dxa"/>
            <w:vAlign w:val="bottom"/>
            <w:tcBorders>
              <w:bottom w:val="single" w:sz="8" w:color="CCEEFF"/>
            </w:tcBorders>
            <w:gridSpan w:val="2"/>
            <w:shd w:val="clear" w:color="auto" w:fill="CCEEFF"/>
          </w:tcPr>
          <w:p>
            <w:pPr>
              <w:ind w:left="200"/>
              <w:spacing w:after="0" w:line="207" w:lineRule="exact"/>
              <w:rPr>
                <w:sz w:val="20"/>
                <w:szCs w:val="20"/>
                <w:color w:val="auto"/>
              </w:rPr>
            </w:pPr>
            <w:r>
              <w:rPr>
                <w:rFonts w:ascii="Times New Roman" w:cs="Times New Roman" w:eastAsia="Times New Roman" w:hAnsi="Times New Roman"/>
                <w:sz w:val="17"/>
                <w:szCs w:val="17"/>
                <w:color w:val="auto"/>
              </w:rPr>
              <w:t xml:space="preserve">Liabilities) </w:t>
            </w:r>
            <w:r>
              <w:rPr>
                <w:rFonts w:ascii="Times New Roman" w:cs="Times New Roman" w:eastAsia="Times New Roman" w:hAnsi="Times New Roman"/>
                <w:sz w:val="22"/>
                <w:szCs w:val="22"/>
                <w:color w:val="auto"/>
                <w:vertAlign w:val="superscript"/>
              </w:rPr>
              <w:t>(1) (9) (10)</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ind w:left="120"/>
              <w:spacing w:after="0" w:line="231" w:lineRule="exact"/>
              <w:rPr>
                <w:sz w:val="20"/>
                <w:szCs w:val="20"/>
                <w:color w:val="auto"/>
              </w:rPr>
            </w:pPr>
            <w:r>
              <w:rPr>
                <w:rFonts w:ascii="Times New Roman" w:cs="Times New Roman" w:eastAsia="Times New Roman" w:hAnsi="Times New Roman"/>
                <w:sz w:val="17"/>
                <w:szCs w:val="17"/>
                <w:color w:val="auto"/>
              </w:rPr>
              <w:t xml:space="preserve">Cash distributions </w:t>
            </w:r>
            <w:r>
              <w:rPr>
                <w:rFonts w:ascii="Times New Roman" w:cs="Times New Roman" w:eastAsia="Times New Roman" w:hAnsi="Times New Roman"/>
                <w:sz w:val="22"/>
                <w:szCs w:val="22"/>
                <w:color w:val="auto"/>
                <w:vertAlign w:val="superscript"/>
              </w:rPr>
              <w:t>(6)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8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(322)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7"/>
              </w:rPr>
              <w:t>(286)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(1,295)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(1,145)</w:t>
            </w:r>
          </w:p>
        </w:tc>
        <w:tc>
          <w:tcPr>
            <w:tcW w:w="0" w:type="dxa"/>
            <w:vAlign w:val="bottom"/>
          </w:tcPr>
          <w:p>
            <w:pPr>
              <w:spacing w:after="0"/>
              <w:rPr>
                <w:sz w:val="1"/>
                <w:szCs w:val="1"/>
                <w:color w:val="auto"/>
              </w:rPr>
            </w:pPr>
          </w:p>
        </w:tc>
      </w:tr>
      <w:tr>
        <w:trPr>
          <w:trHeight w:val="148"/>
        </w:trPr>
        <w:tc>
          <w:tcPr>
            <w:tcW w:w="628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Adjusted Free Cash Flow after Distributions (Excluding Changes in Assets &amp; Liabilities)</w:t>
            </w:r>
          </w:p>
        </w:tc>
        <w:tc>
          <w:tcPr>
            <w:tcW w:w="28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(152)</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(2,116)</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 (9) (10)</w:t>
            </w:r>
          </w:p>
        </w:tc>
        <w:tc>
          <w:tcPr>
            <w:tcW w:w="24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spacing w:after="0" w:line="48" w:lineRule="exact"/>
        <w:rPr>
          <w:rFonts w:ascii="Times New Roman" w:cs="Times New Roman" w:eastAsia="Times New Roman" w:hAnsi="Times New Roman"/>
          <w:sz w:val="20"/>
          <w:szCs w:val="20"/>
          <w:color w:val="auto"/>
          <w:vertAlign w:val="superscript"/>
        </w:rPr>
      </w:pPr>
    </w:p>
    <w:p>
      <w:pPr>
        <w:ind w:left="320" w:right="300" w:hanging="317"/>
        <w:spacing w:after="0" w:line="219" w:lineRule="auto"/>
        <w:tabs>
          <w:tab w:leader="none" w:pos="30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32" w:lineRule="exact"/>
        <w:rPr>
          <w:rFonts w:ascii="Times New Roman" w:cs="Times New Roman" w:eastAsia="Times New Roman" w:hAnsi="Times New Roman"/>
          <w:sz w:val="20"/>
          <w:szCs w:val="20"/>
          <w:color w:val="auto"/>
          <w:vertAlign w:val="superscript"/>
        </w:rPr>
      </w:pPr>
    </w:p>
    <w:p>
      <w:pPr>
        <w:ind w:left="320" w:right="80" w:hanging="317"/>
        <w:spacing w:after="0" w:line="228" w:lineRule="auto"/>
        <w:tabs>
          <w:tab w:leader="none" w:pos="30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three and twelve months ended December 31, 2025 includes a net cash outflow of $1.786 billion and $2.651 billion, respectively, for acquisitions, including our Cactus III acquisition completed during the fourth quarter of 2025.</w:t>
      </w:r>
    </w:p>
    <w:p>
      <w:pPr>
        <w:spacing w:after="0" w:line="3"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48" w:lineRule="exact"/>
        <w:rPr>
          <w:rFonts w:ascii="Times New Roman" w:cs="Times New Roman" w:eastAsia="Times New Roman" w:hAnsi="Times New Roman"/>
          <w:sz w:val="20"/>
          <w:szCs w:val="20"/>
          <w:color w:val="auto"/>
          <w:vertAlign w:val="superscript"/>
        </w:rPr>
      </w:pPr>
    </w:p>
    <w:p>
      <w:pPr>
        <w:ind w:left="320" w:right="60" w:hanging="317"/>
        <w:spacing w:after="0" w:line="224" w:lineRule="auto"/>
        <w:tabs>
          <w:tab w:leader="none" w:pos="30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1" w:lineRule="exact"/>
        <w:rPr>
          <w:rFonts w:ascii="Times New Roman" w:cs="Times New Roman" w:eastAsia="Times New Roman" w:hAnsi="Times New Roman"/>
          <w:sz w:val="20"/>
          <w:szCs w:val="20"/>
          <w:color w:val="auto"/>
          <w:vertAlign w:val="superscript"/>
        </w:rPr>
      </w:pPr>
    </w:p>
    <w:p>
      <w:pPr>
        <w:ind w:left="320" w:right="40" w:hanging="317"/>
        <w:spacing w:after="0" w:line="224" w:lineRule="auto"/>
        <w:tabs>
          <w:tab w:leader="none" w:pos="30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0"/>
          <w:szCs w:val="20"/>
          <w:color w:val="auto"/>
          <w:vertAlign w:val="superscript"/>
        </w:rPr>
      </w:pPr>
    </w:p>
    <w:p>
      <w:pPr>
        <w:ind w:left="300" w:hanging="297"/>
        <w:spacing w:after="0"/>
        <w:tabs>
          <w:tab w:leader="none" w:pos="3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48" w:lineRule="exact"/>
        <w:rPr>
          <w:rFonts w:ascii="Times New Roman" w:cs="Times New Roman" w:eastAsia="Times New Roman" w:hAnsi="Times New Roman"/>
          <w:sz w:val="20"/>
          <w:szCs w:val="20"/>
          <w:color w:val="auto"/>
          <w:vertAlign w:val="superscript"/>
        </w:rPr>
      </w:pPr>
    </w:p>
    <w:p>
      <w:pPr>
        <w:ind w:left="320" w:right="20" w:hanging="317"/>
        <w:spacing w:after="0" w:line="224" w:lineRule="auto"/>
        <w:tabs>
          <w:tab w:leader="none" w:pos="308"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46" w:lineRule="exact"/>
        <w:rPr>
          <w:rFonts w:ascii="Times New Roman" w:cs="Times New Roman" w:eastAsia="Times New Roman" w:hAnsi="Times New Roman"/>
          <w:sz w:val="20"/>
          <w:szCs w:val="20"/>
          <w:color w:val="auto"/>
          <w:vertAlign w:val="superscript"/>
        </w:rPr>
      </w:pPr>
    </w:p>
    <w:p>
      <w:pPr>
        <w:ind w:left="320" w:right="140" w:hanging="317"/>
        <w:spacing w:after="0" w:line="202" w:lineRule="auto"/>
        <w:tabs>
          <w:tab w:leader="none" w:pos="32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Fourth-quarter and full-year 2024 Adjusted Free Cash Flow (Excluding Changes in Assets &amp; Liabilities) includes the negative impact of a $225 million charge resulting from the write-off of a receivable for Line 901 insurance proceeds.</w:t>
      </w:r>
    </w:p>
    <w:p>
      <w:pPr>
        <w:spacing w:after="0" w:line="1" w:lineRule="exact"/>
        <w:rPr>
          <w:rFonts w:ascii="Times New Roman" w:cs="Times New Roman" w:eastAsia="Times New Roman" w:hAnsi="Times New Roman"/>
          <w:sz w:val="20"/>
          <w:szCs w:val="20"/>
          <w:color w:val="auto"/>
          <w:vertAlign w:val="superscript"/>
        </w:rPr>
      </w:pPr>
    </w:p>
    <w:p>
      <w:pPr>
        <w:ind w:left="5440" w:hanging="93"/>
        <w:spacing w:after="0"/>
        <w:tabs>
          <w:tab w:leader="none" w:pos="544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auto"/>
        </w:rPr>
        <w:t>Page 15</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ITEMS IMPACTING COMPARABILITY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0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2"/>
        </w:trPr>
        <w:tc>
          <w:tcPr>
            <w:tcW w:w="680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0"/>
                <w:szCs w:val="20"/>
                <w:b w:val="1"/>
                <w:bCs w:val="1"/>
                <w:color w:val="auto"/>
                <w:vertAlign w:val="superscript"/>
              </w:rPr>
              <w:t>(1) (2)</w:t>
            </w: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7"/>
        </w:trPr>
        <w:tc>
          <w:tcPr>
            <w:tcW w:w="6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0"/>
                <w:szCs w:val="20"/>
                <w:color w:val="auto"/>
                <w:vertAlign w:val="superscript"/>
              </w:rPr>
              <w:t>(3)</w:t>
            </w:r>
          </w:p>
        </w:tc>
        <w:tc>
          <w:tcPr>
            <w:tcW w:w="660" w:type="dxa"/>
            <w:vAlign w:val="bottom"/>
          </w:tcPr>
          <w:p>
            <w:pPr>
              <w:jc w:val="right"/>
              <w:ind w:right="48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660" w:type="dxa"/>
            <w:vAlign w:val="bottom"/>
          </w:tcPr>
          <w:p>
            <w:pPr>
              <w:jc w:val="right"/>
              <w:ind w:right="48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7"/>
                <w:szCs w:val="17"/>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7"/>
        </w:trPr>
        <w:tc>
          <w:tcPr>
            <w:tcW w:w="68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0"/>
                <w:szCs w:val="20"/>
                <w:color w:val="auto"/>
                <w:vertAlign w:val="superscript"/>
              </w:rPr>
              <w:t>(4)</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7"/>
        </w:trPr>
        <w:tc>
          <w:tcPr>
            <w:tcW w:w="6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0"/>
                <w:szCs w:val="20"/>
                <w:color w:val="auto"/>
                <w:vertAlign w:val="superscript"/>
              </w:rPr>
              <w:t>(5)</w:t>
            </w:r>
          </w:p>
        </w:tc>
        <w:tc>
          <w:tcPr>
            <w:tcW w:w="660" w:type="dxa"/>
            <w:vAlign w:val="bottom"/>
          </w:tcPr>
          <w:p>
            <w:pPr>
              <w:spacing w:after="0"/>
              <w:rPr>
                <w:sz w:val="17"/>
                <w:szCs w:val="17"/>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7"/>
        </w:trPr>
        <w:tc>
          <w:tcPr>
            <w:tcW w:w="68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Rail fleet amortization expense related to discontinued operations </w:t>
            </w:r>
            <w:r>
              <w:rPr>
                <w:rFonts w:ascii="Times New Roman" w:cs="Times New Roman" w:eastAsia="Times New Roman" w:hAnsi="Times New Roman"/>
                <w:sz w:val="20"/>
                <w:szCs w:val="20"/>
                <w:color w:val="auto"/>
                <w:vertAlign w:val="superscript"/>
              </w:rPr>
              <w:t>(6)</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0"/>
                <w:szCs w:val="20"/>
                <w:color w:val="auto"/>
                <w:vertAlign w:val="superscript"/>
              </w:rPr>
              <w:t>(7)</w:t>
            </w: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07"/>
        </w:trPr>
        <w:tc>
          <w:tcPr>
            <w:tcW w:w="68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0"/>
                <w:szCs w:val="20"/>
                <w:color w:val="auto"/>
                <w:vertAlign w:val="superscript"/>
              </w:rPr>
              <w:t>(8)</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6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Line 901 incident </w:t>
            </w:r>
            <w:r>
              <w:rPr>
                <w:rFonts w:ascii="Times New Roman" w:cs="Times New Roman" w:eastAsia="Times New Roman" w:hAnsi="Times New Roman"/>
                <w:sz w:val="20"/>
                <w:szCs w:val="20"/>
                <w:color w:val="auto"/>
                <w:vertAlign w:val="superscript"/>
              </w:rPr>
              <w:t>(9)</w:t>
            </w:r>
          </w:p>
        </w:tc>
        <w:tc>
          <w:tcPr>
            <w:tcW w:w="66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(225)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07"/>
        </w:trPr>
        <w:tc>
          <w:tcPr>
            <w:tcW w:w="68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Transaction-related expenses </w:t>
            </w:r>
            <w:r>
              <w:rPr>
                <w:rFonts w:ascii="Times New Roman" w:cs="Times New Roman" w:eastAsia="Times New Roman" w:hAnsi="Times New Roman"/>
                <w:sz w:val="20"/>
                <w:szCs w:val="20"/>
                <w:color w:val="auto"/>
                <w:vertAlign w:val="superscript"/>
              </w:rPr>
              <w:t>(10)</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6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660" w:type="dxa"/>
            <w:vAlign w:val="bottom"/>
            <w:tcBorders>
              <w:top w:val="single" w:sz="8" w:color="auto"/>
            </w:tcBorders>
          </w:tcPr>
          <w:p>
            <w:pPr>
              <w:jc w:val="right"/>
              <w:ind w:right="48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(180)</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68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Gains/(losses) on asset sales, asset impairments and other, net </w:t>
            </w:r>
            <w:r>
              <w:rPr>
                <w:rFonts w:ascii="Times New Roman" w:cs="Times New Roman" w:eastAsia="Times New Roman" w:hAnsi="Times New Roman"/>
                <w:sz w:val="20"/>
                <w:szCs w:val="20"/>
                <w:color w:val="auto"/>
                <w:vertAlign w:val="superscript"/>
              </w:rPr>
              <w:t>(11)</w:t>
            </w: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7"/>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4"/>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66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7"/>
        </w:trPr>
        <w:tc>
          <w:tcPr>
            <w:tcW w:w="68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660" w:type="dxa"/>
            <w:vAlign w:val="bottom"/>
            <w:tcBorders>
              <w:top w:val="single" w:sz="8" w:color="auto"/>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123" w:lineRule="exact"/>
        <w:rPr>
          <w:sz w:val="20"/>
          <w:szCs w:val="20"/>
          <w:color w:val="auto"/>
        </w:rPr>
      </w:pPr>
    </w:p>
    <w:p>
      <w:pPr>
        <w:ind w:left="320" w:hanging="317"/>
        <w:spacing w:after="0" w:line="224" w:lineRule="auto"/>
        <w:tabs>
          <w:tab w:leader="none" w:pos="30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23"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results from continuing operations and discontinued operations for all periods presented.</w:t>
      </w:r>
    </w:p>
    <w:p>
      <w:pPr>
        <w:spacing w:after="0" w:line="42" w:lineRule="exact"/>
        <w:rPr>
          <w:rFonts w:ascii="Times New Roman" w:cs="Times New Roman" w:eastAsia="Times New Roman" w:hAnsi="Times New Roman"/>
          <w:sz w:val="16"/>
          <w:szCs w:val="16"/>
          <w:color w:val="auto"/>
          <w:vertAlign w:val="superscript"/>
        </w:rPr>
      </w:pPr>
    </w:p>
    <w:p>
      <w:pPr>
        <w:ind w:left="320" w:right="20" w:hanging="317"/>
        <w:spacing w:after="0" w:line="239" w:lineRule="auto"/>
        <w:tabs>
          <w:tab w:leader="none" w:pos="30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47" w:lineRule="exact"/>
        <w:rPr>
          <w:rFonts w:ascii="Times New Roman" w:cs="Times New Roman" w:eastAsia="Times New Roman" w:hAnsi="Times New Roman"/>
          <w:sz w:val="16"/>
          <w:szCs w:val="16"/>
          <w:color w:val="auto"/>
          <w:vertAlign w:val="superscript"/>
        </w:rPr>
      </w:pPr>
    </w:p>
    <w:p>
      <w:pPr>
        <w:ind w:left="320" w:right="180" w:hanging="317"/>
        <w:spacing w:after="0"/>
        <w:tabs>
          <w:tab w:leader="none" w:pos="30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5" w:lineRule="exact"/>
        <w:rPr>
          <w:rFonts w:ascii="Times New Roman" w:cs="Times New Roman" w:eastAsia="Times New Roman" w:hAnsi="Times New Roman"/>
          <w:sz w:val="16"/>
          <w:szCs w:val="16"/>
          <w:color w:val="auto"/>
          <w:vertAlign w:val="superscript"/>
        </w:rPr>
      </w:pPr>
    </w:p>
    <w:p>
      <w:pPr>
        <w:ind w:left="320" w:right="40" w:hanging="317"/>
        <w:spacing w:after="0" w:line="248" w:lineRule="auto"/>
        <w:tabs>
          <w:tab w:leader="none" w:pos="30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81" w:lineRule="exact"/>
        <w:rPr>
          <w:rFonts w:ascii="Times New Roman" w:cs="Times New Roman" w:eastAsia="Times New Roman" w:hAnsi="Times New Roman"/>
          <w:sz w:val="16"/>
          <w:szCs w:val="16"/>
          <w:color w:val="auto"/>
          <w:vertAlign w:val="superscript"/>
        </w:rPr>
      </w:pPr>
    </w:p>
    <w:p>
      <w:pPr>
        <w:ind w:left="320" w:hanging="317"/>
        <w:spacing w:after="0"/>
        <w:tabs>
          <w:tab w:leader="none" w:pos="30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w:t>
      </w:r>
    </w:p>
    <w:p>
      <w:pPr>
        <w:spacing w:after="0" w:line="48" w:lineRule="exact"/>
        <w:rPr>
          <w:rFonts w:ascii="Times New Roman" w:cs="Times New Roman" w:eastAsia="Times New Roman" w:hAnsi="Times New Roman"/>
          <w:sz w:val="16"/>
          <w:szCs w:val="16"/>
          <w:color w:val="auto"/>
          <w:vertAlign w:val="superscript"/>
        </w:rPr>
      </w:pPr>
    </w:p>
    <w:p>
      <w:pPr>
        <w:ind w:left="320" w:right="40" w:hanging="317"/>
        <w:spacing w:after="0"/>
        <w:tabs>
          <w:tab w:leader="none" w:pos="30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5" w:lineRule="exact"/>
        <w:rPr>
          <w:rFonts w:ascii="Times New Roman" w:cs="Times New Roman" w:eastAsia="Times New Roman" w:hAnsi="Times New Roman"/>
          <w:sz w:val="16"/>
          <w:szCs w:val="16"/>
          <w:color w:val="auto"/>
          <w:vertAlign w:val="superscript"/>
        </w:rPr>
      </w:pPr>
    </w:p>
    <w:p>
      <w:pPr>
        <w:ind w:left="320" w:right="20" w:hanging="317"/>
        <w:spacing w:after="0" w:line="224" w:lineRule="auto"/>
        <w:tabs>
          <w:tab w:leader="none" w:pos="30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48" w:lineRule="exact"/>
        <w:rPr>
          <w:rFonts w:ascii="Times New Roman" w:cs="Times New Roman" w:eastAsia="Times New Roman" w:hAnsi="Times New Roman"/>
          <w:sz w:val="16"/>
          <w:szCs w:val="16"/>
          <w:color w:val="auto"/>
          <w:vertAlign w:val="superscript"/>
        </w:rPr>
      </w:pPr>
    </w:p>
    <w:p>
      <w:pPr>
        <w:ind w:left="320" w:right="180" w:hanging="317"/>
        <w:spacing w:after="0" w:line="224" w:lineRule="auto"/>
        <w:tabs>
          <w:tab w:leader="none" w:pos="30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costs recognized during the period related to the Line 901 incident that occurred in May 2015, net of amounts we believe are probable of recovery from insurance. For the 2024 periods, includes the write-off of a receivable for Line 901 insurance proceeds in the fourth quarter of 2024 and the impact of settlements in the third quarter of 2024.</w:t>
      </w:r>
    </w:p>
    <w:p>
      <w:pPr>
        <w:spacing w:after="0" w:line="10" w:lineRule="exact"/>
        <w:rPr>
          <w:rFonts w:ascii="Times New Roman" w:cs="Times New Roman" w:eastAsia="Times New Roman" w:hAnsi="Times New Roman"/>
          <w:sz w:val="16"/>
          <w:szCs w:val="16"/>
          <w:color w:val="auto"/>
          <w:vertAlign w:val="superscript"/>
        </w:rPr>
      </w:pPr>
    </w:p>
    <w:p>
      <w:pPr>
        <w:ind w:left="300" w:hanging="297"/>
        <w:spacing w:after="0"/>
        <w:tabs>
          <w:tab w:leader="none" w:pos="30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Primarily related to deal-specific costs incurred during the period.</w:t>
      </w:r>
    </w:p>
    <w:p>
      <w:pPr>
        <w:spacing w:after="0" w:line="55" w:lineRule="exact"/>
        <w:rPr>
          <w:rFonts w:ascii="Times New Roman" w:cs="Times New Roman" w:eastAsia="Times New Roman" w:hAnsi="Times New Roman"/>
          <w:sz w:val="16"/>
          <w:szCs w:val="16"/>
          <w:color w:val="auto"/>
          <w:vertAlign w:val="superscript"/>
        </w:rPr>
      </w:pPr>
    </w:p>
    <w:p>
      <w:pPr>
        <w:ind w:left="300" w:hanging="297"/>
        <w:spacing w:after="0" w:line="180" w:lineRule="auto"/>
        <w:tabs>
          <w:tab w:leader="none" w:pos="300"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For the 2024 periods, primarily includes non-cash charges related to the write-down of two U.S. NGL terminals.</w:t>
      </w:r>
    </w:p>
    <w:p>
      <w:pPr>
        <w:ind w:left="5440" w:hanging="93"/>
        <w:spacing w:after="0"/>
        <w:tabs>
          <w:tab w:leader="none" w:pos="54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auto"/>
        </w:rPr>
        <w:t>Page 16</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CRUDE OIL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5"/>
                <w:szCs w:val="15"/>
                <w:color w:val="auto"/>
              </w:rPr>
            </w:pPr>
          </w:p>
        </w:tc>
        <w:tc>
          <w:tcPr>
            <w:tcW w:w="230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7"/>
              </w:rPr>
              <w:t>Twelve Months Ended December 31,</w:t>
            </w:r>
          </w:p>
        </w:tc>
      </w:tr>
      <w:tr>
        <w:trPr>
          <w:trHeight w:val="23"/>
        </w:trPr>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1"/>
        </w:trPr>
        <w:tc>
          <w:tcPr>
            <w:tcW w:w="388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1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11,959</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48,720</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(45,033)</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 (3)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(4)</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r>
      <w:tr>
        <w:trPr>
          <w:trHeight w:val="155"/>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(5)</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 of unconsolidated entities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Deficiencies under minimum volume commitments, net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Equity-indexed compensation expense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0"/>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Line 901 incident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20"/>
        </w:trPr>
        <w:tc>
          <w:tcPr>
            <w:tcW w:w="6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Transaction-related expenses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180" w:type="dxa"/>
            <w:vAlign w:val="bottom"/>
            <w:tcBorders>
              <w:bottom w:val="single" w:sz="8" w:color="CCEEFF"/>
            </w:tcBorders>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Segment amounts attributable to noncontrolling interests </w:t>
            </w:r>
            <w:r>
              <w:rPr>
                <w:rFonts w:ascii="Times New Roman" w:cs="Times New Roman" w:eastAsia="Times New Roman" w:hAnsi="Times New Roman"/>
                <w:sz w:val="22"/>
                <w:szCs w:val="22"/>
                <w:color w:val="auto"/>
                <w:vertAlign w:val="superscript"/>
              </w:rPr>
              <w:t>(6)</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w:t>
            </w:r>
          </w:p>
        </w:tc>
      </w:tr>
      <w:tr>
        <w:trPr>
          <w:trHeight w:val="238"/>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Crude Oil Segment Adjusted EBITDA / Adjusted EBITDA from Crude Oil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5"/>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maintenance capital expenditures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121" w:lineRule="exact"/>
        <w:rPr>
          <w:sz w:val="20"/>
          <w:szCs w:val="20"/>
          <w:color w:val="auto"/>
        </w:rPr>
      </w:pPr>
    </w:p>
    <w:p>
      <w:pPr>
        <w:sectPr>
          <w:pgSz w:w="11900" w:h="16838" w:orient="portrait"/>
          <w:cols w:equalWidth="0" w:num="1">
            <w:col w:w="11240"/>
          </w:cols>
          <w:pgMar w:left="320" w:top="356" w:right="339" w:bottom="1440" w:gutter="0" w:footer="0" w:header="0"/>
        </w:sect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63" w:lineRule="exact"/>
        <w:rPr>
          <w:sz w:val="20"/>
          <w:szCs w:val="20"/>
          <w:color w:val="auto"/>
        </w:rPr>
      </w:pPr>
    </w:p>
    <w:p>
      <w:pPr>
        <w:sectPr>
          <w:pgSz w:w="11900" w:h="16838" w:orient="portrait"/>
          <w:cols w:equalWidth="0" w:num="2">
            <w:col w:w="140" w:space="160"/>
            <w:col w:w="10940"/>
          </w:cols>
          <w:pgMar w:left="320" w:top="356" w:right="339" w:bottom="1440" w:gutter="0" w:footer="0" w:header="0"/>
          <w:type w:val="continuous"/>
        </w:sectPr>
      </w:pPr>
    </w:p>
    <w:p>
      <w:pPr>
        <w:ind w:left="320" w:right="180" w:hanging="317"/>
        <w:spacing w:after="0" w:line="241"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Field operating costs for the three and twelve months ended December 31, 2024 include higher expenses related to (i) $225 million resulting from the write-off of a receivable for Line 901 insurance proceeds and (ii) an increase in estimated costs for long-term environmental remediation obligations. The twelve months ended December 31, 2024 also includes the impact of $120 million associated with settlements in the third quarter of 2024 related to the Line 901 incident that occurred in May 2015.</w:t>
      </w:r>
    </w:p>
    <w:p>
      <w:pPr>
        <w:spacing w:after="0" w:line="35" w:lineRule="exact"/>
        <w:rPr>
          <w:rFonts w:ascii="Times New Roman" w:cs="Times New Roman" w:eastAsia="Times New Roman" w:hAnsi="Times New Roman"/>
          <w:sz w:val="22"/>
          <w:szCs w:val="22"/>
          <w:color w:val="auto"/>
          <w:vertAlign w:val="superscript"/>
        </w:rPr>
      </w:pPr>
    </w:p>
    <w:p>
      <w:pPr>
        <w:ind w:left="320" w:right="580" w:hanging="317"/>
        <w:spacing w:after="0" w:line="230"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5" w:lineRule="exact"/>
        <w:rPr>
          <w:rFonts w:ascii="Times New Roman" w:cs="Times New Roman" w:eastAsia="Times New Roman" w:hAnsi="Times New Roman"/>
          <w:sz w:val="22"/>
          <w:szCs w:val="22"/>
          <w:color w:val="auto"/>
          <w:vertAlign w:val="superscript"/>
        </w:rPr>
      </w:pPr>
    </w:p>
    <w:p>
      <w:pPr>
        <w:jc w:val="both"/>
        <w:ind w:left="320" w:right="180" w:hanging="317"/>
        <w:spacing w:after="0" w:line="237" w:lineRule="auto"/>
        <w:tabs>
          <w:tab w:leader="none" w:pos="3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209" w:lineRule="auto"/>
        <w:tabs>
          <w:tab w:leader="none" w:pos="30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Reflects amounts attributable to noncontrolling interests in the Permian JV, Cactus II Pipeline LLC and Red River Pipeline LLC.</w:t>
      </w:r>
    </w:p>
    <w:p>
      <w:pPr>
        <w:ind w:left="5440" w:hanging="93"/>
        <w:spacing w:after="0"/>
        <w:tabs>
          <w:tab w:leader="none" w:pos="54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auto"/>
        </w:rPr>
        <w:t>Page 17</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SELECTED FINANCIAL DATA BY NGL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64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5"/>
                <w:szCs w:val="15"/>
                <w:color w:val="auto"/>
              </w:rPr>
            </w:pPr>
          </w:p>
        </w:tc>
        <w:tc>
          <w:tcPr>
            <w:tcW w:w="230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7"/>
              </w:rPr>
              <w:t>Twelve Months Ended December 31,</w:t>
            </w:r>
          </w:p>
        </w:tc>
      </w:tr>
      <w:tr>
        <w:trPr>
          <w:trHeight w:val="23"/>
        </w:trPr>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1"/>
        </w:trPr>
        <w:tc>
          <w:tcPr>
            <w:tcW w:w="388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180" w:type="dxa"/>
            <w:vAlign w:val="bottom"/>
            <w:gridSpan w:val="2"/>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Revenues </w:t>
            </w:r>
            <w:r>
              <w:rPr>
                <w:rFonts w:ascii="Times New Roman" w:cs="Times New Roman" w:eastAsia="Times New Roman" w:hAnsi="Times New Roman"/>
                <w:sz w:val="22"/>
                <w:szCs w:val="22"/>
                <w:color w:val="auto"/>
                <w:vertAlign w:val="superscript"/>
              </w:rPr>
              <w:t>(1)</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20"/>
        </w:trPr>
        <w:tc>
          <w:tcPr>
            <w:tcW w:w="61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Purchases and related costs </w:t>
            </w:r>
            <w:r>
              <w:rPr>
                <w:rFonts w:ascii="Times New Roman" w:cs="Times New Roman" w:eastAsia="Times New Roman" w:hAnsi="Times New Roman"/>
                <w:sz w:val="22"/>
                <w:szCs w:val="22"/>
                <w:color w:val="auto"/>
                <w:vertAlign w:val="superscript"/>
              </w:rPr>
              <w:t>(1)</w:t>
            </w: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Field operating costs </w:t>
            </w:r>
            <w:r>
              <w:rPr>
                <w:rFonts w:ascii="Times New Roman" w:cs="Times New Roman" w:eastAsia="Times New Roman" w:hAnsi="Times New Roman"/>
                <w:sz w:val="22"/>
                <w:szCs w:val="22"/>
                <w:color w:val="auto"/>
                <w:vertAlign w:val="superscript"/>
              </w:rPr>
              <w:t>(2)</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Segment general and administrative expenses </w:t>
            </w:r>
            <w:r>
              <w:rPr>
                <w:rFonts w:ascii="Times New Roman" w:cs="Times New Roman" w:eastAsia="Times New Roman" w:hAnsi="Times New Roman"/>
                <w:sz w:val="22"/>
                <w:szCs w:val="22"/>
                <w:color w:val="auto"/>
                <w:vertAlign w:val="superscript"/>
              </w:rPr>
              <w:t>(2) (3)</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3"/>
        </w:trPr>
        <w:tc>
          <w:tcPr>
            <w:tcW w:w="618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NGL Segment Adjusted EBITDA </w:t>
            </w:r>
            <w:r>
              <w:rPr>
                <w:rFonts w:ascii="Times New Roman" w:cs="Times New Roman" w:eastAsia="Times New Roman" w:hAnsi="Times New Roman"/>
                <w:sz w:val="22"/>
                <w:szCs w:val="22"/>
                <w:color w:val="auto"/>
                <w:vertAlign w:val="superscript"/>
              </w:rPr>
              <w:t>(4)</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6180" w:type="dxa"/>
            <w:vAlign w:val="bottom"/>
            <w:tcBorders>
              <w:bottom w:val="single" w:sz="8" w:color="CCEEFF"/>
            </w:tcBorders>
            <w:gridSpan w:val="2"/>
          </w:tcPr>
          <w:p>
            <w:pPr>
              <w:ind w:left="18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from NGL Discontinued Operations </w:t>
            </w:r>
            <w:r>
              <w:rPr>
                <w:rFonts w:ascii="Times New Roman" w:cs="Times New Roman" w:eastAsia="Times New Roman" w:hAnsi="Times New Roman"/>
                <w:sz w:val="22"/>
                <w:szCs w:val="22"/>
                <w:color w:val="auto"/>
                <w:vertAlign w:val="superscript"/>
              </w:rPr>
              <w:t>(5)</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from NGL</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0"/>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 from NGL continuing operations</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6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Maintenance capital expenditures from NGL discontinued operations</w:t>
            </w: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38"/>
        </w:trPr>
        <w:tc>
          <w:tcPr>
            <w:tcW w:w="61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NGL maintenance capital expenditures</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96" w:lineRule="exact"/>
        <w:rPr>
          <w:sz w:val="20"/>
          <w:szCs w:val="20"/>
          <w:color w:val="auto"/>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intersegment amounts.</w:t>
      </w:r>
    </w:p>
    <w:p>
      <w:pPr>
        <w:spacing w:after="0" w:line="52" w:lineRule="exact"/>
        <w:rPr>
          <w:rFonts w:ascii="Times New Roman" w:cs="Times New Roman" w:eastAsia="Times New Roman" w:hAnsi="Times New Roman"/>
          <w:sz w:val="22"/>
          <w:szCs w:val="22"/>
          <w:color w:val="auto"/>
          <w:vertAlign w:val="superscript"/>
        </w:rPr>
      </w:pPr>
    </w:p>
    <w:p>
      <w:pPr>
        <w:ind w:left="320" w:right="140" w:hanging="317"/>
        <w:spacing w:after="0" w:line="220"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Field operating costs and Segment general and administrative expenses include certain costs that are part of the overhead of continuing operations, including information technology, insurance and other shared services costs.</w:t>
      </w:r>
    </w:p>
    <w:p>
      <w:pPr>
        <w:spacing w:after="0" w:line="36" w:lineRule="exact"/>
        <w:rPr>
          <w:rFonts w:ascii="Times New Roman" w:cs="Times New Roman" w:eastAsia="Times New Roman" w:hAnsi="Times New Roman"/>
          <w:sz w:val="22"/>
          <w:szCs w:val="22"/>
          <w:color w:val="auto"/>
          <w:vertAlign w:val="superscript"/>
        </w:rPr>
      </w:pPr>
    </w:p>
    <w:p>
      <w:pPr>
        <w:ind w:left="320" w:right="580" w:hanging="317"/>
        <w:spacing w:after="0" w:line="230"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5"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results from continuing operations and excludes amounts related to discontinued operations for all periods presented.</w:t>
      </w:r>
    </w:p>
    <w:p>
      <w:pPr>
        <w:spacing w:after="0" w:line="52" w:lineRule="exact"/>
        <w:rPr>
          <w:rFonts w:ascii="Times New Roman" w:cs="Times New Roman" w:eastAsia="Times New Roman" w:hAnsi="Times New Roman"/>
          <w:sz w:val="22"/>
          <w:szCs w:val="22"/>
          <w:color w:val="auto"/>
          <w:vertAlign w:val="superscript"/>
        </w:rPr>
      </w:pPr>
    </w:p>
    <w:p>
      <w:pPr>
        <w:ind w:left="320" w:right="420" w:hanging="317"/>
        <w:spacing w:after="0" w:line="220" w:lineRule="auto"/>
        <w:tabs>
          <w:tab w:leader="none" w:pos="3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“Reconciliation of Adjusted EBITDA from NGL Discontinued Operations” table for a reconciliation to the most directly comparable measure as reported in accordance with GAAP.</w:t>
      </w:r>
    </w:p>
    <w:p>
      <w:pPr>
        <w:spacing w:after="0" w:line="178"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auto"/>
        </w:rPr>
        <w:t>Page 18</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DISCONTINUED OPERATIONS DETAIL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Income from Discontinued Operations, Net of Tax:</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 w:type="dxa"/>
            <w:vAlign w:val="bottom"/>
          </w:tcPr>
          <w:p>
            <w:pPr>
              <w:spacing w:after="0"/>
              <w:rPr>
                <w:sz w:val="15"/>
                <w:szCs w:val="15"/>
                <w:color w:val="auto"/>
              </w:rPr>
            </w:pPr>
          </w:p>
        </w:tc>
        <w:tc>
          <w:tcPr>
            <w:tcW w:w="2480" w:type="dxa"/>
            <w:vAlign w:val="bottom"/>
            <w:gridSpan w:val="10"/>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23"/>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and Expenses: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Field operating costs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Losses on asset sales, net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 before tax</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Adjusted EBITDA from NGL Discontinued Operations: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6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Three Months Ended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Twelve Months Ended December 31,</w:t>
            </w:r>
          </w:p>
        </w:tc>
        <w:tc>
          <w:tcPr>
            <w:tcW w:w="0" w:type="dxa"/>
            <w:vAlign w:val="bottom"/>
          </w:tcPr>
          <w:p>
            <w:pPr>
              <w:spacing w:after="0"/>
              <w:rPr>
                <w:sz w:val="1"/>
                <w:szCs w:val="1"/>
                <w:color w:val="auto"/>
              </w:rPr>
            </w:pPr>
          </w:p>
        </w:tc>
      </w:tr>
      <w:tr>
        <w:trPr>
          <w:trHeight w:val="23"/>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80" w:type="dxa"/>
            <w:vAlign w:val="bottom"/>
            <w:tcBorders>
              <w:bottom w:val="single" w:sz="8" w:color="CCEEFF"/>
            </w:tcBorders>
          </w:tcPr>
          <w:p>
            <w:pPr>
              <w:spacing w:after="0"/>
              <w:rPr>
                <w:sz w:val="15"/>
                <w:szCs w:val="15"/>
                <w:color w:val="auto"/>
              </w:rPr>
            </w:pPr>
          </w:p>
        </w:tc>
        <w:tc>
          <w:tcPr>
            <w:tcW w:w="2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discontinued operations, net of tax</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tax expense from discontinued operations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from discontinued operations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net from discontinued operations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Losses on asset sales, net from discontinued operations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attributable to discontinued operations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Derivative activities and inventory valuation adjustments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Long-term inventory costing adjustments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Rail fleet amortization expense related to discontinued operations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6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Foreign currency revaluation</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EBITDA from NGL Discontinued Operations</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503</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“Selected Items Impacting Comparability” table for additional information.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Capital from NGL Discontinued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8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5"/>
                <w:szCs w:val="15"/>
                <w:color w:val="auto"/>
              </w:rPr>
            </w:pPr>
          </w:p>
        </w:tc>
        <w:tc>
          <w:tcPr>
            <w:tcW w:w="2260" w:type="dxa"/>
            <w:vAlign w:val="bottom"/>
            <w:gridSpan w:val="4"/>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7"/>
              </w:rPr>
              <w:t>Twelve Months Ended December 31,</w:t>
            </w:r>
          </w:p>
        </w:tc>
      </w:tr>
      <w:tr>
        <w:trPr>
          <w:trHeight w:val="23"/>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NGL investment capital expenditures from discontinued operations</w:t>
            </w:r>
          </w:p>
        </w:tc>
        <w:tc>
          <w:tcPr>
            <w:tcW w:w="1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59"/>
        </w:trPr>
        <w:tc>
          <w:tcPr>
            <w:tcW w:w="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460" w:type="dxa"/>
            <w:vAlign w:val="bottom"/>
            <w:gridSpan w:val="2"/>
          </w:tcPr>
          <w:p>
            <w:pPr>
              <w:jc w:val="center"/>
              <w:ind w:right="625"/>
              <w:spacing w:after="0"/>
              <w:rPr>
                <w:sz w:val="20"/>
                <w:szCs w:val="20"/>
                <w:color w:val="auto"/>
              </w:rPr>
            </w:pPr>
            <w:r>
              <w:rPr>
                <w:rFonts w:ascii="Times New Roman" w:cs="Times New Roman" w:eastAsia="Times New Roman" w:hAnsi="Times New Roman"/>
                <w:sz w:val="17"/>
                <w:szCs w:val="17"/>
                <w:color w:val="auto"/>
              </w:rPr>
              <w:t>- more -</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129"/>
        </w:trPr>
        <w:tc>
          <w:tcPr>
            <w:tcW w:w="20" w:type="dxa"/>
            <w:vAlign w:val="bottom"/>
          </w:tcPr>
          <w:p>
            <w:pPr>
              <w:spacing w:after="0"/>
              <w:rPr>
                <w:sz w:val="11"/>
                <w:szCs w:val="11"/>
                <w:color w:val="auto"/>
              </w:rPr>
            </w:pPr>
          </w:p>
        </w:tc>
        <w:tc>
          <w:tcPr>
            <w:tcW w:w="47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2"/>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7"/>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r>
      <w:tr>
        <w:trPr>
          <w:trHeight w:val="316"/>
        </w:trPr>
        <w:tc>
          <w:tcPr>
            <w:tcW w:w="20" w:type="dxa"/>
            <w:vAlign w:val="bottom"/>
          </w:tcPr>
          <w:p>
            <w:pPr>
              <w:spacing w:after="0"/>
              <w:rPr>
                <w:sz w:val="24"/>
                <w:szCs w:val="24"/>
                <w:color w:val="auto"/>
              </w:rPr>
            </w:pPr>
          </w:p>
        </w:tc>
        <w:tc>
          <w:tcPr>
            <w:tcW w:w="4720" w:type="dxa"/>
            <w:vAlign w:val="bottom"/>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2460" w:type="dxa"/>
            <w:vAlign w:val="bottom"/>
            <w:gridSpan w:val="2"/>
          </w:tcPr>
          <w:p>
            <w:pPr>
              <w:jc w:val="center"/>
              <w:ind w:right="645"/>
              <w:spacing w:after="0"/>
              <w:rPr>
                <w:sz w:val="20"/>
                <w:szCs w:val="20"/>
                <w:color w:val="auto"/>
              </w:rPr>
            </w:pPr>
            <w:r>
              <w:rPr>
                <w:rFonts w:ascii="Times New Roman" w:cs="Times New Roman" w:eastAsia="Times New Roman" w:hAnsi="Times New Roman"/>
                <w:sz w:val="17"/>
                <w:szCs w:val="17"/>
                <w:b w:val="1"/>
                <w:bCs w:val="1"/>
                <w:color w:val="auto"/>
                <w:w w:val="99"/>
              </w:rPr>
              <w:t>Houston, Texas 77002</w:t>
            </w:r>
          </w:p>
        </w:tc>
        <w:tc>
          <w:tcPr>
            <w:tcW w:w="280" w:type="dxa"/>
            <w:vAlign w:val="bottom"/>
          </w:tcPr>
          <w:p>
            <w:pPr>
              <w:spacing w:after="0"/>
              <w:rPr>
                <w:sz w:val="24"/>
                <w:szCs w:val="24"/>
                <w:color w:val="auto"/>
              </w:rPr>
            </w:pPr>
          </w:p>
        </w:tc>
        <w:tc>
          <w:tcPr>
            <w:tcW w:w="2520" w:type="dxa"/>
            <w:vAlign w:val="bottom"/>
            <w:gridSpan w:val="7"/>
          </w:tcPr>
          <w:p>
            <w:pPr>
              <w:jc w:val="right"/>
              <w:ind w:right="345"/>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40"/>
          </w:cols>
          <w:pgMar w:left="320" w:top="3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auto"/>
        </w:rPr>
        <w:t>Page 19</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OPERATING DATA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22"/>
          <w:szCs w:val="22"/>
          <w:b w:val="1"/>
          <w:bCs w:val="1"/>
          <w:color w:val="auto"/>
          <w:vertAlign w:val="superscript"/>
        </w:rPr>
        <w:t>(1)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5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Twelve Months Ended</w:t>
            </w:r>
          </w:p>
        </w:tc>
      </w:tr>
      <w:tr>
        <w:trPr>
          <w:trHeight w:val="188"/>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Crude Oil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Crude oil pipeline tariff (by region)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Permian Basin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6,731</w:t>
            </w:r>
          </w:p>
        </w:tc>
      </w:tr>
      <w:tr>
        <w:trPr>
          <w:trHeight w:val="220"/>
        </w:trPr>
        <w:tc>
          <w:tcPr>
            <w:tcW w:w="6280" w:type="dxa"/>
            <w:vAlign w:val="bottom"/>
            <w:gridSpan w:val="2"/>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South Texas / Eagle Ford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Mid-Continent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r>
      <w:tr>
        <w:trPr>
          <w:trHeight w:val="220"/>
        </w:trPr>
        <w:tc>
          <w:tcPr>
            <w:tcW w:w="6280" w:type="dxa"/>
            <w:vAlign w:val="bottom"/>
            <w:gridSpan w:val="2"/>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Gulf Coast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Times New Roman" w:cs="Times New Roman" w:eastAsia="Times New Roman" w:hAnsi="Times New Roman"/>
                <w:sz w:val="17"/>
                <w:szCs w:val="17"/>
                <w:color w:val="auto"/>
              </w:rPr>
              <w:t xml:space="preserve">Rocky Mountain </w:t>
            </w:r>
            <w:r>
              <w:rPr>
                <w:rFonts w:ascii="Times New Roman" w:cs="Times New Roman" w:eastAsia="Times New Roman" w:hAnsi="Times New Roman"/>
                <w:sz w:val="22"/>
                <w:szCs w:val="22"/>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r>
      <w:tr>
        <w:trPr>
          <w:trHeight w:val="220"/>
        </w:trPr>
        <w:tc>
          <w:tcPr>
            <w:tcW w:w="62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Western</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20"/>
        </w:trPr>
        <w:tc>
          <w:tcPr>
            <w:tcW w:w="6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w:t>
            </w:r>
          </w:p>
        </w:tc>
      </w:tr>
      <w:tr>
        <w:trPr>
          <w:trHeight w:val="213"/>
        </w:trPr>
        <w:tc>
          <w:tcPr>
            <w:tcW w:w="6280" w:type="dxa"/>
            <w:vAlign w:val="bottom"/>
            <w:gridSpan w:val="2"/>
          </w:tcPr>
          <w:p>
            <w:pPr>
              <w:ind w:left="120"/>
              <w:spacing w:after="0" w:line="212" w:lineRule="exact"/>
              <w:rPr>
                <w:sz w:val="20"/>
                <w:szCs w:val="20"/>
                <w:color w:val="auto"/>
              </w:rPr>
            </w:pPr>
            <w:r>
              <w:rPr>
                <w:rFonts w:ascii="Times New Roman" w:cs="Times New Roman" w:eastAsia="Times New Roman" w:hAnsi="Times New Roman"/>
                <w:sz w:val="17"/>
                <w:szCs w:val="17"/>
                <w:color w:val="auto"/>
              </w:rPr>
              <w:t xml:space="preserve">Total crude oil pipeline tariff </w:t>
            </w:r>
            <w:r>
              <w:rPr>
                <w:rFonts w:ascii="Times New Roman" w:cs="Times New Roman" w:eastAsia="Times New Roman" w:hAnsi="Times New Roman"/>
                <w:sz w:val="22"/>
                <w:szCs w:val="22"/>
                <w:color w:val="auto"/>
                <w:vertAlign w:val="superscript"/>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9,028</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8,934</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b w:val="1"/>
                <w:bCs w:val="1"/>
                <w:color w:val="auto"/>
              </w:rPr>
              <w:t xml:space="preserve">NGL Volumes </w:t>
            </w:r>
            <w:r>
              <w:rPr>
                <w:rFonts w:ascii="Times New Roman" w:cs="Times New Roman" w:eastAsia="Times New Roman" w:hAnsi="Times New Roman"/>
                <w:sz w:val="22"/>
                <w:szCs w:val="22"/>
                <w:b w:val="1"/>
                <w:bCs w:val="1"/>
                <w:color w:val="auto"/>
                <w:vertAlign w:val="superscript"/>
              </w:rPr>
              <w:t>(3)</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NGL fractionation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20"/>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NGL pipeline tariff</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r>
      <w:tr>
        <w:trPr>
          <w:trHeight w:val="220"/>
        </w:trPr>
        <w:tc>
          <w:tcPr>
            <w:tcW w:w="6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Propane and butane sales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26" w:lineRule="exact"/>
        <w:rPr>
          <w:sz w:val="20"/>
          <w:szCs w:val="20"/>
          <w:color w:val="auto"/>
        </w:rPr>
      </w:pPr>
    </w:p>
    <w:p>
      <w:pPr>
        <w:ind w:left="320" w:right="320" w:hanging="317"/>
        <w:spacing w:after="0" w:line="237" w:lineRule="auto"/>
        <w:tabs>
          <w:tab w:leader="none" w:pos="3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volumes (attributable to our interest) from assets owned by unconsolidated entities.</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84" w:lineRule="auto"/>
        <w:tabs>
          <w:tab w:leader="none" w:pos="30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volumes from assets associated with continuing operations and discontinued operations.</w:t>
      </w:r>
    </w:p>
    <w:p>
      <w:pPr>
        <w:ind w:left="5440" w:hanging="93"/>
        <w:spacing w:after="0"/>
        <w:tabs>
          <w:tab w:leader="none" w:pos="54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auto"/>
        </w:rPr>
        <w:t>Page 20</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ALL AMERICAN PIPELINE, L.P.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SUPPLEMENTAL NON-GAAP RECONCILIATIONS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Adjusted EBITDA attributable to PAA Reconciliation: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186"/>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Crude Oil Segment Adjusted EBITDA</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w:t>
            </w:r>
          </w:p>
        </w:tc>
      </w:tr>
      <w:tr>
        <w:trPr>
          <w:trHeight w:val="22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NGL Segment Adjusted EBITDA</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0"/>
        </w:trPr>
        <w:tc>
          <w:tcPr>
            <w:tcW w:w="6180" w:type="dxa"/>
            <w:vAlign w:val="bottom"/>
            <w:gridSpan w:val="2"/>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EBITDA from NGL Discontinued Operations </w:t>
            </w:r>
            <w:r>
              <w:rPr>
                <w:rFonts w:ascii="Times New Roman" w:cs="Times New Roman" w:eastAsia="Times New Roman" w:hAnsi="Times New Roman"/>
                <w:sz w:val="22"/>
                <w:szCs w:val="22"/>
                <w:color w:val="auto"/>
                <w:vertAlign w:val="superscript"/>
              </w:rPr>
              <w:t>(1)</w:t>
            </w: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Adjusted other income, net </w:t>
            </w:r>
            <w:r>
              <w:rPr>
                <w:rFonts w:ascii="Times New Roman" w:cs="Times New Roman" w:eastAsia="Times New Roman" w:hAnsi="Times New Roman"/>
                <w:sz w:val="22"/>
                <w:szCs w:val="22"/>
                <w:color w:val="auto"/>
                <w:vertAlign w:val="superscript"/>
              </w:rPr>
              <w:t>(2)</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8"/>
        </w:trPr>
        <w:tc>
          <w:tcPr>
            <w:tcW w:w="6180" w:type="dxa"/>
            <w:vAlign w:val="bottom"/>
            <w:tcBorders>
              <w:bottom w:val="single" w:sz="8" w:color="CCEEFF"/>
            </w:tcBorders>
            <w:gridSpan w:val="2"/>
            <w:shd w:val="clear" w:color="auto" w:fill="CCEEFF"/>
          </w:tcPr>
          <w:p>
            <w:pPr>
              <w:ind w:left="220"/>
              <w:spacing w:after="0" w:line="212" w:lineRule="exact"/>
              <w:rPr>
                <w:sz w:val="20"/>
                <w:szCs w:val="20"/>
                <w:color w:val="auto"/>
              </w:rPr>
            </w:pPr>
            <w:r>
              <w:rPr>
                <w:rFonts w:ascii="Times New Roman" w:cs="Times New Roman" w:eastAsia="Times New Roman" w:hAnsi="Times New Roman"/>
                <w:sz w:val="17"/>
                <w:szCs w:val="17"/>
                <w:color w:val="auto"/>
              </w:rPr>
              <w:t xml:space="preserve">Adjusted EBITDA attributable to PAA </w:t>
            </w:r>
            <w:r>
              <w:rPr>
                <w:rFonts w:ascii="Times New Roman" w:cs="Times New Roman" w:eastAsia="Times New Roman" w:hAnsi="Times New Roman"/>
                <w:sz w:val="22"/>
                <w:szCs w:val="22"/>
                <w:color w:val="auto"/>
                <w:vertAlign w:val="superscript"/>
              </w:rPr>
              <w:t>(3)</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13" w:lineRule="exact"/>
        <w:rPr>
          <w:sz w:val="20"/>
          <w:szCs w:val="20"/>
          <w:color w:val="auto"/>
        </w:rPr>
      </w:pPr>
    </w:p>
    <w:p>
      <w:pPr>
        <w:ind w:left="320" w:right="380" w:hanging="317"/>
        <w:spacing w:after="0" w:line="230" w:lineRule="auto"/>
        <w:tabs>
          <w:tab w:leader="none" w:pos="308"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“Reconciliation of Adjusted EBITDA from NGL Discontinued Operations” table for a reconciliation to the most directly comparable measure as reported in accordance with GAAP.</w:t>
      </w:r>
    </w:p>
    <w:p>
      <w:pPr>
        <w:spacing w:after="0" w:line="35" w:lineRule="exact"/>
        <w:rPr>
          <w:rFonts w:ascii="Times New Roman" w:cs="Times New Roman" w:eastAsia="Times New Roman" w:hAnsi="Times New Roman"/>
          <w:sz w:val="22"/>
          <w:szCs w:val="22"/>
          <w:color w:val="auto"/>
          <w:vertAlign w:val="superscript"/>
        </w:rPr>
      </w:pPr>
    </w:p>
    <w:p>
      <w:pPr>
        <w:ind w:left="320" w:hanging="317"/>
        <w:spacing w:after="0" w:line="237" w:lineRule="auto"/>
        <w:tabs>
          <w:tab w:leader="none" w:pos="308"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“Other income, net” as reported on our Condensed Consolidated Statements of Operations, excluding interest income on promissory notes by and among certain Plains entities, as well as other income, net attributable to noncontrolling interests, adjusted for selected items impacting comparability. See the “Selected Items Impacting Comparability” table for additional information.</w:t>
      </w:r>
    </w:p>
    <w:p>
      <w:pPr>
        <w:spacing w:after="0" w:line="6" w:lineRule="exact"/>
        <w:rPr>
          <w:rFonts w:ascii="Times New Roman" w:cs="Times New Roman" w:eastAsia="Times New Roman" w:hAnsi="Times New Roman"/>
          <w:sz w:val="22"/>
          <w:szCs w:val="22"/>
          <w:color w:val="auto"/>
          <w:vertAlign w:val="superscript"/>
        </w:rPr>
      </w:pPr>
    </w:p>
    <w:p>
      <w:pPr>
        <w:ind w:left="300" w:hanging="297"/>
        <w:spacing w:after="0"/>
        <w:tabs>
          <w:tab w:leader="none" w:pos="3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“Net Income to Adjusted EBITDA attributable to PAA and Implied DCF Reconciliation” table for reconciliation to Net Income.</w:t>
      </w:r>
    </w:p>
    <w:p>
      <w:pPr>
        <w:spacing w:after="0" w:line="78" w:lineRule="exact"/>
        <w:rPr>
          <w:rFonts w:ascii="Times New Roman" w:cs="Times New Roman" w:eastAsia="Times New Roman" w:hAnsi="Times New Roman"/>
          <w:sz w:val="22"/>
          <w:szCs w:val="22"/>
          <w:color w:val="auto"/>
          <w:vertAlign w:val="superscript"/>
        </w:rPr>
      </w:pPr>
    </w:p>
    <w:p>
      <w:pPr>
        <w:ind w:left="5440" w:hanging="93"/>
        <w:spacing w:after="0"/>
        <w:tabs>
          <w:tab w:leader="none" w:pos="54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00"/>
          </w:cols>
          <w:pgMar w:left="320" w:top="356"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auto"/>
        </w:rPr>
        <w:t>Page 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December 31, 2025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December 31, 2024</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Consolidating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0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12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0" w:type="dxa"/>
            <w:vAlign w:val="bottom"/>
          </w:tcPr>
          <w:p>
            <w:pPr>
              <w:spacing w:after="0"/>
              <w:rPr>
                <w:sz w:val="1"/>
                <w:szCs w:val="1"/>
                <w:color w:val="auto"/>
              </w:rPr>
            </w:pPr>
          </w:p>
        </w:tc>
      </w:tr>
      <w:tr>
        <w:trPr>
          <w:trHeight w:val="205"/>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0" w:type="dxa"/>
            <w:vAlign w:val="bottom"/>
          </w:tcPr>
          <w:p>
            <w:pPr>
              <w:spacing w:after="0"/>
              <w:rPr>
                <w:sz w:val="1"/>
                <w:szCs w:val="1"/>
                <w:color w:val="auto"/>
              </w:rPr>
            </w:pP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asset sales, asset impairments and other, net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197"/>
        </w:trPr>
        <w:tc>
          <w:tcPr>
            <w:tcW w:w="3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12,052</w:t>
            </w:r>
          </w:p>
        </w:tc>
        <w:tc>
          <w:tcPr>
            <w:tcW w:w="0" w:type="dxa"/>
            <w:vAlign w:val="bottom"/>
          </w:tcPr>
          <w:p>
            <w:pPr>
              <w:spacing w:after="0"/>
              <w:rPr>
                <w:sz w:val="1"/>
                <w:szCs w:val="1"/>
                <w:color w:val="auto"/>
              </w:rPr>
            </w:pPr>
          </w:p>
        </w:tc>
      </w:tr>
      <w:tr>
        <w:trPr>
          <w:trHeight w:val="106"/>
        </w:trPr>
        <w:tc>
          <w:tcPr>
            <w:tcW w:w="3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INCOME/(LOSS)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05"/>
        </w:trPr>
        <w:tc>
          <w:tcPr>
            <w:tcW w:w="38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38"/>
        </w:trPr>
        <w:tc>
          <w:tcPr>
            <w:tcW w:w="38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INCOME FROM CONTINUING OPERATIONS</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840" w:type="dxa"/>
            <w:vAlign w:val="bottom"/>
          </w:tcPr>
          <w:p>
            <w:pPr>
              <w:ind w:left="20"/>
              <w:spacing w:after="0" w:line="156" w:lineRule="exact"/>
              <w:rPr>
                <w:sz w:val="20"/>
                <w:szCs w:val="20"/>
                <w:color w:val="auto"/>
              </w:rPr>
            </w:pPr>
            <w:r>
              <w:rPr>
                <w:rFonts w:ascii="Times New Roman" w:cs="Times New Roman" w:eastAsia="Times New Roman" w:hAnsi="Times New Roman"/>
                <w:sz w:val="16"/>
                <w:szCs w:val="16"/>
                <w:color w:val="auto"/>
              </w:rPr>
              <w:t>Current income tax benefit/(expense) from continuing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35"/>
        </w:trPr>
        <w:tc>
          <w:tcPr>
            <w:tcW w:w="38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FROM CONTINUING OPERATIONS, NET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5"/>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8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2"/>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ATTRIBUTABLE TO PAGP</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right w:val="single" w:sz="8" w:color="auto"/>
            </w:tcBorders>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Basic and diluted net income/(loss)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4"/>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income/(loss) per Class A share</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8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87" w:lineRule="auto"/>
        <w:tabs>
          <w:tab w:leader="none" w:pos="300"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“Computation of Basic and Diluted Net Income/(Loss) Per Class A Share” table for additional information.</w:t>
      </w:r>
    </w:p>
    <w:p>
      <w:pPr>
        <w:ind w:left="5440" w:hanging="93"/>
        <w:spacing w:after="0"/>
        <w:tabs>
          <w:tab w:leader="none" w:pos="54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60"/>
          </w:cols>
          <w:pgMar w:left="320" w:top="356"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Page 22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Consolidating</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0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44,262</w:t>
            </w:r>
          </w:p>
        </w:tc>
        <w:tc>
          <w:tcPr>
            <w:tcW w:w="12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48,889</w:t>
            </w:r>
          </w:p>
        </w:tc>
        <w:tc>
          <w:tcPr>
            <w:tcW w:w="0" w:type="dxa"/>
            <w:vAlign w:val="bottom"/>
          </w:tcPr>
          <w:p>
            <w:pPr>
              <w:spacing w:after="0"/>
              <w:rPr>
                <w:sz w:val="1"/>
                <w:szCs w:val="1"/>
                <w:color w:val="auto"/>
              </w:rPr>
            </w:pPr>
          </w:p>
        </w:tc>
      </w:tr>
      <w:tr>
        <w:trPr>
          <w:trHeight w:val="20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40,433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45,162</w:t>
            </w:r>
          </w:p>
        </w:tc>
        <w:tc>
          <w:tcPr>
            <w:tcW w:w="0" w:type="dxa"/>
            <w:vAlign w:val="bottom"/>
          </w:tcPr>
          <w:p>
            <w:pPr>
              <w:spacing w:after="0"/>
              <w:rPr>
                <w:sz w:val="1"/>
                <w:szCs w:val="1"/>
                <w:color w:val="auto"/>
              </w:rPr>
            </w:pPr>
          </w:p>
        </w:tc>
      </w:tr>
      <w:tr>
        <w:trPr>
          <w:trHeight w:val="20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(Gains)/losses on asset sales, asset impairments and other, net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97"/>
        </w:trPr>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42,828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42,834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48,027</w:t>
            </w:r>
          </w:p>
        </w:tc>
        <w:tc>
          <w:tcPr>
            <w:tcW w:w="0" w:type="dxa"/>
            <w:vAlign w:val="bottom"/>
          </w:tcPr>
          <w:p>
            <w:pPr>
              <w:spacing w:after="0"/>
              <w:rPr>
                <w:sz w:val="1"/>
                <w:szCs w:val="1"/>
                <w:color w:val="auto"/>
              </w:rPr>
            </w:pPr>
          </w:p>
        </w:tc>
      </w:tr>
      <w:tr>
        <w:trPr>
          <w:trHeight w:val="106"/>
        </w:trPr>
        <w:tc>
          <w:tcPr>
            <w:tcW w:w="3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1,428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105"/>
        </w:trPr>
        <w:tc>
          <w:tcPr>
            <w:tcW w:w="3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0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04"/>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38"/>
        </w:trPr>
        <w:tc>
          <w:tcPr>
            <w:tcW w:w="400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INCOME FROM CONTINUING OPERATIONS BEFORE</w:t>
            </w: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TAX</w:t>
            </w: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35"/>
        </w:trPr>
        <w:tc>
          <w:tcPr>
            <w:tcW w:w="40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FROM CONTINUING OPERATIONS, NET OF</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205"/>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TAX</w:t>
            </w: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0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b w:val="1"/>
                <w:bCs w:val="1"/>
                <w:color w:val="auto"/>
                <w:w w:val="99"/>
              </w:rPr>
              <w:t>INCOME FROM DISCONTINUED OPERATIONS, NET</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1,686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0" w:type="dxa"/>
            <w:vAlign w:val="bottom"/>
          </w:tcPr>
          <w:p>
            <w:pPr>
              <w:spacing w:after="0"/>
              <w:rPr>
                <w:sz w:val="1"/>
                <w:szCs w:val="1"/>
                <w:color w:val="auto"/>
              </w:rPr>
            </w:pPr>
          </w:p>
        </w:tc>
      </w:tr>
      <w:tr>
        <w:trPr>
          <w:trHeight w:val="20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right w:val="single" w:sz="8" w:color="auto"/>
            </w:tcBorders>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40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Basic net income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04"/>
        </w:trPr>
        <w:tc>
          <w:tcPr>
            <w:tcW w:w="4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25"/>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3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4000" w:type="dxa"/>
            <w:vAlign w:val="bottom"/>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Diluted net income per Class A share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0"/>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124"/>
        </w:trPr>
        <w:tc>
          <w:tcPr>
            <w:tcW w:w="38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7"/>
        <w:spacing w:after="0"/>
        <w:tabs>
          <w:tab w:leader="none" w:pos="300"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48" w:lineRule="exact"/>
        <w:rPr>
          <w:rFonts w:ascii="Times New Roman" w:cs="Times New Roman" w:eastAsia="Times New Roman" w:hAnsi="Times New Roman"/>
          <w:sz w:val="20"/>
          <w:szCs w:val="20"/>
          <w:color w:val="auto"/>
          <w:vertAlign w:val="superscript"/>
        </w:rPr>
      </w:pPr>
    </w:p>
    <w:p>
      <w:pPr>
        <w:ind w:left="300" w:hanging="297"/>
        <w:spacing w:after="0" w:line="187" w:lineRule="auto"/>
        <w:tabs>
          <w:tab w:leader="none" w:pos="30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“Computation of Basic and Diluted Net Income/(Loss) Per Class A Share” table for additional information.</w:t>
      </w:r>
    </w:p>
    <w:p>
      <w:pPr>
        <w:ind w:left="5440" w:hanging="93"/>
        <w:spacing w:after="0"/>
        <w:tabs>
          <w:tab w:leader="none" w:pos="54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8"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auto"/>
        </w:rPr>
        <w:t>Page 23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CONDENSED CONSOLIDATING BALANCE SHEET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Consolidating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8"/>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 xml:space="preserve">Adjustments </w:t>
            </w:r>
            <w:r>
              <w:rPr>
                <w:rFonts w:ascii="Times New Roman" w:cs="Times New Roman" w:eastAsia="Times New Roman" w:hAnsi="Times New Roman"/>
                <w:sz w:val="17"/>
                <w:szCs w:val="17"/>
                <w:b w:val="1"/>
                <w:bCs w:val="1"/>
                <w:color w:val="auto"/>
                <w:w w:val="94"/>
                <w:vertAlign w:val="superscript"/>
              </w:rPr>
              <w:t>(1)</w:t>
            </w:r>
          </w:p>
        </w:tc>
        <w:tc>
          <w:tcPr>
            <w:tcW w:w="240" w:type="dxa"/>
            <w:vAlign w:val="bottom"/>
          </w:tcPr>
          <w:p>
            <w:pPr>
              <w:spacing w:after="0"/>
              <w:rPr>
                <w:sz w:val="18"/>
                <w:szCs w:val="18"/>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 xml:space="preserve">Adjustments </w:t>
            </w:r>
            <w:r>
              <w:rPr>
                <w:rFonts w:ascii="Times New Roman" w:cs="Times New Roman" w:eastAsia="Times New Roman" w:hAnsi="Times New Roman"/>
                <w:sz w:val="17"/>
                <w:szCs w:val="17"/>
                <w:b w:val="1"/>
                <w:bCs w:val="1"/>
                <w:color w:val="auto"/>
                <w:w w:val="96"/>
                <w:vertAlign w:val="superscript"/>
              </w:rPr>
              <w:t>(1)</w:t>
            </w:r>
          </w:p>
        </w:tc>
        <w:tc>
          <w:tcPr>
            <w:tcW w:w="26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0"/>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Current assets </w:t>
            </w:r>
            <w:r>
              <w:rPr>
                <w:rFonts w:ascii="Times New Roman" w:cs="Times New Roman" w:eastAsia="Times New Roman" w:hAnsi="Times New Roman"/>
                <w:sz w:val="22"/>
                <w:szCs w:val="22"/>
                <w:color w:val="auto"/>
                <w:vertAlign w:val="superscript"/>
              </w:rPr>
              <w:t>(2)</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168"/>
        </w:trPr>
        <w:tc>
          <w:tcPr>
            <w:tcW w:w="33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Long-term operating lease right-of-use assets,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w:t>
            </w:r>
          </w:p>
        </w:tc>
        <w:tc>
          <w:tcPr>
            <w:tcW w:w="2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assets of discontinued operations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30,169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31,276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3"/>
        </w:trPr>
        <w:tc>
          <w:tcPr>
            <w:tcW w:w="3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33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Current liabilities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4,924</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7,141</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liabilities of discontinued operations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20"/>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13"/>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13,440</w:t>
            </w:r>
          </w:p>
        </w:tc>
      </w:tr>
      <w:tr>
        <w:trPr>
          <w:trHeight w:val="207"/>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Partners’ capital excluding noncontrolling</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interests</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w:t>
            </w:r>
          </w:p>
        </w:tc>
      </w:tr>
      <w:tr>
        <w:trPr>
          <w:trHeight w:val="220"/>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12,871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12,965</w:t>
            </w:r>
          </w:p>
        </w:tc>
      </w:tr>
      <w:tr>
        <w:trPr>
          <w:trHeight w:val="213"/>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partners’ capital</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14,216</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14,316</w:t>
            </w:r>
          </w:p>
        </w:tc>
      </w:tr>
      <w:tr>
        <w:trPr>
          <w:trHeight w:val="253"/>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30,169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31,276</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27,756</w:t>
            </w:r>
          </w:p>
        </w:tc>
      </w:tr>
      <w:tr>
        <w:trPr>
          <w:trHeight w:val="147"/>
        </w:trPr>
        <w:tc>
          <w:tcPr>
            <w:tcW w:w="3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52"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assets of discontinued operations of $479 million and $415 million as of December 31, 2025 and December 31, 2024, respectively.</w:t>
      </w:r>
    </w:p>
    <w:p>
      <w:pPr>
        <w:spacing w:after="0" w:line="53" w:lineRule="exact"/>
        <w:rPr>
          <w:rFonts w:ascii="Times New Roman" w:cs="Times New Roman" w:eastAsia="Times New Roman" w:hAnsi="Times New Roman"/>
          <w:sz w:val="22"/>
          <w:szCs w:val="22"/>
          <w:color w:val="auto"/>
          <w:vertAlign w:val="superscript"/>
        </w:rPr>
      </w:pPr>
    </w:p>
    <w:p>
      <w:pPr>
        <w:ind w:left="300" w:hanging="297"/>
        <w:spacing w:after="0" w:line="194" w:lineRule="auto"/>
        <w:tabs>
          <w:tab w:leader="none" w:pos="30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current liabilities of discontinued operations of $382 million and $350 million as of December 31, 2025 and December 31, 2024, respectively.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auto"/>
        </w:rPr>
        <w:t>Page 24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PLAINS GP HOLDINGS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SUMMARY </w:t>
      </w: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4" w:lineRule="exact"/>
        <w:rPr>
          <w:sz w:val="20"/>
          <w:szCs w:val="20"/>
          <w:color w:val="auto"/>
        </w:rPr>
      </w:pPr>
    </w:p>
    <w:p>
      <w:pPr>
        <w:ind w:right="4280"/>
        <w:spacing w:after="0" w:line="293"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COMPUTATION OF BASIC AND DILUTED NET INCOME/(LOSS) PER CLASS A SHARE </w:t>
      </w:r>
      <w:r>
        <w:rPr>
          <w:rFonts w:ascii="Times New Roman" w:cs="Times New Roman" w:eastAsia="Times New Roman" w:hAnsi="Times New Roman"/>
          <w:sz w:val="17"/>
          <w:szCs w:val="17"/>
          <w:color w:val="auto"/>
        </w:rPr>
        <w:t>(in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8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47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Net Income/(Loss) per Class A Share</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income/(loss) attributable to PAGP from continuing operations</w:t>
            </w:r>
          </w:p>
        </w:tc>
        <w:tc>
          <w:tcPr>
            <w:tcW w:w="1100" w:type="dxa"/>
            <w:vAlign w:val="bottom"/>
          </w:tcPr>
          <w:p>
            <w:pPr>
              <w:spacing w:after="0"/>
              <w:rPr>
                <w:sz w:val="19"/>
                <w:szCs w:val="19"/>
                <w:color w:val="auto"/>
              </w:rPr>
            </w:pPr>
          </w:p>
        </w:tc>
        <w:tc>
          <w:tcPr>
            <w:tcW w:w="84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58"/>
        </w:trPr>
        <w:tc>
          <w:tcPr>
            <w:tcW w:w="20" w:type="dxa"/>
            <w:vAlign w:val="bottom"/>
            <w:shd w:val="clear" w:color="auto" w:fill="CCEEFF"/>
          </w:tcPr>
          <w:p>
            <w:pPr>
              <w:spacing w:after="0"/>
              <w:rPr>
                <w:sz w:val="22"/>
                <w:szCs w:val="22"/>
                <w:color w:val="auto"/>
              </w:rPr>
            </w:pPr>
          </w:p>
        </w:tc>
        <w:tc>
          <w:tcPr>
            <w:tcW w:w="47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 attributable to PAGP from discontinued operations</w:t>
            </w:r>
          </w:p>
        </w:tc>
        <w:tc>
          <w:tcPr>
            <w:tcW w:w="1100" w:type="dxa"/>
            <w:vAlign w:val="bottom"/>
          </w:tcPr>
          <w:p>
            <w:pPr>
              <w:spacing w:after="0"/>
              <w:rPr>
                <w:sz w:val="19"/>
                <w:szCs w:val="19"/>
                <w:color w:val="auto"/>
              </w:rPr>
            </w:pPr>
          </w:p>
        </w:tc>
        <w:tc>
          <w:tcPr>
            <w:tcW w:w="84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7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Basic weighted average Class A shares outstanding</w:t>
            </w: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7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Basic Net Income/(Loss) per Class A Share:</w:t>
            </w: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Continuing operations</w:t>
            </w: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Discontinued operations</w:t>
            </w:r>
          </w:p>
        </w:tc>
        <w:tc>
          <w:tcPr>
            <w:tcW w:w="1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Basic net income/(loss) per Class A share</w:t>
            </w:r>
          </w:p>
        </w:tc>
        <w:tc>
          <w:tcPr>
            <w:tcW w:w="1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Diluted Net Income/(Loss) per Class A Share</w:t>
            </w: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income/(loss) attributable to PAGP from continuing operations</w:t>
            </w:r>
          </w:p>
        </w:tc>
        <w:tc>
          <w:tcPr>
            <w:tcW w:w="1100" w:type="dxa"/>
            <w:vAlign w:val="bottom"/>
          </w:tcPr>
          <w:p>
            <w:pPr>
              <w:spacing w:after="0"/>
              <w:rPr>
                <w:sz w:val="19"/>
                <w:szCs w:val="19"/>
                <w:color w:val="auto"/>
              </w:rPr>
            </w:pPr>
          </w:p>
        </w:tc>
        <w:tc>
          <w:tcPr>
            <w:tcW w:w="84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45"/>
        </w:trPr>
        <w:tc>
          <w:tcPr>
            <w:tcW w:w="20" w:type="dxa"/>
            <w:vAlign w:val="bottom"/>
            <w:shd w:val="clear" w:color="auto" w:fill="CCEEFF"/>
          </w:tcPr>
          <w:p>
            <w:pPr>
              <w:spacing w:after="0"/>
              <w:rPr>
                <w:sz w:val="21"/>
                <w:szCs w:val="21"/>
                <w:color w:val="auto"/>
              </w:rPr>
            </w:pPr>
          </w:p>
        </w:tc>
        <w:tc>
          <w:tcPr>
            <w:tcW w:w="47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 attributable to PAGP from discontinued operations</w:t>
            </w:r>
          </w:p>
        </w:tc>
        <w:tc>
          <w:tcPr>
            <w:tcW w:w="1100" w:type="dxa"/>
            <w:vAlign w:val="bottom"/>
          </w:tcPr>
          <w:p>
            <w:pPr>
              <w:spacing w:after="0"/>
              <w:rPr>
                <w:sz w:val="19"/>
                <w:szCs w:val="19"/>
                <w:color w:val="auto"/>
              </w:rPr>
            </w:pPr>
          </w:p>
        </w:tc>
        <w:tc>
          <w:tcPr>
            <w:tcW w:w="840" w:type="dxa"/>
            <w:vAlign w:val="bottom"/>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5840" w:type="dxa"/>
            <w:vAlign w:val="bottom"/>
            <w:gridSpan w:val="2"/>
            <w:shd w:val="clear" w:color="auto" w:fill="CCEEFF"/>
          </w:tcPr>
          <w:p>
            <w:pPr>
              <w:ind w:left="160"/>
              <w:spacing w:after="0" w:line="168" w:lineRule="exact"/>
              <w:rPr>
                <w:sz w:val="20"/>
                <w:szCs w:val="20"/>
                <w:color w:val="auto"/>
              </w:rPr>
            </w:pPr>
            <w:r>
              <w:rPr>
                <w:rFonts w:ascii="Times New Roman" w:cs="Times New Roman" w:eastAsia="Times New Roman" w:hAnsi="Times New Roman"/>
                <w:sz w:val="17"/>
                <w:szCs w:val="17"/>
                <w:color w:val="auto"/>
              </w:rPr>
              <w:t>Incremental net income attributable to PAGP resulting from assumed exchange of</w:t>
            </w: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AAP Management Units</w:t>
            </w:r>
          </w:p>
        </w:tc>
        <w:tc>
          <w:tcPr>
            <w:tcW w:w="1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40" w:type="dxa"/>
            <w:vAlign w:val="bottom"/>
            <w:gridSpan w:val="2"/>
          </w:tcPr>
          <w:p>
            <w:pPr>
              <w:ind w:left="80"/>
              <w:spacing w:after="0" w:line="148" w:lineRule="exact"/>
              <w:rPr>
                <w:sz w:val="20"/>
                <w:szCs w:val="20"/>
                <w:color w:val="auto"/>
              </w:rPr>
            </w:pPr>
            <w:r>
              <w:rPr>
                <w:rFonts w:ascii="Times New Roman" w:cs="Times New Roman" w:eastAsia="Times New Roman" w:hAnsi="Times New Roman"/>
                <w:sz w:val="17"/>
                <w:szCs w:val="17"/>
                <w:color w:val="auto"/>
              </w:rPr>
              <w:t>Net income attributable to PAGP from discontinued operations including</w:t>
            </w:r>
          </w:p>
        </w:tc>
        <w:tc>
          <w:tcPr>
            <w:tcW w:w="840" w:type="dxa"/>
            <w:vAlign w:val="bottom"/>
            <w:tcBorders>
              <w:top w:val="single" w:sz="8" w:color="auto"/>
            </w:tcBorders>
            <w:vMerge w:val="restart"/>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2"/>
                <w:szCs w:val="12"/>
                <w:color w:val="auto"/>
              </w:rPr>
            </w:pPr>
          </w:p>
        </w:tc>
        <w:tc>
          <w:tcPr>
            <w:tcW w:w="800" w:type="dxa"/>
            <w:vAlign w:val="bottom"/>
            <w:tcBorders>
              <w:top w:val="single" w:sz="8" w:color="auto"/>
            </w:tcBorders>
            <w:vMerge w:val="restart"/>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2"/>
                <w:szCs w:val="12"/>
                <w:color w:val="auto"/>
              </w:rPr>
            </w:pPr>
          </w:p>
        </w:tc>
        <w:tc>
          <w:tcPr>
            <w:tcW w:w="42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7"/>
                <w:szCs w:val="17"/>
                <w:color w:val="auto"/>
              </w:rPr>
            </w:pPr>
          </w:p>
        </w:tc>
        <w:tc>
          <w:tcPr>
            <w:tcW w:w="58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incremental net income from assumed exchange of AAP Management Units</w:t>
            </w:r>
          </w:p>
        </w:tc>
        <w:tc>
          <w:tcPr>
            <w:tcW w:w="84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Basic weighted average Class A shares outstanding</w:t>
            </w: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Dilutive shares resulting from assumed exchange of AAP Management Units</w:t>
            </w:r>
          </w:p>
        </w:tc>
        <w:tc>
          <w:tcPr>
            <w:tcW w:w="8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Diluted weighted average Class A shares outstanding</w:t>
            </w:r>
          </w:p>
        </w:tc>
        <w:tc>
          <w:tcPr>
            <w:tcW w:w="110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Diluted Net Income/(Loss) per Class A Share:</w:t>
            </w: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Continuing operations</w:t>
            </w: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Discontinued operations</w:t>
            </w:r>
          </w:p>
        </w:tc>
        <w:tc>
          <w:tcPr>
            <w:tcW w:w="1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Diluted net income/(loss) per Class A share</w:t>
            </w:r>
          </w:p>
        </w:tc>
        <w:tc>
          <w:tcPr>
            <w:tcW w:w="1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40" w:type="dxa"/>
            <w:vAlign w:val="bottom"/>
            <w:gridSpan w:val="2"/>
          </w:tcPr>
          <w:p>
            <w:pPr>
              <w:jc w:val="right"/>
              <w:ind w:right="717"/>
              <w:spacing w:after="0"/>
              <w:rPr>
                <w:sz w:val="20"/>
                <w:szCs w:val="20"/>
                <w:color w:val="auto"/>
              </w:rPr>
            </w:pPr>
            <w:r>
              <w:rPr>
                <w:rFonts w:ascii="Times New Roman" w:cs="Times New Roman" w:eastAsia="Times New Roman" w:hAnsi="Times New Roman"/>
                <w:sz w:val="17"/>
                <w:szCs w:val="17"/>
                <w:color w:val="auto"/>
              </w:rPr>
              <w:t>- more -</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2"/>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5"/>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40" w:type="dxa"/>
            <w:vAlign w:val="bottom"/>
          </w:tcPr>
          <w:p>
            <w:pPr>
              <w:ind w:left="1720"/>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tc>
        <w:tc>
          <w:tcPr>
            <w:tcW w:w="1940" w:type="dxa"/>
            <w:vAlign w:val="bottom"/>
            <w:gridSpan w:val="2"/>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Houston, Texas 77002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713-646-4100 / 866-809-1291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auto"/>
        </w:rPr>
        <w:t>Page 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Forward-Looking Statements</w:t>
      </w:r>
    </w:p>
    <w:p>
      <w:pPr>
        <w:spacing w:after="0" w:line="250" w:lineRule="exact"/>
        <w:rPr>
          <w:sz w:val="20"/>
          <w:szCs w:val="20"/>
          <w:color w:val="auto"/>
        </w:rPr>
      </w:pPr>
    </w:p>
    <w:p>
      <w:pPr>
        <w:jc w:val="both"/>
        <w:ind w:right="360" w:firstLine="620"/>
        <w:spacing w:after="0" w:line="270" w:lineRule="auto"/>
        <w:rPr>
          <w:sz w:val="20"/>
          <w:szCs w:val="20"/>
          <w:color w:val="auto"/>
        </w:rPr>
      </w:pPr>
      <w:r>
        <w:rPr>
          <w:rFonts w:ascii="Times New Roman" w:cs="Times New Roman" w:eastAsia="Times New Roman" w:hAnsi="Times New Roman"/>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4" w:lineRule="exact"/>
        <w:rPr>
          <w:sz w:val="20"/>
          <w:szCs w:val="20"/>
          <w:color w:val="auto"/>
        </w:rPr>
      </w:pPr>
    </w:p>
    <w:p>
      <w:pPr>
        <w:ind w:left="620" w:right="480" w:hanging="307"/>
        <w:spacing w:after="0" w:line="270"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63" w:lineRule="exact"/>
        <w:rPr>
          <w:rFonts w:ascii="Times New Roman" w:cs="Times New Roman" w:eastAsia="Times New Roman" w:hAnsi="Times New Roman"/>
          <w:sz w:val="17"/>
          <w:szCs w:val="17"/>
          <w:color w:val="auto"/>
        </w:rPr>
      </w:pPr>
    </w:p>
    <w:p>
      <w:pPr>
        <w:ind w:left="620" w:right="160" w:hanging="307"/>
        <w:spacing w:after="0" w:line="265" w:lineRule="auto"/>
        <w:tabs>
          <w:tab w:leader="none" w:pos="616"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54" w:lineRule="exact"/>
        <w:rPr>
          <w:rFonts w:ascii="Times New Roman" w:cs="Times New Roman" w:eastAsia="Times New Roman" w:hAnsi="Times New Roman"/>
          <w:sz w:val="17"/>
          <w:szCs w:val="17"/>
          <w:i w:val="1"/>
          <w:iCs w:val="1"/>
          <w:color w:val="auto"/>
        </w:rPr>
      </w:pPr>
    </w:p>
    <w:p>
      <w:pPr>
        <w:ind w:left="620" w:right="120" w:hanging="307"/>
        <w:spacing w:after="0" w:line="260"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47"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refinery capacity and other factors affecting demand for various grades of crude oil and NGL and resulting changes in pricing conditions or transportation throughput requirements;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changes in crude oil and NGL market structure, grade differentials and volatility (or lack thereof);</w:t>
      </w:r>
    </w:p>
    <w:p>
      <w:pPr>
        <w:spacing w:after="0" w:line="101" w:lineRule="exact"/>
        <w:rPr>
          <w:rFonts w:ascii="Times New Roman" w:cs="Times New Roman" w:eastAsia="Times New Roman" w:hAnsi="Times New Roman"/>
          <w:sz w:val="17"/>
          <w:szCs w:val="17"/>
          <w:color w:val="auto"/>
        </w:rPr>
      </w:pPr>
    </w:p>
    <w:p>
      <w:pPr>
        <w:ind w:left="620" w:right="100" w:hanging="307"/>
        <w:spacing w:after="0" w:line="270"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37" w:lineRule="exact"/>
        <w:rPr>
          <w:rFonts w:ascii="Times New Roman" w:cs="Times New Roman" w:eastAsia="Times New Roman" w:hAnsi="Times New Roman"/>
          <w:sz w:val="17"/>
          <w:szCs w:val="17"/>
          <w:color w:val="auto"/>
        </w:rPr>
      </w:pPr>
    </w:p>
    <w:p>
      <w:pPr>
        <w:ind w:left="620" w:right="10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and our ability to consummate, acquisitions, divestitures, joint ventures or other strategic opportunities and realize benefits therefrom, including the Canadian NGL Business divestiture (as defined herein);</w:t>
      </w:r>
    </w:p>
    <w:p>
      <w:pPr>
        <w:spacing w:after="0" w:line="3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liabilities, litigation or other events that are not covered by an indemnity, insurance or existing reserves;</w:t>
      </w:r>
    </w:p>
    <w:p>
      <w:pPr>
        <w:spacing w:after="0" w:line="114" w:lineRule="exact"/>
        <w:rPr>
          <w:rFonts w:ascii="Times New Roman" w:cs="Times New Roman" w:eastAsia="Times New Roman" w:hAnsi="Times New Roman"/>
          <w:sz w:val="17"/>
          <w:szCs w:val="17"/>
          <w:color w:val="auto"/>
        </w:rPr>
      </w:pPr>
    </w:p>
    <w:p>
      <w:pPr>
        <w:ind w:left="620" w:right="24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21" w:lineRule="exact"/>
        <w:rPr>
          <w:rFonts w:ascii="Times New Roman" w:cs="Times New Roman" w:eastAsia="Times New Roman" w:hAnsi="Times New Roman"/>
          <w:sz w:val="17"/>
          <w:szCs w:val="17"/>
          <w:color w:val="auto"/>
        </w:rPr>
      </w:pPr>
    </w:p>
    <w:p>
      <w:pPr>
        <w:ind w:left="620" w:right="36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34"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 with business operations or project construction, including the impact of extreme weather events or conditions (including hurricanes, floods, wildfires and drought);</w:t>
      </w:r>
    </w:p>
    <w:p>
      <w:pPr>
        <w:spacing w:after="0" w:line="34" w:lineRule="exact"/>
        <w:rPr>
          <w:rFonts w:ascii="Times New Roman" w:cs="Times New Roman" w:eastAsia="Times New Roman" w:hAnsi="Times New Roman"/>
          <w:sz w:val="17"/>
          <w:szCs w:val="17"/>
          <w:color w:val="auto"/>
        </w:rPr>
      </w:pPr>
    </w:p>
    <w:p>
      <w:pPr>
        <w:ind w:left="620" w:right="180" w:hanging="307"/>
        <w:spacing w:after="0" w:line="265"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spacing w:after="0" w:line="41" w:lineRule="exact"/>
        <w:rPr>
          <w:rFonts w:ascii="Times New Roman" w:cs="Times New Roman" w:eastAsia="Times New Roman" w:hAnsi="Times New Roman"/>
          <w:sz w:val="17"/>
          <w:szCs w:val="17"/>
          <w:color w:val="auto"/>
        </w:rPr>
      </w:pPr>
    </w:p>
    <w:p>
      <w:pPr>
        <w:ind w:left="620" w:right="80" w:hanging="307"/>
        <w:spacing w:after="0" w:line="285"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ind w:left="5440" w:hanging="93"/>
        <w:spacing w:after="0"/>
        <w:tabs>
          <w:tab w:leader="none" w:pos="54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auto"/>
        </w:rPr>
        <w:t>Page 26</w:t>
      </w:r>
    </w:p>
    <w:p>
      <w:pPr>
        <w:spacing w:after="0" w:line="200" w:lineRule="exact"/>
        <w:rPr>
          <w:sz w:val="20"/>
          <w:szCs w:val="20"/>
          <w:color w:val="auto"/>
        </w:rPr>
      </w:pPr>
    </w:p>
    <w:p>
      <w:pPr>
        <w:spacing w:after="0" w:line="225"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pace of development of natural gas or other infrastructure and its impact on expected crude oil production growth in the Permian Basin;</w:t>
      </w:r>
    </w:p>
    <w:p>
      <w:pPr>
        <w:spacing w:after="0" w:line="114" w:lineRule="exact"/>
        <w:rPr>
          <w:rFonts w:ascii="Times New Roman" w:cs="Times New Roman" w:eastAsia="Times New Roman" w:hAnsi="Times New Roman"/>
          <w:sz w:val="17"/>
          <w:szCs w:val="17"/>
          <w:color w:val="auto"/>
        </w:rPr>
      </w:pPr>
    </w:p>
    <w:p>
      <w:pPr>
        <w:ind w:left="620" w:hanging="307"/>
        <w:spacing w:after="0" w:line="265"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and inability to attract and retain new talent;</w:t>
      </w:r>
    </w:p>
    <w:p>
      <w:pPr>
        <w:spacing w:after="0" w:line="101" w:lineRule="exact"/>
        <w:rPr>
          <w:rFonts w:ascii="Times New Roman" w:cs="Times New Roman" w:eastAsia="Times New Roman" w:hAnsi="Times New Roman"/>
          <w:sz w:val="17"/>
          <w:szCs w:val="17"/>
          <w:color w:val="auto"/>
        </w:rPr>
      </w:pPr>
    </w:p>
    <w:p>
      <w:pPr>
        <w:ind w:left="620" w:right="400" w:hanging="307"/>
        <w:spacing w:after="0" w:line="288"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futures markets for crude oil, NGL and other petroleum products, which may impair our ability to execute our commercial or hedging strategies;</w:t>
      </w:r>
    </w:p>
    <w:p>
      <w:pPr>
        <w:spacing w:after="0" w:line="2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risk management activities;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shortages or cost increases of supplies, materials or labor;</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our credit ratings and ability to receive open credit from our suppliers and trade counterparties;</w:t>
      </w:r>
    </w:p>
    <w:p>
      <w:pPr>
        <w:spacing w:after="0" w:line="88" w:lineRule="exact"/>
        <w:rPr>
          <w:rFonts w:ascii="Times New Roman" w:cs="Times New Roman" w:eastAsia="Times New Roman" w:hAnsi="Times New Roman"/>
          <w:sz w:val="17"/>
          <w:szCs w:val="17"/>
          <w:color w:val="auto"/>
        </w:rPr>
      </w:pPr>
    </w:p>
    <w:p>
      <w:pPr>
        <w:jc w:val="both"/>
        <w:ind w:left="620" w:right="100" w:hanging="307"/>
        <w:spacing w:after="0" w:line="288"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of costs and expenses related to unexpected or unplanned capital or maintenance expenditures, third-party claims or other factors;</w:t>
      </w:r>
    </w:p>
    <w:p>
      <w:pPr>
        <w:spacing w:after="0" w:line="101"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implement or capitalize, or delays in implementing or capitalizing, on investment capital projects, whether due to permitting delays, permitting withdrawals or other factors;</w:t>
      </w:r>
    </w:p>
    <w:p>
      <w:pPr>
        <w:spacing w:after="0" w:line="21" w:lineRule="exact"/>
        <w:rPr>
          <w:rFonts w:ascii="Times New Roman" w:cs="Times New Roman" w:eastAsia="Times New Roman" w:hAnsi="Times New Roman"/>
          <w:sz w:val="17"/>
          <w:szCs w:val="17"/>
          <w:color w:val="auto"/>
        </w:rPr>
      </w:pPr>
    </w:p>
    <w:p>
      <w:pPr>
        <w:ind w:left="620" w:right="280" w:hanging="307"/>
        <w:spacing w:after="0" w:line="288"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amplification of other risks caused by volatile or closed financial markets, capital constraints, liquidity concerns and inflation;</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or availability of third-party assets upon which our operations depend and over which we have little or no control;</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exchange rate of the Canadian dollar to the United States dollar;</w:t>
      </w:r>
    </w:p>
    <w:p>
      <w:pPr>
        <w:spacing w:after="0" w:line="101" w:lineRule="exact"/>
        <w:rPr>
          <w:rFonts w:ascii="Times New Roman" w:cs="Times New Roman" w:eastAsia="Times New Roman" w:hAnsi="Times New Roman"/>
          <w:sz w:val="17"/>
          <w:szCs w:val="17"/>
          <w:color w:val="auto"/>
        </w:rPr>
      </w:pPr>
    </w:p>
    <w:p>
      <w:pPr>
        <w:ind w:left="620" w:right="660" w:hanging="307"/>
        <w:spacing w:after="0" w:line="288"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deferral of current revenue recognition attributable to deficiency payments received from customers who fail to ship or move their minimum contracted volumes;</w:t>
      </w:r>
    </w:p>
    <w:p>
      <w:pPr>
        <w:spacing w:after="0" w:line="3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under-utilization of our assets and facilities;</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or lack of availability, of insurance;</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debt and equity markets, including the price of our units at the time of vesting under our long-term incentive plans;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development and operation of our assets; and</w:t>
      </w:r>
    </w:p>
    <w:p>
      <w:pPr>
        <w:spacing w:after="0" w:line="88" w:lineRule="exact"/>
        <w:rPr>
          <w:rFonts w:ascii="Times New Roman" w:cs="Times New Roman" w:eastAsia="Times New Roman" w:hAnsi="Times New Roman"/>
          <w:sz w:val="17"/>
          <w:szCs w:val="17"/>
          <w:color w:val="auto"/>
        </w:rPr>
      </w:pPr>
    </w:p>
    <w:p>
      <w:pPr>
        <w:ind w:left="620" w:right="60" w:hanging="307"/>
        <w:spacing w:after="0" w:line="285"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ind w:left="5440" w:hanging="93"/>
        <w:spacing w:after="0"/>
        <w:tabs>
          <w:tab w:leader="none" w:pos="54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712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6"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5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auto"/>
        </w:rPr>
        <w:t>Page 27</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About Plains:</w:t>
      </w:r>
    </w:p>
    <w:p>
      <w:pPr>
        <w:spacing w:after="0" w:line="296" w:lineRule="exact"/>
        <w:rPr>
          <w:sz w:val="20"/>
          <w:szCs w:val="20"/>
          <w:color w:val="auto"/>
        </w:rPr>
      </w:pPr>
    </w:p>
    <w:p>
      <w:pPr>
        <w:ind w:right="160" w:firstLine="620"/>
        <w:spacing w:after="0" w:line="265" w:lineRule="auto"/>
        <w:rPr>
          <w:sz w:val="20"/>
          <w:szCs w:val="20"/>
          <w:color w:val="auto"/>
        </w:rPr>
      </w:pPr>
      <w:r>
        <w:rPr>
          <w:rFonts w:ascii="Times New Roman" w:cs="Times New Roman" w:eastAsia="Times New Roman" w:hAnsi="Times New Roman"/>
          <w:sz w:val="17"/>
          <w:szCs w:val="17"/>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9 million barrels per day of crude oil and NGL.</w:t>
      </w:r>
    </w:p>
    <w:p>
      <w:pPr>
        <w:spacing w:after="0" w:line="196"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PAA and PAGP are headquartered in Houston, Texas. For more information, please visit www.plains.com.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Contacts</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Blake Fernandez</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Ross Hovde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(866) 809-1291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34290</wp:posOffset>
            </wp:positionV>
            <wp:extent cx="712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2" w:lineRule="exact"/>
        <w:rPr>
          <w:sz w:val="20"/>
          <w:szCs w:val="20"/>
          <w:color w:val="auto"/>
        </w:rPr>
      </w:pPr>
    </w:p>
    <w:p>
      <w:pPr>
        <w:ind w:left="1740"/>
        <w:spacing w:after="0"/>
        <w:tabs>
          <w:tab w:leader="none" w:pos="4800" w:val="left"/>
          <w:tab w:leader="none" w:pos="7480" w:val="left"/>
        </w:tabs>
        <w:rPr>
          <w:sz w:val="20"/>
          <w:szCs w:val="20"/>
          <w:color w:val="auto"/>
        </w:rPr>
      </w:pPr>
      <w:r>
        <w:rPr>
          <w:rFonts w:ascii="Times New Roman" w:cs="Times New Roman" w:eastAsia="Times New Roman" w:hAnsi="Times New Roman"/>
          <w:sz w:val="17"/>
          <w:szCs w:val="17"/>
          <w:b w:val="1"/>
          <w:bCs w:val="1"/>
          <w:color w:val="auto"/>
        </w:rPr>
        <w:t>333 Clay Street, Suite 1600</w:t>
      </w:r>
      <w:r>
        <w:rPr>
          <w:sz w:val="20"/>
          <w:szCs w:val="20"/>
          <w:color w:val="auto"/>
        </w:rPr>
        <w:tab/>
      </w:r>
      <w:r>
        <w:rPr>
          <w:rFonts w:ascii="Times New Roman" w:cs="Times New Roman" w:eastAsia="Times New Roman" w:hAnsi="Times New Roman"/>
          <w:sz w:val="17"/>
          <w:szCs w:val="17"/>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220"/>
      </w:cols>
      <w:pgMar w:left="320" w:top="35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04"/>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lvl w:ilvl="1">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lvl w:ilvl="1">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lvl w:ilvl="1">
      <w:lvlJc w:val="left"/>
      <w:lvlText w:val="-"/>
      <w:numFmt w:val="bullet"/>
      <w:start w:val="1"/>
    </w:lvl>
  </w:abstractNum>
  <w:abstractNum w:abstractNumId="9">
    <w:nsid w:val="7C83E458"/>
    <w:multiLevelType w:val="hybridMultilevel"/>
    <w:lvl w:ilvl="0">
      <w:lvlJc w:val="left"/>
      <w:lvlText w:val="(%1)"/>
      <w:numFmt w:val="decimal"/>
      <w:start w:val="1"/>
    </w:lvl>
    <w:lvl w:ilvl="1">
      <w:lvlJc w:val="left"/>
      <w:lvlText w:val="-"/>
      <w:numFmt w:val="bullet"/>
      <w:start w:val="1"/>
    </w:lvl>
  </w:abstractNum>
  <w:abstractNum w:abstractNumId="10">
    <w:nsid w:val="257130A3"/>
    <w:multiLevelType w:val="hybridMultilevel"/>
    <w:lvl w:ilvl="0">
      <w:lvlJc w:val="left"/>
      <w:lvlText w:val="(%1)"/>
      <w:numFmt w:val="decimal"/>
      <w:start w:val="1"/>
    </w:lvl>
    <w:lvl w:ilvl="1">
      <w:lvlJc w:val="left"/>
      <w:lvlText w:val="-"/>
      <w:numFmt w:val="bullet"/>
      <w:start w:val="1"/>
    </w:lvl>
  </w:abstractNum>
  <w:abstractNum w:abstractNumId="11">
    <w:nsid w:val="62BBD95A"/>
    <w:multiLevelType w:val="hybridMultilevel"/>
    <w:lvl w:ilvl="0">
      <w:lvlJc w:val="left"/>
      <w:lvlText w:val="(%1)"/>
      <w:numFmt w:val="decimal"/>
      <w:start w:val="1"/>
    </w:lvl>
    <w:lvl w:ilvl="1">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lvl w:ilvl="1">
      <w:lvlJc w:val="left"/>
      <w:lvlText w:val="-"/>
      <w:numFmt w:val="bullet"/>
      <w:start w:val="1"/>
    </w:lvl>
  </w:abstractNum>
  <w:abstractNum w:abstractNumId="14">
    <w:nsid w:val="333AB105"/>
    <w:multiLevelType w:val="hybridMultilevel"/>
    <w:lvl w:ilvl="0">
      <w:lvlJc w:val="left"/>
      <w:lvlText w:val="(%1)"/>
      <w:numFmt w:val="decimal"/>
      <w:start w:val="1"/>
    </w:lvl>
    <w:lvl w:ilvl="1">
      <w:lvlJc w:val="left"/>
      <w:lvlText w:val="-"/>
      <w:numFmt w:val="bullet"/>
      <w:start w:val="1"/>
    </w:lvl>
  </w:abstractNum>
  <w:abstractNum w:abstractNumId="15">
    <w:nsid w:val="721DA317"/>
    <w:multiLevelType w:val="hybridMultilevel"/>
    <w:lvl w:ilvl="0">
      <w:lvlJc w:val="left"/>
      <w:lvlText w:val="(%1)"/>
      <w:numFmt w:val="decimal"/>
      <w:start w:val="1"/>
    </w:lvl>
    <w:lvl w:ilvl="1">
      <w:lvlJc w:val="left"/>
      <w:lvlText w:val="-"/>
      <w:numFmt w:val="bullet"/>
      <w:start w:val="1"/>
    </w:lvl>
  </w:abstractNum>
  <w:abstractNum w:abstractNumId="16">
    <w:nsid w:val="2443A858"/>
    <w:multiLevelType w:val="hybridMultilevel"/>
    <w:lvl w:ilvl="0">
      <w:lvlJc w:val="left"/>
      <w:lvlText w:val="(%1)"/>
      <w:numFmt w:val="decimal"/>
      <w:start w:val="1"/>
    </w:lvl>
    <w:lvl w:ilvl="1">
      <w:lvlJc w:val="left"/>
      <w:lvlText w:val="-"/>
      <w:numFmt w:val="bullet"/>
      <w:start w:val="1"/>
    </w:lvl>
  </w:abstractNum>
  <w:abstractNum w:abstractNumId="17">
    <w:nsid w:val="2D1D5AE9"/>
    <w:multiLevelType w:val="hybridMultilevel"/>
    <w:lvl w:ilvl="0">
      <w:lvlJc w:val="left"/>
      <w:lvlText w:val="(%1)"/>
      <w:numFmt w:val="decimal"/>
      <w:start w:val="1"/>
    </w:lvl>
    <w:lvl w:ilvl="1">
      <w:lvlJc w:val="left"/>
      <w:lvlText w:val="-"/>
      <w:numFmt w:val="bullet"/>
      <w:start w:val="1"/>
    </w:lvl>
  </w:abstractNum>
  <w:abstractNum w:abstractNumId="18">
    <w:nsid w:val="6763845E"/>
    <w:multiLevelType w:val="hybridMultilevel"/>
    <w:lvl w:ilvl="0">
      <w:lvlJc w:val="left"/>
      <w:lvlText w:val="(%1)"/>
      <w:numFmt w:val="decimal"/>
      <w:start w:val="3"/>
    </w:lvl>
    <w:lvl w:ilvl="1">
      <w:lvlJc w:val="left"/>
      <w:lvlText w:val="-"/>
      <w:numFmt w:val="bullet"/>
      <w:start w:val="1"/>
    </w:lvl>
  </w:abstractNum>
  <w:abstractNum w:abstractNumId="19">
    <w:nsid w:val="75A2A8D4"/>
    <w:multiLevelType w:val="hybridMultilevel"/>
    <w:lvl w:ilvl="0">
      <w:lvlJc w:val="left"/>
      <w:lvlText w:val="(%1)"/>
      <w:numFmt w:val="decimal"/>
      <w:start w:val="1"/>
    </w:lvl>
    <w:lvl w:ilvl="1">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lvl w:ilvl="1">
      <w:lvlJc w:val="left"/>
      <w:lvlText w:val="-"/>
      <w:numFmt w:val="bullet"/>
      <w:start w:val="1"/>
    </w:lvl>
  </w:abstractNum>
  <w:abstractNum w:abstractNumId="22">
    <w:nsid w:val="4353D0CD"/>
    <w:multiLevelType w:val="hybridMultilevel"/>
    <w:lvl w:ilvl="0">
      <w:lvlJc w:val="left"/>
      <w:lvlText w:val="(%1)"/>
      <w:numFmt w:val="decimal"/>
      <w:start w:val="1"/>
    </w:lvl>
    <w:lvl w:ilvl="1">
      <w:lvlJc w:val="left"/>
      <w:lvlText w:val="-"/>
      <w:numFmt w:val="bullet"/>
      <w:start w:val="1"/>
    </w:lvl>
  </w:abstractNum>
  <w:abstractNum w:abstractNumId="23">
    <w:nsid w:val="B03E0C6"/>
    <w:multiLevelType w:val="hybridMultilevel"/>
    <w:lvl w:ilvl="0">
      <w:lvlJc w:val="left"/>
      <w:lvlText w:val="(%1)"/>
      <w:numFmt w:val="decimal"/>
      <w:start w:val="1"/>
    </w:lvl>
    <w:lvl w:ilvl="1">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
      <w:numFmt w:val="bullet"/>
      <w:start w:val="1"/>
    </w:lvl>
    <w:lvl w:ilvl="1">
      <w:lvlJc w:val="left"/>
      <w:lvlText w:val="-"/>
      <w:numFmt w:val="bullet"/>
      <w:start w:val="1"/>
    </w:lvl>
  </w:abstractNum>
  <w:abstractNum w:abstractNumId="27">
    <w:nsid w:val="2CA88611"/>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2026-02-06T07:56:36Z</dcterms:created>
  <dcterms:modified xsi:type="dcterms:W3CDTF">2026-02-06T07:56:36Z</dcterms:modified>
</cp:coreProperties>
</file>