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30, 2005</w:t>
      </w:r>
    </w:p>
    <w:p>
      <w:pPr>
        <w:spacing w:after="0" w:line="229"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240" w:type="dxa"/>
        <w:tblCellMar>
          <w:top w:w="0" w:type="dxa"/>
          <w:left w:w="0" w:type="dxa"/>
          <w:bottom w:w="0" w:type="dxa"/>
          <w:right w:w="0" w:type="dxa"/>
        </w:tblCellMar>
      </w:tblPr>
      <w:tr>
        <w:trPr>
          <w:trHeight w:val="220"/>
        </w:trPr>
        <w:tc>
          <w:tcPr>
            <w:tcW w:w="2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DELAWARE</w:t>
            </w:r>
          </w:p>
        </w:tc>
        <w:tc>
          <w:tcPr>
            <w:tcW w:w="2700" w:type="dxa"/>
            <w:vAlign w:val="bottom"/>
          </w:tcPr>
          <w:p>
            <w:pPr>
              <w:jc w:val="right"/>
              <w:ind w:right="1030"/>
              <w:spacing w:after="0"/>
              <w:rPr>
                <w:sz w:val="20"/>
                <w:szCs w:val="20"/>
                <w:color w:val="auto"/>
              </w:rPr>
            </w:pPr>
            <w:r>
              <w:rPr>
                <w:rFonts w:ascii="Arial" w:cs="Arial" w:eastAsia="Arial" w:hAnsi="Arial"/>
                <w:sz w:val="18"/>
                <w:szCs w:val="18"/>
                <w:b w:val="1"/>
                <w:bCs w:val="1"/>
                <w:color w:val="auto"/>
              </w:rPr>
              <w:t>1-14569</w:t>
            </w:r>
          </w:p>
        </w:tc>
        <w:tc>
          <w:tcPr>
            <w:tcW w:w="17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76-0582150</w:t>
            </w:r>
          </w:p>
        </w:tc>
      </w:tr>
      <w:tr>
        <w:trPr>
          <w:trHeight w:val="216"/>
        </w:trPr>
        <w:tc>
          <w:tcPr>
            <w:tcW w:w="218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w:t>
            </w:r>
          </w:p>
        </w:tc>
        <w:tc>
          <w:tcPr>
            <w:tcW w:w="2700" w:type="dxa"/>
            <w:vAlign w:val="bottom"/>
          </w:tcPr>
          <w:p>
            <w:pPr>
              <w:jc w:val="center"/>
              <w:ind w:right="50"/>
              <w:spacing w:after="0"/>
              <w:rPr>
                <w:sz w:val="20"/>
                <w:szCs w:val="20"/>
                <w:color w:val="auto"/>
              </w:rPr>
            </w:pPr>
            <w:r>
              <w:rPr>
                <w:rFonts w:ascii="Arial" w:cs="Arial" w:eastAsia="Arial" w:hAnsi="Arial"/>
                <w:sz w:val="18"/>
                <w:szCs w:val="18"/>
                <w:color w:val="auto"/>
                <w:w w:val="93"/>
              </w:rPr>
              <w:t>(Commission File Number)</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180" w:type="dxa"/>
            <w:vAlign w:val="bottom"/>
          </w:tcPr>
          <w:p>
            <w:pPr>
              <w:jc w:val="center"/>
              <w:ind w:right="190"/>
              <w:spacing w:after="0"/>
              <w:rPr>
                <w:sz w:val="20"/>
                <w:szCs w:val="20"/>
                <w:color w:val="auto"/>
              </w:rPr>
            </w:pPr>
            <w:r>
              <w:rPr>
                <w:rFonts w:ascii="Arial" w:cs="Arial" w:eastAsia="Arial" w:hAnsi="Arial"/>
                <w:sz w:val="18"/>
                <w:szCs w:val="18"/>
                <w:color w:val="auto"/>
                <w:w w:val="93"/>
              </w:rPr>
              <w:t>of incorporation)</w:t>
            </w:r>
          </w:p>
        </w:tc>
        <w:tc>
          <w:tcPr>
            <w:tcW w:w="270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bl>
    <w:p>
      <w:pPr>
        <w:spacing w:after="0" w:line="252"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20"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5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4"/>
          <w:szCs w:val="24"/>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Unaudited Balance Sheet of Plains AAP, L.P., dated as of September 30, 2005.</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4"/>
          <w:szCs w:val="24"/>
          <w:color w:val="auto"/>
        </w:rPr>
      </w:pPr>
    </w:p>
    <w:p>
      <w:pPr>
        <w:ind w:right="28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5960" w:type="dxa"/>
            <w:vAlign w:val="bottom"/>
            <w:gridSpan w:val="2"/>
          </w:tcPr>
          <w:p>
            <w:pPr>
              <w:ind w:left="720"/>
              <w:spacing w:after="0"/>
              <w:rPr>
                <w:sz w:val="20"/>
                <w:szCs w:val="20"/>
                <w:color w:val="auto"/>
              </w:rPr>
            </w:pPr>
            <w:r>
              <w:rPr>
                <w:rFonts w:ascii="Arial" w:cs="Arial" w:eastAsia="Arial" w:hAnsi="Arial"/>
                <w:sz w:val="18"/>
                <w:szCs w:val="18"/>
                <w:b w:val="1"/>
                <w:bCs w:val="1"/>
                <w:color w:val="auto"/>
              </w:rPr>
              <w:t>PLAINS ALL AMERICAN PIPELINE</w:t>
            </w:r>
            <w:r>
              <w:rPr>
                <w:rFonts w:ascii="Arial" w:cs="Arial" w:eastAsia="Arial" w:hAnsi="Arial"/>
                <w:sz w:val="17"/>
                <w:szCs w:val="17"/>
                <w:b w:val="1"/>
                <w:bCs w:val="1"/>
                <w:color w:val="auto"/>
              </w:rPr>
              <w:t>, L.P.</w:t>
            </w:r>
          </w:p>
        </w:tc>
      </w:tr>
      <w:tr>
        <w:trPr>
          <w:trHeight w:val="432"/>
        </w:trPr>
        <w:tc>
          <w:tcPr>
            <w:tcW w:w="2320" w:type="dxa"/>
            <w:vAlign w:val="bottom"/>
          </w:tcPr>
          <w:p>
            <w:pPr>
              <w:spacing w:after="0"/>
              <w:rPr>
                <w:sz w:val="20"/>
                <w:szCs w:val="20"/>
                <w:color w:val="auto"/>
              </w:rPr>
            </w:pPr>
            <w:r>
              <w:rPr>
                <w:rFonts w:ascii="Arial" w:cs="Arial" w:eastAsia="Arial" w:hAnsi="Arial"/>
                <w:sz w:val="18"/>
                <w:szCs w:val="18"/>
                <w:color w:val="auto"/>
              </w:rPr>
              <w:t>Date: January 5, 2006</w:t>
            </w:r>
          </w:p>
        </w:tc>
        <w:tc>
          <w:tcPr>
            <w:tcW w:w="5960" w:type="dxa"/>
            <w:vAlign w:val="bottom"/>
            <w:gridSpan w:val="2"/>
          </w:tcPr>
          <w:p>
            <w:pPr>
              <w:ind w:left="720"/>
              <w:spacing w:after="0"/>
              <w:rPr>
                <w:sz w:val="20"/>
                <w:szCs w:val="20"/>
                <w:color w:val="auto"/>
              </w:rPr>
            </w:pPr>
            <w:r>
              <w:rPr>
                <w:rFonts w:ascii="Arial" w:cs="Arial" w:eastAsia="Arial" w:hAnsi="Arial"/>
                <w:sz w:val="18"/>
                <w:szCs w:val="18"/>
                <w:color w:val="auto"/>
              </w:rPr>
              <w:t>By: Plains AAP, L.P., its general partner</w:t>
            </w:r>
          </w:p>
        </w:tc>
      </w:tr>
      <w:tr>
        <w:trPr>
          <w:trHeight w:val="432"/>
        </w:trPr>
        <w:tc>
          <w:tcPr>
            <w:tcW w:w="2320" w:type="dxa"/>
            <w:vAlign w:val="bottom"/>
          </w:tcPr>
          <w:p>
            <w:pPr>
              <w:spacing w:after="0"/>
              <w:rPr>
                <w:sz w:val="24"/>
                <w:szCs w:val="24"/>
                <w:color w:val="auto"/>
              </w:rPr>
            </w:pPr>
          </w:p>
        </w:tc>
        <w:tc>
          <w:tcPr>
            <w:tcW w:w="5960" w:type="dxa"/>
            <w:vAlign w:val="bottom"/>
            <w:gridSpan w:val="2"/>
          </w:tcPr>
          <w:p>
            <w:pPr>
              <w:ind w:left="720"/>
              <w:spacing w:after="0"/>
              <w:rPr>
                <w:sz w:val="20"/>
                <w:szCs w:val="20"/>
                <w:color w:val="auto"/>
              </w:rPr>
            </w:pPr>
            <w:r>
              <w:rPr>
                <w:rFonts w:ascii="Arial" w:cs="Arial" w:eastAsia="Arial" w:hAnsi="Arial"/>
                <w:sz w:val="18"/>
                <w:szCs w:val="18"/>
                <w:color w:val="auto"/>
              </w:rPr>
              <w:t>By: Plains All American GP LLC, its general partner</w:t>
            </w:r>
          </w:p>
        </w:tc>
      </w:tr>
      <w:tr>
        <w:trPr>
          <w:trHeight w:val="432"/>
        </w:trPr>
        <w:tc>
          <w:tcPr>
            <w:tcW w:w="2320" w:type="dxa"/>
            <w:vAlign w:val="bottom"/>
          </w:tcPr>
          <w:p>
            <w:pPr>
              <w:spacing w:after="0"/>
              <w:rPr>
                <w:sz w:val="24"/>
                <w:szCs w:val="24"/>
                <w:color w:val="auto"/>
              </w:rPr>
            </w:pPr>
          </w:p>
        </w:tc>
        <w:tc>
          <w:tcPr>
            <w:tcW w:w="5960" w:type="dxa"/>
            <w:vAlign w:val="bottom"/>
            <w:gridSpan w:val="2"/>
          </w:tcPr>
          <w:p>
            <w:pPr>
              <w:ind w:left="720"/>
              <w:spacing w:after="0"/>
              <w:rPr>
                <w:sz w:val="20"/>
                <w:szCs w:val="20"/>
                <w:color w:val="auto"/>
              </w:rPr>
            </w:pPr>
            <w:r>
              <w:rPr>
                <w:rFonts w:ascii="Arial" w:cs="Arial" w:eastAsia="Arial" w:hAnsi="Arial"/>
                <w:sz w:val="18"/>
                <w:szCs w:val="18"/>
                <w:color w:val="auto"/>
              </w:rPr>
              <w:t>By:  /s/ Tina L. Val</w:t>
            </w:r>
          </w:p>
        </w:tc>
      </w:tr>
      <w:tr>
        <w:trPr>
          <w:trHeight w:val="195"/>
        </w:trPr>
        <w:tc>
          <w:tcPr>
            <w:tcW w:w="2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Tina L. Val</w:t>
            </w:r>
          </w:p>
        </w:tc>
      </w:tr>
      <w:tr>
        <w:trPr>
          <w:trHeight w:val="230"/>
        </w:trPr>
        <w:tc>
          <w:tcPr>
            <w:tcW w:w="2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6"/>
              </w:rPr>
              <w:t xml:space="preserve">Title: </w:t>
            </w:r>
            <w:r>
              <w:rPr>
                <w:rFonts w:ascii="Arial" w:cs="Arial" w:eastAsia="Arial" w:hAnsi="Arial"/>
                <w:sz w:val="18"/>
                <w:szCs w:val="18"/>
                <w:i w:val="1"/>
                <w:iCs w:val="1"/>
                <w:color w:val="auto"/>
                <w:w w:val="96"/>
              </w:rPr>
              <w:t>Vice President—Accounting and Chief Accounting Officer</w:t>
            </w:r>
          </w:p>
        </w:tc>
      </w:tr>
    </w:tbl>
    <w:p>
      <w:pPr>
        <w:sectPr>
          <w:pgSz w:w="11900" w:h="16838" w:orient="portrait"/>
          <w:cols w:equalWidth="0" w:num="1">
            <w:col w:w="10920"/>
          </w:cols>
          <w:pgMar w:left="240" w:top="530" w:right="739" w:bottom="144"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38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Unaudited Balance Sheet of Plains AAP, L.P., dated as of September 30, 2005.</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line="5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3860" w:type="dxa"/>
            <w:vAlign w:val="bottom"/>
            <w:gridSpan w:val="3"/>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Unaudited Balance Sheet as of September 30, 2005</w:t>
              </w:r>
            </w:hyperlink>
          </w:p>
        </w:tc>
        <w:tc>
          <w:tcPr>
            <w:tcW w:w="39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3860" w:type="dxa"/>
            <w:vAlign w:val="bottom"/>
            <w:gridSpan w:val="3"/>
            <w:vMerge w:val="continue"/>
          </w:tcPr>
          <w:p>
            <w:pPr>
              <w:spacing w:after="0"/>
              <w:rPr>
                <w:sz w:val="13"/>
                <w:szCs w:val="13"/>
                <w:color w:val="auto"/>
              </w:rPr>
            </w:pPr>
          </w:p>
        </w:tc>
        <w:tc>
          <w:tcPr>
            <w:tcW w:w="3960" w:type="dxa"/>
            <w:vAlign w:val="bottom"/>
          </w:tcPr>
          <w:p>
            <w:pPr>
              <w:spacing w:after="0"/>
              <w:rPr>
                <w:sz w:val="13"/>
                <w:szCs w:val="13"/>
                <w:color w:val="auto"/>
              </w:rPr>
            </w:pPr>
          </w:p>
        </w:tc>
        <w:tc>
          <w:tcPr>
            <w:tcW w:w="440" w:type="dxa"/>
            <w:vAlign w:val="bottom"/>
          </w:tcPr>
          <w:p>
            <w:pPr>
              <w:jc w:val="center"/>
              <w:spacing w:after="0" w:line="142" w:lineRule="exact"/>
              <w:rPr>
                <w:sz w:val="20"/>
                <w:szCs w:val="20"/>
                <w:color w:val="auto"/>
              </w:rPr>
            </w:pPr>
            <w:r>
              <w:rPr>
                <w:rFonts w:ascii="Arial" w:cs="Arial" w:eastAsia="Arial" w:hAnsi="Arial"/>
                <w:sz w:val="16"/>
                <w:szCs w:val="16"/>
                <w:color w:val="auto"/>
                <w:w w:val="99"/>
              </w:rPr>
              <w:t>F-2</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700" w:type="dxa"/>
            <w:vAlign w:val="bottom"/>
            <w:tcBorders>
              <w:top w:val="single" w:sz="8" w:color="0000EE"/>
            </w:tcBorders>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the Unaudited Financial Statement</w:t>
              </w:r>
            </w:hyperlink>
          </w:p>
        </w:tc>
        <w:tc>
          <w:tcPr>
            <w:tcW w:w="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3"/>
        </w:trPr>
        <w:tc>
          <w:tcPr>
            <w:tcW w:w="158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F-1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80" w:type="dxa"/>
            <w:vAlign w:val="bottom"/>
            <w:tcBorders>
              <w:bottom w:val="single" w:sz="8" w:color="010101"/>
            </w:tcBorders>
          </w:tcPr>
          <w:p>
            <w:pPr>
              <w:spacing w:after="0"/>
              <w:rPr>
                <w:sz w:val="24"/>
                <w:szCs w:val="24"/>
                <w:color w:val="auto"/>
              </w:rPr>
            </w:pPr>
          </w:p>
        </w:tc>
        <w:tc>
          <w:tcPr>
            <w:tcW w:w="31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7360" w:type="dxa"/>
            <w:vAlign w:val="bottom"/>
          </w:tcPr>
          <w:p>
            <w:pPr>
              <w:ind w:left="3440"/>
              <w:spacing w:after="0"/>
              <w:rPr>
                <w:sz w:val="20"/>
                <w:szCs w:val="20"/>
                <w:color w:val="auto"/>
              </w:rPr>
            </w:pPr>
            <w:r>
              <w:rPr>
                <w:rFonts w:ascii="Arial" w:cs="Arial" w:eastAsia="Arial" w:hAnsi="Arial"/>
                <w:sz w:val="18"/>
                <w:szCs w:val="18"/>
                <w:b w:val="1"/>
                <w:bCs w:val="1"/>
                <w:color w:val="auto"/>
              </w:rPr>
              <w:t>PLAINS AAP, L.P.</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4"/>
        </w:trPr>
        <w:tc>
          <w:tcPr>
            <w:tcW w:w="7360" w:type="dxa"/>
            <w:vAlign w:val="bottom"/>
          </w:tcPr>
          <w:p>
            <w:pPr>
              <w:ind w:left="2840"/>
              <w:spacing w:after="0"/>
              <w:rPr>
                <w:sz w:val="20"/>
                <w:szCs w:val="20"/>
                <w:color w:val="auto"/>
              </w:rPr>
            </w:pPr>
            <w:r>
              <w:rPr>
                <w:rFonts w:ascii="Arial" w:cs="Arial" w:eastAsia="Arial" w:hAnsi="Arial"/>
                <w:sz w:val="18"/>
                <w:szCs w:val="18"/>
                <w:b w:val="1"/>
                <w:bCs w:val="1"/>
                <w:color w:val="auto"/>
              </w:rPr>
              <w:t>BALANCE SHEET (in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7"/>
        </w:trPr>
        <w:tc>
          <w:tcPr>
            <w:tcW w:w="7360" w:type="dxa"/>
            <w:vAlign w:val="bottom"/>
          </w:tcPr>
          <w:p>
            <w:pPr>
              <w:spacing w:after="0"/>
              <w:rPr>
                <w:sz w:val="24"/>
                <w:szCs w:val="24"/>
                <w:color w:val="auto"/>
              </w:rPr>
            </w:pPr>
          </w:p>
        </w:tc>
        <w:tc>
          <w:tcPr>
            <w:tcW w:w="9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162"/>
        </w:trPr>
        <w:tc>
          <w:tcPr>
            <w:tcW w:w="7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360" w:type="dxa"/>
            <w:vAlign w:val="bottom"/>
          </w:tcPr>
          <w:p>
            <w:pPr>
              <w:spacing w:after="0"/>
              <w:rPr>
                <w:sz w:val="11"/>
                <w:szCs w:val="11"/>
                <w:color w:val="auto"/>
              </w:rPr>
            </w:pPr>
          </w:p>
        </w:tc>
        <w:tc>
          <w:tcPr>
            <w:tcW w:w="9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1"/>
                <w:szCs w:val="11"/>
                <w:color w:val="auto"/>
              </w:rPr>
            </w:pPr>
          </w:p>
        </w:tc>
      </w:tr>
      <w:tr>
        <w:trPr>
          <w:trHeight w:val="216"/>
        </w:trPr>
        <w:tc>
          <w:tcPr>
            <w:tcW w:w="7360" w:type="dxa"/>
            <w:vAlign w:val="bottom"/>
            <w:shd w:val="clear" w:color="auto" w:fill="CCEEFF"/>
          </w:tcPr>
          <w:p>
            <w:pPr>
              <w:ind w:left="32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Cash</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Plains All American Pipeline, L.P.</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67,376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67,383</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237"/>
        </w:trPr>
        <w:tc>
          <w:tcPr>
            <w:tcW w:w="736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LIABILITIES AND PARTNERS’ CAPITAL</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Options Obligation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4"/>
        </w:trPr>
        <w:tc>
          <w:tcPr>
            <w:tcW w:w="7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4"/>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Limited Partners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55,806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Partners’ Capital</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56,248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67,383</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Financial Statement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121"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Plains AAP, L.P. (the “Partnership”) is a Delaware limited partnership, formed on May 21, 2001 and, through a series of transactions, capitalized on June 8, 2001. Through this series of transactions, a predecessor to Vulcan Energy GP Holdings Inc. conveyed to us its general partner interest in Plains All American Pipeline, L.P. (“PAA”) and subsequently sold a portion of its interest in us to certain investors. In August 2005, Sable Investments, L.P. sold its limited partner interest in the Partnership. The remaining owners elected to exercise their right of first refusal, such that the interest was allocated prorata to all remaining owners. As a result of the transaction, the limited partner interest of Vulcan Energy GP Holdings Inc. (“Vulcan Energy”) increased from approximately 44% to approximately 54%. At closing, Vulcan Energy entered into a voting agreement that restricts its ability to unilaterally elect or remove our independent directors, and, separately, PAA’s CEO and COO agreed to waive certain change-of-control payment rights that would otherwise have been triggered by the increase in Vulcan Energy’s ownership interest. Thus, at September 30, 2005, our ownership structure was comprised of a 1% general partner interest held by Plains All American GP LLC (the “General Partner”) and the following limited partner interests (the “Partners”):</w:t>
      </w:r>
    </w:p>
    <w:p>
      <w:pPr>
        <w:spacing w:after="0" w:line="59" w:lineRule="exact"/>
        <w:rPr>
          <w:sz w:val="20"/>
          <w:szCs w:val="20"/>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Vulcan Energy GP Holdings Inc.—53.778%</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KAFU Holdings, L.P.—20.066%</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E-Holdings III, L.P.—8.910%</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E-Holdings V, L.P.—2.09%</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 E. Strome—2.608%</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PAA Management L.P.—4.889%</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Strome MLP Fund, L.P.—1.303%</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Wachovia Investors, Inc.—4.134%</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Lynx Holdings, L.P.—1.222%</w:t>
      </w:r>
    </w:p>
    <w:p>
      <w:pPr>
        <w:spacing w:after="0" w:line="117" w:lineRule="exact"/>
        <w:rPr>
          <w:sz w:val="20"/>
          <w:szCs w:val="20"/>
          <w:color w:val="auto"/>
        </w:rPr>
      </w:pPr>
    </w:p>
    <w:p>
      <w:pPr>
        <w:ind w:right="200" w:firstLine="360"/>
        <w:spacing w:after="0" w:line="342" w:lineRule="auto"/>
        <w:rPr>
          <w:sz w:val="20"/>
          <w:szCs w:val="20"/>
          <w:color w:val="auto"/>
        </w:rPr>
      </w:pPr>
      <w:r>
        <w:rPr>
          <w:rFonts w:ascii="Arial" w:cs="Arial" w:eastAsia="Arial" w:hAnsi="Arial"/>
          <w:sz w:val="16"/>
          <w:szCs w:val="16"/>
          <w:color w:val="auto"/>
        </w:rPr>
        <w:t>As of September 30, 2005, we own a 2% general partner interest in PAA as well as incentive distribution rights, the ownership of which entitles us to receive incentive distributions if the amount that PAA distributes with respect to any quarter exceeds the minimum quarterly distribution of $0.45 per unit as</w:t>
      </w:r>
    </w:p>
    <w:p>
      <w:pPr>
        <w:sectPr>
          <w:pgSz w:w="11900" w:h="16894" w:orient="portrait"/>
          <w:cols w:equalWidth="0" w:num="1">
            <w:col w:w="11460"/>
          </w:cols>
          <w:pgMar w:left="240" w:top="121" w:right="199" w:bottom="0" w:gutter="0" w:footer="0" w:header="0"/>
        </w:sectPr>
      </w:pPr>
    </w:p>
    <w:bookmarkStart w:id="3" w:name="page4"/>
    <w:bookmarkEnd w:id="3"/>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specified in the PAA partnership agreement. We also own, as of September 30, 2005, a limited partner interest consisting of approximately 404,600 common units (see Note 4). PAA is a publicly traded Delaware limited partnership, formed in 1998 and engaged in interstate and intrastate crude oil transportation, and crude oil gathering, marketing, terminalling and storage, as well as the marketing and storage of liquefied petroleum gas and other petroleum products (collectively, “LPG”), in the United States and Canada. In addition, through its 50% equity ownership in PAA/Vulcan Gas Storage LLC, PAA is engaged in the development and operation of natural gas storage facilities. PAA’s operations can be categorized into two primary business activities:</w:t>
      </w:r>
    </w:p>
    <w:p>
      <w:pPr>
        <w:spacing w:after="0" w:line="50" w:lineRule="exact"/>
        <w:rPr>
          <w:sz w:val="20"/>
          <w:szCs w:val="20"/>
          <w:color w:val="auto"/>
        </w:rPr>
      </w:pPr>
    </w:p>
    <w:p>
      <w:pPr>
        <w:ind w:left="360" w:right="320" w:firstLine="360"/>
        <w:spacing w:after="0" w:line="286" w:lineRule="auto"/>
        <w:rPr>
          <w:sz w:val="20"/>
          <w:szCs w:val="20"/>
          <w:color w:val="auto"/>
        </w:rPr>
      </w:pPr>
      <w:r>
        <w:rPr>
          <w:rFonts w:ascii="Arial" w:cs="Arial" w:eastAsia="Arial" w:hAnsi="Arial"/>
          <w:sz w:val="17"/>
          <w:szCs w:val="17"/>
          <w:i w:val="1"/>
          <w:iCs w:val="1"/>
          <w:color w:val="auto"/>
        </w:rPr>
        <w:t xml:space="preserve">Crude Oil Pipeline Transportation Operations. </w:t>
      </w:r>
      <w:r>
        <w:rPr>
          <w:rFonts w:ascii="Arial" w:cs="Arial" w:eastAsia="Arial" w:hAnsi="Arial"/>
          <w:sz w:val="17"/>
          <w:szCs w:val="17"/>
          <w:color w:val="auto"/>
        </w:rPr>
        <w:t>As of September 30, 2005, PAA owned approximately 15,000 miles of active gathering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mainline crude oil pipelines located throughout the United States and Canada. Its activities from pipeline operations generally consist of transporting crude oil for a fee, third party leases of pipeline capacity, barrel exchanges and buy/sell arrangements.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Financial Statement (Continued)</w:t>
      </w:r>
    </w:p>
    <w:p>
      <w:pPr>
        <w:spacing w:after="0" w:line="200" w:lineRule="exact"/>
        <w:rPr>
          <w:sz w:val="20"/>
          <w:szCs w:val="20"/>
          <w:color w:val="auto"/>
        </w:rPr>
      </w:pPr>
    </w:p>
    <w:p>
      <w:pPr>
        <w:spacing w:after="0" w:line="272" w:lineRule="exact"/>
        <w:rPr>
          <w:sz w:val="20"/>
          <w:szCs w:val="20"/>
          <w:color w:val="auto"/>
        </w:rPr>
      </w:pPr>
    </w:p>
    <w:p>
      <w:pPr>
        <w:ind w:left="360" w:firstLine="360"/>
        <w:spacing w:after="0" w:line="288" w:lineRule="auto"/>
        <w:rPr>
          <w:sz w:val="20"/>
          <w:szCs w:val="20"/>
          <w:color w:val="auto"/>
        </w:rPr>
      </w:pPr>
      <w:r>
        <w:rPr>
          <w:rFonts w:ascii="Arial" w:cs="Arial" w:eastAsia="Arial" w:hAnsi="Arial"/>
          <w:sz w:val="16"/>
          <w:szCs w:val="16"/>
          <w:i w:val="1"/>
          <w:iCs w:val="1"/>
          <w:color w:val="auto"/>
        </w:rPr>
        <w:t xml:space="preserve">Gathering, Marketing, Terminalling and Storage Operations. </w:t>
      </w:r>
      <w:r>
        <w:rPr>
          <w:rFonts w:ascii="Arial" w:cs="Arial" w:eastAsia="Arial" w:hAnsi="Arial"/>
          <w:sz w:val="16"/>
          <w:szCs w:val="16"/>
          <w:color w:val="auto"/>
        </w:rPr>
        <w:t>As of September 30, 2005, PAA owned approximately 37 million barrels of active</w:t>
      </w:r>
      <w:r>
        <w:rPr>
          <w:rFonts w:ascii="Arial" w:cs="Arial" w:eastAsia="Arial" w:hAnsi="Arial"/>
          <w:sz w:val="16"/>
          <w:szCs w:val="16"/>
          <w:i w:val="1"/>
          <w:iCs w:val="1"/>
          <w:color w:val="auto"/>
        </w:rPr>
        <w:t xml:space="preserve"> </w:t>
      </w:r>
      <w:r>
        <w:rPr>
          <w:rFonts w:ascii="Arial" w:cs="Arial" w:eastAsia="Arial" w:hAnsi="Arial"/>
          <w:sz w:val="16"/>
          <w:szCs w:val="16"/>
          <w:color w:val="auto"/>
        </w:rPr>
        <w:t>above-ground crude oil terminalling and storage facilities, including tankage associated with its pipeline systems. These facilities include a crude oil terminalling and storage facility at Cushing, Oklahoma. Cushing is one of the largest crude oil market hubs in the United States and the designated delivery point for NYMEX crude oil futures contracts. PAA utilizes its storage tanks to counter-cyclically balance its gathering and marketing operations and to execute various hedging strategies to stabilize profits and reduce the negative impact of crude oil market volatility. PAA’s terminalling and storage operations also generate revenue at the Cushing Interchange and its other locations through a combination of storage and throughput charges to third parties. PAA’s gathering and marketing operations include: (i) the purchase of crude oil at the wellhead and the bulk purchase of crude oil at pipeline and terminal facilities, as well as foreign cargoes; (ii) the transportation of crude oil on trucks, barges and pipelines; (iii) the subsequent resale or exchange of crude oil at various points along the crude oil distribution chain; and (iv) the purchase of LPG from producers, refiners and other marketers, the storage of LPG at storage facilities owned by PAA or other parties and the sale of LPG to wholesalers, retailers and industrial end users.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the disclosure of contingent assets and liabilities at the date of the balance sheet. These estimates include those made in determining the value of the vested options under our Performance Option Plan (see Note 6). Although management believes these estimates are reasonable, actual results could differ, and may differ materially from these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PAA</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account for our ownership investment in PAA in accordance with Accounting Principles Board Opinion No. 18, “The Equity Method of Accounting for Investments in Common Stock.” We have the ability to exercise significant influence over PAA, but not control; and therefore, we account for the investment under the equity method (see Notes 3 and 5). Changes in our ownership interest due to PAA’s issuance of additional capital or other capital transactions that alter our ownership investment are recorded directly to partners’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recipients of the options issued under the Performance Option Plan are employees of our General Partner. The options are options to purchase units of PAA. Thus, the accounting model prescribed by Statement of Financial Accounting Standards (“SFAS”) No. 123 “Accounting for Stock-Based Compensation,” and interpreted by Emerging Issues Task Force Issue No. 96-18 “Accounting for Equity Instruments that are Issued to other than Employees for Acquiring, or in conjunction with Selling, Goods or Services,” is applicable. We account for the options using an approach based on when the options will vest. Once the options vest, we adjust the accrual each period based on their fair market value as calculated using the Black-Scholes Model (see Note 6).</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Financial Statement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No liability for U.S. or Canadian income taxes related to our operations is included in the accompanying financial statement because, as a partnership, we are not subject to Federal, State or Provincial income tax; and the tax effect of our activities accrues to the Partners. The Partners may be required to file U.S. Federal and State, as well as Canadian Federal and Provincial, income tax returns.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w:t>
      </w:r>
    </w:p>
    <w:p>
      <w:pPr>
        <w:spacing w:after="0" w:line="117"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In July 2005, the Emerging Issues Task Force released Issue 04-05, “Determining Whether a General Partner, or the General Partners as a Group, Controls a Limited Partnership or Similar Entity When the Limited Partners Have Certain Rights” (“EITF 04-05”). EITF 04-05 provides guidance in determining whether a general partner controls a limited partnership by determining the limited partners’ substantive ability to dissolve (liquidate) the limited partnership as well as assessing the substantive participating rights of the limited partners within the limited partnership. EITF 04-05 states that if the limited partners do not have substantive ability to dissolve (liquidate) or have substantive participating rights then the general partner is presumed to control that partnership and would be required to consolidate the limited partnership. This EITF is effective in fiscal periods beginning after December 15, 2005 and may result in the consolidation of PAA in our financial statements. We are currently reviewing the potential impact of EITF 04-05 on the Partnership.</w:t>
      </w:r>
    </w:p>
    <w:p>
      <w:pPr>
        <w:sectPr>
          <w:pgSz w:w="11900" w:h="16932" w:orient="portrait"/>
          <w:cols w:equalWidth="0" w:num="1">
            <w:col w:w="11400"/>
          </w:cols>
          <w:pgMar w:left="240" w:top="125" w:right="25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Note 3—Investment in PAA</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Our investment in PAA at September 30, 2005, is approximately $67.4 million. The summarized financial information of PAA at September 30, 2005, is presented below (in millions):</w:t>
      </w:r>
    </w:p>
    <w:p>
      <w:pPr>
        <w:spacing w:after="0" w:line="185"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2,128.1</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Non-current assets</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2,270.6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2,101.0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Long-term debt and other long-term liabilities</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988.6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1,309.1</w:t>
            </w:r>
          </w:p>
        </w:tc>
      </w:tr>
    </w:tbl>
    <w:p>
      <w:pPr>
        <w:spacing w:after="0" w:line="256"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At the date of inception, our investment in PAA exceeded our share of the underlying equity in the net assets of PAA by approximately $44.5 million. This excess is related to the fair value of PAA’s crude oil pipelines and other assets at the time of inception and is amortized on a straight-line basis over their estimated useful life of 30 years. At September 30, 2005, the unamortized portion of this excess was approximately $34.6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4—Contribution of Subordinated Units</w:t>
      </w:r>
    </w:p>
    <w:p>
      <w:pPr>
        <w:spacing w:after="0" w:line="12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On June 8, 2001, certain of our limited partners contributed to us an aggregate of 450,000 subordinated units of PAA. In November 2003, 25% of these subordinated units converted into common units, and the remaining 75% converted into common units in February 2004. These 450,000 units (the “Option Units”) are intended for use in connection with an option plan pursuant to which certain members of the management of our general partner, subject to the satisfaction of vesting criteria, have 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Financial Statement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right to purchase a portion of such Option Units. The breakdown of the options associated with these units at September 30, 2005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940" w:type="dxa"/>
            <w:vAlign w:val="bottom"/>
          </w:tcPr>
          <w:p>
            <w:pPr>
              <w:spacing w:after="0"/>
              <w:rPr>
                <w:sz w:val="24"/>
                <w:szCs w:val="24"/>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options outstanding</w:t>
            </w:r>
            <w:r>
              <w:rPr>
                <w:rFonts w:ascii="Arial" w:cs="Arial" w:eastAsia="Arial" w:hAnsi="Arial"/>
                <w:sz w:val="30"/>
                <w:szCs w:val="30"/>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392,125</w:t>
            </w:r>
          </w:p>
        </w:tc>
        <w:tc>
          <w:tcPr>
            <w:tcW w:w="60" w:type="dxa"/>
            <w:vAlign w:val="bottom"/>
            <w:shd w:val="clear" w:color="auto" w:fill="CCEEFF"/>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Exercised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55,875</w:t>
            </w:r>
          </w:p>
        </w:tc>
        <w:tc>
          <w:tcPr>
            <w:tcW w:w="60" w:type="dxa"/>
            <w:vAlign w:val="bottom"/>
            <w:tcBorders>
              <w:bottom w:val="single" w:sz="8" w:color="CCEEFF"/>
            </w:tcBorders>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options issued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448,000</w:t>
            </w:r>
          </w:p>
        </w:tc>
        <w:tc>
          <w:tcPr>
            <w:tcW w:w="6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Available for grant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bottom w:val="single" w:sz="8" w:color="CCEEFF"/>
            </w:tcBorders>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450,000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5"/>
        </w:trPr>
        <w:tc>
          <w:tcPr>
            <w:tcW w:w="19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80"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5"/>
          <w:szCs w:val="15"/>
          <w:color w:val="auto"/>
        </w:rPr>
        <w:t>All options vested in August 2005 due to a change in control (see Note 1).</w:t>
      </w:r>
    </w:p>
    <w:p>
      <w:pPr>
        <w:spacing w:after="0" w:line="13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Generally, until the exercise of the remainder of such options, we will continue to own and receive any distributions paid by PAA with respect to the Option Units, and any distributions we make as a result of the receipt of distributions on the Option Units will be paid to our limited partners in proportion to the original contribution of the Option Units. See Note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5—Partners’ Capital</w:t>
      </w:r>
    </w:p>
    <w:p>
      <w:pPr>
        <w:spacing w:after="0" w:line="12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distribute all of our available cash, less reserves established by management, on a quarterly basis. Except as described in Note 4, distributions are paid to the partners in proportion to their percentage interest in the Partnership. Included in partners’ capital is accumulated other comprehensive income of approximately $5.8 million related to our share of PAA’s accumulated other comprehensive income (loss). Other comprehensive income (loss) is allocated based on each partner’s ownership interest.</w:t>
      </w:r>
    </w:p>
    <w:p>
      <w:pPr>
        <w:spacing w:after="0" w:line="79"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 management of litigation. Our General Partner (or, in the case of PAA’s Canadian operations, PMC (Nova Scotia) Company) employs all officers and personnel involved in the operation and management of PAA and its subsidiaries. PAA reimburses the General Partner for expenses, including compensation expenses, related to such operation and management. We have no commitment or intent to fund cash flow deficits or furnish other financial assistance to PAA.</w:t>
      </w:r>
    </w:p>
    <w:p>
      <w:pPr>
        <w:spacing w:after="0" w:line="5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Because we hold PAA common units, we recognize a change of interest gain or loss at the time of each PAA equity transaction involving the issuance of PAA common units. The gain or loss is the product of (i) the amount by which the transaction price is more or less than our average carrying amount per unit and (ii) the number of common units we hold. Such gains or losses reflect the change in the book value of our equity in PAA compared to our proportionate share of the change in the underlying net assets of PAA due to the equity transaction.</w:t>
      </w:r>
    </w:p>
    <w:p>
      <w:pPr>
        <w:spacing w:after="0" w:line="7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During the first quarter of 2005, holders of PAA’s Class B and Class C common units converted such units into PAA common units. Also during the first quarter of 2005, PAA issued 575,000 common units to a subsidiary of Vulcan Energy Corporation at a price of $38.13 per unit. In conjunction with that offering, we received additional investments from the Partners and made a contribution to PAA totaling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Financial Statement (Continued)</w:t>
      </w:r>
    </w:p>
    <w:p>
      <w:pPr>
        <w:sectPr>
          <w:pgSz w:w="11900" w:h="16838" w:orient="portrait"/>
          <w:cols w:equalWidth="0" w:num="1">
            <w:col w:w="11400"/>
          </w:cols>
          <w:pgMar w:left="240" w:top="121" w:right="259" w:bottom="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t>approximately $0.4 million. We recognized a gain of $0.4 million in our partners’ capital related to the conversion of the Class B and Class C common units and the offering of common units.</w:t>
      </w:r>
    </w:p>
    <w:p>
      <w:pPr>
        <w:spacing w:after="0" w:line="62" w:lineRule="exact"/>
        <w:rPr>
          <w:sz w:val="20"/>
          <w:szCs w:val="20"/>
          <w:color w:val="auto"/>
        </w:rPr>
      </w:pPr>
    </w:p>
    <w:p>
      <w:pPr>
        <w:ind w:right="220" w:firstLine="360"/>
        <w:spacing w:after="0" w:line="255" w:lineRule="auto"/>
        <w:rPr>
          <w:sz w:val="20"/>
          <w:szCs w:val="20"/>
          <w:color w:val="auto"/>
        </w:rPr>
      </w:pPr>
      <w:r>
        <w:rPr>
          <w:rFonts w:ascii="Arial" w:cs="Arial" w:eastAsia="Arial" w:hAnsi="Arial"/>
          <w:sz w:val="18"/>
          <w:szCs w:val="18"/>
          <w:color w:val="auto"/>
        </w:rPr>
        <w:t>During September 2005, PAA completed a public offering of 4,500,000 common units for $42.20 per unit ($40.512 per unit, net of underwriting discounts and commissions). Concurrently with the closing of the public offering, PAA completed the sale of 679,000 common units to investment funds affiliated with Kayne Anderson Capital Advisors, L.P. in a privately negotiated, registered transaction for a purchase price of $40.512 per unit (the public offering price less underwriting discounts and commissions). In conjunction with these offerings, we received additional investments from the Partners and made a contribution to PAA totaling approximately $4.4 million. We recognized a gain of $0.7 million in our partners’ capital related to the offering of common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6—Performance Option Plan</w:t>
      </w:r>
    </w:p>
    <w:p>
      <w:pPr>
        <w:spacing w:after="0" w:line="12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June 2001, the Performance Option Plan (the “Plan”) was approved by our General Partner to grant options to purchase up to 450,000 Option Units of PAA to employees of the General Partner (see Note 4). Substantially all available options under the Plan have been issued. The options were granted with a per unit exercise price of $22, less 80% of any per unit distribution on an Option Unit from June 2001, until the date of exercise. As of November 14, 2005, the exercise price has been reduced to approximately $13.85 for distributions made since June 2001.</w:t>
      </w:r>
    </w:p>
    <w:p>
      <w:pPr>
        <w:spacing w:after="0" w:line="63" w:lineRule="exact"/>
        <w:rPr>
          <w:sz w:val="20"/>
          <w:szCs w:val="20"/>
          <w:color w:val="auto"/>
        </w:rPr>
      </w:pPr>
    </w:p>
    <w:p>
      <w:pPr>
        <w:jc w:val="both"/>
        <w:ind w:right="160" w:firstLine="360"/>
        <w:spacing w:after="0" w:line="312" w:lineRule="auto"/>
        <w:rPr>
          <w:sz w:val="20"/>
          <w:szCs w:val="20"/>
          <w:color w:val="auto"/>
        </w:rPr>
      </w:pPr>
      <w:r>
        <w:rPr>
          <w:rFonts w:ascii="Arial" w:cs="Arial" w:eastAsia="Arial" w:hAnsi="Arial"/>
          <w:sz w:val="16"/>
          <w:szCs w:val="16"/>
          <w:color w:val="auto"/>
        </w:rPr>
        <w:t>At September 30, 2005, there were 392,125 vested options outstanding. These options are considered performance awards and are accounted for at fair value upon vesting and are revalued at each financial statement date based on the Black-Scholes Model. At September 30, 2005, the estimated fair value of $28.40 per unit resulted in a cumulative reduction of the Partners’ capital accounts and a corresponding liability of approximately $11.1 million.</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facts and assumptions used in the Black-Scholes Model at September 30, 2005,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Assumptions</w:t>
            </w:r>
          </w:p>
        </w:tc>
        <w:tc>
          <w:tcPr>
            <w:tcW w:w="1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2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Weighted Average</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Vested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 Rate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Expected Life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Expected Volatility</w:t>
            </w:r>
          </w:p>
        </w:tc>
        <w:tc>
          <w:tcPr>
            <w:tcW w:w="1540" w:type="dxa"/>
            <w:vAlign w:val="bottom"/>
            <w:gridSpan w:val="2"/>
          </w:tcPr>
          <w:p>
            <w:pPr>
              <w:jc w:val="center"/>
              <w:ind w:right="320"/>
              <w:spacing w:after="0" w:line="162" w:lineRule="exact"/>
              <w:rPr>
                <w:sz w:val="20"/>
                <w:szCs w:val="20"/>
                <w:color w:val="auto"/>
              </w:rPr>
            </w:pPr>
            <w:r>
              <w:rPr>
                <w:rFonts w:ascii="Arial" w:cs="Arial" w:eastAsia="Arial" w:hAnsi="Arial"/>
                <w:sz w:val="14"/>
                <w:szCs w:val="14"/>
                <w:b w:val="1"/>
                <w:bCs w:val="1"/>
                <w:color w:val="auto"/>
                <w:w w:val="92"/>
              </w:rPr>
              <w:t>Dividend Yield</w:t>
            </w:r>
            <w:r>
              <w:rPr>
                <w:rFonts w:ascii="Arial" w:cs="Arial" w:eastAsia="Arial" w:hAnsi="Arial"/>
                <w:sz w:val="17"/>
                <w:szCs w:val="17"/>
                <w:b w:val="1"/>
                <w:bCs w:val="1"/>
                <w:color w:val="auto"/>
                <w:w w:val="92"/>
                <w:vertAlign w:val="superscript"/>
              </w:rPr>
              <w:t>(1)</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392,125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392,125</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color w:val="auto"/>
              </w:rPr>
              <w:t>3.75%</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8"/>
                <w:szCs w:val="18"/>
                <w:color w:val="auto"/>
              </w:rPr>
              <w:t>21.47%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8"/>
                <w:szCs w:val="18"/>
                <w:color w:val="auto"/>
              </w:rPr>
              <w:t>1.79%</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5"/>
          <w:szCs w:val="15"/>
          <w:color w:val="auto"/>
        </w:rPr>
        <w:t>Reflects 20% of anticipated dividend yield. The adjustment is to provide for the reduction in the exercise price of the options equal to 80% of distributions.</w:t>
      </w:r>
    </w:p>
    <w:p>
      <w:pPr>
        <w:spacing w:after="0" w:line="13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During the first nine months of 2005, approximately 53,000 options were exercised, resulting in the issuance of approximately 35,000 Option Units of PAA, after netting units for the exercise price. In conjunction with this exercise, we recorded a gain of approximately $857,000, which represents the difference between (i) the combination of the exercise price and the exercised portion of the Performance Options Obligation and (ii) our weighted average basis in the Option Units.</w:t>
      </w:r>
    </w:p>
    <w:p>
      <w:pPr>
        <w:spacing w:after="0" w:line="79"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During the second quarter, our general partner purchased 7,500 of the PAA units that we owned after the net exercise of options discussed above. The purchase of the PAA units by our general partner was made at the market price. We also recorded a gain on that transaction of approximately $208,000, representing the difference between the purchase price and our weighted averaged basis in the PAA units. Additionally, we reduced the capital accounts of the limited partners and general partner by approximately $316,000 related to the purchase of the PAA units. This is because we are obligated to return any proceeds from the sale of PAA units to the limited partners that contributed the PAA units initially (see Note 4).</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Financial Statement (Continued)</w:t>
      </w:r>
    </w:p>
    <w:p>
      <w:pPr>
        <w:spacing w:after="0" w:line="200" w:lineRule="exact"/>
        <w:rPr>
          <w:sz w:val="20"/>
          <w:szCs w:val="20"/>
          <w:color w:val="auto"/>
        </w:rPr>
      </w:pPr>
    </w:p>
    <w:p>
      <w:pPr>
        <w:spacing w:after="0" w:line="272" w:lineRule="exact"/>
        <w:rPr>
          <w:sz w:val="20"/>
          <w:szCs w:val="20"/>
          <w:color w:val="auto"/>
        </w:rPr>
      </w:pPr>
    </w:p>
    <w:p>
      <w:pPr>
        <w:ind w:firstLine="360"/>
        <w:spacing w:after="0" w:line="270" w:lineRule="auto"/>
        <w:rPr>
          <w:sz w:val="20"/>
          <w:szCs w:val="20"/>
          <w:color w:val="auto"/>
        </w:rPr>
      </w:pPr>
      <w:r>
        <w:rPr>
          <w:rFonts w:ascii="Arial" w:cs="Arial" w:eastAsia="Arial" w:hAnsi="Arial"/>
          <w:sz w:val="18"/>
          <w:szCs w:val="18"/>
          <w:color w:val="auto"/>
        </w:rPr>
        <w:t xml:space="preserve">During the first quarter of 2005, the Board of Directors of our General Partner approved </w:t>
      </w:r>
      <w:r>
        <w:rPr>
          <w:rFonts w:ascii="Arial" w:cs="Arial" w:eastAsia="Arial" w:hAnsi="Arial"/>
          <w:sz w:val="17"/>
          <w:szCs w:val="17"/>
          <w:color w:val="auto"/>
        </w:rPr>
        <w:t>amendments to the Plan. The Plan, as amended, requires options</w:t>
      </w:r>
      <w:r>
        <w:rPr>
          <w:rFonts w:ascii="Arial" w:cs="Arial" w:eastAsia="Arial" w:hAnsi="Arial"/>
          <w:sz w:val="18"/>
          <w:szCs w:val="18"/>
          <w:color w:val="auto"/>
        </w:rPr>
        <w:t xml:space="preserve"> </w:t>
      </w:r>
      <w:r>
        <w:rPr>
          <w:rFonts w:ascii="Arial" w:cs="Arial" w:eastAsia="Arial" w:hAnsi="Arial"/>
          <w:sz w:val="17"/>
          <w:szCs w:val="17"/>
          <w:color w:val="auto"/>
        </w:rPr>
        <w:t>that vest in 2005 or thereafter to be exercised in the year in which they vest. In August 2005, because of the change in ownership discussed in Note 1, all unvested options under the Plan became fully vested. The following table details exercises of options:</w:t>
      </w:r>
    </w:p>
    <w:p>
      <w:pPr>
        <w:spacing w:after="0" w:line="140"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Vested</w:t>
            </w: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Vested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jc w:val="center"/>
              <w:ind w:right="400"/>
              <w:spacing w:after="0" w:line="135" w:lineRule="exact"/>
              <w:rPr>
                <w:sz w:val="20"/>
                <w:szCs w:val="20"/>
                <w:color w:val="auto"/>
              </w:rPr>
            </w:pPr>
            <w:r>
              <w:rPr>
                <w:rFonts w:ascii="Arial" w:cs="Arial" w:eastAsia="Arial" w:hAnsi="Arial"/>
                <w:sz w:val="14"/>
                <w:szCs w:val="14"/>
                <w:b w:val="1"/>
                <w:bCs w:val="1"/>
                <w:color w:val="auto"/>
                <w:w w:val="97"/>
              </w:rPr>
              <w:t>Prior</w:t>
            </w:r>
          </w:p>
        </w:tc>
        <w:tc>
          <w:tcPr>
            <w:tcW w:w="9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During</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to 2005</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Unexercised</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183,375</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208,750</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392,125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Exercised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261,500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680" w:firstLine="360"/>
        <w:spacing w:after="0" w:line="342" w:lineRule="auto"/>
        <w:rPr>
          <w:sz w:val="20"/>
          <w:szCs w:val="20"/>
          <w:color w:val="auto"/>
        </w:rPr>
      </w:pPr>
      <w:r>
        <w:rPr>
          <w:rFonts w:ascii="Arial" w:cs="Arial" w:eastAsia="Arial" w:hAnsi="Arial"/>
          <w:sz w:val="16"/>
          <w:szCs w:val="16"/>
          <w:color w:val="auto"/>
        </w:rPr>
        <w:t>PAA declared a cash distribution to the Partnership of $5.7 million ($1.0 million for its general partner interest and $4.7 million for its incentive distribution interest) for the third quarter of 2005. The distribution, which was declared on October 25, 2005, was received on November 14,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Issuance</w:t>
      </w:r>
    </w:p>
    <w:p>
      <w:pPr>
        <w:spacing w:after="0" w:line="117" w:lineRule="exact"/>
        <w:rPr>
          <w:sz w:val="20"/>
          <w:szCs w:val="20"/>
          <w:color w:val="auto"/>
        </w:rPr>
      </w:pPr>
    </w:p>
    <w:p>
      <w:pPr>
        <w:ind w:right="480" w:firstLine="360"/>
        <w:spacing w:after="0" w:line="264" w:lineRule="auto"/>
        <w:rPr>
          <w:sz w:val="20"/>
          <w:szCs w:val="20"/>
          <w:color w:val="auto"/>
        </w:rPr>
      </w:pPr>
      <w:r>
        <w:rPr>
          <w:rFonts w:ascii="Arial" w:cs="Arial" w:eastAsia="Arial" w:hAnsi="Arial"/>
          <w:sz w:val="18"/>
          <w:szCs w:val="18"/>
          <w:color w:val="auto"/>
        </w:rPr>
        <w:t>During October 2005, the underwriters of the above mentioned public offering exercised their over-allotment option on 675,000 common units for $42.20 per unit. In conjunction with this offering, we received additional investment from the Partners and made a contribution to PAA totaling approximately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Performance Option Plan Units</w:t>
      </w:r>
    </w:p>
    <w:p>
      <w:pPr>
        <w:spacing w:after="0" w:line="117"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In November and December of 2005, we sold approximately 170,000 units in a “10b5-1 Plan.” The proceeds of the sales were allocated among the payment of tax liabilities and cash payments to optionees and to our partners.</w:t>
      </w:r>
    </w:p>
    <w:p>
      <w:pPr>
        <w:sectPr>
          <w:pgSz w:w="11900" w:h="16838" w:orient="portrait"/>
          <w:cols w:equalWidth="0" w:num="1">
            <w:col w:w="11400"/>
          </w:cols>
          <w:pgMar w:left="240" w:top="125" w:right="259"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125" w:right="259" w:bottom="0" w:gutter="0" w:footer="0" w:header="0"/>
          <w:type w:val="continuous"/>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2020-02-05T09:03:50Z</dcterms:created>
  <dcterms:modified xsi:type="dcterms:W3CDTF">2020-02-05T09:03:50Z</dcterms:modified>
</cp:coreProperties>
</file>