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16" w:space="1" w:color="000000"/>
        </w:rPr>
      </w:pPr>
      <w:bookmarkStart w:id="0" w:name="scotch"/>
      <w:bookmarkStart w:id="1" w:name="a05-12477_18k.htm"/>
      <w:bookmarkStart w:id="2" w:name="ksa0512477_18k"/>
      <w:bookmarkEnd w:id="0"/>
      <w:bookmarkEnd w:id="1"/>
      <w:bookmarkEnd w:id="2"/>
      <w:r>
        <w:rPr>
          <w:bdr w:val="double" w:sz="16" w:space="1" w:color="000000"/>
        </w:rPr>
        <w:t> </w:t>
      </w:r>
    </w:p>
    <w:p>
      <w:pPr>
        <w:pStyle w:val="TextBody"/>
        <w:spacing w:before="0" w:after="0"/>
        <w:ind w:left="0" w:right="0" w:hanging="0"/>
        <w:rPr>
          <w:rFonts w:ascii="Times New Roman" w:hAnsi="Times New Roman"/>
          <w:b/>
          <w:sz w:val="30"/>
        </w:rPr>
      </w:pPr>
      <w:r>
        <w:rPr>
          <w:rFonts w:ascii="Times New Roman" w:hAnsi="Times New Roman"/>
          <w:b/>
          <w:sz w:val="30"/>
        </w:rPr>
        <w:t>UNITED STATES</w:t>
        <w:br/>
        <w:t>SECURITIES AND EXCHANGE COMMISSION</w:t>
      </w:r>
    </w:p>
    <w:p>
      <w:pPr>
        <w:pStyle w:val="TextBody"/>
        <w:keepNext w:val="true"/>
        <w:spacing w:before="0" w:after="360"/>
        <w:ind w:left="0" w:right="0" w:hanging="0"/>
        <w:jc w:val="center"/>
        <w:rPr>
          <w:rFonts w:ascii="Times New Roman" w:hAnsi="Times New Roman"/>
          <w:b/>
          <w:sz w:val="17"/>
        </w:rPr>
      </w:pPr>
      <w:r>
        <w:rPr>
          <w:rFonts w:ascii="Times New Roman" w:hAnsi="Times New Roman"/>
          <w:b/>
          <w:sz w:val="17"/>
        </w:rPr>
        <w:t>Washington, D.C. 20549</w:t>
      </w:r>
    </w:p>
    <w:p>
      <w:pPr>
        <w:pStyle w:val="TextBody"/>
        <w:keepNext w:val="true"/>
        <w:spacing w:before="0" w:after="360"/>
        <w:ind w:left="0" w:right="0" w:hanging="0"/>
        <w:jc w:val="center"/>
        <w:rPr>
          <w:rFonts w:ascii="Times New Roman" w:hAnsi="Times New Roman"/>
          <w:b/>
          <w:sz w:val="30"/>
        </w:rPr>
      </w:pPr>
      <w:r>
        <w:rPr>
          <w:rFonts w:ascii="Times New Roman" w:hAnsi="Times New Roman"/>
          <w:b/>
          <w:sz w:val="30"/>
        </w:rPr>
        <w:t>FORM 8-K</w:t>
      </w:r>
    </w:p>
    <w:p>
      <w:pPr>
        <w:pStyle w:val="TextBody"/>
        <w:keepNext w:val="true"/>
        <w:spacing w:before="0" w:after="36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keepNext w:val="true"/>
        <w:spacing w:before="0" w:after="360"/>
        <w:ind w:left="0" w:right="0" w:hanging="0"/>
        <w:jc w:val="center"/>
        <w:rPr>
          <w:rFonts w:ascii="Times New Roman" w:hAnsi="Times New Roman"/>
          <w:sz w:val="17"/>
        </w:rPr>
      </w:pPr>
      <w:r>
        <w:rPr>
          <w:rFonts w:ascii="Times New Roman" w:hAnsi="Times New Roman"/>
          <w:sz w:val="17"/>
        </w:rPr>
        <w:t>Date of Report (Date of earliest event reported)</w:t>
      </w:r>
      <w:r>
        <w:rPr>
          <w:rFonts w:ascii="Times New Roman" w:hAnsi="Times New Roman"/>
          <w:b/>
          <w:sz w:val="17"/>
        </w:rPr>
        <w:t>July 28, 2005</w:t>
      </w:r>
    </w:p>
    <w:p>
      <w:pPr>
        <w:pStyle w:val="TextBody"/>
        <w:spacing w:before="0" w:after="0"/>
        <w:ind w:left="0" w:right="0" w:hanging="0"/>
        <w:rPr>
          <w:rFonts w:ascii="Times New Roman" w:hAnsi="Times New Roman"/>
          <w:b/>
          <w:sz w:val="30"/>
        </w:rPr>
      </w:pPr>
      <w:r>
        <w:rPr>
          <w:rFonts w:ascii="Times New Roman" w:hAnsi="Times New Roman"/>
          <w:b/>
          <w:sz w:val="30"/>
        </w:rPr>
        <w:t>Plains All American Pipeline, L.P.</w:t>
      </w:r>
    </w:p>
    <w:p>
      <w:pPr>
        <w:pStyle w:val="TextBody"/>
        <w:keepNext w:val="true"/>
        <w:spacing w:before="0" w:after="480"/>
        <w:ind w:left="0" w:right="0" w:hanging="0"/>
        <w:jc w:val="center"/>
        <w:rPr>
          <w:rFonts w:ascii="Times New Roman" w:hAnsi="Times New Roman"/>
          <w:sz w:val="17"/>
        </w:rPr>
      </w:pPr>
      <w:r>
        <w:rPr>
          <w:rFonts w:ascii="Times New Roman" w:hAnsi="Times New Roman"/>
          <w:sz w:val="17"/>
        </w:rPr>
        <w:t>(Exact name of registrant as specified in its charter)</w:t>
      </w:r>
    </w:p>
    <w:tbl>
      <w:tblPr>
        <w:tblW w:w="9135" w:type="dxa"/>
        <w:jc w:val="center"/>
        <w:tblInd w:w="0" w:type="dxa"/>
        <w:tblCellMar>
          <w:top w:w="0" w:type="dxa"/>
          <w:left w:w="0" w:type="dxa"/>
          <w:bottom w:w="0" w:type="dxa"/>
          <w:right w:w="0" w:type="dxa"/>
        </w:tblCellMar>
      </w:tblPr>
      <w:tblGrid>
        <w:gridCol w:w="3045"/>
        <w:gridCol w:w="3045"/>
        <w:gridCol w:w="3045"/>
      </w:tblGrid>
      <w:tr>
        <w:trPr/>
        <w:tc>
          <w:tcPr>
            <w:tcW w:w="3045" w:type="dxa"/>
            <w:tcBorders/>
            <w:shd w:fill="auto" w:val="clear"/>
          </w:tcPr>
          <w:p>
            <w:pPr>
              <w:pStyle w:val="TableContents"/>
              <w:spacing w:before="0" w:after="0"/>
              <w:ind w:left="0" w:right="0" w:hanging="0"/>
              <w:jc w:val="center"/>
              <w:rPr>
                <w:b/>
                <w:sz w:val="17"/>
              </w:rPr>
            </w:pPr>
            <w:r>
              <w:rPr>
                <w:b/>
                <w:sz w:val="17"/>
              </w:rPr>
              <w:t>DELAWARE</w:t>
            </w:r>
          </w:p>
        </w:tc>
        <w:tc>
          <w:tcPr>
            <w:tcW w:w="304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304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0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w:t>
              <w:br/>
              <w:t>of incorporation)</w:t>
            </w:r>
          </w:p>
        </w:tc>
        <w:tc>
          <w:tcPr>
            <w:tcW w:w="30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w:t>
              <w:br/>
              <w:t>File Number)</w:t>
            </w:r>
          </w:p>
        </w:tc>
        <w:tc>
          <w:tcPr>
            <w:tcW w:w="30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br/>
              <w:t>Identification No.)</w:t>
            </w:r>
          </w:p>
        </w:tc>
      </w:tr>
    </w:tbl>
    <w:p>
      <w:pPr>
        <w:pStyle w:val="TextBody"/>
        <w:spacing w:lineRule="atLeast" w:line="141" w:before="0" w:after="480"/>
        <w:ind w:left="0" w:right="0" w:hanging="0"/>
        <w:rPr/>
      </w:pPr>
      <w:r>
        <w:rPr/>
        <w:t> </w:t>
      </w:r>
    </w:p>
    <w:p>
      <w:pPr>
        <w:pStyle w:val="TextBody"/>
        <w:keepNext w:val="true"/>
        <w:spacing w:before="0" w:after="360"/>
        <w:ind w:left="0" w:right="0" w:hanging="0"/>
        <w:jc w:val="center"/>
        <w:rPr>
          <w:rFonts w:ascii="Times New Roman" w:hAnsi="Times New Roman"/>
          <w:sz w:val="17"/>
        </w:rPr>
      </w:pPr>
      <w:r>
        <w:rPr>
          <w:rFonts w:ascii="Times New Roman" w:hAnsi="Times New Roman"/>
          <w:b/>
          <w:sz w:val="17"/>
        </w:rPr>
        <w:t>333 Clay Street, Suite 1600, Houston, Texas 77002</w:t>
      </w:r>
      <w:r>
        <w:rPr>
          <w:rFonts w:ascii="Times New Roman" w:hAnsi="Times New Roman"/>
          <w:sz w:val="17"/>
        </w:rPr>
        <w:br/>
        <w:t>(Address of principal executive offices) (Zip Code)</w:t>
      </w:r>
    </w:p>
    <w:p>
      <w:pPr>
        <w:pStyle w:val="TextBody"/>
        <w:keepNext w:val="true"/>
        <w:spacing w:before="0" w:after="36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keepNext w:val="true"/>
        <w:spacing w:before="0" w:after="36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keepNext w:val="true"/>
        <w:spacing w:before="0" w:after="360"/>
        <w:ind w:left="0" w:right="0" w:firstLine="40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360"/>
        <w:ind w:left="400" w:right="0" w:hanging="40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360"/>
        <w:ind w:left="400" w:right="0" w:hanging="40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36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34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3" w:name="Item9_01_FinancialStatementsAndEx_195107"/>
      <w:bookmarkEnd w:id="3"/>
      <w:r>
        <w:rPr>
          <w:rFonts w:ascii="Times New Roman" w:hAnsi="Times New Roman"/>
          <w:b/>
          <w:sz w:val="17"/>
        </w:rPr>
        <w:t>Item 9.01.  Financial Statements and Exhibits</w:t>
      </w:r>
    </w:p>
    <w:p>
      <w:pPr>
        <w:pStyle w:val="TextBody"/>
        <w:spacing w:before="0" w:after="240"/>
        <w:ind w:left="0" w:right="0" w:firstLine="400"/>
        <w:rPr>
          <w:rFonts w:ascii="Times New Roman" w:hAnsi="Times New Roman"/>
          <w:sz w:val="17"/>
        </w:rPr>
      </w:pPr>
      <w:r>
        <w:rPr>
          <w:rFonts w:ascii="Times New Roman" w:hAnsi="Times New Roman"/>
          <w:sz w:val="17"/>
        </w:rPr>
        <w:t>(c)   Exhibit 99.1Press Release dated July 28, 2005</w:t>
      </w:r>
    </w:p>
    <w:p>
      <w:pPr>
        <w:pStyle w:val="TextBody"/>
        <w:keepNext w:val="true"/>
        <w:spacing w:before="0" w:after="120"/>
        <w:ind w:left="200" w:right="0" w:hanging="200"/>
        <w:rPr>
          <w:rFonts w:ascii="Times New Roman" w:hAnsi="Times New Roman"/>
          <w:b/>
          <w:sz w:val="17"/>
        </w:rPr>
      </w:pPr>
      <w:bookmarkStart w:id="4" w:name="Item2_02And7_01_RegulationFdDiscl_195107"/>
      <w:bookmarkEnd w:id="4"/>
      <w:r>
        <w:rPr>
          <w:rFonts w:ascii="Times New Roman" w:hAnsi="Times New Roman"/>
          <w:b/>
          <w:sz w:val="17"/>
        </w:rPr>
        <w:t>Item 2.02 and Item 7.01.   Regulation FD Disclosure; Results of Operations and Financial Condition</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(the Partnership) today issued a press release reporting its second quarter 2005 results. We are furnishing the press release, attached as Exhibit 99.1, pursuant to Item 2.02 and Item 7.01 of Form 8-K. Pursuant to Item 7.01 we are updating certain aspects of our previous guidance for financial performance for the third quarter, fourth quarter and full year of calendar 2005. In accordance with General Instruction B.2. of Form 8-K, the information presented herein under Item 2.02 and Item 7.01 shall not be deemed filed for purposes of Section 18 of the Securities Act of 1934, as amended, nor shall it be deemed incorporated by reference in any filing under the Securities Act of 1933, as amended, except as expressly set forth by specific reference in such a filing.</w:t>
      </w:r>
    </w:p>
    <w:p>
      <w:pPr>
        <w:pStyle w:val="TextBody"/>
        <w:keepNext w:val="true"/>
        <w:spacing w:before="0" w:after="120"/>
        <w:ind w:left="200" w:right="0" w:hanging="200"/>
        <w:rPr>
          <w:rFonts w:ascii="Times New Roman" w:hAnsi="Times New Roman"/>
          <w:b/>
          <w:sz w:val="17"/>
        </w:rPr>
      </w:pPr>
      <w:bookmarkStart w:id="5" w:name="UpdateOfThirdQuarterAndFullYear20_195108"/>
      <w:bookmarkEnd w:id="5"/>
      <w:r>
        <w:rPr>
          <w:rFonts w:ascii="Times New Roman" w:hAnsi="Times New Roman"/>
          <w:b/>
          <w:sz w:val="17"/>
        </w:rPr>
        <w:t>Update of Third Quarter, Fourth Quarter and Full Year 2005 Guidance</w:t>
      </w:r>
    </w:p>
    <w:p>
      <w:pPr>
        <w:pStyle w:val="TextBody"/>
        <w:spacing w:before="0" w:after="120"/>
        <w:ind w:left="0" w:right="0" w:firstLine="400"/>
        <w:rPr>
          <w:rFonts w:ascii="Times New Roman" w:hAnsi="Times New Roman"/>
          <w:sz w:val="17"/>
        </w:rPr>
      </w:pPr>
      <w:r>
        <w:rPr>
          <w:rFonts w:ascii="Times New Roman" w:hAnsi="Times New Roman"/>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11 below, we reconcile EBITDA and EBIT to net income for the guidance periods presented. However, it is impractical to reconcile EBIT and EBITDA to cash flows from operating activities for forecasted periods. We also encourage you to visit our website at </w:t>
      </w:r>
      <w:r>
        <w:rPr>
          <w:rFonts w:ascii="Times New Roman" w:hAnsi="Times New Roman"/>
          <w:i/>
          <w:sz w:val="17"/>
        </w:rPr>
        <w:t>www.paalp.com</w:t>
      </w:r>
      <w:r>
        <w:rPr>
          <w:rFonts w:ascii="Times New Roman" w:hAnsi="Times New Roman"/>
          <w:sz w:val="17"/>
        </w:rPr>
        <w:t>,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on EBITDA, Net Income and Net Income per Limited Partner Unit of our long-term incentive program, revaluations of foreign currency and, to the extent known, gains and losses related to SFAS 133 (primarily non-cash, mark-to-market adjustments).</w:t>
      </w:r>
    </w:p>
    <w:p>
      <w:pPr>
        <w:pStyle w:val="TextBody"/>
        <w:spacing w:before="0" w:after="120"/>
        <w:ind w:left="0" w:right="0" w:firstLine="400"/>
        <w:rPr>
          <w:rFonts w:ascii="Times New Roman" w:hAnsi="Times New Roman"/>
          <w:sz w:val="17"/>
        </w:rPr>
      </w:pPr>
      <w:r>
        <w:rPr>
          <w:rFonts w:ascii="Times New Roman" w:hAnsi="Times New Roman"/>
          <w:sz w:val="17"/>
        </w:rPr>
        <w:t>The following guidance for the three months ending September 30, and December 31, 2005 and the twelve months ending December 31, 2005 is based on assumptions and estimates that we believe are reasonable given our assessment of historical trends, business cycles and other information reasonably available. However, our assumptions and future performance are both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July 27, 2005. We undertake no obligation to publicly update or revise any forward-looking statements.</w:t>
      </w:r>
    </w:p>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240"/>
        <w:ind w:left="0" w:right="0" w:hanging="0"/>
        <w:jc w:val="center"/>
        <w:rPr>
          <w:rFonts w:ascii="Times New Roman" w:hAnsi="Times New Roman"/>
          <w:b/>
          <w:sz w:val="17"/>
        </w:rPr>
      </w:pPr>
      <w:r>
        <w:rPr>
          <w:rFonts w:ascii="Times New Roman" w:hAnsi="Times New Roman"/>
          <w:b/>
          <w:sz w:val="17"/>
        </w:rPr>
        <w:t>Plains All American Pipeline, L.P.</w:t>
        <w:br/>
        <w:t>Operating and Financial Guidance</w:t>
        <w:br/>
        <w:t>(in millions, except per unit data)</w:t>
      </w:r>
    </w:p>
    <w:tbl>
      <w:tblPr>
        <w:tblW w:w="9260" w:type="dxa"/>
        <w:jc w:val="left"/>
        <w:tblInd w:w="0" w:type="dxa"/>
        <w:tblCellMar>
          <w:top w:w="0" w:type="dxa"/>
          <w:left w:w="0" w:type="dxa"/>
          <w:bottom w:w="0" w:type="dxa"/>
          <w:right w:w="0" w:type="dxa"/>
        </w:tblCellMar>
      </w:tblPr>
      <w:tblGrid>
        <w:gridCol w:w="3945"/>
        <w:gridCol w:w="240"/>
        <w:gridCol w:w="210"/>
        <w:gridCol w:w="80"/>
        <w:gridCol w:w="360"/>
        <w:gridCol w:w="210"/>
        <w:gridCol w:w="240"/>
        <w:gridCol w:w="80"/>
        <w:gridCol w:w="345"/>
        <w:gridCol w:w="240"/>
        <w:gridCol w:w="80"/>
        <w:gridCol w:w="360"/>
        <w:gridCol w:w="240"/>
        <w:gridCol w:w="80"/>
        <w:gridCol w:w="345"/>
        <w:gridCol w:w="240"/>
        <w:gridCol w:w="80"/>
        <w:gridCol w:w="345"/>
        <w:gridCol w:w="240"/>
        <w:gridCol w:w="80"/>
        <w:gridCol w:w="405"/>
        <w:gridCol w:w="240"/>
        <w:gridCol w:w="80"/>
        <w:gridCol w:w="405"/>
        <w:gridCol w:w="90"/>
      </w:tblGrid>
      <w:tr>
        <w:trPr/>
        <w:tc>
          <w:tcPr>
            <w:tcW w:w="394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860" w:type="dxa"/>
            <w:gridSpan w:val="4"/>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Actual</w:t>
            </w:r>
          </w:p>
        </w:tc>
        <w:tc>
          <w:tcPr>
            <w:tcW w:w="240" w:type="dxa"/>
            <w:tcBorders/>
            <w:shd w:fill="auto" w:val="clear"/>
            <w:vAlign w:val="bottom"/>
          </w:tcPr>
          <w:p>
            <w:pPr>
              <w:pStyle w:val="TableContents"/>
              <w:spacing w:lineRule="atLeast" w:line="180" w:before="0" w:after="0"/>
              <w:ind w:left="0" w:right="0" w:hanging="0"/>
              <w:rPr/>
            </w:pPr>
            <w:r>
              <w:rPr/>
              <w:t> </w:t>
            </w:r>
          </w:p>
        </w:tc>
        <w:tc>
          <w:tcPr>
            <w:tcW w:w="3885" w:type="dxa"/>
            <w:gridSpan w:val="17"/>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Guidance(1)</w:t>
            </w:r>
          </w:p>
        </w:tc>
        <w:tc>
          <w:tcPr>
            <w:tcW w:w="90" w:type="dxa"/>
            <w:tcBorders/>
            <w:shd w:fill="auto" w:val="clear"/>
            <w:vAlign w:val="bottom"/>
          </w:tcPr>
          <w:p>
            <w:pPr>
              <w:pStyle w:val="TableContents"/>
              <w:spacing w:lineRule="atLeast" w:line="180" w:before="0" w:after="0"/>
              <w:ind w:left="0" w:right="0" w:hanging="0"/>
              <w:rPr/>
            </w:pPr>
            <w:r>
              <w:rPr/>
              <w:t> </w:t>
            </w:r>
          </w:p>
        </w:tc>
      </w:tr>
      <w:tr>
        <w:trPr/>
        <w:tc>
          <w:tcPr>
            <w:tcW w:w="394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860" w:type="dxa"/>
            <w:gridSpan w:val="4"/>
            <w:tcBorders/>
            <w:shd w:fill="auto" w:val="cle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Six Months</w:t>
            </w:r>
          </w:p>
        </w:tc>
        <w:tc>
          <w:tcPr>
            <w:tcW w:w="240" w:type="dxa"/>
            <w:tcBorders/>
            <w:shd w:fill="auto" w:val="clear"/>
            <w:vAlign w:val="bottom"/>
          </w:tcPr>
          <w:p>
            <w:pPr>
              <w:pStyle w:val="TableContents"/>
              <w:spacing w:lineRule="atLeast" w:line="180" w:before="0" w:after="0"/>
              <w:ind w:left="0" w:right="0" w:hanging="0"/>
              <w:rPr/>
            </w:pPr>
            <w:r>
              <w:rPr/>
              <w:t> </w:t>
            </w:r>
          </w:p>
        </w:tc>
        <w:tc>
          <w:tcPr>
            <w:tcW w:w="2435" w:type="dxa"/>
            <w:gridSpan w:val="11"/>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Three Months Ended</w:t>
            </w:r>
          </w:p>
        </w:tc>
        <w:tc>
          <w:tcPr>
            <w:tcW w:w="240" w:type="dxa"/>
            <w:tcBorders>
              <w:top w:val="single" w:sz="8" w:space="0" w:color="000000"/>
            </w:tcBorders>
            <w:shd w:fill="auto" w:val="clear"/>
            <w:tcMar>
              <w:top w:w="28" w:type="dxa"/>
            </w:tcMar>
            <w:vAlign w:val="bottom"/>
          </w:tcPr>
          <w:p>
            <w:pPr>
              <w:pStyle w:val="TableContents"/>
              <w:spacing w:lineRule="atLeast" w:line="180" w:before="0" w:after="0"/>
              <w:ind w:left="0" w:right="0" w:hanging="0"/>
              <w:rPr/>
            </w:pPr>
            <w:r>
              <w:rPr/>
              <w:t> </w:t>
            </w:r>
          </w:p>
        </w:tc>
        <w:tc>
          <w:tcPr>
            <w:tcW w:w="1210" w:type="dxa"/>
            <w:gridSpan w:val="5"/>
            <w:tcBorders>
              <w:top w:val="single" w:sz="8" w:space="0" w:color="000000"/>
            </w:tcBorders>
            <w:shd w:fill="auto" w:val="clear"/>
            <w:tcMar>
              <w:top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Twelve Months Ended</w:t>
            </w:r>
          </w:p>
        </w:tc>
        <w:tc>
          <w:tcPr>
            <w:tcW w:w="90" w:type="dxa"/>
            <w:tcBorders/>
            <w:shd w:fill="auto" w:val="clear"/>
            <w:vAlign w:val="bottom"/>
          </w:tcPr>
          <w:p>
            <w:pPr>
              <w:pStyle w:val="TableContents"/>
              <w:spacing w:lineRule="atLeast" w:line="180" w:before="0" w:after="0"/>
              <w:ind w:left="0" w:right="0" w:hanging="0"/>
              <w:rPr/>
            </w:pPr>
            <w:r>
              <w:rPr/>
              <w:t> </w:t>
            </w:r>
          </w:p>
        </w:tc>
      </w:tr>
      <w:tr>
        <w:trPr/>
        <w:tc>
          <w:tcPr>
            <w:tcW w:w="394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860" w:type="dxa"/>
            <w:gridSpan w:val="4"/>
            <w:tcBorders/>
            <w:shd w:fill="auto" w:val="cle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Ended</w:t>
            </w:r>
          </w:p>
        </w:tc>
        <w:tc>
          <w:tcPr>
            <w:tcW w:w="240" w:type="dxa"/>
            <w:tcBorders/>
            <w:shd w:fill="auto" w:val="clear"/>
            <w:vAlign w:val="bottom"/>
          </w:tcPr>
          <w:p>
            <w:pPr>
              <w:pStyle w:val="TableContents"/>
              <w:spacing w:lineRule="atLeast" w:line="180" w:before="0" w:after="0"/>
              <w:ind w:left="0" w:right="0" w:hanging="0"/>
              <w:rPr/>
            </w:pPr>
            <w:r>
              <w:rPr/>
              <w:t> </w:t>
            </w:r>
          </w:p>
        </w:tc>
        <w:tc>
          <w:tcPr>
            <w:tcW w:w="1105" w:type="dxa"/>
            <w:gridSpan w:val="5"/>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September 30, 2005</w:t>
            </w:r>
          </w:p>
        </w:tc>
        <w:tc>
          <w:tcPr>
            <w:tcW w:w="240" w:type="dxa"/>
            <w:tcBorders/>
            <w:shd w:fill="auto" w:val="clear"/>
            <w:vAlign w:val="bottom"/>
          </w:tcPr>
          <w:p>
            <w:pPr>
              <w:pStyle w:val="TableContents"/>
              <w:spacing w:lineRule="atLeast" w:line="180" w:before="0" w:after="0"/>
              <w:ind w:left="0" w:right="0" w:hanging="0"/>
              <w:rPr/>
            </w:pPr>
            <w:r>
              <w:rPr/>
              <w:t> </w:t>
            </w:r>
          </w:p>
        </w:tc>
        <w:tc>
          <w:tcPr>
            <w:tcW w:w="1090"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December 31, 2005</w:t>
            </w:r>
          </w:p>
        </w:tc>
        <w:tc>
          <w:tcPr>
            <w:tcW w:w="240" w:type="dxa"/>
            <w:tcBorders/>
            <w:shd w:fill="auto" w:val="clear"/>
            <w:vAlign w:val="bottom"/>
          </w:tcPr>
          <w:p>
            <w:pPr>
              <w:pStyle w:val="TableContents"/>
              <w:spacing w:lineRule="atLeast" w:line="180" w:before="0" w:after="0"/>
              <w:ind w:left="0" w:right="0" w:hanging="0"/>
              <w:rPr/>
            </w:pPr>
            <w:r>
              <w:rPr/>
              <w:t> </w:t>
            </w:r>
          </w:p>
        </w:tc>
        <w:tc>
          <w:tcPr>
            <w:tcW w:w="1210" w:type="dxa"/>
            <w:gridSpan w:val="5"/>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December 31, 2005</w:t>
            </w:r>
          </w:p>
        </w:tc>
        <w:tc>
          <w:tcPr>
            <w:tcW w:w="90" w:type="dxa"/>
            <w:tcBorders/>
            <w:shd w:fill="auto" w:val="clear"/>
            <w:vAlign w:val="bottom"/>
          </w:tcPr>
          <w:p>
            <w:pPr>
              <w:pStyle w:val="TableContents"/>
              <w:spacing w:lineRule="atLeast" w:line="180" w:before="0" w:after="0"/>
              <w:ind w:left="0" w:right="0" w:hanging="0"/>
              <w:rPr/>
            </w:pPr>
            <w:r>
              <w:rPr/>
              <w:t> </w:t>
            </w:r>
          </w:p>
        </w:tc>
      </w:tr>
      <w:tr>
        <w:trPr/>
        <w:tc>
          <w:tcPr>
            <w:tcW w:w="3945"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860" w:type="dxa"/>
            <w:gridSpan w:val="4"/>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June 30, 2005</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Low</w:t>
            </w:r>
          </w:p>
        </w:tc>
        <w:tc>
          <w:tcPr>
            <w:tcW w:w="240" w:type="dxa"/>
            <w:tcBorders>
              <w:top w:val="single" w:sz="8" w:space="0" w:color="000000"/>
            </w:tcBorders>
            <w:shd w:fill="auto" w:val="clear"/>
            <w:tcMar>
              <w:top w:w="28" w:type="dxa"/>
            </w:tcMar>
            <w:vAlign w:val="bottom"/>
          </w:tcPr>
          <w:p>
            <w:pPr>
              <w:pStyle w:val="TableContents"/>
              <w:spacing w:lineRule="atLeast" w:line="180" w:before="0" w:after="0"/>
              <w:ind w:left="0" w:right="0" w:hanging="0"/>
              <w:rPr/>
            </w:pPr>
            <w:r>
              <w:rPr/>
              <w:t> </w:t>
            </w:r>
          </w:p>
        </w:tc>
        <w:tc>
          <w:tcPr>
            <w:tcW w:w="4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High</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Low</w:t>
            </w:r>
          </w:p>
        </w:tc>
        <w:tc>
          <w:tcPr>
            <w:tcW w:w="240" w:type="dxa"/>
            <w:tcBorders>
              <w:top w:val="single" w:sz="8" w:space="0" w:color="000000"/>
            </w:tcBorders>
            <w:shd w:fill="auto" w:val="clear"/>
            <w:tcMar>
              <w:top w:w="28" w:type="dxa"/>
            </w:tcMar>
            <w:vAlign w:val="bottom"/>
          </w:tcPr>
          <w:p>
            <w:pPr>
              <w:pStyle w:val="TableContents"/>
              <w:spacing w:lineRule="atLeast" w:line="180" w:before="0" w:after="0"/>
              <w:ind w:left="0" w:right="0" w:hanging="0"/>
              <w:rPr/>
            </w:pPr>
            <w:r>
              <w:rPr/>
              <w:t> </w:t>
            </w:r>
          </w:p>
        </w:tc>
        <w:tc>
          <w:tcPr>
            <w:tcW w:w="42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High</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Low</w:t>
            </w:r>
          </w:p>
        </w:tc>
        <w:tc>
          <w:tcPr>
            <w:tcW w:w="240" w:type="dxa"/>
            <w:tcBorders>
              <w:top w:val="single" w:sz="8" w:space="0" w:color="000000"/>
            </w:tcBorders>
            <w:shd w:fill="auto" w:val="clear"/>
            <w:tcMar>
              <w:top w:w="28" w:type="dxa"/>
            </w:tcMar>
            <w:vAlign w:val="bottom"/>
          </w:tcPr>
          <w:p>
            <w:pPr>
              <w:pStyle w:val="TableContents"/>
              <w:spacing w:lineRule="atLeast" w:line="180" w:before="0" w:after="0"/>
              <w:ind w:left="0" w:right="0" w:hanging="0"/>
              <w:rPr/>
            </w:pPr>
            <w:r>
              <w:rPr/>
              <w:t> </w:t>
            </w:r>
          </w:p>
        </w:tc>
        <w:tc>
          <w:tcPr>
            <w:tcW w:w="48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b/>
                <w:sz w:val="10"/>
              </w:rPr>
            </w:pPr>
            <w:r>
              <w:rPr>
                <w:rFonts w:ascii="Times New Roman" w:hAnsi="Times New Roman"/>
                <w:b/>
                <w:sz w:val="10"/>
              </w:rPr>
              <w:t>High</w:t>
            </w:r>
          </w:p>
        </w:tc>
        <w:tc>
          <w:tcPr>
            <w:tcW w:w="90" w:type="dxa"/>
            <w:tcBorders/>
            <w:shd w:fill="auto" w:val="clear"/>
            <w:vAlign w:val="bottom"/>
          </w:tcPr>
          <w:p>
            <w:pPr>
              <w:pStyle w:val="TableContents"/>
              <w:spacing w:lineRule="atLeast" w:line="180" w:before="0" w:after="0"/>
              <w:ind w:left="0" w:right="0" w:hanging="0"/>
              <w:rPr/>
            </w:pPr>
            <w:r>
              <w:rPr/>
              <w:t> </w:t>
            </w:r>
          </w:p>
        </w:tc>
      </w:tr>
      <w:tr>
        <w:trPr/>
        <w:tc>
          <w:tcPr>
            <w:tcW w:w="3945" w:type="dxa"/>
            <w:tcBorders/>
            <w:shd w:fill="CCEEFF" w:val="clear"/>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Pipeline</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shd w:fill="CCEEFF" w:val="clear"/>
            <w:vAlign w:val="bottom"/>
          </w:tcPr>
          <w:p>
            <w:pPr>
              <w:pStyle w:val="TableContents"/>
              <w:spacing w:lineRule="atLeast" w:line="180" w:before="0" w:after="0"/>
              <w:ind w:left="0" w:right="0" w:hanging="0"/>
              <w:rPr/>
            </w:pPr>
            <w:r>
              <w:rPr/>
              <w:t> </w:t>
            </w:r>
          </w:p>
        </w:tc>
        <w:tc>
          <w:tcPr>
            <w:tcW w:w="90" w:type="dxa"/>
            <w:tcBorders/>
            <w:shd w:fill="CCEEFF" w:val="clear"/>
            <w:vAlign w:val="bottom"/>
          </w:tcPr>
          <w:p>
            <w:pPr>
              <w:pStyle w:val="TableContents"/>
              <w:spacing w:lineRule="atLeast" w:line="180" w:before="0" w:after="0"/>
              <w:ind w:left="0" w:right="0" w:hanging="0"/>
              <w:rPr/>
            </w:pPr>
            <w:r>
              <w:rPr/>
              <w:t> </w:t>
            </w:r>
          </w:p>
        </w:tc>
      </w:tr>
      <w:tr>
        <w:trPr/>
        <w:tc>
          <w:tcPr>
            <w:tcW w:w="3945" w:type="dxa"/>
            <w:tcBorders/>
            <w:shd w:fill="auto"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Net revenues</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188.2</w:t>
            </w:r>
          </w:p>
        </w:tc>
        <w:tc>
          <w:tcPr>
            <w:tcW w:w="21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93.5</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95.5</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94.0</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97.5</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40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375.7</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40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381.2</w:t>
            </w:r>
          </w:p>
        </w:tc>
        <w:tc>
          <w:tcPr>
            <w:tcW w:w="90" w:type="dxa"/>
            <w:tcBorders/>
            <w:shd w:fill="auto" w:val="clear"/>
            <w:vAlign w:val="bottom"/>
          </w:tcPr>
          <w:p>
            <w:pPr>
              <w:pStyle w:val="TableContents"/>
              <w:spacing w:before="0" w:after="0"/>
              <w:ind w:left="0" w:right="0" w:hanging="0"/>
              <w:rPr/>
            </w:pPr>
            <w:r>
              <w:rPr/>
              <w:t> </w:t>
            </w:r>
          </w:p>
        </w:tc>
      </w:tr>
      <w:tr>
        <w:trPr/>
        <w:tc>
          <w:tcPr>
            <w:tcW w:w="3945" w:type="dxa"/>
            <w:tcBorders/>
            <w:shd w:fill="CCEEFF"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Field operating costs</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(72.1</w:t>
            </w:r>
          </w:p>
        </w:tc>
        <w:tc>
          <w:tcPr>
            <w:tcW w:w="21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(36.7</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40"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(35.5</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(36.0</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(35.0</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(144.8</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(142.6</w:t>
            </w:r>
          </w:p>
        </w:tc>
        <w:tc>
          <w:tcPr>
            <w:tcW w:w="9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r>
      <w:tr>
        <w:trPr/>
        <w:tc>
          <w:tcPr>
            <w:tcW w:w="3945" w:type="dxa"/>
            <w:tcBorders/>
            <w:shd w:fill="auto"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General and administrative expenses</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(24.6</w:t>
            </w:r>
          </w:p>
        </w:tc>
        <w:tc>
          <w:tcPr>
            <w:tcW w:w="21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(14.0</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(13.5</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(13.9</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(13.4</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(52.5</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(51.5</w:t>
            </w:r>
          </w:p>
        </w:tc>
        <w:tc>
          <w:tcPr>
            <w:tcW w:w="9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r>
      <w:tr>
        <w:trPr/>
        <w:tc>
          <w:tcPr>
            <w:tcW w:w="3945" w:type="dxa"/>
            <w:tcBorders/>
            <w:shd w:fill="CCEEFF" w:val="clear"/>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91.5</w:t>
            </w:r>
          </w:p>
        </w:tc>
        <w:tc>
          <w:tcPr>
            <w:tcW w:w="210" w:type="dxa"/>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42.8</w:t>
            </w:r>
          </w:p>
        </w:tc>
        <w:tc>
          <w:tcPr>
            <w:tcW w:w="24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46.5</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44.1</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49.1</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178.4</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187.1</w:t>
            </w:r>
          </w:p>
        </w:tc>
        <w:tc>
          <w:tcPr>
            <w:tcW w:w="90" w:type="dxa"/>
            <w:tcBorders/>
            <w:shd w:fill="CCEEFF" w:val="clear"/>
            <w:vAlign w:val="bottom"/>
          </w:tcPr>
          <w:p>
            <w:pPr>
              <w:pStyle w:val="TableContents"/>
              <w:spacing w:lineRule="atLeast" w:line="180" w:before="0" w:after="0"/>
              <w:ind w:left="0" w:right="0" w:hanging="0"/>
              <w:rPr/>
            </w:pPr>
            <w:r>
              <w:rPr/>
              <w:t> </w:t>
            </w:r>
          </w:p>
        </w:tc>
      </w:tr>
      <w:tr>
        <w:trPr/>
        <w:tc>
          <w:tcPr>
            <w:tcW w:w="3945" w:type="dxa"/>
            <w:tcBorders/>
            <w:shd w:fill="auto" w:val="clear"/>
          </w:tcPr>
          <w:p>
            <w:pPr>
              <w:pStyle w:val="TableContents"/>
              <w:spacing w:lineRule="atLeast" w:line="180" w:before="120" w:after="120"/>
              <w:ind w:left="0" w:right="0" w:hanging="0"/>
              <w:rPr>
                <w:rFonts w:ascii="Times New Roman" w:hAnsi="Times New Roman"/>
                <w:b/>
                <w:sz w:val="12"/>
              </w:rPr>
            </w:pPr>
            <w:r>
              <w:rPr>
                <w:rFonts w:ascii="Times New Roman" w:hAnsi="Times New Roman"/>
                <w:b/>
                <w:sz w:val="12"/>
              </w:rPr>
              <w:t>Gathering, Marketing, Terminalling &amp; Storage</w:t>
            </w:r>
          </w:p>
        </w:tc>
        <w:tc>
          <w:tcPr>
            <w:tcW w:w="240" w:type="dxa"/>
            <w:tcBorders/>
            <w:shd w:fill="auto" w:val="clear"/>
            <w:vAlign w:val="bottom"/>
          </w:tcPr>
          <w:p>
            <w:pPr>
              <w:pStyle w:val="TableContents"/>
              <w:spacing w:lineRule="atLeast" w:line="180" w:before="120" w:after="120"/>
              <w:ind w:left="0" w:right="0" w:hanging="0"/>
              <w:rPr/>
            </w:pPr>
            <w:r>
              <w:rPr/>
              <w:t> </w:t>
            </w:r>
          </w:p>
        </w:tc>
        <w:tc>
          <w:tcPr>
            <w:tcW w:w="210" w:type="dxa"/>
            <w:tcBorders/>
            <w:shd w:fill="auto" w:val="clear"/>
            <w:vAlign w:val="bottom"/>
          </w:tcPr>
          <w:p>
            <w:pPr>
              <w:pStyle w:val="TableContents"/>
              <w:spacing w:lineRule="atLeast" w:line="180" w:before="120" w:after="120"/>
              <w:ind w:left="0" w:right="0" w:hanging="0"/>
              <w:rPr/>
            </w:pPr>
            <w:r>
              <w:rPr/>
              <w:t> </w:t>
            </w:r>
          </w:p>
        </w:tc>
        <w:tc>
          <w:tcPr>
            <w:tcW w:w="440" w:type="dxa"/>
            <w:gridSpan w:val="2"/>
            <w:tcBorders/>
            <w:shd w:fill="auto" w:val="clear"/>
            <w:vAlign w:val="bottom"/>
          </w:tcPr>
          <w:p>
            <w:pPr>
              <w:pStyle w:val="TableContents"/>
              <w:spacing w:lineRule="atLeast" w:line="180" w:before="120" w:after="120"/>
              <w:ind w:left="0" w:right="0" w:hanging="0"/>
              <w:rPr/>
            </w:pPr>
            <w:r>
              <w:rPr/>
              <w:t> </w:t>
            </w:r>
          </w:p>
        </w:tc>
        <w:tc>
          <w:tcPr>
            <w:tcW w:w="210" w:type="dxa"/>
            <w:tcBorders/>
            <w:shd w:fill="auto" w:val="clear"/>
            <w:vAlign w:val="bottom"/>
          </w:tcPr>
          <w:p>
            <w:pPr>
              <w:pStyle w:val="TableContents"/>
              <w:spacing w:lineRule="atLeast" w:line="180" w:before="120" w:after="120"/>
              <w:ind w:left="0" w:right="0" w:hanging="0"/>
              <w:rPr/>
            </w:pPr>
            <w:r>
              <w:rPr/>
              <w:t> </w:t>
            </w:r>
          </w:p>
        </w:tc>
        <w:tc>
          <w:tcPr>
            <w:tcW w:w="240" w:type="dxa"/>
            <w:tcBorders/>
            <w:shd w:fill="auto" w:val="clear"/>
            <w:vAlign w:val="bottom"/>
          </w:tcPr>
          <w:p>
            <w:pPr>
              <w:pStyle w:val="TableContents"/>
              <w:spacing w:lineRule="atLeast" w:line="180" w:before="120" w:after="120"/>
              <w:ind w:left="0" w:right="0" w:hanging="0"/>
              <w:rPr/>
            </w:pPr>
            <w:r>
              <w:rPr/>
              <w:t> </w:t>
            </w:r>
          </w:p>
        </w:tc>
        <w:tc>
          <w:tcPr>
            <w:tcW w:w="425" w:type="dxa"/>
            <w:gridSpan w:val="2"/>
            <w:tcBorders/>
            <w:shd w:fill="auto" w:val="clear"/>
            <w:vAlign w:val="bottom"/>
          </w:tcPr>
          <w:p>
            <w:pPr>
              <w:pStyle w:val="TableContents"/>
              <w:spacing w:lineRule="atLeast" w:line="180" w:before="120" w:after="120"/>
              <w:ind w:left="0" w:right="0" w:hanging="0"/>
              <w:rPr/>
            </w:pPr>
            <w:r>
              <w:rPr/>
              <w:t> </w:t>
            </w:r>
          </w:p>
        </w:tc>
        <w:tc>
          <w:tcPr>
            <w:tcW w:w="240" w:type="dxa"/>
            <w:tcBorders/>
            <w:shd w:fill="auto" w:val="clear"/>
            <w:vAlign w:val="bottom"/>
          </w:tcPr>
          <w:p>
            <w:pPr>
              <w:pStyle w:val="TableContents"/>
              <w:spacing w:lineRule="atLeast" w:line="180" w:before="120" w:after="120"/>
              <w:ind w:left="0" w:right="0" w:hanging="0"/>
              <w:rPr/>
            </w:pPr>
            <w:r>
              <w:rPr/>
              <w:t> </w:t>
            </w:r>
          </w:p>
        </w:tc>
        <w:tc>
          <w:tcPr>
            <w:tcW w:w="440" w:type="dxa"/>
            <w:gridSpan w:val="2"/>
            <w:tcBorders/>
            <w:shd w:fill="auto" w:val="clear"/>
            <w:vAlign w:val="bottom"/>
          </w:tcPr>
          <w:p>
            <w:pPr>
              <w:pStyle w:val="TableContents"/>
              <w:spacing w:lineRule="atLeast" w:line="180" w:before="120" w:after="120"/>
              <w:ind w:left="0" w:right="0" w:hanging="0"/>
              <w:rPr/>
            </w:pPr>
            <w:r>
              <w:rPr/>
              <w:t> </w:t>
            </w:r>
          </w:p>
        </w:tc>
        <w:tc>
          <w:tcPr>
            <w:tcW w:w="240" w:type="dxa"/>
            <w:tcBorders/>
            <w:shd w:fill="auto" w:val="clear"/>
            <w:vAlign w:val="bottom"/>
          </w:tcPr>
          <w:p>
            <w:pPr>
              <w:pStyle w:val="TableContents"/>
              <w:spacing w:lineRule="atLeast" w:line="180" w:before="120" w:after="120"/>
              <w:ind w:left="0" w:right="0" w:hanging="0"/>
              <w:rPr/>
            </w:pPr>
            <w:r>
              <w:rPr/>
              <w:t> </w:t>
            </w:r>
          </w:p>
        </w:tc>
        <w:tc>
          <w:tcPr>
            <w:tcW w:w="425" w:type="dxa"/>
            <w:gridSpan w:val="2"/>
            <w:tcBorders/>
            <w:shd w:fill="auto" w:val="clear"/>
            <w:vAlign w:val="bottom"/>
          </w:tcPr>
          <w:p>
            <w:pPr>
              <w:pStyle w:val="TableContents"/>
              <w:spacing w:lineRule="atLeast" w:line="180" w:before="120" w:after="120"/>
              <w:ind w:left="0" w:right="0" w:hanging="0"/>
              <w:rPr/>
            </w:pPr>
            <w:r>
              <w:rPr/>
              <w:t> </w:t>
            </w:r>
          </w:p>
        </w:tc>
        <w:tc>
          <w:tcPr>
            <w:tcW w:w="240" w:type="dxa"/>
            <w:tcBorders/>
            <w:shd w:fill="auto" w:val="clear"/>
            <w:vAlign w:val="bottom"/>
          </w:tcPr>
          <w:p>
            <w:pPr>
              <w:pStyle w:val="TableContents"/>
              <w:spacing w:lineRule="atLeast" w:line="180" w:before="120" w:after="120"/>
              <w:ind w:left="0" w:right="0" w:hanging="0"/>
              <w:rPr/>
            </w:pPr>
            <w:r>
              <w:rPr/>
              <w:t> </w:t>
            </w:r>
          </w:p>
        </w:tc>
        <w:tc>
          <w:tcPr>
            <w:tcW w:w="425" w:type="dxa"/>
            <w:gridSpan w:val="2"/>
            <w:tcBorders/>
            <w:shd w:fill="auto" w:val="clear"/>
            <w:vAlign w:val="bottom"/>
          </w:tcPr>
          <w:p>
            <w:pPr>
              <w:pStyle w:val="TableContents"/>
              <w:spacing w:lineRule="atLeast" w:line="180" w:before="120" w:after="120"/>
              <w:ind w:left="0" w:right="0" w:hanging="0"/>
              <w:rPr/>
            </w:pPr>
            <w:r>
              <w:rPr/>
              <w:t> </w:t>
            </w:r>
          </w:p>
        </w:tc>
        <w:tc>
          <w:tcPr>
            <w:tcW w:w="240" w:type="dxa"/>
            <w:tcBorders/>
            <w:shd w:fill="auto" w:val="clear"/>
            <w:vAlign w:val="bottom"/>
          </w:tcPr>
          <w:p>
            <w:pPr>
              <w:pStyle w:val="TableContents"/>
              <w:spacing w:lineRule="atLeast" w:line="180" w:before="120" w:after="120"/>
              <w:ind w:left="0" w:right="0" w:hanging="0"/>
              <w:rPr/>
            </w:pPr>
            <w:r>
              <w:rPr/>
              <w:t> </w:t>
            </w:r>
          </w:p>
        </w:tc>
        <w:tc>
          <w:tcPr>
            <w:tcW w:w="485" w:type="dxa"/>
            <w:gridSpan w:val="2"/>
            <w:tcBorders/>
            <w:shd w:fill="auto" w:val="clear"/>
            <w:vAlign w:val="bottom"/>
          </w:tcPr>
          <w:p>
            <w:pPr>
              <w:pStyle w:val="TableContents"/>
              <w:spacing w:lineRule="atLeast" w:line="180" w:before="120" w:after="120"/>
              <w:ind w:left="0" w:right="0" w:hanging="0"/>
              <w:rPr/>
            </w:pPr>
            <w:r>
              <w:rPr/>
              <w:t> </w:t>
            </w:r>
          </w:p>
        </w:tc>
        <w:tc>
          <w:tcPr>
            <w:tcW w:w="240" w:type="dxa"/>
            <w:tcBorders/>
            <w:shd w:fill="auto" w:val="clear"/>
            <w:vAlign w:val="bottom"/>
          </w:tcPr>
          <w:p>
            <w:pPr>
              <w:pStyle w:val="TableContents"/>
              <w:spacing w:lineRule="atLeast" w:line="180" w:before="120" w:after="120"/>
              <w:ind w:left="0" w:right="0" w:hanging="0"/>
              <w:rPr/>
            </w:pPr>
            <w:r>
              <w:rPr/>
              <w:t> </w:t>
            </w:r>
          </w:p>
        </w:tc>
        <w:tc>
          <w:tcPr>
            <w:tcW w:w="485" w:type="dxa"/>
            <w:gridSpan w:val="2"/>
            <w:tcBorders/>
            <w:shd w:fill="auto" w:val="clear"/>
            <w:vAlign w:val="bottom"/>
          </w:tcPr>
          <w:p>
            <w:pPr>
              <w:pStyle w:val="TableContents"/>
              <w:spacing w:lineRule="atLeast" w:line="180" w:before="120" w:after="120"/>
              <w:ind w:left="0" w:right="0" w:hanging="0"/>
              <w:rPr/>
            </w:pPr>
            <w:r>
              <w:rPr/>
              <w:t> </w:t>
            </w:r>
          </w:p>
        </w:tc>
        <w:tc>
          <w:tcPr>
            <w:tcW w:w="90" w:type="dxa"/>
            <w:tcBorders/>
            <w:shd w:fill="auto" w:val="clear"/>
            <w:vAlign w:val="bottom"/>
          </w:tcPr>
          <w:p>
            <w:pPr>
              <w:pStyle w:val="TableContents"/>
              <w:spacing w:lineRule="atLeast" w:line="180" w:before="120" w:after="120"/>
              <w:ind w:left="0" w:right="0" w:hanging="0"/>
              <w:rPr/>
            </w:pPr>
            <w:r>
              <w:rPr/>
              <w:t> </w:t>
            </w:r>
          </w:p>
        </w:tc>
      </w:tr>
      <w:tr>
        <w:trPr/>
        <w:tc>
          <w:tcPr>
            <w:tcW w:w="3945" w:type="dxa"/>
            <w:tcBorders/>
            <w:shd w:fill="CCEEFF"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Net revenues</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153.1</w:t>
            </w:r>
          </w:p>
        </w:tc>
        <w:tc>
          <w:tcPr>
            <w:tcW w:w="210" w:type="dxa"/>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89.0</w:t>
            </w:r>
          </w:p>
        </w:tc>
        <w:tc>
          <w:tcPr>
            <w:tcW w:w="24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94.0</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67.4</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75.9</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309.5</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323.0</w:t>
            </w:r>
          </w:p>
        </w:tc>
        <w:tc>
          <w:tcPr>
            <w:tcW w:w="90" w:type="dxa"/>
            <w:tcBorders/>
            <w:shd w:fill="CCEEFF" w:val="clear"/>
            <w:vAlign w:val="bottom"/>
          </w:tcPr>
          <w:p>
            <w:pPr>
              <w:pStyle w:val="TableContents"/>
              <w:spacing w:lineRule="atLeast" w:line="180" w:before="0" w:after="0"/>
              <w:ind w:left="0" w:right="0" w:hanging="0"/>
              <w:rPr/>
            </w:pPr>
            <w:r>
              <w:rPr/>
              <w:t> </w:t>
            </w:r>
          </w:p>
        </w:tc>
      </w:tr>
      <w:tr>
        <w:trPr/>
        <w:tc>
          <w:tcPr>
            <w:tcW w:w="3945" w:type="dxa"/>
            <w:tcBorders/>
            <w:shd w:fill="auto"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Field operating costs</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(59.5</w:t>
            </w:r>
          </w:p>
        </w:tc>
        <w:tc>
          <w:tcPr>
            <w:tcW w:w="21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(31.0</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40"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(30.2</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(30.6</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(29.6</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(121.1</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(119.3</w:t>
            </w:r>
          </w:p>
        </w:tc>
        <w:tc>
          <w:tcPr>
            <w:tcW w:w="9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r>
      <w:tr>
        <w:trPr/>
        <w:tc>
          <w:tcPr>
            <w:tcW w:w="3945" w:type="dxa"/>
            <w:tcBorders/>
            <w:shd w:fill="CCEEFF"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General and administrative expenses</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(23.6</w:t>
            </w:r>
          </w:p>
        </w:tc>
        <w:tc>
          <w:tcPr>
            <w:tcW w:w="21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(13.0</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(12.5</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(13.1</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(12.6</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(49.7</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(48.7</w:t>
            </w:r>
          </w:p>
        </w:tc>
        <w:tc>
          <w:tcPr>
            <w:tcW w:w="9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r>
      <w:tr>
        <w:trPr/>
        <w:tc>
          <w:tcPr>
            <w:tcW w:w="3945" w:type="dxa"/>
            <w:tcBorders/>
            <w:shd w:fill="auto" w:val="clear"/>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70.0</w:t>
            </w:r>
          </w:p>
        </w:tc>
        <w:tc>
          <w:tcPr>
            <w:tcW w:w="210"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45.0</w:t>
            </w:r>
          </w:p>
        </w:tc>
        <w:tc>
          <w:tcPr>
            <w:tcW w:w="24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51.3</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23.7</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33.7</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138.7</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155.0</w:t>
            </w:r>
          </w:p>
        </w:tc>
        <w:tc>
          <w:tcPr>
            <w:tcW w:w="90" w:type="dxa"/>
            <w:tcBorders/>
            <w:shd w:fill="auto" w:val="clear"/>
            <w:vAlign w:val="bottom"/>
          </w:tcPr>
          <w:p>
            <w:pPr>
              <w:pStyle w:val="TableContents"/>
              <w:spacing w:lineRule="atLeast" w:line="180" w:before="0" w:after="0"/>
              <w:ind w:left="0" w:right="0" w:hanging="0"/>
              <w:rPr/>
            </w:pPr>
            <w:r>
              <w:rPr/>
              <w:t> </w:t>
            </w:r>
          </w:p>
        </w:tc>
      </w:tr>
      <w:tr>
        <w:trPr/>
        <w:tc>
          <w:tcPr>
            <w:tcW w:w="3945" w:type="dxa"/>
            <w:tcBorders/>
            <w:shd w:fill="CCEEFF" w:val="clear"/>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Segment Profit</w:t>
            </w:r>
          </w:p>
        </w:tc>
        <w:tc>
          <w:tcPr>
            <w:tcW w:w="240" w:type="dxa"/>
            <w:tcBorders/>
            <w:shd w:fill="CCEEFF" w:val="clear"/>
            <w:vAlign w:val="bottom"/>
          </w:tcPr>
          <w:p>
            <w:pPr>
              <w:pStyle w:val="TableContents"/>
              <w:spacing w:lineRule="atLeast" w:line="180" w:before="80" w:after="80"/>
              <w:ind w:left="0" w:right="0" w:hanging="0"/>
              <w:rPr/>
            </w:pPr>
            <w:r>
              <w:rPr/>
              <w:t> </w:t>
            </w:r>
          </w:p>
        </w:tc>
        <w:tc>
          <w:tcPr>
            <w:tcW w:w="210" w:type="dxa"/>
            <w:tcBorders/>
            <w:shd w:fill="CCEEFF" w:val="clear"/>
            <w:vAlign w:val="bottom"/>
          </w:tcPr>
          <w:p>
            <w:pPr>
              <w:pStyle w:val="TableContents"/>
              <w:spacing w:lineRule="atLeast" w:line="180" w:before="80" w:after="80"/>
              <w:ind w:left="0" w:right="0" w:hanging="0"/>
              <w:rPr/>
            </w:pPr>
            <w:r>
              <w:rPr/>
              <w:t> </w:t>
            </w:r>
          </w:p>
        </w:tc>
        <w:tc>
          <w:tcPr>
            <w:tcW w:w="440" w:type="dxa"/>
            <w:gridSpan w:val="2"/>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161.5</w:t>
            </w:r>
          </w:p>
        </w:tc>
        <w:tc>
          <w:tcPr>
            <w:tcW w:w="210" w:type="dxa"/>
            <w:tcBorders/>
            <w:shd w:fill="CCEEFF" w:val="clear"/>
            <w:vAlign w:val="bottom"/>
          </w:tcPr>
          <w:p>
            <w:pPr>
              <w:pStyle w:val="TableContents"/>
              <w:spacing w:lineRule="atLeast" w:line="180" w:before="80" w:after="8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425" w:type="dxa"/>
            <w:gridSpan w:val="2"/>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87.8</w:t>
            </w:r>
          </w:p>
        </w:tc>
        <w:tc>
          <w:tcPr>
            <w:tcW w:w="240" w:type="dxa"/>
            <w:tcBorders/>
            <w:shd w:fill="CCEEFF" w:val="clear"/>
            <w:vAlign w:val="bottom"/>
          </w:tcPr>
          <w:p>
            <w:pPr>
              <w:pStyle w:val="TableContents"/>
              <w:spacing w:lineRule="atLeast" w:line="180" w:before="80" w:after="80"/>
              <w:ind w:left="0" w:right="0" w:hanging="0"/>
              <w:rPr/>
            </w:pPr>
            <w:r>
              <w:rPr/>
              <w:t> </w:t>
            </w:r>
          </w:p>
        </w:tc>
        <w:tc>
          <w:tcPr>
            <w:tcW w:w="440" w:type="dxa"/>
            <w:gridSpan w:val="2"/>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97.8</w:t>
            </w:r>
          </w:p>
        </w:tc>
        <w:tc>
          <w:tcPr>
            <w:tcW w:w="240" w:type="dxa"/>
            <w:tcBorders/>
            <w:shd w:fill="CCEEFF" w:val="clear"/>
            <w:vAlign w:val="bottom"/>
          </w:tcPr>
          <w:p>
            <w:pPr>
              <w:pStyle w:val="TableContents"/>
              <w:spacing w:lineRule="atLeast" w:line="180" w:before="80" w:after="80"/>
              <w:ind w:left="0" w:right="0" w:hanging="0"/>
              <w:rPr/>
            </w:pPr>
            <w:r>
              <w:rPr/>
              <w:t> </w:t>
            </w:r>
          </w:p>
        </w:tc>
        <w:tc>
          <w:tcPr>
            <w:tcW w:w="425" w:type="dxa"/>
            <w:gridSpan w:val="2"/>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67.8</w:t>
            </w:r>
          </w:p>
        </w:tc>
        <w:tc>
          <w:tcPr>
            <w:tcW w:w="240" w:type="dxa"/>
            <w:tcBorders/>
            <w:shd w:fill="CCEEFF" w:val="clear"/>
            <w:vAlign w:val="bottom"/>
          </w:tcPr>
          <w:p>
            <w:pPr>
              <w:pStyle w:val="TableContents"/>
              <w:spacing w:lineRule="atLeast" w:line="180" w:before="80" w:after="80"/>
              <w:ind w:left="0" w:right="0" w:hanging="0"/>
              <w:rPr/>
            </w:pPr>
            <w:r>
              <w:rPr/>
              <w:t> </w:t>
            </w:r>
          </w:p>
        </w:tc>
        <w:tc>
          <w:tcPr>
            <w:tcW w:w="425" w:type="dxa"/>
            <w:gridSpan w:val="2"/>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82.8</w:t>
            </w:r>
          </w:p>
        </w:tc>
        <w:tc>
          <w:tcPr>
            <w:tcW w:w="240" w:type="dxa"/>
            <w:tcBorders/>
            <w:shd w:fill="CCEEFF" w:val="clear"/>
            <w:vAlign w:val="bottom"/>
          </w:tcPr>
          <w:p>
            <w:pPr>
              <w:pStyle w:val="TableContents"/>
              <w:spacing w:lineRule="atLeast" w:line="180" w:before="80" w:after="80"/>
              <w:ind w:left="0" w:right="0" w:hanging="0"/>
              <w:rPr/>
            </w:pPr>
            <w:r>
              <w:rPr/>
              <w:t> </w:t>
            </w:r>
          </w:p>
        </w:tc>
        <w:tc>
          <w:tcPr>
            <w:tcW w:w="485" w:type="dxa"/>
            <w:gridSpan w:val="2"/>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317.1</w:t>
            </w:r>
          </w:p>
        </w:tc>
        <w:tc>
          <w:tcPr>
            <w:tcW w:w="240" w:type="dxa"/>
            <w:tcBorders/>
            <w:shd w:fill="CCEEFF" w:val="clear"/>
            <w:vAlign w:val="bottom"/>
          </w:tcPr>
          <w:p>
            <w:pPr>
              <w:pStyle w:val="TableContents"/>
              <w:spacing w:lineRule="atLeast" w:line="180" w:before="80" w:after="80"/>
              <w:ind w:left="0" w:right="0" w:hanging="0"/>
              <w:rPr/>
            </w:pPr>
            <w:r>
              <w:rPr/>
              <w:t> </w:t>
            </w:r>
          </w:p>
        </w:tc>
        <w:tc>
          <w:tcPr>
            <w:tcW w:w="485" w:type="dxa"/>
            <w:gridSpan w:val="2"/>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342.1</w:t>
            </w:r>
          </w:p>
        </w:tc>
        <w:tc>
          <w:tcPr>
            <w:tcW w:w="90" w:type="dxa"/>
            <w:tcBorders/>
            <w:shd w:fill="CCEEFF" w:val="clear"/>
            <w:vAlign w:val="bottom"/>
          </w:tcPr>
          <w:p>
            <w:pPr>
              <w:pStyle w:val="TableContents"/>
              <w:spacing w:lineRule="atLeast" w:line="180" w:before="80" w:after="80"/>
              <w:ind w:left="0" w:right="0" w:hanging="0"/>
              <w:rPr/>
            </w:pPr>
            <w:r>
              <w:rPr/>
              <w:t> </w:t>
            </w:r>
          </w:p>
        </w:tc>
      </w:tr>
      <w:tr>
        <w:trPr/>
        <w:tc>
          <w:tcPr>
            <w:tcW w:w="3945" w:type="dxa"/>
            <w:tcBorders/>
            <w:shd w:fill="auto"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Depreciation and amortization expense</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(38.6</w:t>
            </w:r>
          </w:p>
        </w:tc>
        <w:tc>
          <w:tcPr>
            <w:tcW w:w="21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(20.3</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40"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(19.8</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(20.8</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(20.3</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(79.7</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(78.7</w:t>
            </w:r>
          </w:p>
        </w:tc>
        <w:tc>
          <w:tcPr>
            <w:tcW w:w="9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r>
      <w:tr>
        <w:trPr/>
        <w:tc>
          <w:tcPr>
            <w:tcW w:w="3945" w:type="dxa"/>
            <w:tcBorders/>
            <w:shd w:fill="CCEEFF"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Interest expense</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(28.8</w:t>
            </w:r>
          </w:p>
        </w:tc>
        <w:tc>
          <w:tcPr>
            <w:tcW w:w="21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(16.8</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40"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(16.2</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(17.0</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(16.6</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(62.6</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(61.6</w:t>
            </w:r>
          </w:p>
        </w:tc>
        <w:tc>
          <w:tcPr>
            <w:tcW w:w="9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r>
      <w:tr>
        <w:trPr/>
        <w:tc>
          <w:tcPr>
            <w:tcW w:w="3945" w:type="dxa"/>
            <w:tcBorders/>
            <w:shd w:fill="auto"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Other Income (Expense)</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1.0</w:t>
            </w:r>
          </w:p>
        </w:tc>
        <w:tc>
          <w:tcPr>
            <w:tcW w:w="210"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1.0</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1.0</w:t>
            </w:r>
          </w:p>
        </w:tc>
        <w:tc>
          <w:tcPr>
            <w:tcW w:w="90" w:type="dxa"/>
            <w:tcBorders/>
            <w:shd w:fill="auto" w:val="clear"/>
            <w:vAlign w:val="bottom"/>
          </w:tcPr>
          <w:p>
            <w:pPr>
              <w:pStyle w:val="TableContents"/>
              <w:spacing w:lineRule="atLeast" w:line="180" w:before="0" w:after="0"/>
              <w:ind w:left="0" w:right="0" w:hanging="0"/>
              <w:rPr/>
            </w:pPr>
            <w:r>
              <w:rPr/>
              <w:t> </w:t>
            </w:r>
          </w:p>
        </w:tc>
      </w:tr>
      <w:tr>
        <w:trPr/>
        <w:tc>
          <w:tcPr>
            <w:tcW w:w="3945" w:type="dxa"/>
            <w:tcBorders/>
            <w:shd w:fill="CCEEFF" w:val="clear"/>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Net Income</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2"/>
              </w:rPr>
            </w:pPr>
            <w:r>
              <w:rPr>
                <w:rFonts w:ascii="Times New Roman" w:hAnsi="Times New Roman"/>
                <w:b/>
                <w:sz w:val="12"/>
              </w:rPr>
              <w:t>$</w:t>
            </w:r>
          </w:p>
        </w:tc>
        <w:tc>
          <w:tcPr>
            <w:tcW w:w="36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95.1</w:t>
            </w:r>
          </w:p>
        </w:tc>
        <w:tc>
          <w:tcPr>
            <w:tcW w:w="21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2"/>
              </w:rPr>
            </w:pPr>
            <w:r>
              <w:rPr>
                <w:rFonts w:ascii="Times New Roman" w:hAnsi="Times New Roman"/>
                <w:b/>
                <w:sz w:val="12"/>
              </w:rPr>
              <w:t>$</w:t>
            </w:r>
          </w:p>
        </w:tc>
        <w:tc>
          <w:tcPr>
            <w:tcW w:w="34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50.7</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2"/>
              </w:rPr>
            </w:pPr>
            <w:r>
              <w:rPr>
                <w:rFonts w:ascii="Times New Roman" w:hAnsi="Times New Roman"/>
                <w:b/>
                <w:sz w:val="12"/>
              </w:rPr>
              <w:t>$</w:t>
            </w:r>
          </w:p>
        </w:tc>
        <w:tc>
          <w:tcPr>
            <w:tcW w:w="36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61.8</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2"/>
              </w:rPr>
            </w:pPr>
            <w:r>
              <w:rPr>
                <w:rFonts w:ascii="Times New Roman" w:hAnsi="Times New Roman"/>
                <w:b/>
                <w:sz w:val="12"/>
              </w:rPr>
              <w:t>$</w:t>
            </w:r>
          </w:p>
        </w:tc>
        <w:tc>
          <w:tcPr>
            <w:tcW w:w="34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30.0</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2"/>
              </w:rPr>
            </w:pPr>
            <w:r>
              <w:rPr>
                <w:rFonts w:ascii="Times New Roman" w:hAnsi="Times New Roman"/>
                <w:b/>
                <w:sz w:val="12"/>
              </w:rPr>
              <w:t>$</w:t>
            </w:r>
          </w:p>
        </w:tc>
        <w:tc>
          <w:tcPr>
            <w:tcW w:w="34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45.9</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2"/>
              </w:rPr>
            </w:pPr>
            <w:r>
              <w:rPr>
                <w:rFonts w:ascii="Times New Roman" w:hAnsi="Times New Roman"/>
                <w:b/>
                <w:sz w:val="12"/>
              </w:rPr>
              <w:t>$</w:t>
            </w:r>
          </w:p>
        </w:tc>
        <w:tc>
          <w:tcPr>
            <w:tcW w:w="40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175.8</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b/>
                <w:sz w:val="12"/>
              </w:rPr>
            </w:pPr>
            <w:r>
              <w:rPr>
                <w:rFonts w:ascii="Times New Roman" w:hAnsi="Times New Roman"/>
                <w:b/>
                <w:sz w:val="12"/>
              </w:rPr>
              <w:t>$</w:t>
            </w:r>
          </w:p>
        </w:tc>
        <w:tc>
          <w:tcPr>
            <w:tcW w:w="40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b/>
                <w:sz w:val="12"/>
              </w:rPr>
            </w:pPr>
            <w:r>
              <w:rPr>
                <w:rFonts w:ascii="Times New Roman" w:hAnsi="Times New Roman"/>
                <w:b/>
                <w:sz w:val="12"/>
              </w:rPr>
              <w:t>202.8</w:t>
            </w:r>
          </w:p>
        </w:tc>
        <w:tc>
          <w:tcPr>
            <w:tcW w:w="90" w:type="dxa"/>
            <w:tcBorders/>
            <w:shd w:fill="CCEEFF" w:val="clear"/>
            <w:vAlign w:val="bottom"/>
          </w:tcPr>
          <w:p>
            <w:pPr>
              <w:pStyle w:val="TableContents"/>
              <w:spacing w:before="0" w:after="0"/>
              <w:ind w:left="0" w:right="0" w:hanging="0"/>
              <w:rPr/>
            </w:pPr>
            <w:r>
              <w:rPr/>
              <w:t> </w:t>
            </w:r>
          </w:p>
        </w:tc>
      </w:tr>
      <w:tr>
        <w:trPr/>
        <w:tc>
          <w:tcPr>
            <w:tcW w:w="3945" w:type="dxa"/>
            <w:tcBorders/>
            <w:shd w:fill="auto" w:val="clear"/>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Net Income to Limited Partners (see Note 9)</w:t>
            </w:r>
          </w:p>
        </w:tc>
        <w:tc>
          <w:tcPr>
            <w:tcW w:w="240" w:type="dxa"/>
            <w:tcBorders/>
            <w:shd w:fill="auto" w:val="clear"/>
            <w:vAlign w:val="bottom"/>
          </w:tcPr>
          <w:p>
            <w:pPr>
              <w:pStyle w:val="TableContents"/>
              <w:spacing w:lineRule="atLeast" w:line="180" w:before="80" w:after="80"/>
              <w:ind w:left="0" w:right="0" w:hanging="0"/>
              <w:rPr/>
            </w:pPr>
            <w:r>
              <w:rPr/>
              <w:t> </w:t>
            </w:r>
          </w:p>
        </w:tc>
        <w:tc>
          <w:tcPr>
            <w:tcW w:w="210" w:type="dxa"/>
            <w:tcBorders/>
            <w:shd w:fill="auto" w:val="clear"/>
            <w:vAlign w:val="bottom"/>
          </w:tcPr>
          <w:p>
            <w:pPr>
              <w:pStyle w:val="TableContents"/>
              <w:spacing w:lineRule="atLeast" w:line="180" w:before="80" w:after="80"/>
              <w:ind w:left="0" w:right="0" w:hanging="0"/>
              <w:rPr/>
            </w:pPr>
            <w:r>
              <w:rPr/>
              <w:t> </w:t>
            </w:r>
          </w:p>
        </w:tc>
        <w:tc>
          <w:tcPr>
            <w:tcW w:w="80" w:type="dxa"/>
            <w:tcBorders/>
            <w:shd w:fill="auto"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shd w:fill="auto"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86.9</w:t>
            </w:r>
          </w:p>
        </w:tc>
        <w:tc>
          <w:tcPr>
            <w:tcW w:w="21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180" w:before="80" w:after="80"/>
              <w:ind w:left="0" w:right="0" w:hanging="0"/>
              <w:rPr/>
            </w:pPr>
            <w:r>
              <w:rPr/>
              <w:t> </w:t>
            </w:r>
          </w:p>
        </w:tc>
        <w:tc>
          <w:tcPr>
            <w:tcW w:w="80" w:type="dxa"/>
            <w:tcBorders/>
            <w:shd w:fill="auto"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46.0</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shd w:fill="auto"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56.9</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25.7</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41.3</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shd w:fill="auto"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158.6</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shd w:fill="auto"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185.0</w:t>
            </w:r>
          </w:p>
        </w:tc>
        <w:tc>
          <w:tcPr>
            <w:tcW w:w="90" w:type="dxa"/>
            <w:tcBorders/>
            <w:shd w:fill="auto" w:val="clear"/>
            <w:vAlign w:val="bottom"/>
          </w:tcPr>
          <w:p>
            <w:pPr>
              <w:pStyle w:val="TableContents"/>
              <w:spacing w:before="0" w:after="0"/>
              <w:ind w:left="0" w:right="0" w:hanging="0"/>
              <w:rPr/>
            </w:pPr>
            <w:r>
              <w:rPr/>
              <w:t> </w:t>
            </w:r>
          </w:p>
        </w:tc>
      </w:tr>
      <w:tr>
        <w:trPr/>
        <w:tc>
          <w:tcPr>
            <w:tcW w:w="3945" w:type="dxa"/>
            <w:tcBorders/>
            <w:shd w:fill="CCEEFF"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Basic:</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shd w:fill="CCEEFF" w:val="clear"/>
            <w:vAlign w:val="bottom"/>
          </w:tcPr>
          <w:p>
            <w:pPr>
              <w:pStyle w:val="TableContents"/>
              <w:spacing w:lineRule="atLeast" w:line="180" w:before="0" w:after="0"/>
              <w:ind w:left="0" w:right="0" w:hanging="0"/>
              <w:rPr/>
            </w:pPr>
            <w:r>
              <w:rPr/>
              <w:t> </w:t>
            </w:r>
          </w:p>
        </w:tc>
        <w:tc>
          <w:tcPr>
            <w:tcW w:w="90" w:type="dxa"/>
            <w:tcBorders/>
            <w:shd w:fill="CCEEFF" w:val="clear"/>
            <w:vAlign w:val="bottom"/>
          </w:tcPr>
          <w:p>
            <w:pPr>
              <w:pStyle w:val="TableContents"/>
              <w:spacing w:lineRule="atLeast" w:line="180" w:before="0" w:after="0"/>
              <w:ind w:left="0" w:right="0" w:hanging="0"/>
              <w:rPr/>
            </w:pPr>
            <w:r>
              <w:rPr/>
              <w:t> </w:t>
            </w:r>
          </w:p>
        </w:tc>
      </w:tr>
      <w:tr>
        <w:trPr/>
        <w:tc>
          <w:tcPr>
            <w:tcW w:w="3945" w:type="dxa"/>
            <w:tcBorders/>
            <w:shd w:fill="auto"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Weighted Average Units Outstanding</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67.7</w:t>
            </w:r>
          </w:p>
        </w:tc>
        <w:tc>
          <w:tcPr>
            <w:tcW w:w="210"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67.9</w:t>
            </w:r>
          </w:p>
        </w:tc>
        <w:tc>
          <w:tcPr>
            <w:tcW w:w="24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67.9</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67.9</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67.9</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67.8</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67.8</w:t>
            </w:r>
          </w:p>
        </w:tc>
        <w:tc>
          <w:tcPr>
            <w:tcW w:w="90" w:type="dxa"/>
            <w:tcBorders/>
            <w:shd w:fill="auto" w:val="clear"/>
            <w:vAlign w:val="bottom"/>
          </w:tcPr>
          <w:p>
            <w:pPr>
              <w:pStyle w:val="TableContents"/>
              <w:spacing w:lineRule="atLeast" w:line="180" w:before="0" w:after="0"/>
              <w:ind w:left="0" w:right="0" w:hanging="0"/>
              <w:rPr/>
            </w:pPr>
            <w:r>
              <w:rPr/>
              <w:t> </w:t>
            </w:r>
          </w:p>
        </w:tc>
      </w:tr>
      <w:tr>
        <w:trPr/>
        <w:tc>
          <w:tcPr>
            <w:tcW w:w="3945" w:type="dxa"/>
            <w:tcBorders/>
            <w:shd w:fill="CCEEFF"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Net Income Per Limited Partner Unit (see Note 9)</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80" w:type="dxa"/>
            <w:tcBorders/>
            <w:shd w:fill="CCEEFF"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1.27</w:t>
            </w:r>
          </w:p>
        </w:tc>
        <w:tc>
          <w:tcPr>
            <w:tcW w:w="21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80" w:type="dxa"/>
            <w:tcBorders/>
            <w:shd w:fill="CCEEFF"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0.67</w:t>
            </w:r>
          </w:p>
        </w:tc>
        <w:tc>
          <w:tcPr>
            <w:tcW w:w="240" w:type="dxa"/>
            <w:tcBorders/>
            <w:shd w:fill="CCEEFF" w:val="clear"/>
            <w:vAlign w:val="bottom"/>
          </w:tcPr>
          <w:p>
            <w:pPr>
              <w:pStyle w:val="TableContents"/>
              <w:spacing w:before="0" w:after="0"/>
              <w:ind w:left="0" w:right="0" w:hanging="0"/>
              <w:rPr/>
            </w:pPr>
            <w:r>
              <w:rPr/>
              <w:t> </w:t>
            </w:r>
          </w:p>
        </w:tc>
        <w:tc>
          <w:tcPr>
            <w:tcW w:w="80" w:type="dxa"/>
            <w:tcBorders/>
            <w:shd w:fill="CCEEFF"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60"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0.75</w:t>
            </w:r>
          </w:p>
        </w:tc>
        <w:tc>
          <w:tcPr>
            <w:tcW w:w="240" w:type="dxa"/>
            <w:tcBorders/>
            <w:shd w:fill="CCEEFF" w:val="clear"/>
            <w:vAlign w:val="bottom"/>
          </w:tcPr>
          <w:p>
            <w:pPr>
              <w:pStyle w:val="TableContents"/>
              <w:spacing w:before="0" w:after="0"/>
              <w:ind w:left="0" w:right="0" w:hanging="0"/>
              <w:rPr/>
            </w:pPr>
            <w:r>
              <w:rPr/>
              <w:t> </w:t>
            </w:r>
          </w:p>
        </w:tc>
        <w:tc>
          <w:tcPr>
            <w:tcW w:w="80" w:type="dxa"/>
            <w:tcBorders/>
            <w:shd w:fill="CCEEFF"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0.38</w:t>
            </w:r>
          </w:p>
        </w:tc>
        <w:tc>
          <w:tcPr>
            <w:tcW w:w="240" w:type="dxa"/>
            <w:tcBorders/>
            <w:shd w:fill="CCEEFF" w:val="clear"/>
            <w:vAlign w:val="bottom"/>
          </w:tcPr>
          <w:p>
            <w:pPr>
              <w:pStyle w:val="TableContents"/>
              <w:spacing w:before="0" w:after="0"/>
              <w:ind w:left="0" w:right="0" w:hanging="0"/>
              <w:rPr/>
            </w:pPr>
            <w:r>
              <w:rPr/>
              <w:t> </w:t>
            </w:r>
          </w:p>
        </w:tc>
        <w:tc>
          <w:tcPr>
            <w:tcW w:w="80" w:type="dxa"/>
            <w:tcBorders/>
            <w:shd w:fill="CCEEFF"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0.61</w:t>
            </w:r>
          </w:p>
        </w:tc>
        <w:tc>
          <w:tcPr>
            <w:tcW w:w="240" w:type="dxa"/>
            <w:tcBorders/>
            <w:shd w:fill="CCEEFF" w:val="clear"/>
            <w:vAlign w:val="bottom"/>
          </w:tcPr>
          <w:p>
            <w:pPr>
              <w:pStyle w:val="TableContents"/>
              <w:spacing w:before="0" w:after="0"/>
              <w:ind w:left="0" w:right="0" w:hanging="0"/>
              <w:rPr/>
            </w:pPr>
            <w:r>
              <w:rPr/>
              <w:t> </w:t>
            </w:r>
          </w:p>
        </w:tc>
        <w:tc>
          <w:tcPr>
            <w:tcW w:w="80" w:type="dxa"/>
            <w:tcBorders/>
            <w:shd w:fill="CCEEFF"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405"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2.34</w:t>
            </w:r>
          </w:p>
        </w:tc>
        <w:tc>
          <w:tcPr>
            <w:tcW w:w="240" w:type="dxa"/>
            <w:tcBorders/>
            <w:shd w:fill="CCEEFF" w:val="clear"/>
            <w:vAlign w:val="bottom"/>
          </w:tcPr>
          <w:p>
            <w:pPr>
              <w:pStyle w:val="TableContents"/>
              <w:spacing w:before="0" w:after="0"/>
              <w:ind w:left="0" w:right="0" w:hanging="0"/>
              <w:rPr/>
            </w:pPr>
            <w:r>
              <w:rPr/>
              <w:t> </w:t>
            </w:r>
          </w:p>
        </w:tc>
        <w:tc>
          <w:tcPr>
            <w:tcW w:w="80" w:type="dxa"/>
            <w:tcBorders/>
            <w:shd w:fill="CCEEFF"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405" w:type="dxa"/>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2.69</w:t>
            </w:r>
          </w:p>
        </w:tc>
        <w:tc>
          <w:tcPr>
            <w:tcW w:w="90" w:type="dxa"/>
            <w:tcBorders/>
            <w:shd w:fill="CCEEFF" w:val="clear"/>
            <w:vAlign w:val="bottom"/>
          </w:tcPr>
          <w:p>
            <w:pPr>
              <w:pStyle w:val="TableContents"/>
              <w:spacing w:before="0" w:after="0"/>
              <w:ind w:left="0" w:right="0" w:hanging="0"/>
              <w:rPr/>
            </w:pPr>
            <w:r>
              <w:rPr/>
              <w:t> </w:t>
            </w:r>
          </w:p>
        </w:tc>
      </w:tr>
      <w:tr>
        <w:trPr/>
        <w:tc>
          <w:tcPr>
            <w:tcW w:w="3945" w:type="dxa"/>
            <w:tcBorders/>
            <w:shd w:fill="auto" w:val="clear"/>
          </w:tcPr>
          <w:p>
            <w:pPr>
              <w:pStyle w:val="TableContents"/>
              <w:spacing w:lineRule="atLeast" w:line="180" w:before="120" w:after="120"/>
              <w:ind w:left="0" w:right="0" w:hanging="0"/>
              <w:rPr>
                <w:rFonts w:ascii="Times New Roman" w:hAnsi="Times New Roman"/>
                <w:sz w:val="12"/>
              </w:rPr>
            </w:pPr>
            <w:r>
              <w:rPr>
                <w:rFonts w:ascii="Times New Roman" w:hAnsi="Times New Roman"/>
                <w:sz w:val="12"/>
              </w:rPr>
              <w:t>Diluted:</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shd w:fill="auto" w:val="clear"/>
            <w:vAlign w:val="bottom"/>
          </w:tcPr>
          <w:p>
            <w:pPr>
              <w:pStyle w:val="TableContents"/>
              <w:spacing w:lineRule="atLeast" w:line="180" w:before="0" w:after="0"/>
              <w:ind w:left="0" w:right="0" w:hanging="0"/>
              <w:rPr/>
            </w:pPr>
            <w:r>
              <w:rPr/>
              <w:t> </w:t>
            </w:r>
          </w:p>
        </w:tc>
        <w:tc>
          <w:tcPr>
            <w:tcW w:w="90" w:type="dxa"/>
            <w:tcBorders/>
            <w:shd w:fill="auto" w:val="clear"/>
            <w:vAlign w:val="bottom"/>
          </w:tcPr>
          <w:p>
            <w:pPr>
              <w:pStyle w:val="TableContents"/>
              <w:spacing w:lineRule="atLeast" w:line="180" w:before="0" w:after="0"/>
              <w:ind w:left="0" w:right="0" w:hanging="0"/>
              <w:rPr/>
            </w:pPr>
            <w:r>
              <w:rPr/>
              <w:t> </w:t>
            </w:r>
          </w:p>
        </w:tc>
      </w:tr>
      <w:tr>
        <w:trPr/>
        <w:tc>
          <w:tcPr>
            <w:tcW w:w="3945" w:type="dxa"/>
            <w:tcBorders/>
            <w:shd w:fill="CCEEFF"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Weighted Average Units Outstanding</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68.7</w:t>
            </w:r>
          </w:p>
        </w:tc>
        <w:tc>
          <w:tcPr>
            <w:tcW w:w="210" w:type="dxa"/>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69.5</w:t>
            </w:r>
          </w:p>
        </w:tc>
        <w:tc>
          <w:tcPr>
            <w:tcW w:w="24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69.5</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69.5</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69.5</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69.1</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shd w:fill="CCEEFF"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69.1</w:t>
            </w:r>
          </w:p>
        </w:tc>
        <w:tc>
          <w:tcPr>
            <w:tcW w:w="90" w:type="dxa"/>
            <w:tcBorders/>
            <w:shd w:fill="CCEEFF" w:val="clear"/>
            <w:vAlign w:val="bottom"/>
          </w:tcPr>
          <w:p>
            <w:pPr>
              <w:pStyle w:val="TableContents"/>
              <w:spacing w:lineRule="atLeast" w:line="180" w:before="0" w:after="0"/>
              <w:ind w:left="0" w:right="0" w:hanging="0"/>
              <w:rPr/>
            </w:pPr>
            <w:r>
              <w:rPr/>
              <w:t> </w:t>
            </w:r>
          </w:p>
        </w:tc>
      </w:tr>
      <w:tr>
        <w:trPr/>
        <w:tc>
          <w:tcPr>
            <w:tcW w:w="3945" w:type="dxa"/>
            <w:tcBorders/>
            <w:shd w:fill="auto" w:val="cle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Net Income Per Limited Partner Unit (see Note 9)</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1.26</w:t>
            </w:r>
          </w:p>
        </w:tc>
        <w:tc>
          <w:tcPr>
            <w:tcW w:w="21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0.66</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6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0.74</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0.37</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0.59</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40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2.30</w:t>
            </w:r>
          </w:p>
        </w:tc>
        <w:tc>
          <w:tcPr>
            <w:tcW w:w="240" w:type="dxa"/>
            <w:tcBorders/>
            <w:shd w:fill="auto" w:val="clear"/>
            <w:vAlign w:val="bottom"/>
          </w:tcPr>
          <w:p>
            <w:pPr>
              <w:pStyle w:val="TableContents"/>
              <w:spacing w:before="0" w:after="0"/>
              <w:ind w:left="0" w:right="0" w:hanging="0"/>
              <w:rPr/>
            </w:pPr>
            <w:r>
              <w:rPr/>
              <w:t> </w:t>
            </w:r>
          </w:p>
        </w:tc>
        <w:tc>
          <w:tcPr>
            <w:tcW w:w="80" w:type="dxa"/>
            <w:tcBorders/>
            <w:shd w:fill="auto" w:val="cle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405"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2.64</w:t>
            </w:r>
          </w:p>
        </w:tc>
        <w:tc>
          <w:tcPr>
            <w:tcW w:w="90" w:type="dxa"/>
            <w:tcBorders/>
            <w:shd w:fill="auto" w:val="clear"/>
            <w:vAlign w:val="bottom"/>
          </w:tcPr>
          <w:p>
            <w:pPr>
              <w:pStyle w:val="TableContents"/>
              <w:spacing w:before="0" w:after="0"/>
              <w:ind w:left="0" w:right="0" w:hanging="0"/>
              <w:rPr/>
            </w:pPr>
            <w:r>
              <w:rPr/>
              <w:t> </w:t>
            </w:r>
          </w:p>
        </w:tc>
      </w:tr>
      <w:tr>
        <w:trPr/>
        <w:tc>
          <w:tcPr>
            <w:tcW w:w="3945" w:type="dxa"/>
            <w:tcBorders/>
            <w:shd w:fill="CCEEFF" w:val="clear"/>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EBIT</w:t>
            </w:r>
          </w:p>
        </w:tc>
        <w:tc>
          <w:tcPr>
            <w:tcW w:w="240" w:type="dxa"/>
            <w:tcBorders/>
            <w:shd w:fill="CCEEFF" w:val="clear"/>
            <w:vAlign w:val="bottom"/>
          </w:tcPr>
          <w:p>
            <w:pPr>
              <w:pStyle w:val="TableContents"/>
              <w:spacing w:lineRule="atLeast" w:line="180" w:before="80" w:after="80"/>
              <w:ind w:left="0" w:right="0" w:hanging="0"/>
              <w:rPr/>
            </w:pPr>
            <w:r>
              <w:rPr/>
              <w:t> </w:t>
            </w:r>
          </w:p>
        </w:tc>
        <w:tc>
          <w:tcPr>
            <w:tcW w:w="210" w:type="dxa"/>
            <w:tcBorders/>
            <w:shd w:fill="CCEEFF"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6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123.9</w:t>
            </w:r>
          </w:p>
        </w:tc>
        <w:tc>
          <w:tcPr>
            <w:tcW w:w="21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67.5</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6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78.0</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47.0</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62.5</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40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238.4</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40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264.4</w:t>
            </w:r>
          </w:p>
        </w:tc>
        <w:tc>
          <w:tcPr>
            <w:tcW w:w="90" w:type="dxa"/>
            <w:tcBorders/>
            <w:shd w:fill="CCEEFF" w:val="clear"/>
            <w:vAlign w:val="bottom"/>
          </w:tcPr>
          <w:p>
            <w:pPr>
              <w:pStyle w:val="TableContents"/>
              <w:spacing w:before="0" w:after="0"/>
              <w:ind w:left="0" w:right="0" w:hanging="0"/>
              <w:rPr/>
            </w:pPr>
            <w:r>
              <w:rPr/>
              <w:t> </w:t>
            </w:r>
          </w:p>
        </w:tc>
      </w:tr>
      <w:tr>
        <w:trPr/>
        <w:tc>
          <w:tcPr>
            <w:tcW w:w="3945" w:type="dxa"/>
            <w:tcBorders/>
            <w:shd w:fill="auto" w:val="clear"/>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EBITDA</w:t>
            </w:r>
          </w:p>
        </w:tc>
        <w:tc>
          <w:tcPr>
            <w:tcW w:w="240" w:type="dxa"/>
            <w:tcBorders/>
            <w:shd w:fill="auto" w:val="clear"/>
            <w:vAlign w:val="bottom"/>
          </w:tcPr>
          <w:p>
            <w:pPr>
              <w:pStyle w:val="TableContents"/>
              <w:spacing w:lineRule="atLeast" w:line="180" w:before="80" w:after="80"/>
              <w:ind w:left="0" w:right="0" w:hanging="0"/>
              <w:rPr/>
            </w:pPr>
            <w:r>
              <w:rPr/>
              <w:t> </w:t>
            </w:r>
          </w:p>
        </w:tc>
        <w:tc>
          <w:tcPr>
            <w:tcW w:w="210" w:type="dxa"/>
            <w:tcBorders/>
            <w:shd w:fill="auto"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6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162.5</w:t>
            </w:r>
          </w:p>
        </w:tc>
        <w:tc>
          <w:tcPr>
            <w:tcW w:w="21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87.8</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6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97.8</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67.8</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82.8</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40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318.1</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b/>
                <w:sz w:val="12"/>
              </w:rPr>
            </w:pPr>
            <w:r>
              <w:rPr>
                <w:rFonts w:ascii="Times New Roman" w:hAnsi="Times New Roman"/>
                <w:b/>
                <w:sz w:val="12"/>
              </w:rPr>
              <w:t>$</w:t>
            </w:r>
          </w:p>
        </w:tc>
        <w:tc>
          <w:tcPr>
            <w:tcW w:w="40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b/>
                <w:sz w:val="12"/>
              </w:rPr>
            </w:pPr>
            <w:r>
              <w:rPr>
                <w:rFonts w:ascii="Times New Roman" w:hAnsi="Times New Roman"/>
                <w:b/>
                <w:sz w:val="12"/>
              </w:rPr>
              <w:t>343.1</w:t>
            </w:r>
          </w:p>
        </w:tc>
        <w:tc>
          <w:tcPr>
            <w:tcW w:w="90" w:type="dxa"/>
            <w:tcBorders/>
            <w:shd w:fill="auto" w:val="clear"/>
            <w:vAlign w:val="bottom"/>
          </w:tcPr>
          <w:p>
            <w:pPr>
              <w:pStyle w:val="TableContents"/>
              <w:spacing w:before="0" w:after="0"/>
              <w:ind w:left="0" w:right="0" w:hanging="0"/>
              <w:rPr/>
            </w:pPr>
            <w:r>
              <w:rPr/>
              <w:t> </w:t>
            </w:r>
          </w:p>
        </w:tc>
      </w:tr>
      <w:tr>
        <w:trPr/>
        <w:tc>
          <w:tcPr>
            <w:tcW w:w="3945" w:type="dxa"/>
            <w:tcBorders>
              <w:bottom w:val="single" w:sz="8" w:space="0" w:color="000000"/>
            </w:tcBorders>
            <w:shd w:fill="CCEEFF" w:val="clear"/>
            <w:tcMar>
              <w:bottom w:w="28" w:type="dxa"/>
            </w:tcMar>
          </w:tcPr>
          <w:p>
            <w:pPr>
              <w:pStyle w:val="TableContents"/>
              <w:spacing w:lineRule="atLeast" w:line="180" w:before="140" w:after="14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21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21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c>
          <w:tcPr>
            <w:tcW w:w="90" w:type="dxa"/>
            <w:tcBorders>
              <w:bottom w:val="single" w:sz="8" w:space="0" w:color="000000"/>
            </w:tcBorders>
            <w:shd w:fill="CCEEFF" w:val="clear"/>
            <w:tcMar>
              <w:bottom w:w="28" w:type="dxa"/>
            </w:tcMar>
            <w:vAlign w:val="bottom"/>
          </w:tcPr>
          <w:p>
            <w:pPr>
              <w:pStyle w:val="TableContents"/>
              <w:spacing w:lineRule="atLeast" w:line="180" w:before="60" w:after="60"/>
              <w:ind w:left="0" w:right="0" w:hanging="0"/>
              <w:rPr/>
            </w:pPr>
            <w:r>
              <w:rPr/>
              <w:t> </w:t>
            </w:r>
          </w:p>
        </w:tc>
      </w:tr>
      <w:tr>
        <w:trPr/>
        <w:tc>
          <w:tcPr>
            <w:tcW w:w="3945" w:type="dxa"/>
            <w:tcBorders>
              <w:left w:val="single" w:sz="8" w:space="0" w:color="000000"/>
            </w:tcBorders>
            <w:shd w:fill="auto" w:val="clear"/>
            <w:tcMar>
              <w:left w:w="28" w:type="dxa"/>
            </w:tcMar>
          </w:tcPr>
          <w:p>
            <w:pPr>
              <w:pStyle w:val="TableContents"/>
              <w:spacing w:lineRule="atLeast" w:line="180" w:before="60" w:after="60"/>
              <w:ind w:left="0" w:right="0" w:hanging="0"/>
              <w:rPr>
                <w:rFonts w:ascii="Times New Roman" w:hAnsi="Times New Roman"/>
                <w:b/>
                <w:i/>
                <w:sz w:val="12"/>
              </w:rPr>
            </w:pPr>
            <w:r>
              <w:rPr>
                <w:rFonts w:ascii="Times New Roman" w:hAnsi="Times New Roman"/>
                <w:b/>
                <w:i/>
                <w:sz w:val="12"/>
              </w:rPr>
              <w:t>Selected Items Impacting Comparability</w:t>
            </w:r>
          </w:p>
        </w:tc>
        <w:tc>
          <w:tcPr>
            <w:tcW w:w="240" w:type="dxa"/>
            <w:tcBorders/>
            <w:shd w:fill="auto" w:val="clear"/>
            <w:vAlign w:val="bottom"/>
          </w:tcPr>
          <w:p>
            <w:pPr>
              <w:pStyle w:val="TableContents"/>
              <w:spacing w:lineRule="atLeast" w:line="180" w:before="60" w:after="60"/>
              <w:ind w:left="0" w:right="0" w:hanging="0"/>
              <w:rPr/>
            </w:pPr>
            <w:r>
              <w:rPr/>
              <w:t> </w:t>
            </w:r>
          </w:p>
        </w:tc>
        <w:tc>
          <w:tcPr>
            <w:tcW w:w="210" w:type="dxa"/>
            <w:tcBorders/>
            <w:shd w:fill="auto" w:val="clear"/>
            <w:vAlign w:val="bottom"/>
          </w:tcPr>
          <w:p>
            <w:pPr>
              <w:pStyle w:val="TableContents"/>
              <w:spacing w:lineRule="atLeast" w:line="180" w:before="60" w:after="60"/>
              <w:ind w:left="0" w:right="0" w:hanging="0"/>
              <w:rPr/>
            </w:pPr>
            <w:r>
              <w:rPr/>
              <w:t> </w:t>
            </w:r>
          </w:p>
        </w:tc>
        <w:tc>
          <w:tcPr>
            <w:tcW w:w="440" w:type="dxa"/>
            <w:gridSpan w:val="2"/>
            <w:tcBorders/>
            <w:shd w:fill="auto" w:val="clear"/>
            <w:vAlign w:val="bottom"/>
          </w:tcPr>
          <w:p>
            <w:pPr>
              <w:pStyle w:val="TableContents"/>
              <w:spacing w:lineRule="atLeast" w:line="180" w:before="60" w:after="60"/>
              <w:ind w:left="0" w:right="0" w:hanging="0"/>
              <w:rPr/>
            </w:pPr>
            <w:r>
              <w:rPr/>
              <w:t> </w:t>
            </w:r>
          </w:p>
        </w:tc>
        <w:tc>
          <w:tcPr>
            <w:tcW w:w="210" w:type="dxa"/>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42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44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42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42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48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485" w:type="dxa"/>
            <w:gridSpan w:val="2"/>
            <w:tcBorders/>
            <w:shd w:fill="auto" w:val="clear"/>
            <w:vAlign w:val="bottom"/>
          </w:tcPr>
          <w:p>
            <w:pPr>
              <w:pStyle w:val="TableContents"/>
              <w:spacing w:lineRule="atLeast" w:line="180" w:before="60" w:after="60"/>
              <w:ind w:left="0" w:right="0" w:hanging="0"/>
              <w:rPr/>
            </w:pPr>
            <w:r>
              <w:rPr/>
              <w:t> </w:t>
            </w:r>
          </w:p>
        </w:tc>
        <w:tc>
          <w:tcPr>
            <w:tcW w:w="90" w:type="dxa"/>
            <w:tcBorders>
              <w:right w:val="single" w:sz="8" w:space="0" w:color="000000"/>
            </w:tcBorders>
            <w:shd w:fill="auto" w:val="clear"/>
            <w:tcMar>
              <w:right w:w="28" w:type="dxa"/>
            </w:tcMar>
            <w:vAlign w:val="bottom"/>
          </w:tcPr>
          <w:p>
            <w:pPr>
              <w:pStyle w:val="TableContents"/>
              <w:spacing w:lineRule="atLeast" w:line="180" w:before="60" w:after="60"/>
              <w:ind w:left="0" w:right="0" w:hanging="0"/>
              <w:rPr/>
            </w:pPr>
            <w:r>
              <w:rPr/>
              <w:t> </w:t>
            </w:r>
          </w:p>
        </w:tc>
      </w:tr>
      <w:tr>
        <w:trPr/>
        <w:tc>
          <w:tcPr>
            <w:tcW w:w="3945" w:type="dxa"/>
            <w:tcBorders>
              <w:left w:val="single" w:sz="8" w:space="0" w:color="000000"/>
            </w:tcBorders>
            <w:shd w:fill="CCEEFF" w:val="clear"/>
            <w:tcMar>
              <w:left w:w="28" w:type="dxa"/>
            </w:tcMar>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LTIP charge</w:t>
            </w:r>
          </w:p>
        </w:tc>
        <w:tc>
          <w:tcPr>
            <w:tcW w:w="240" w:type="dxa"/>
            <w:tcBorders/>
            <w:shd w:fill="CCEEFF" w:val="clear"/>
            <w:vAlign w:val="bottom"/>
          </w:tcPr>
          <w:p>
            <w:pPr>
              <w:pStyle w:val="TableContents"/>
              <w:spacing w:lineRule="atLeast" w:line="180" w:before="80" w:after="80"/>
              <w:ind w:left="0" w:right="0" w:hanging="0"/>
              <w:rPr/>
            </w:pPr>
            <w:r>
              <w:rPr/>
              <w:t> </w:t>
            </w:r>
          </w:p>
        </w:tc>
        <w:tc>
          <w:tcPr>
            <w:tcW w:w="210" w:type="dxa"/>
            <w:tcBorders/>
            <w:shd w:fill="CCEEFF" w:val="clear"/>
            <w:vAlign w:val="bottom"/>
          </w:tcPr>
          <w:p>
            <w:pPr>
              <w:pStyle w:val="TableContents"/>
              <w:spacing w:lineRule="atLeast" w:line="180" w:before="80" w:after="80"/>
              <w:ind w:left="0" w:right="0" w:hanging="0"/>
              <w:rPr/>
            </w:pPr>
            <w:r>
              <w:rPr/>
              <w:t> </w:t>
            </w:r>
          </w:p>
        </w:tc>
        <w:tc>
          <w:tcPr>
            <w:tcW w:w="80" w:type="dxa"/>
            <w:tcBorders/>
            <w:shd w:fill="CCEEFF"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(10.2</w:t>
            </w:r>
          </w:p>
        </w:tc>
        <w:tc>
          <w:tcPr>
            <w:tcW w:w="210"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w:t>
            </w:r>
          </w:p>
        </w:tc>
        <w:tc>
          <w:tcPr>
            <w:tcW w:w="240" w:type="dxa"/>
            <w:tcBorders/>
            <w:shd w:fill="CCEEFF" w:val="clear"/>
            <w:vAlign w:val="bottom"/>
          </w:tcPr>
          <w:p>
            <w:pPr>
              <w:pStyle w:val="TableContents"/>
              <w:spacing w:lineRule="atLeast" w:line="180" w:before="80" w:after="80"/>
              <w:ind w:left="0" w:right="0" w:hanging="0"/>
              <w:rPr/>
            </w:pPr>
            <w:r>
              <w:rPr/>
              <w:t> </w:t>
            </w:r>
          </w:p>
        </w:tc>
        <w:tc>
          <w:tcPr>
            <w:tcW w:w="80" w:type="dxa"/>
            <w:tcBorders/>
            <w:shd w:fill="CCEEFF"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(7.2</w:t>
            </w:r>
          </w:p>
        </w:tc>
        <w:tc>
          <w:tcPr>
            <w:tcW w:w="240"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w:t>
            </w:r>
          </w:p>
        </w:tc>
        <w:tc>
          <w:tcPr>
            <w:tcW w:w="80" w:type="dxa"/>
            <w:tcBorders/>
            <w:shd w:fill="CCEEFF"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(7.2</w:t>
            </w:r>
          </w:p>
        </w:tc>
        <w:tc>
          <w:tcPr>
            <w:tcW w:w="240"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w:t>
            </w:r>
          </w:p>
        </w:tc>
        <w:tc>
          <w:tcPr>
            <w:tcW w:w="80" w:type="dxa"/>
            <w:tcBorders/>
            <w:shd w:fill="CCEEFF"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(7.2</w:t>
            </w:r>
          </w:p>
        </w:tc>
        <w:tc>
          <w:tcPr>
            <w:tcW w:w="240"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w:t>
            </w:r>
          </w:p>
        </w:tc>
        <w:tc>
          <w:tcPr>
            <w:tcW w:w="80" w:type="dxa"/>
            <w:tcBorders/>
            <w:shd w:fill="CCEEFF"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(7.2</w:t>
            </w:r>
          </w:p>
        </w:tc>
        <w:tc>
          <w:tcPr>
            <w:tcW w:w="240"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w:t>
            </w:r>
          </w:p>
        </w:tc>
        <w:tc>
          <w:tcPr>
            <w:tcW w:w="80" w:type="dxa"/>
            <w:tcBorders/>
            <w:shd w:fill="CCEEFF"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(24.5</w:t>
            </w:r>
          </w:p>
        </w:tc>
        <w:tc>
          <w:tcPr>
            <w:tcW w:w="240"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w:t>
            </w:r>
          </w:p>
        </w:tc>
        <w:tc>
          <w:tcPr>
            <w:tcW w:w="80" w:type="dxa"/>
            <w:tcBorders/>
            <w:shd w:fill="CCEEFF" w:val="cle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shd w:fill="CCEEFF" w:val="cle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(24.5</w:t>
            </w:r>
          </w:p>
        </w:tc>
        <w:tc>
          <w:tcPr>
            <w:tcW w:w="90" w:type="dxa"/>
            <w:tcBorders>
              <w:right w:val="single" w:sz="8" w:space="0" w:color="000000"/>
            </w:tcBorders>
            <w:shd w:fill="CCEEFF" w:val="clear"/>
            <w:tcMar>
              <w:right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w:t>
            </w:r>
          </w:p>
        </w:tc>
      </w:tr>
      <w:tr>
        <w:trPr/>
        <w:tc>
          <w:tcPr>
            <w:tcW w:w="3945" w:type="dxa"/>
            <w:tcBorders>
              <w:left w:val="single" w:sz="8" w:space="0" w:color="000000"/>
            </w:tcBorders>
            <w:shd w:fill="auto" w:val="clear"/>
            <w:tcMar>
              <w:left w:w="28" w:type="dxa"/>
            </w:tcM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SFAS 133 non-cash mark-to-market adjustment</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(26.3</w:t>
            </w:r>
          </w:p>
        </w:tc>
        <w:tc>
          <w:tcPr>
            <w:tcW w:w="21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40"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2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48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(26.3</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485" w:type="dxa"/>
            <w:gridSpan w:val="2"/>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(26.3</w:t>
            </w:r>
          </w:p>
        </w:tc>
        <w:tc>
          <w:tcPr>
            <w:tcW w:w="90" w:type="dxa"/>
            <w:tcBorders>
              <w:right w:val="single" w:sz="8" w:space="0" w:color="000000"/>
            </w:tcBorders>
            <w:shd w:fill="auto" w:val="clear"/>
            <w:tcMar>
              <w:right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r>
      <w:tr>
        <w:trPr/>
        <w:tc>
          <w:tcPr>
            <w:tcW w:w="3945" w:type="dxa"/>
            <w:tcBorders>
              <w:left w:val="single" w:sz="8" w:space="0" w:color="000000"/>
            </w:tcBorders>
            <w:shd w:fill="CCEEFF" w:val="clear"/>
            <w:tcMar>
              <w:left w:w="28" w:type="dxa"/>
            </w:tcMar>
          </w:tcPr>
          <w:p>
            <w:pPr>
              <w:pStyle w:val="TableContents"/>
              <w:spacing w:lineRule="atLeast" w:line="180" w:before="0" w:after="0"/>
              <w:ind w:left="0" w:right="0" w:hanging="0"/>
              <w:rPr>
                <w:rFonts w:ascii="Times New Roman" w:hAnsi="Times New Roman"/>
                <w:sz w:val="12"/>
              </w:rPr>
            </w:pPr>
            <w:r>
              <w:rPr>
                <w:rFonts w:ascii="Times New Roman" w:hAnsi="Times New Roman"/>
                <w:sz w:val="12"/>
              </w:rPr>
              <w:t>FX gain (loss)</w:t>
            </w:r>
          </w:p>
        </w:tc>
        <w:tc>
          <w:tcPr>
            <w:tcW w:w="240" w:type="dxa"/>
            <w:tcBorders/>
            <w:shd w:fill="CCEEFF" w:val="clear"/>
            <w:vAlign w:val="bottom"/>
          </w:tcPr>
          <w:p>
            <w:pPr>
              <w:pStyle w:val="TableContents"/>
              <w:spacing w:lineRule="atLeast" w:line="180" w:before="0" w:after="0"/>
              <w:ind w:left="0" w:right="0" w:hanging="0"/>
              <w:rPr/>
            </w:pPr>
            <w:r>
              <w:rPr/>
              <w:t> </w:t>
            </w:r>
          </w:p>
        </w:tc>
        <w:tc>
          <w:tcPr>
            <w:tcW w:w="21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0.2</w:t>
            </w:r>
          </w:p>
        </w:tc>
        <w:tc>
          <w:tcPr>
            <w:tcW w:w="210" w:type="dxa"/>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0.2</w:t>
            </w:r>
          </w:p>
        </w:tc>
        <w:tc>
          <w:tcPr>
            <w:tcW w:w="240" w:type="dxa"/>
            <w:tcBorders/>
            <w:shd w:fill="CCEEFF" w:val="cle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0.2</w:t>
            </w:r>
          </w:p>
        </w:tc>
        <w:tc>
          <w:tcPr>
            <w:tcW w:w="90" w:type="dxa"/>
            <w:tcBorders>
              <w:right w:val="single" w:sz="8" w:space="0" w:color="000000"/>
            </w:tcBorders>
            <w:shd w:fill="CCEEFF" w:val="clear"/>
            <w:tcMar>
              <w:right w:w="28" w:type="dxa"/>
            </w:tcMar>
            <w:vAlign w:val="bottom"/>
          </w:tcPr>
          <w:p>
            <w:pPr>
              <w:pStyle w:val="TableContents"/>
              <w:spacing w:lineRule="atLeast" w:line="180" w:before="0" w:after="0"/>
              <w:ind w:left="0" w:right="0" w:hanging="0"/>
              <w:rPr/>
            </w:pPr>
            <w:r>
              <w:rPr/>
              <w:t> </w:t>
            </w:r>
          </w:p>
        </w:tc>
      </w:tr>
      <w:tr>
        <w:trPr/>
        <w:tc>
          <w:tcPr>
            <w:tcW w:w="3945" w:type="dxa"/>
            <w:tcBorders>
              <w:left w:val="single" w:sz="8" w:space="0" w:color="000000"/>
            </w:tcBorders>
            <w:shd w:fill="auto" w:val="clear"/>
            <w:tcMar>
              <w:left w:w="28" w:type="dxa"/>
            </w:tcMar>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210" w:type="dxa"/>
            <w:tcBorders/>
            <w:shd w:fill="auto" w:val="clear"/>
            <w:vAlign w:val="bottom"/>
          </w:tcPr>
          <w:p>
            <w:pPr>
              <w:pStyle w:val="TableContents"/>
              <w:spacing w:lineRule="atLeast" w:line="180"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6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(36.3</w:t>
            </w:r>
          </w:p>
        </w:tc>
        <w:tc>
          <w:tcPr>
            <w:tcW w:w="21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240" w:type="dxa"/>
            <w:tcBorders/>
            <w:shd w:fill="auto" w:val="clear"/>
            <w:vAlign w:val="bottom"/>
          </w:tcPr>
          <w:p>
            <w:pPr>
              <w:pStyle w:val="TableContents"/>
              <w:spacing w:lineRule="atLeast" w:line="180"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(7.2</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80"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6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(7.2</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80"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(7.2</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80"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34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(7.2</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80"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40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(50.6</w:t>
            </w:r>
          </w:p>
        </w:tc>
        <w:tc>
          <w:tcPr>
            <w:tcW w:w="240" w:type="dxa"/>
            <w:tcBorders/>
            <w:shd w:fill="auto" w:val="cle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c>
          <w:tcPr>
            <w:tcW w:w="80"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2"/>
              </w:rPr>
            </w:pPr>
            <w:r>
              <w:rPr>
                <w:rFonts w:ascii="Times New Roman" w:hAnsi="Times New Roman"/>
                <w:sz w:val="12"/>
              </w:rPr>
              <w:t>$</w:t>
            </w:r>
          </w:p>
        </w:tc>
        <w:tc>
          <w:tcPr>
            <w:tcW w:w="40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(50.6</w:t>
            </w:r>
          </w:p>
        </w:tc>
        <w:tc>
          <w:tcPr>
            <w:tcW w:w="90" w:type="dxa"/>
            <w:tcBorders>
              <w:right w:val="single" w:sz="8" w:space="0" w:color="000000"/>
            </w:tcBorders>
            <w:shd w:fill="auto" w:val="clear"/>
            <w:tcMar>
              <w:right w:w="28" w:type="dxa"/>
            </w:tcMar>
            <w:vAlign w:val="bottom"/>
          </w:tcPr>
          <w:p>
            <w:pPr>
              <w:pStyle w:val="TableContents"/>
              <w:spacing w:lineRule="atLeast" w:line="180" w:before="0" w:after="0"/>
              <w:ind w:left="0" w:right="0" w:hanging="0"/>
              <w:rPr>
                <w:rFonts w:ascii="Times New Roman" w:hAnsi="Times New Roman"/>
                <w:sz w:val="12"/>
              </w:rPr>
            </w:pPr>
            <w:r>
              <w:rPr>
                <w:rFonts w:ascii="Times New Roman" w:hAnsi="Times New Roman"/>
                <w:sz w:val="12"/>
              </w:rPr>
              <w:t>)</w:t>
            </w:r>
          </w:p>
        </w:tc>
      </w:tr>
      <w:tr>
        <w:trPr/>
        <w:tc>
          <w:tcPr>
            <w:tcW w:w="3945" w:type="dxa"/>
            <w:tcBorders>
              <w:left w:val="single" w:sz="8" w:space="0" w:color="000000"/>
              <w:bottom w:val="single" w:sz="8" w:space="0" w:color="000000"/>
            </w:tcBorders>
            <w:shd w:fill="CCEEFF" w:val="clear"/>
            <w:tcMar>
              <w:left w:w="28" w:type="dxa"/>
              <w:bottom w:w="28" w:type="dxa"/>
            </w:tcMar>
          </w:tcPr>
          <w:p>
            <w:pPr>
              <w:pStyle w:val="TableContents"/>
              <w:spacing w:lineRule="atLeast" w:line="180"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21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21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pPr>
            <w:r>
              <w:rPr/>
              <w:t> </w:t>
            </w:r>
          </w:p>
        </w:tc>
        <w:tc>
          <w:tcPr>
            <w:tcW w:w="90" w:type="dxa"/>
            <w:tcBorders>
              <w:bottom w:val="single" w:sz="8" w:space="0" w:color="000000"/>
              <w:right w:val="single" w:sz="8" w:space="0" w:color="000000"/>
            </w:tcBorders>
            <w:shd w:fill="CCEEFF" w:val="clear"/>
            <w:tcMar>
              <w:bottom w:w="28" w:type="dxa"/>
              <w:right w:w="28" w:type="dxa"/>
            </w:tcMar>
            <w:vAlign w:val="bottom"/>
          </w:tcPr>
          <w:p>
            <w:pPr>
              <w:pStyle w:val="TableContents"/>
              <w:spacing w:lineRule="atLeast" w:line="180" w:before="0" w:after="0"/>
              <w:ind w:left="0" w:right="0" w:hanging="0"/>
              <w:rPr/>
            </w:pPr>
            <w:r>
              <w:rPr/>
              <w:t> </w:t>
            </w:r>
          </w:p>
        </w:tc>
      </w:tr>
      <w:tr>
        <w:trPr/>
        <w:tc>
          <w:tcPr>
            <w:tcW w:w="3945" w:type="dxa"/>
            <w:tcBorders>
              <w:bottom w:val="single" w:sz="8" w:space="0" w:color="000000"/>
            </w:tcBorders>
            <w:shd w:fill="auto" w:val="clear"/>
            <w:tcMar>
              <w:bottom w:w="28" w:type="dxa"/>
            </w:tcMar>
          </w:tcPr>
          <w:p>
            <w:pPr>
              <w:pStyle w:val="TableContents"/>
              <w:spacing w:lineRule="atLeast" w:line="180" w:before="0" w:after="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21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21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c>
          <w:tcPr>
            <w:tcW w:w="90" w:type="dxa"/>
            <w:tcBorders>
              <w:bottom w:val="single" w:sz="8" w:space="0" w:color="000000"/>
            </w:tcBorders>
            <w:shd w:fill="auto" w:val="clear"/>
            <w:tcMar>
              <w:bottom w:w="28" w:type="dxa"/>
            </w:tcMar>
            <w:vAlign w:val="bottom"/>
          </w:tcPr>
          <w:p>
            <w:pPr>
              <w:pStyle w:val="TableContents"/>
              <w:spacing w:lineRule="atLeast" w:line="180" w:before="0" w:after="0"/>
              <w:ind w:left="0" w:right="0" w:hanging="0"/>
              <w:rPr/>
            </w:pPr>
            <w:r>
              <w:rPr/>
              <w:t> </w:t>
            </w:r>
          </w:p>
        </w:tc>
      </w:tr>
      <w:tr>
        <w:trPr/>
        <w:tc>
          <w:tcPr>
            <w:tcW w:w="3945" w:type="dxa"/>
            <w:tcBorders>
              <w:left w:val="single" w:sz="8" w:space="0" w:color="000000"/>
            </w:tcBorders>
            <w:shd w:fill="CCEEFF" w:val="clear"/>
            <w:tcMar>
              <w:left w:w="28" w:type="dxa"/>
            </w:tcMar>
          </w:tcPr>
          <w:p>
            <w:pPr>
              <w:pStyle w:val="TableContents"/>
              <w:spacing w:lineRule="atLeast" w:line="180" w:before="80" w:after="80"/>
              <w:ind w:left="0" w:right="0" w:hanging="0"/>
              <w:rPr>
                <w:rFonts w:ascii="Times New Roman" w:hAnsi="Times New Roman"/>
                <w:b/>
                <w:i/>
                <w:sz w:val="12"/>
              </w:rPr>
            </w:pPr>
            <w:r>
              <w:rPr>
                <w:rFonts w:ascii="Times New Roman" w:hAnsi="Times New Roman"/>
                <w:b/>
                <w:i/>
                <w:sz w:val="12"/>
              </w:rPr>
              <w:t>Excluding Selected Items Impacting Comparability</w:t>
            </w:r>
          </w:p>
        </w:tc>
        <w:tc>
          <w:tcPr>
            <w:tcW w:w="240" w:type="dxa"/>
            <w:tcBorders/>
            <w:shd w:fill="CCEEFF" w:val="clear"/>
            <w:vAlign w:val="bottom"/>
          </w:tcPr>
          <w:p>
            <w:pPr>
              <w:pStyle w:val="TableContents"/>
              <w:spacing w:lineRule="atLeast" w:line="180" w:before="80" w:after="80"/>
              <w:ind w:left="0" w:right="0" w:hanging="0"/>
              <w:rPr/>
            </w:pPr>
            <w:r>
              <w:rPr/>
              <w:t> </w:t>
            </w:r>
          </w:p>
        </w:tc>
        <w:tc>
          <w:tcPr>
            <w:tcW w:w="210" w:type="dxa"/>
            <w:tcBorders/>
            <w:shd w:fill="CCEEFF" w:val="clear"/>
            <w:vAlign w:val="bottom"/>
          </w:tcPr>
          <w:p>
            <w:pPr>
              <w:pStyle w:val="TableContents"/>
              <w:spacing w:lineRule="atLeast" w:line="180" w:before="80" w:after="80"/>
              <w:ind w:left="0" w:right="0" w:hanging="0"/>
              <w:rPr/>
            </w:pPr>
            <w:r>
              <w:rPr/>
              <w:t> </w:t>
            </w:r>
          </w:p>
        </w:tc>
        <w:tc>
          <w:tcPr>
            <w:tcW w:w="440" w:type="dxa"/>
            <w:gridSpan w:val="2"/>
            <w:tcBorders/>
            <w:shd w:fill="CCEEFF" w:val="clear"/>
            <w:vAlign w:val="bottom"/>
          </w:tcPr>
          <w:p>
            <w:pPr>
              <w:pStyle w:val="TableContents"/>
              <w:spacing w:lineRule="atLeast" w:line="180" w:before="80" w:after="80"/>
              <w:ind w:left="0" w:right="0" w:hanging="0"/>
              <w:rPr/>
            </w:pPr>
            <w:r>
              <w:rPr/>
              <w:t> </w:t>
            </w:r>
          </w:p>
        </w:tc>
        <w:tc>
          <w:tcPr>
            <w:tcW w:w="210" w:type="dxa"/>
            <w:tcBorders/>
            <w:shd w:fill="CCEEFF" w:val="clear"/>
            <w:vAlign w:val="bottom"/>
          </w:tcPr>
          <w:p>
            <w:pPr>
              <w:pStyle w:val="TableContents"/>
              <w:spacing w:lineRule="atLeast" w:line="180" w:before="80" w:after="8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425" w:type="dxa"/>
            <w:gridSpan w:val="2"/>
            <w:tcBorders/>
            <w:shd w:fill="CCEEFF" w:val="clear"/>
            <w:vAlign w:val="bottom"/>
          </w:tcPr>
          <w:p>
            <w:pPr>
              <w:pStyle w:val="TableContents"/>
              <w:spacing w:lineRule="atLeast" w:line="180" w:before="80" w:after="8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440" w:type="dxa"/>
            <w:gridSpan w:val="2"/>
            <w:tcBorders/>
            <w:shd w:fill="CCEEFF" w:val="clear"/>
            <w:vAlign w:val="bottom"/>
          </w:tcPr>
          <w:p>
            <w:pPr>
              <w:pStyle w:val="TableContents"/>
              <w:spacing w:lineRule="atLeast" w:line="180" w:before="80" w:after="8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425" w:type="dxa"/>
            <w:gridSpan w:val="2"/>
            <w:tcBorders/>
            <w:shd w:fill="CCEEFF" w:val="clear"/>
            <w:vAlign w:val="bottom"/>
          </w:tcPr>
          <w:p>
            <w:pPr>
              <w:pStyle w:val="TableContents"/>
              <w:spacing w:lineRule="atLeast" w:line="180" w:before="80" w:after="8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425" w:type="dxa"/>
            <w:gridSpan w:val="2"/>
            <w:tcBorders/>
            <w:shd w:fill="CCEEFF" w:val="clear"/>
            <w:vAlign w:val="bottom"/>
          </w:tcPr>
          <w:p>
            <w:pPr>
              <w:pStyle w:val="TableContents"/>
              <w:spacing w:lineRule="atLeast" w:line="180" w:before="80" w:after="8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485" w:type="dxa"/>
            <w:gridSpan w:val="2"/>
            <w:tcBorders/>
            <w:shd w:fill="CCEEFF" w:val="clear"/>
            <w:vAlign w:val="bottom"/>
          </w:tcPr>
          <w:p>
            <w:pPr>
              <w:pStyle w:val="TableContents"/>
              <w:spacing w:lineRule="atLeast" w:line="180" w:before="80" w:after="8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485" w:type="dxa"/>
            <w:gridSpan w:val="2"/>
            <w:tcBorders/>
            <w:shd w:fill="CCEEFF" w:val="clear"/>
            <w:vAlign w:val="bottom"/>
          </w:tcPr>
          <w:p>
            <w:pPr>
              <w:pStyle w:val="TableContents"/>
              <w:spacing w:lineRule="atLeast" w:line="180" w:before="80" w:after="80"/>
              <w:ind w:left="0" w:right="0" w:hanging="0"/>
              <w:rPr/>
            </w:pPr>
            <w:r>
              <w:rPr/>
              <w:t> </w:t>
            </w:r>
          </w:p>
        </w:tc>
        <w:tc>
          <w:tcPr>
            <w:tcW w:w="90" w:type="dxa"/>
            <w:tcBorders>
              <w:right w:val="single" w:sz="8" w:space="0" w:color="000000"/>
            </w:tcBorders>
            <w:shd w:fill="CCEEFF" w:val="clear"/>
            <w:tcMar>
              <w:right w:w="28" w:type="dxa"/>
            </w:tcMar>
            <w:vAlign w:val="bottom"/>
          </w:tcPr>
          <w:p>
            <w:pPr>
              <w:pStyle w:val="TableContents"/>
              <w:spacing w:lineRule="atLeast" w:line="180" w:before="80" w:after="80"/>
              <w:ind w:left="0" w:right="0" w:hanging="0"/>
              <w:rPr/>
            </w:pPr>
            <w:r>
              <w:rPr/>
              <w:t> </w:t>
            </w:r>
          </w:p>
        </w:tc>
      </w:tr>
      <w:tr>
        <w:trPr/>
        <w:tc>
          <w:tcPr>
            <w:tcW w:w="3945" w:type="dxa"/>
            <w:tcBorders>
              <w:left w:val="single" w:sz="8" w:space="0" w:color="000000"/>
            </w:tcBorders>
            <w:shd w:fill="auto" w:val="clear"/>
            <w:tcMar>
              <w:left w:w="28" w:type="dxa"/>
            </w:tcMar>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Adjusted EBITDA</w:t>
            </w:r>
          </w:p>
        </w:tc>
        <w:tc>
          <w:tcPr>
            <w:tcW w:w="240" w:type="dxa"/>
            <w:tcBorders/>
            <w:shd w:fill="auto" w:val="clear"/>
            <w:vAlign w:val="bottom"/>
          </w:tcPr>
          <w:p>
            <w:pPr>
              <w:pStyle w:val="TableContents"/>
              <w:spacing w:lineRule="atLeast" w:line="180" w:before="80" w:after="80"/>
              <w:ind w:left="0" w:right="0" w:hanging="0"/>
              <w:rPr/>
            </w:pPr>
            <w:r>
              <w:rPr/>
              <w:t> </w:t>
            </w:r>
          </w:p>
        </w:tc>
        <w:tc>
          <w:tcPr>
            <w:tcW w:w="210" w:type="dxa"/>
            <w:tcBorders/>
            <w:shd w:fill="auto"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198.7</w:t>
            </w:r>
          </w:p>
        </w:tc>
        <w:tc>
          <w:tcPr>
            <w:tcW w:w="21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95.0</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105.0</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75.0</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90.0</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368.7</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393.7</w:t>
            </w:r>
          </w:p>
        </w:tc>
        <w:tc>
          <w:tcPr>
            <w:tcW w:w="9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945" w:type="dxa"/>
            <w:tcBorders>
              <w:left w:val="single" w:sz="8" w:space="0" w:color="000000"/>
            </w:tcBorders>
            <w:shd w:fill="CCEEFF" w:val="clear"/>
            <w:tcMar>
              <w:left w:w="28" w:type="dxa"/>
            </w:tcMar>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Adjusted Net Income</w:t>
            </w:r>
          </w:p>
        </w:tc>
        <w:tc>
          <w:tcPr>
            <w:tcW w:w="240" w:type="dxa"/>
            <w:tcBorders/>
            <w:shd w:fill="CCEEFF" w:val="clear"/>
            <w:vAlign w:val="bottom"/>
          </w:tcPr>
          <w:p>
            <w:pPr>
              <w:pStyle w:val="TableContents"/>
              <w:spacing w:lineRule="atLeast" w:line="180" w:before="80" w:after="80"/>
              <w:ind w:left="0" w:right="0" w:hanging="0"/>
              <w:rPr/>
            </w:pPr>
            <w:r>
              <w:rPr/>
              <w:t> </w:t>
            </w:r>
          </w:p>
        </w:tc>
        <w:tc>
          <w:tcPr>
            <w:tcW w:w="210" w:type="dxa"/>
            <w:tcBorders/>
            <w:shd w:fill="CCEEFF"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131.3</w:t>
            </w:r>
          </w:p>
        </w:tc>
        <w:tc>
          <w:tcPr>
            <w:tcW w:w="21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57.9</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69.0</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37.2</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53.1</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226.4</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253.4</w:t>
            </w:r>
          </w:p>
        </w:tc>
        <w:tc>
          <w:tcPr>
            <w:tcW w:w="9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945" w:type="dxa"/>
            <w:tcBorders>
              <w:left w:val="single" w:sz="8" w:space="0" w:color="000000"/>
            </w:tcBorders>
            <w:shd w:fill="auto" w:val="clear"/>
            <w:tcMar>
              <w:left w:w="28" w:type="dxa"/>
            </w:tcMar>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Adjusted Basic Net Income per Limited Partner Unit</w:t>
            </w:r>
          </w:p>
        </w:tc>
        <w:tc>
          <w:tcPr>
            <w:tcW w:w="240" w:type="dxa"/>
            <w:tcBorders/>
            <w:shd w:fill="auto" w:val="clear"/>
            <w:vAlign w:val="bottom"/>
          </w:tcPr>
          <w:p>
            <w:pPr>
              <w:pStyle w:val="TableContents"/>
              <w:spacing w:lineRule="atLeast" w:line="180" w:before="80" w:after="80"/>
              <w:ind w:left="0" w:right="0" w:hanging="0"/>
              <w:rPr/>
            </w:pPr>
            <w:r>
              <w:rPr/>
              <w:t> </w:t>
            </w:r>
          </w:p>
        </w:tc>
        <w:tc>
          <w:tcPr>
            <w:tcW w:w="210" w:type="dxa"/>
            <w:tcBorders/>
            <w:shd w:fill="auto"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1.81</w:t>
            </w:r>
          </w:p>
        </w:tc>
        <w:tc>
          <w:tcPr>
            <w:tcW w:w="21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0.78</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0.94</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0.48</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0.71</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3.07</w:t>
            </w:r>
          </w:p>
        </w:tc>
        <w:tc>
          <w:tcPr>
            <w:tcW w:w="240" w:type="dxa"/>
            <w:tcBorders/>
            <w:shd w:fill="auto" w:val="clear"/>
            <w:vAlign w:val="bottom"/>
          </w:tcPr>
          <w:p>
            <w:pPr>
              <w:pStyle w:val="TableContents"/>
              <w:spacing w:before="0" w:after="0"/>
              <w:ind w:left="0" w:right="0" w:hanging="0"/>
              <w:rPr/>
            </w:pPr>
            <w:r>
              <w:rPr/>
              <w:t> </w:t>
            </w:r>
          </w:p>
        </w:tc>
        <w:tc>
          <w:tcPr>
            <w:tcW w:w="80"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bottom w:val="double" w:sz="6" w:space="0" w:color="000000"/>
            </w:tcBorders>
            <w:shd w:fill="auto"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3.46</w:t>
            </w:r>
          </w:p>
        </w:tc>
        <w:tc>
          <w:tcPr>
            <w:tcW w:w="9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945" w:type="dxa"/>
            <w:tcBorders>
              <w:left w:val="single" w:sz="8" w:space="0" w:color="000000"/>
            </w:tcBorders>
            <w:shd w:fill="CCEEFF" w:val="clear"/>
            <w:tcMar>
              <w:left w:w="28" w:type="dxa"/>
            </w:tcMar>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Adjusted Diluted Net Income per Limited Partner Unit</w:t>
            </w:r>
          </w:p>
        </w:tc>
        <w:tc>
          <w:tcPr>
            <w:tcW w:w="240" w:type="dxa"/>
            <w:tcBorders/>
            <w:shd w:fill="CCEEFF" w:val="clear"/>
            <w:vAlign w:val="bottom"/>
          </w:tcPr>
          <w:p>
            <w:pPr>
              <w:pStyle w:val="TableContents"/>
              <w:spacing w:lineRule="atLeast" w:line="180" w:before="80" w:after="80"/>
              <w:ind w:left="0" w:right="0" w:hanging="0"/>
              <w:rPr/>
            </w:pPr>
            <w:r>
              <w:rPr/>
              <w:t> </w:t>
            </w:r>
          </w:p>
        </w:tc>
        <w:tc>
          <w:tcPr>
            <w:tcW w:w="210" w:type="dxa"/>
            <w:tcBorders/>
            <w:shd w:fill="CCEEFF"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1.78</w:t>
            </w:r>
          </w:p>
        </w:tc>
        <w:tc>
          <w:tcPr>
            <w:tcW w:w="21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180" w:before="80" w:after="8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0.76</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6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0.92</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0.47</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34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0.70</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3.01</w:t>
            </w:r>
          </w:p>
        </w:tc>
        <w:tc>
          <w:tcPr>
            <w:tcW w:w="240" w:type="dxa"/>
            <w:tcBorders/>
            <w:shd w:fill="CCEEFF" w:val="clear"/>
            <w:vAlign w:val="bottom"/>
          </w:tcPr>
          <w:p>
            <w:pPr>
              <w:pStyle w:val="TableContents"/>
              <w:spacing w:before="0" w:after="0"/>
              <w:ind w:left="0" w:right="0" w:hanging="0"/>
              <w:rPr/>
            </w:pPr>
            <w:r>
              <w:rPr/>
              <w:t> </w:t>
            </w:r>
          </w:p>
        </w:tc>
        <w:tc>
          <w:tcPr>
            <w:tcW w:w="80"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jc w:val="left"/>
              <w:rPr>
                <w:rFonts w:ascii="Times New Roman" w:hAnsi="Times New Roman"/>
                <w:sz w:val="12"/>
              </w:rPr>
            </w:pPr>
            <w:r>
              <w:rPr>
                <w:rFonts w:ascii="Times New Roman" w:hAnsi="Times New Roman"/>
                <w:sz w:val="12"/>
              </w:rPr>
              <w:t>$</w:t>
            </w:r>
          </w:p>
        </w:tc>
        <w:tc>
          <w:tcPr>
            <w:tcW w:w="405" w:type="dxa"/>
            <w:tcBorders>
              <w:bottom w:val="double" w:sz="6" w:space="0" w:color="000000"/>
            </w:tcBorders>
            <w:shd w:fill="CCEEFF" w:val="clear"/>
            <w:tcMar>
              <w:bottom w:w="28" w:type="dxa"/>
            </w:tcMar>
            <w:vAlign w:val="bottom"/>
          </w:tcPr>
          <w:p>
            <w:pPr>
              <w:pStyle w:val="TableContents"/>
              <w:spacing w:lineRule="atLeast" w:line="180" w:before="80" w:after="80"/>
              <w:ind w:left="0" w:right="0" w:hanging="0"/>
              <w:rPr>
                <w:rFonts w:ascii="Times New Roman" w:hAnsi="Times New Roman"/>
                <w:sz w:val="12"/>
              </w:rPr>
            </w:pPr>
            <w:r>
              <w:rPr>
                <w:rFonts w:ascii="Times New Roman" w:hAnsi="Times New Roman"/>
                <w:sz w:val="12"/>
              </w:rPr>
              <w:t>3.40</w:t>
            </w:r>
          </w:p>
        </w:tc>
        <w:tc>
          <w:tcPr>
            <w:tcW w:w="9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945" w:type="dxa"/>
            <w:tcBorders>
              <w:left w:val="single" w:sz="8" w:space="0" w:color="000000"/>
              <w:bottom w:val="single" w:sz="8" w:space="0" w:color="000000"/>
            </w:tcBorders>
            <w:shd w:fill="auto" w:val="clear"/>
            <w:tcMar>
              <w:left w:w="28" w:type="dxa"/>
              <w:bottom w:w="28" w:type="dxa"/>
            </w:tcMar>
          </w:tcPr>
          <w:p>
            <w:pPr>
              <w:pStyle w:val="TableContents"/>
              <w:spacing w:lineRule="atLeast" w:line="180" w:before="80" w:after="8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21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21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440"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425"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240" w:type="dxa"/>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180" w:before="80" w:after="80"/>
              <w:ind w:left="0" w:right="0" w:hanging="0"/>
              <w:rPr/>
            </w:pPr>
            <w:r>
              <w:rPr/>
              <w:t> </w:t>
            </w:r>
          </w:p>
        </w:tc>
        <w:tc>
          <w:tcPr>
            <w:tcW w:w="90" w:type="dxa"/>
            <w:tcBorders>
              <w:bottom w:val="single" w:sz="8" w:space="0" w:color="000000"/>
              <w:right w:val="single" w:sz="8" w:space="0" w:color="000000"/>
            </w:tcBorders>
            <w:shd w:fill="auto" w:val="clear"/>
            <w:tcMar>
              <w:bottom w:w="28" w:type="dxa"/>
              <w:right w:w="28" w:type="dxa"/>
            </w:tcMar>
            <w:vAlign w:val="bottom"/>
          </w:tcPr>
          <w:p>
            <w:pPr>
              <w:pStyle w:val="TableContents"/>
              <w:spacing w:lineRule="atLeast" w:line="180" w:before="80" w:after="8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rPr>
      </w:pPr>
      <w:r>
        <w:rPr>
          <w:rFonts w:ascii="Times New Roman" w:hAnsi="Times New Roman"/>
          <w:sz w:val="12"/>
        </w:rPr>
        <w:t>(1)</w:t>
      </w:r>
      <w:r>
        <w:rPr>
          <w:rFonts w:ascii="Times New Roman" w:hAnsi="Times New Roman"/>
        </w:rPr>
        <w:t xml:space="preserve">                </w:t>
      </w:r>
      <w:r>
        <w:rPr>
          <w:rFonts w:ascii="Times New Roman" w:hAnsi="Times New Roman"/>
          <w:sz w:val="12"/>
        </w:rPr>
        <w:t>The projected average foreign exchange rate is $1.25 CAD to $1 USD.</w:t>
      </w:r>
    </w:p>
    <w:p>
      <w:pPr>
        <w:pStyle w:val="TextBody"/>
        <w:spacing w:before="0" w:after="120"/>
        <w:ind w:left="400" w:right="0" w:hanging="400"/>
        <w:rPr/>
      </w:pPr>
      <w:r>
        <w:rPr/>
        <w:t> </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240"/>
        <w:ind w:left="400" w:right="0" w:hanging="40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r>
        <w:rPr>
          <w:rFonts w:ascii="Times New Roman" w:hAnsi="Times New Roman"/>
          <w:sz w:val="17"/>
        </w:rPr>
        <w:t>.</w:t>
      </w:r>
    </w:p>
    <w:tbl>
      <w:tblPr>
        <w:tblW w:w="8325" w:type="dxa"/>
        <w:jc w:val="left"/>
        <w:tblInd w:w="0" w:type="dxa"/>
        <w:tblCellMar>
          <w:top w:w="0" w:type="dxa"/>
          <w:left w:w="0" w:type="dxa"/>
          <w:bottom w:w="0" w:type="dxa"/>
          <w:right w:w="0" w:type="dxa"/>
        </w:tblCellMar>
      </w:tblPr>
      <w:tblGrid>
        <w:gridCol w:w="1605"/>
        <w:gridCol w:w="120"/>
        <w:gridCol w:w="6600"/>
      </w:tblGrid>
      <w:tr>
        <w:trPr/>
        <w:tc>
          <w:tcPr>
            <w:tcW w:w="16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120" w:type="dxa"/>
            <w:tcBorders/>
            <w:shd w:fill="CCEEFF" w:val="clear"/>
            <w:vAlign w:val="bottom"/>
          </w:tcPr>
          <w:p>
            <w:pPr>
              <w:pStyle w:val="TableContents"/>
              <w:spacing w:before="0" w:after="0"/>
              <w:ind w:left="0" w:right="0" w:hanging="0"/>
              <w:rPr/>
            </w:pPr>
            <w:r>
              <w:rPr/>
              <w:t> </w:t>
            </w:r>
          </w:p>
        </w:tc>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6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20" w:type="dxa"/>
            <w:tcBorders/>
            <w:shd w:fill="auto" w:val="clear"/>
            <w:vAlign w:val="bottom"/>
          </w:tcPr>
          <w:p>
            <w:pPr>
              <w:pStyle w:val="TableContents"/>
              <w:spacing w:before="0" w:after="0"/>
              <w:ind w:left="0" w:right="0" w:hanging="0"/>
              <w:rPr/>
            </w:pPr>
            <w:r>
              <w:rPr/>
              <w:t> </w:t>
            </w:r>
          </w:p>
        </w:tc>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6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Bbl/d</w:t>
            </w:r>
          </w:p>
        </w:tc>
        <w:tc>
          <w:tcPr>
            <w:tcW w:w="120" w:type="dxa"/>
            <w:tcBorders/>
            <w:shd w:fill="CCEEFF" w:val="clear"/>
            <w:vAlign w:val="bottom"/>
          </w:tcPr>
          <w:p>
            <w:pPr>
              <w:pStyle w:val="TableContents"/>
              <w:spacing w:before="0" w:after="0"/>
              <w:ind w:left="0" w:right="0" w:hanging="0"/>
              <w:rPr/>
            </w:pPr>
            <w:r>
              <w:rPr/>
              <w:t> </w:t>
            </w:r>
          </w:p>
        </w:tc>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6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20" w:type="dxa"/>
            <w:tcBorders/>
            <w:shd w:fill="auto" w:val="clear"/>
            <w:vAlign w:val="bottom"/>
          </w:tcPr>
          <w:p>
            <w:pPr>
              <w:pStyle w:val="TableContents"/>
              <w:spacing w:before="0" w:after="0"/>
              <w:ind w:left="0" w:right="0" w:hanging="0"/>
              <w:rPr/>
            </w:pPr>
            <w:r>
              <w:rPr/>
              <w:t> </w:t>
            </w:r>
          </w:p>
        </w:tc>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less purchases, field operating costs, and segment general and administrative expenses</w:t>
            </w:r>
          </w:p>
        </w:tc>
      </w:tr>
      <w:tr>
        <w:trPr/>
        <w:tc>
          <w:tcPr>
            <w:tcW w:w="16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120" w:type="dxa"/>
            <w:tcBorders/>
            <w:shd w:fill="CCEEFF" w:val="clear"/>
            <w:vAlign w:val="bottom"/>
          </w:tcPr>
          <w:p>
            <w:pPr>
              <w:pStyle w:val="TableContents"/>
              <w:spacing w:before="0" w:after="0"/>
              <w:ind w:left="0" w:right="0" w:hanging="0"/>
              <w:rPr/>
            </w:pPr>
            <w:r>
              <w:rPr/>
              <w:t> </w:t>
            </w:r>
          </w:p>
        </w:tc>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6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20" w:type="dxa"/>
            <w:tcBorders/>
            <w:shd w:fill="auto" w:val="clear"/>
            <w:vAlign w:val="bottom"/>
          </w:tcPr>
          <w:p>
            <w:pPr>
              <w:pStyle w:val="TableContents"/>
              <w:spacing w:before="0" w:after="0"/>
              <w:ind w:left="0" w:right="0" w:hanging="0"/>
              <w:rPr/>
            </w:pPr>
            <w:r>
              <w:rPr/>
              <w:t> </w:t>
            </w:r>
          </w:p>
        </w:tc>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petroleum products</w:t>
            </w:r>
          </w:p>
        </w:tc>
      </w:tr>
      <w:tr>
        <w:trPr/>
        <w:tc>
          <w:tcPr>
            <w:tcW w:w="16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120" w:type="dxa"/>
            <w:tcBorders/>
            <w:shd w:fill="CCEEFF" w:val="clear"/>
            <w:vAlign w:val="bottom"/>
          </w:tcPr>
          <w:p>
            <w:pPr>
              <w:pStyle w:val="TableContents"/>
              <w:spacing w:before="0" w:after="0"/>
              <w:ind w:left="0" w:right="0" w:hanging="0"/>
              <w:rPr/>
            </w:pPr>
            <w:r>
              <w:rPr/>
              <w:t> </w:t>
            </w:r>
          </w:p>
        </w:tc>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6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GMT&amp;S</w:t>
            </w:r>
          </w:p>
        </w:tc>
        <w:tc>
          <w:tcPr>
            <w:tcW w:w="120" w:type="dxa"/>
            <w:tcBorders/>
            <w:shd w:fill="auto" w:val="clear"/>
            <w:vAlign w:val="bottom"/>
          </w:tcPr>
          <w:p>
            <w:pPr>
              <w:pStyle w:val="TableContents"/>
              <w:spacing w:before="0" w:after="0"/>
              <w:ind w:left="0" w:right="0" w:hanging="0"/>
              <w:rPr/>
            </w:pPr>
            <w:r>
              <w:rPr/>
              <w:t> </w:t>
            </w:r>
          </w:p>
        </w:tc>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Gathering, Marketing, Terminalling &amp; Storage</w:t>
            </w:r>
          </w:p>
        </w:tc>
      </w:tr>
    </w:tbl>
    <w:p>
      <w:pPr>
        <w:pStyle w:val="TextBody"/>
        <w:keepNext w:val="true"/>
        <w:spacing w:lineRule="atLeast" w:line="141" w:before="0" w:after="240"/>
        <w:ind w:left="0" w:right="0" w:hanging="0"/>
        <w:rPr/>
      </w:pPr>
      <w:r>
        <w:rPr/>
        <w:t> </w:t>
      </w:r>
    </w:p>
    <w:p>
      <w:pPr>
        <w:pStyle w:val="TextBody"/>
        <w:keepNext w:val="true"/>
        <w:spacing w:before="0" w:after="240"/>
        <w:ind w:left="400" w:right="0" w:hanging="400"/>
        <w:rPr>
          <w:rFonts w:ascii="Times New Roman" w:hAnsi="Times New Roman"/>
          <w:sz w:val="17"/>
        </w:rPr>
      </w:pPr>
      <w:r>
        <w:rPr>
          <w:rFonts w:ascii="Times New Roman" w:hAnsi="Times New Roman"/>
          <w:sz w:val="17"/>
        </w:rPr>
        <w:t xml:space="preserve">2.                 </w:t>
      </w:r>
      <w:r>
        <w:rPr>
          <w:rFonts w:ascii="Times New Roman" w:hAnsi="Times New Roman"/>
          <w:i/>
          <w:sz w:val="17"/>
        </w:rPr>
        <w:t xml:space="preserve">Pipeline Operations. </w:t>
      </w:r>
      <w:r>
        <w:rPr>
          <w:rFonts w:ascii="Times New Roman" w:hAnsi="Times New Roman"/>
          <w:sz w:val="17"/>
        </w:rPr>
        <w:t> Pipeline volume estimates are based on historical trends, anticipated future operating performance and completion of organic growth projects. Volumes are influenced by temporary market-driven storage and withdrawal of oil, end-user refinery maintenance schedules, field declines and other external factors beyond our control. Actual segment profit could vary materially depending on the level of volumes transported. The following table summarizes our pipeline volumes and breaks out the major systems that are significant either in total volumes transported or in contribution to total net revenue.</w:t>
      </w:r>
    </w:p>
    <w:tbl>
      <w:tblPr>
        <w:tblW w:w="8450" w:type="dxa"/>
        <w:jc w:val="left"/>
        <w:tblInd w:w="0" w:type="dxa"/>
        <w:tblCellMar>
          <w:top w:w="0" w:type="dxa"/>
          <w:left w:w="0" w:type="dxa"/>
          <w:bottom w:w="0" w:type="dxa"/>
          <w:right w:w="0" w:type="dxa"/>
        </w:tblCellMar>
      </w:tblPr>
      <w:tblGrid>
        <w:gridCol w:w="3315"/>
        <w:gridCol w:w="240"/>
        <w:gridCol w:w="180"/>
        <w:gridCol w:w="95"/>
        <w:gridCol w:w="390"/>
        <w:gridCol w:w="180"/>
        <w:gridCol w:w="240"/>
        <w:gridCol w:w="255"/>
        <w:gridCol w:w="95"/>
        <w:gridCol w:w="390"/>
        <w:gridCol w:w="255"/>
        <w:gridCol w:w="285"/>
        <w:gridCol w:w="300"/>
        <w:gridCol w:w="95"/>
        <w:gridCol w:w="390"/>
        <w:gridCol w:w="300"/>
        <w:gridCol w:w="285"/>
        <w:gridCol w:w="300"/>
        <w:gridCol w:w="95"/>
        <w:gridCol w:w="390"/>
        <w:gridCol w:w="300"/>
        <w:gridCol w:w="75"/>
      </w:tblGrid>
      <w:tr>
        <w:trPr/>
        <w:tc>
          <w:tcPr>
            <w:tcW w:w="331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4820" w:type="dxa"/>
            <w:gridSpan w:val="1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 2005</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331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4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Actual</w:t>
            </w:r>
          </w:p>
        </w:tc>
        <w:tc>
          <w:tcPr>
            <w:tcW w:w="240" w:type="dxa"/>
            <w:tcBorders/>
            <w:shd w:fill="auto" w:val="clear"/>
            <w:vAlign w:val="bottom"/>
          </w:tcPr>
          <w:p>
            <w:pPr>
              <w:pStyle w:val="TableContents"/>
              <w:spacing w:lineRule="atLeast" w:line="160" w:before="0" w:after="0"/>
              <w:ind w:left="0" w:right="0" w:hanging="0"/>
              <w:rPr/>
            </w:pPr>
            <w:r>
              <w:rPr/>
              <w:t> </w:t>
            </w:r>
          </w:p>
        </w:tc>
        <w:tc>
          <w:tcPr>
            <w:tcW w:w="3735" w:type="dxa"/>
            <w:gridSpan w:val="1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331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4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w:t>
            </w:r>
          </w:p>
        </w:tc>
        <w:tc>
          <w:tcPr>
            <w:tcW w:w="240" w:type="dxa"/>
            <w:tcBorders/>
            <w:shd w:fill="auto" w:val="clear"/>
            <w:vAlign w:val="bottom"/>
          </w:tcPr>
          <w:p>
            <w:pPr>
              <w:pStyle w:val="TableContents"/>
              <w:spacing w:lineRule="atLeast" w:line="160" w:before="0" w:after="0"/>
              <w:ind w:left="0" w:right="0" w:hanging="0"/>
              <w:rPr/>
            </w:pPr>
            <w:r>
              <w:rPr/>
              <w:t> </w:t>
            </w:r>
          </w:p>
        </w:tc>
        <w:tc>
          <w:tcPr>
            <w:tcW w:w="2365" w:type="dxa"/>
            <w:gridSpan w:val="9"/>
            <w:tcBorders/>
            <w:shd w:fill="auto" w:val="clear"/>
            <w:vAlign w:val="bottom"/>
          </w:tcPr>
          <w:p>
            <w:pPr>
              <w:pStyle w:val="TableContents"/>
              <w:spacing w:lineRule="atLeast" w:line="160" w:before="0" w:after="0"/>
              <w:ind w:left="0" w:right="0" w:hanging="0"/>
              <w:rPr/>
            </w:pPr>
            <w:r>
              <w:rPr/>
              <w:t> </w:t>
            </w:r>
          </w:p>
        </w:tc>
        <w:tc>
          <w:tcPr>
            <w:tcW w:w="28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331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4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Ended</w:t>
            </w:r>
          </w:p>
        </w:tc>
        <w:tc>
          <w:tcPr>
            <w:tcW w:w="240" w:type="dxa"/>
            <w:tcBorders/>
            <w:shd w:fill="auto" w:val="clear"/>
            <w:vAlign w:val="bottom"/>
          </w:tcPr>
          <w:p>
            <w:pPr>
              <w:pStyle w:val="TableContents"/>
              <w:spacing w:lineRule="atLeast" w:line="160" w:before="0" w:after="0"/>
              <w:ind w:left="0" w:right="0" w:hanging="0"/>
              <w:rPr/>
            </w:pPr>
            <w:r>
              <w:rPr/>
              <w:t> </w:t>
            </w:r>
          </w:p>
        </w:tc>
        <w:tc>
          <w:tcPr>
            <w:tcW w:w="2365"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28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Ended</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331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4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99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285"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085"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285" w:type="dxa"/>
            <w:tcBorders/>
            <w:shd w:fill="auto" w:val="clear"/>
            <w:vAlign w:val="bottom"/>
          </w:tcPr>
          <w:p>
            <w:pPr>
              <w:pStyle w:val="TableContents"/>
              <w:spacing w:lineRule="atLeast" w:line="160" w:before="0" w:after="0"/>
              <w:ind w:left="0" w:right="0" w:hanging="0"/>
              <w:rPr/>
            </w:pPr>
            <w:r>
              <w:rPr/>
              <w:t> </w:t>
            </w:r>
          </w:p>
        </w:tc>
        <w:tc>
          <w:tcPr>
            <w:tcW w:w="108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December 31  </w:t>
            </w:r>
          </w:p>
        </w:tc>
        <w:tc>
          <w:tcPr>
            <w:tcW w:w="75" w:type="dxa"/>
            <w:tcBorders/>
            <w:shd w:fill="auto" w:val="clear"/>
            <w:vAlign w:val="bottom"/>
          </w:tcPr>
          <w:p>
            <w:pPr>
              <w:pStyle w:val="TableContents"/>
              <w:spacing w:lineRule="atLeast" w:line="160" w:before="0" w:after="0"/>
              <w:ind w:left="0" w:right="0" w:hanging="0"/>
              <w:rPr/>
            </w:pPr>
            <w:r>
              <w:rPr/>
              <w:t> </w:t>
            </w:r>
          </w:p>
        </w:tc>
      </w:tr>
      <w:tr>
        <w:trPr/>
        <w:tc>
          <w:tcPr>
            <w:tcW w:w="331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Average Daily Volumes (000s Bbl/d)</w:t>
            </w:r>
          </w:p>
        </w:tc>
        <w:tc>
          <w:tcPr>
            <w:tcW w:w="24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75" w:type="dxa"/>
            <w:tcBorders/>
            <w:shd w:fill="CCEEFF" w:val="clear"/>
            <w:vAlign w:val="bottom"/>
          </w:tcPr>
          <w:p>
            <w:pPr>
              <w:pStyle w:val="TableContents"/>
              <w:spacing w:lineRule="atLeast" w:line="200" w:before="0" w:after="0"/>
              <w:ind w:left="0" w:right="0" w:hanging="0"/>
              <w:rPr/>
            </w:pPr>
            <w:r>
              <w:rPr/>
              <w:t> </w:t>
            </w:r>
          </w:p>
        </w:tc>
      </w:tr>
      <w:tr>
        <w:trPr/>
        <w:tc>
          <w:tcPr>
            <w:tcW w:w="331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All American</w:t>
            </w:r>
          </w:p>
        </w:tc>
        <w:tc>
          <w:tcPr>
            <w:tcW w:w="24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52</w:t>
            </w:r>
          </w:p>
        </w:tc>
        <w:tc>
          <w:tcPr>
            <w:tcW w:w="18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51</w:t>
            </w:r>
          </w:p>
        </w:tc>
        <w:tc>
          <w:tcPr>
            <w:tcW w:w="255"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51</w:t>
            </w:r>
          </w:p>
        </w:tc>
        <w:tc>
          <w:tcPr>
            <w:tcW w:w="30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51</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331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Basin</w:t>
            </w:r>
          </w:p>
        </w:tc>
        <w:tc>
          <w:tcPr>
            <w:tcW w:w="24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280</w:t>
            </w:r>
          </w:p>
        </w:tc>
        <w:tc>
          <w:tcPr>
            <w:tcW w:w="180" w:type="dxa"/>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285</w:t>
            </w:r>
          </w:p>
        </w:tc>
        <w:tc>
          <w:tcPr>
            <w:tcW w:w="255"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270</w:t>
            </w:r>
          </w:p>
        </w:tc>
        <w:tc>
          <w:tcPr>
            <w:tcW w:w="30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279</w:t>
            </w:r>
          </w:p>
        </w:tc>
        <w:tc>
          <w:tcPr>
            <w:tcW w:w="300" w:type="dxa"/>
            <w:tcBorders/>
            <w:shd w:fill="CCEEFF" w:val="clear"/>
            <w:vAlign w:val="bottom"/>
          </w:tcPr>
          <w:p>
            <w:pPr>
              <w:pStyle w:val="TableContents"/>
              <w:spacing w:lineRule="atLeast" w:line="200" w:before="0" w:after="0"/>
              <w:ind w:left="0" w:right="0" w:hanging="0"/>
              <w:rPr/>
            </w:pPr>
            <w:r>
              <w:rPr/>
              <w:t> </w:t>
            </w:r>
          </w:p>
        </w:tc>
        <w:tc>
          <w:tcPr>
            <w:tcW w:w="75" w:type="dxa"/>
            <w:tcBorders/>
            <w:shd w:fill="CCEEFF" w:val="clear"/>
            <w:vAlign w:val="bottom"/>
          </w:tcPr>
          <w:p>
            <w:pPr>
              <w:pStyle w:val="TableContents"/>
              <w:spacing w:lineRule="atLeast" w:line="200" w:before="0" w:after="0"/>
              <w:ind w:left="0" w:right="0" w:hanging="0"/>
              <w:rPr/>
            </w:pPr>
            <w:r>
              <w:rPr/>
              <w:t> </w:t>
            </w:r>
          </w:p>
        </w:tc>
      </w:tr>
      <w:tr>
        <w:trPr/>
        <w:tc>
          <w:tcPr>
            <w:tcW w:w="331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Capline</w:t>
            </w:r>
          </w:p>
        </w:tc>
        <w:tc>
          <w:tcPr>
            <w:tcW w:w="24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152</w:t>
            </w:r>
          </w:p>
        </w:tc>
        <w:tc>
          <w:tcPr>
            <w:tcW w:w="18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165</w:t>
            </w:r>
          </w:p>
        </w:tc>
        <w:tc>
          <w:tcPr>
            <w:tcW w:w="255"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140</w:t>
            </w:r>
          </w:p>
        </w:tc>
        <w:tc>
          <w:tcPr>
            <w:tcW w:w="30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153</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3315" w:type="dxa"/>
            <w:tcBorders/>
            <w:shd w:fill="CCEEFF" w:val="clear"/>
          </w:tcPr>
          <w:p>
            <w:pPr>
              <w:pStyle w:val="TableContents"/>
              <w:spacing w:lineRule="atLeast" w:line="200" w:before="0" w:after="0"/>
              <w:ind w:left="0" w:right="0" w:hanging="0"/>
              <w:rPr/>
            </w:pPr>
            <w:r>
              <w:rPr>
                <w:rFonts w:ascii="Times New Roman" w:hAnsi="Times New Roman"/>
                <w:sz w:val="13"/>
              </w:rPr>
              <w:t>Cushing to Broome</w:t>
            </w:r>
            <w:r>
              <w:rPr>
                <w:sz w:val="8"/>
              </w:rPr>
              <w:t>(4)</w:t>
            </w:r>
          </w:p>
        </w:tc>
        <w:tc>
          <w:tcPr>
            <w:tcW w:w="24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54</w:t>
            </w:r>
          </w:p>
        </w:tc>
        <w:tc>
          <w:tcPr>
            <w:tcW w:w="180" w:type="dxa"/>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85</w:t>
            </w:r>
          </w:p>
        </w:tc>
        <w:tc>
          <w:tcPr>
            <w:tcW w:w="255"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80</w:t>
            </w:r>
          </w:p>
        </w:tc>
        <w:tc>
          <w:tcPr>
            <w:tcW w:w="30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68</w:t>
            </w:r>
          </w:p>
        </w:tc>
        <w:tc>
          <w:tcPr>
            <w:tcW w:w="300" w:type="dxa"/>
            <w:tcBorders/>
            <w:shd w:fill="CCEEFF" w:val="clear"/>
            <w:vAlign w:val="bottom"/>
          </w:tcPr>
          <w:p>
            <w:pPr>
              <w:pStyle w:val="TableContents"/>
              <w:spacing w:lineRule="atLeast" w:line="200" w:before="0" w:after="0"/>
              <w:ind w:left="0" w:right="0" w:hanging="0"/>
              <w:rPr/>
            </w:pPr>
            <w:r>
              <w:rPr/>
              <w:t> </w:t>
            </w:r>
          </w:p>
        </w:tc>
        <w:tc>
          <w:tcPr>
            <w:tcW w:w="75" w:type="dxa"/>
            <w:tcBorders/>
            <w:shd w:fill="CCEEFF" w:val="clear"/>
            <w:vAlign w:val="bottom"/>
          </w:tcPr>
          <w:p>
            <w:pPr>
              <w:pStyle w:val="TableContents"/>
              <w:spacing w:lineRule="atLeast" w:line="200" w:before="0" w:after="0"/>
              <w:ind w:left="0" w:right="0" w:hanging="0"/>
              <w:rPr/>
            </w:pPr>
            <w:r>
              <w:rPr/>
              <w:t> </w:t>
            </w:r>
          </w:p>
        </w:tc>
      </w:tr>
      <w:tr>
        <w:trPr/>
        <w:tc>
          <w:tcPr>
            <w:tcW w:w="3315" w:type="dxa"/>
            <w:tcBorders/>
            <w:shd w:fill="auto" w:val="clear"/>
          </w:tcPr>
          <w:p>
            <w:pPr>
              <w:pStyle w:val="TableContents"/>
              <w:spacing w:lineRule="atLeast" w:line="200" w:before="0" w:after="0"/>
              <w:ind w:left="0" w:right="0" w:hanging="0"/>
              <w:rPr/>
            </w:pPr>
            <w:r>
              <w:rPr>
                <w:rFonts w:ascii="Times New Roman" w:hAnsi="Times New Roman"/>
                <w:sz w:val="13"/>
              </w:rPr>
              <w:t>West Texas / New Mexico area systems</w:t>
            </w:r>
            <w:r>
              <w:rPr>
                <w:sz w:val="8"/>
              </w:rPr>
              <w:t>(1)</w:t>
            </w:r>
          </w:p>
        </w:tc>
        <w:tc>
          <w:tcPr>
            <w:tcW w:w="24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406</w:t>
            </w:r>
          </w:p>
        </w:tc>
        <w:tc>
          <w:tcPr>
            <w:tcW w:w="18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380</w:t>
            </w:r>
          </w:p>
        </w:tc>
        <w:tc>
          <w:tcPr>
            <w:tcW w:w="255"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380</w:t>
            </w:r>
          </w:p>
        </w:tc>
        <w:tc>
          <w:tcPr>
            <w:tcW w:w="30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393</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331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Other</w:t>
            </w:r>
          </w:p>
        </w:tc>
        <w:tc>
          <w:tcPr>
            <w:tcW w:w="24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565</w:t>
            </w:r>
          </w:p>
        </w:tc>
        <w:tc>
          <w:tcPr>
            <w:tcW w:w="180" w:type="dxa"/>
            <w:tcBorders/>
            <w:shd w:fill="CCEEFF" w:val="clear"/>
            <w:vAlign w:val="bottom"/>
          </w:tcPr>
          <w:p>
            <w:pPr>
              <w:pStyle w:val="TableContents"/>
              <w:spacing w:lineRule="atLeast" w:line="200"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739</w:t>
            </w:r>
          </w:p>
        </w:tc>
        <w:tc>
          <w:tcPr>
            <w:tcW w:w="255"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729</w:t>
            </w:r>
          </w:p>
        </w:tc>
        <w:tc>
          <w:tcPr>
            <w:tcW w:w="300" w:type="dxa"/>
            <w:tcBorders/>
            <w:shd w:fill="CCEEFF" w:val="clear"/>
            <w:vAlign w:val="bottom"/>
          </w:tcPr>
          <w:p>
            <w:pPr>
              <w:pStyle w:val="TableContents"/>
              <w:spacing w:lineRule="atLeast" w:line="200" w:before="0" w:after="0"/>
              <w:ind w:left="0" w:right="0" w:hanging="0"/>
              <w:rPr/>
            </w:pPr>
            <w:r>
              <w:rPr/>
              <w:t> </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651</w:t>
            </w:r>
          </w:p>
        </w:tc>
        <w:tc>
          <w:tcPr>
            <w:tcW w:w="300" w:type="dxa"/>
            <w:tcBorders/>
            <w:shd w:fill="CCEEFF" w:val="clear"/>
            <w:vAlign w:val="bottom"/>
          </w:tcPr>
          <w:p>
            <w:pPr>
              <w:pStyle w:val="TableContents"/>
              <w:spacing w:lineRule="atLeast" w:line="200" w:before="0" w:after="0"/>
              <w:ind w:left="0" w:right="0" w:hanging="0"/>
              <w:rPr/>
            </w:pPr>
            <w:r>
              <w:rPr/>
              <w:t> </w:t>
            </w:r>
          </w:p>
        </w:tc>
        <w:tc>
          <w:tcPr>
            <w:tcW w:w="75" w:type="dxa"/>
            <w:tcBorders/>
            <w:shd w:fill="CCEEFF" w:val="clear"/>
            <w:vAlign w:val="bottom"/>
          </w:tcPr>
          <w:p>
            <w:pPr>
              <w:pStyle w:val="TableContents"/>
              <w:spacing w:lineRule="atLeast" w:line="200" w:before="0" w:after="0"/>
              <w:ind w:left="0" w:right="0" w:hanging="0"/>
              <w:rPr/>
            </w:pPr>
            <w:r>
              <w:rPr/>
              <w:t> </w:t>
            </w:r>
          </w:p>
        </w:tc>
      </w:tr>
      <w:tr>
        <w:trPr/>
        <w:tc>
          <w:tcPr>
            <w:tcW w:w="3315" w:type="dxa"/>
            <w:tcBorders/>
            <w:shd w:fill="auto" w:val="clear"/>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1,509</w:t>
            </w:r>
          </w:p>
        </w:tc>
        <w:tc>
          <w:tcPr>
            <w:tcW w:w="18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1,705</w:t>
            </w:r>
          </w:p>
        </w:tc>
        <w:tc>
          <w:tcPr>
            <w:tcW w:w="255"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1,650</w:t>
            </w:r>
          </w:p>
        </w:tc>
        <w:tc>
          <w:tcPr>
            <w:tcW w:w="30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1,595</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3315" w:type="dxa"/>
            <w:tcBorders/>
            <w:shd w:fill="CCEEFF" w:val="clear"/>
          </w:tcPr>
          <w:p>
            <w:pPr>
              <w:pStyle w:val="TableContents"/>
              <w:spacing w:lineRule="atLeast" w:line="200" w:before="120" w:after="120"/>
              <w:ind w:left="0" w:right="0" w:hanging="0"/>
              <w:rPr/>
            </w:pPr>
            <w:r>
              <w:rPr>
                <w:rFonts w:ascii="Times New Roman" w:hAnsi="Times New Roman"/>
                <w:sz w:val="13"/>
              </w:rPr>
              <w:t>Canada</w:t>
            </w:r>
            <w:r>
              <w:rPr>
                <w:sz w:val="8"/>
              </w:rPr>
              <w:t>(2)</w:t>
            </w:r>
          </w:p>
        </w:tc>
        <w:tc>
          <w:tcPr>
            <w:tcW w:w="240" w:type="dxa"/>
            <w:tcBorders/>
            <w:shd w:fill="CCEEFF" w:val="clear"/>
            <w:vAlign w:val="bottom"/>
          </w:tcPr>
          <w:p>
            <w:pPr>
              <w:pStyle w:val="TableContents"/>
              <w:spacing w:lineRule="atLeast" w:line="200" w:before="120" w:after="120"/>
              <w:ind w:left="0" w:right="0" w:hanging="0"/>
              <w:rPr/>
            </w:pPr>
            <w:r>
              <w:rPr/>
              <w:t> </w:t>
            </w:r>
          </w:p>
        </w:tc>
        <w:tc>
          <w:tcPr>
            <w:tcW w:w="18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258</w:t>
            </w:r>
          </w:p>
        </w:tc>
        <w:tc>
          <w:tcPr>
            <w:tcW w:w="180" w:type="dxa"/>
            <w:tcBorders/>
            <w:shd w:fill="CCEEFF" w:val="clear"/>
            <w:vAlign w:val="bottom"/>
          </w:tcPr>
          <w:p>
            <w:pPr>
              <w:pStyle w:val="TableContents"/>
              <w:spacing w:lineRule="atLeast" w:line="200" w:before="120" w:after="120"/>
              <w:ind w:left="0" w:right="0" w:hanging="0"/>
              <w:rPr/>
            </w:pPr>
            <w:r>
              <w:rPr/>
              <w:t> </w:t>
            </w:r>
          </w:p>
        </w:tc>
        <w:tc>
          <w:tcPr>
            <w:tcW w:w="240" w:type="dxa"/>
            <w:tcBorders/>
            <w:shd w:fill="CCEEFF" w:val="clear"/>
            <w:vAlign w:val="bottom"/>
          </w:tcPr>
          <w:p>
            <w:pPr>
              <w:pStyle w:val="TableContents"/>
              <w:spacing w:lineRule="atLeast" w:line="200" w:before="120" w:after="120"/>
              <w:ind w:left="0" w:right="0" w:hanging="0"/>
              <w:rPr/>
            </w:pPr>
            <w:r>
              <w:rPr/>
              <w:t> </w:t>
            </w:r>
          </w:p>
        </w:tc>
        <w:tc>
          <w:tcPr>
            <w:tcW w:w="255"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270</w:t>
            </w:r>
          </w:p>
        </w:tc>
        <w:tc>
          <w:tcPr>
            <w:tcW w:w="255" w:type="dxa"/>
            <w:tcBorders/>
            <w:shd w:fill="CCEEFF" w:val="clear"/>
            <w:vAlign w:val="bottom"/>
          </w:tcPr>
          <w:p>
            <w:pPr>
              <w:pStyle w:val="TableContents"/>
              <w:spacing w:lineRule="atLeast" w:line="200" w:before="120" w:after="120"/>
              <w:ind w:left="0" w:right="0" w:hanging="0"/>
              <w:rPr/>
            </w:pPr>
            <w:r>
              <w:rPr/>
              <w:t> </w:t>
            </w:r>
          </w:p>
        </w:tc>
        <w:tc>
          <w:tcPr>
            <w:tcW w:w="285" w:type="dxa"/>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270</w:t>
            </w:r>
          </w:p>
        </w:tc>
        <w:tc>
          <w:tcPr>
            <w:tcW w:w="300" w:type="dxa"/>
            <w:tcBorders/>
            <w:shd w:fill="CCEEFF" w:val="clear"/>
            <w:vAlign w:val="bottom"/>
          </w:tcPr>
          <w:p>
            <w:pPr>
              <w:pStyle w:val="TableContents"/>
              <w:spacing w:lineRule="atLeast" w:line="200" w:before="120" w:after="120"/>
              <w:ind w:left="0" w:right="0" w:hanging="0"/>
              <w:rPr/>
            </w:pPr>
            <w:r>
              <w:rPr/>
              <w:t> </w:t>
            </w:r>
          </w:p>
        </w:tc>
        <w:tc>
          <w:tcPr>
            <w:tcW w:w="285" w:type="dxa"/>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264</w:t>
            </w:r>
          </w:p>
        </w:tc>
        <w:tc>
          <w:tcPr>
            <w:tcW w:w="300" w:type="dxa"/>
            <w:tcBorders/>
            <w:shd w:fill="CCEEFF" w:val="clear"/>
            <w:vAlign w:val="bottom"/>
          </w:tcPr>
          <w:p>
            <w:pPr>
              <w:pStyle w:val="TableContents"/>
              <w:spacing w:lineRule="atLeast" w:line="200" w:before="120" w:after="120"/>
              <w:ind w:left="0" w:right="0" w:hanging="0"/>
              <w:rPr/>
            </w:pPr>
            <w:r>
              <w:rPr/>
              <w:t> </w:t>
            </w:r>
          </w:p>
        </w:tc>
        <w:tc>
          <w:tcPr>
            <w:tcW w:w="75" w:type="dxa"/>
            <w:tcBorders/>
            <w:shd w:fill="CCEEFF" w:val="clear"/>
            <w:vAlign w:val="bottom"/>
          </w:tcPr>
          <w:p>
            <w:pPr>
              <w:pStyle w:val="TableContents"/>
              <w:spacing w:lineRule="atLeast" w:line="200" w:before="120" w:after="120"/>
              <w:ind w:left="0" w:right="0" w:hanging="0"/>
              <w:rPr/>
            </w:pPr>
            <w:r>
              <w:rPr/>
              <w:t> </w:t>
            </w:r>
          </w:p>
        </w:tc>
      </w:tr>
      <w:tr>
        <w:trPr/>
        <w:tc>
          <w:tcPr>
            <w:tcW w:w="3315" w:type="dxa"/>
            <w:tcBorders/>
            <w:shd w:fill="auto" w:val="clear"/>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1,767</w:t>
            </w:r>
          </w:p>
        </w:tc>
        <w:tc>
          <w:tcPr>
            <w:tcW w:w="180" w:type="dxa"/>
            <w:tcBorders/>
            <w:shd w:fill="auto" w:val="clear"/>
            <w:vAlign w:val="bottom"/>
          </w:tcPr>
          <w:p>
            <w:pPr>
              <w:pStyle w:val="TableContents"/>
              <w:spacing w:lineRule="atLeast" w:line="200"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1,975</w:t>
            </w:r>
          </w:p>
        </w:tc>
        <w:tc>
          <w:tcPr>
            <w:tcW w:w="255"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1,920</w:t>
            </w:r>
          </w:p>
        </w:tc>
        <w:tc>
          <w:tcPr>
            <w:tcW w:w="300" w:type="dxa"/>
            <w:tcBorders/>
            <w:shd w:fill="auto" w:val="clear"/>
            <w:vAlign w:val="bottom"/>
          </w:tcPr>
          <w:p>
            <w:pPr>
              <w:pStyle w:val="TableContents"/>
              <w:spacing w:lineRule="atLeast" w:line="200" w:before="0" w:after="0"/>
              <w:ind w:left="0" w:right="0" w:hanging="0"/>
              <w:rPr/>
            </w:pPr>
            <w:r>
              <w:rPr/>
              <w:t> </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1,859</w:t>
            </w:r>
          </w:p>
        </w:tc>
        <w:tc>
          <w:tcPr>
            <w:tcW w:w="300" w:type="dxa"/>
            <w:tcBorders/>
            <w:shd w:fill="auto" w:val="clear"/>
            <w:vAlign w:val="bottom"/>
          </w:tcPr>
          <w:p>
            <w:pPr>
              <w:pStyle w:val="TableContents"/>
              <w:spacing w:lineRule="atLeast" w:line="200" w:before="0" w:after="0"/>
              <w:ind w:left="0" w:right="0" w:hanging="0"/>
              <w:rPr/>
            </w:pPr>
            <w:r>
              <w:rPr/>
              <w:t> </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3315" w:type="dxa"/>
            <w:tcBorders/>
            <w:shd w:fill="CCEEFF" w:val="clear"/>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Segment Profit ($/Bbl)</w:t>
            </w:r>
          </w:p>
        </w:tc>
        <w:tc>
          <w:tcPr>
            <w:tcW w:w="240" w:type="dxa"/>
            <w:tcBorders/>
            <w:shd w:fill="CCEEFF" w:val="clear"/>
            <w:vAlign w:val="bottom"/>
          </w:tcPr>
          <w:p>
            <w:pPr>
              <w:pStyle w:val="TableContents"/>
              <w:spacing w:lineRule="atLeast" w:line="200" w:before="120" w:after="120"/>
              <w:ind w:left="0" w:right="0" w:hanging="0"/>
              <w:rPr/>
            </w:pPr>
            <w:r>
              <w:rPr/>
              <w:t> </w:t>
            </w:r>
          </w:p>
        </w:tc>
        <w:tc>
          <w:tcPr>
            <w:tcW w:w="18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180" w:type="dxa"/>
            <w:tcBorders/>
            <w:shd w:fill="CCEEFF" w:val="clear"/>
            <w:vAlign w:val="bottom"/>
          </w:tcPr>
          <w:p>
            <w:pPr>
              <w:pStyle w:val="TableContents"/>
              <w:spacing w:lineRule="atLeast" w:line="200" w:before="120" w:after="120"/>
              <w:ind w:left="0" w:right="0" w:hanging="0"/>
              <w:rPr/>
            </w:pPr>
            <w:r>
              <w:rPr/>
              <w:t> </w:t>
            </w:r>
          </w:p>
        </w:tc>
        <w:tc>
          <w:tcPr>
            <w:tcW w:w="240" w:type="dxa"/>
            <w:tcBorders/>
            <w:shd w:fill="CCEEFF" w:val="clear"/>
            <w:vAlign w:val="bottom"/>
          </w:tcPr>
          <w:p>
            <w:pPr>
              <w:pStyle w:val="TableContents"/>
              <w:spacing w:lineRule="atLeast" w:line="200" w:before="120" w:after="120"/>
              <w:ind w:left="0" w:right="0" w:hanging="0"/>
              <w:rPr/>
            </w:pPr>
            <w:r>
              <w:rPr/>
              <w:t> </w:t>
            </w:r>
          </w:p>
        </w:tc>
        <w:tc>
          <w:tcPr>
            <w:tcW w:w="255"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255" w:type="dxa"/>
            <w:tcBorders/>
            <w:shd w:fill="CCEEFF" w:val="clear"/>
            <w:vAlign w:val="bottom"/>
          </w:tcPr>
          <w:p>
            <w:pPr>
              <w:pStyle w:val="TableContents"/>
              <w:spacing w:lineRule="atLeast" w:line="200" w:before="120" w:after="120"/>
              <w:ind w:left="0" w:right="0" w:hanging="0"/>
              <w:rPr/>
            </w:pPr>
            <w:r>
              <w:rPr/>
              <w:t> </w:t>
            </w:r>
          </w:p>
        </w:tc>
        <w:tc>
          <w:tcPr>
            <w:tcW w:w="285" w:type="dxa"/>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285" w:type="dxa"/>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75" w:type="dxa"/>
            <w:tcBorders/>
            <w:shd w:fill="CCEEFF" w:val="clear"/>
            <w:vAlign w:val="bottom"/>
          </w:tcPr>
          <w:p>
            <w:pPr>
              <w:pStyle w:val="TableContents"/>
              <w:spacing w:lineRule="atLeast" w:line="200" w:before="120" w:after="120"/>
              <w:ind w:left="0" w:right="0" w:hanging="0"/>
              <w:rPr/>
            </w:pPr>
            <w:r>
              <w:rPr/>
              <w:t> </w:t>
            </w:r>
          </w:p>
        </w:tc>
      </w:tr>
      <w:tr>
        <w:trPr/>
        <w:tc>
          <w:tcPr>
            <w:tcW w:w="3315"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As Reported/Estimated</w:t>
            </w:r>
          </w:p>
        </w:tc>
        <w:tc>
          <w:tcPr>
            <w:tcW w:w="24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0.286</w:t>
            </w:r>
          </w:p>
        </w:tc>
        <w:tc>
          <w:tcPr>
            <w:tcW w:w="18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0.246</w:t>
            </w:r>
          </w:p>
        </w:tc>
        <w:tc>
          <w:tcPr>
            <w:tcW w:w="255"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(3)</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0.264</w:t>
            </w:r>
          </w:p>
        </w:tc>
        <w:tc>
          <w:tcPr>
            <w:tcW w:w="300"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(3)</w:t>
            </w:r>
          </w:p>
        </w:tc>
        <w:tc>
          <w:tcPr>
            <w:tcW w:w="28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0.269</w:t>
            </w:r>
          </w:p>
        </w:tc>
        <w:tc>
          <w:tcPr>
            <w:tcW w:w="300"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(3)</w:t>
            </w:r>
          </w:p>
        </w:tc>
        <w:tc>
          <w:tcPr>
            <w:tcW w:w="75" w:type="dxa"/>
            <w:tcBorders/>
            <w:shd w:fill="auto" w:val="clear"/>
            <w:vAlign w:val="bottom"/>
          </w:tcPr>
          <w:p>
            <w:pPr>
              <w:pStyle w:val="TableContents"/>
              <w:spacing w:lineRule="atLeast" w:line="200" w:before="0" w:after="0"/>
              <w:ind w:left="0" w:right="0" w:hanging="0"/>
              <w:rPr/>
            </w:pPr>
            <w:r>
              <w:rPr/>
              <w:t> </w:t>
            </w:r>
          </w:p>
        </w:tc>
      </w:tr>
      <w:tr>
        <w:trPr/>
        <w:tc>
          <w:tcPr>
            <w:tcW w:w="3315"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Excluding Selected Items Impacting Comparability</w:t>
            </w:r>
          </w:p>
        </w:tc>
        <w:tc>
          <w:tcPr>
            <w:tcW w:w="24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0.304</w:t>
            </w:r>
          </w:p>
        </w:tc>
        <w:tc>
          <w:tcPr>
            <w:tcW w:w="18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0.268</w:t>
            </w:r>
          </w:p>
        </w:tc>
        <w:tc>
          <w:tcPr>
            <w:tcW w:w="255"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(3)</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0.286</w:t>
            </w:r>
          </w:p>
        </w:tc>
        <w:tc>
          <w:tcPr>
            <w:tcW w:w="300"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(3)</w:t>
            </w:r>
          </w:p>
        </w:tc>
        <w:tc>
          <w:tcPr>
            <w:tcW w:w="28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0.289</w:t>
            </w:r>
          </w:p>
        </w:tc>
        <w:tc>
          <w:tcPr>
            <w:tcW w:w="300"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(3)</w:t>
            </w:r>
          </w:p>
        </w:tc>
        <w:tc>
          <w:tcPr>
            <w:tcW w:w="75" w:type="dxa"/>
            <w:tcBorders/>
            <w:shd w:fill="CCEEFF" w:val="clear"/>
            <w:vAlign w:val="bottom"/>
          </w:tcPr>
          <w:p>
            <w:pPr>
              <w:pStyle w:val="TableContents"/>
              <w:spacing w:lineRule="atLeast" w:line="200" w:before="0" w:after="0"/>
              <w:ind w:left="0" w:right="0" w:hanging="0"/>
              <w:rPr/>
            </w:pPr>
            <w:r>
              <w:rPr/>
              <w:t> </w:t>
            </w:r>
          </w:p>
        </w:tc>
      </w:tr>
    </w:tbl>
    <w:p>
      <w:pPr>
        <w:pStyle w:val="HorizontalLine"/>
        <w:pBdr>
          <w:bottom w:val="single" w:sz="6" w:space="0" w:color="000000"/>
        </w:pBdr>
        <w:spacing w:before="0" w:after="0"/>
        <w:rPr/>
      </w:pPr>
      <w:r>
        <w:rPr/>
      </w:r>
    </w:p>
    <w:p>
      <w:pPr>
        <w:pStyle w:val="TextBody"/>
        <w:spacing w:lineRule="atLeast" w:line="180" w:before="0" w:after="120"/>
        <w:ind w:left="800" w:right="0" w:hanging="400"/>
        <w:rPr>
          <w:rFonts w:ascii="Times New Roman" w:hAnsi="Times New Roman"/>
        </w:rPr>
      </w:pPr>
      <w:r>
        <w:rPr>
          <w:rFonts w:ascii="Times New Roman" w:hAnsi="Times New Roman"/>
          <w:sz w:val="13"/>
        </w:rPr>
        <w:t>(1)</w:t>
      </w:r>
      <w:r>
        <w:rPr>
          <w:rFonts w:ascii="Times New Roman" w:hAnsi="Times New Roman"/>
        </w:rPr>
        <w:t xml:space="preserve">            </w:t>
      </w:r>
      <w:r>
        <w:rPr>
          <w:rFonts w:ascii="Times New Roman" w:hAnsi="Times New Roman"/>
          <w:sz w:val="13"/>
        </w:rPr>
        <w:t>The aggregate of 10 systems in the West Texas / New Mexico area.</w:t>
      </w:r>
    </w:p>
    <w:p>
      <w:pPr>
        <w:pStyle w:val="TextBody"/>
        <w:spacing w:lineRule="atLeast" w:line="180" w:before="0" w:after="120"/>
        <w:ind w:left="800" w:right="0" w:hanging="400"/>
        <w:rPr>
          <w:rFonts w:ascii="Times New Roman" w:hAnsi="Times New Roman"/>
        </w:rPr>
      </w:pPr>
      <w:r>
        <w:rPr>
          <w:rFonts w:ascii="Times New Roman" w:hAnsi="Times New Roman"/>
          <w:sz w:val="13"/>
        </w:rPr>
        <w:t>(2)</w:t>
      </w:r>
      <w:r>
        <w:rPr>
          <w:rFonts w:ascii="Times New Roman" w:hAnsi="Times New Roman"/>
        </w:rPr>
        <w:t xml:space="preserve">            </w:t>
      </w:r>
      <w:r>
        <w:rPr>
          <w:rFonts w:ascii="Times New Roman" w:hAnsi="Times New Roman"/>
          <w:sz w:val="13"/>
        </w:rPr>
        <w:t>The aggregate of 8 systems.</w:t>
      </w:r>
    </w:p>
    <w:p>
      <w:pPr>
        <w:pStyle w:val="TextBody"/>
        <w:spacing w:lineRule="atLeast" w:line="180" w:before="0" w:after="120"/>
        <w:ind w:left="800" w:right="0" w:hanging="400"/>
        <w:rPr>
          <w:rFonts w:ascii="Times New Roman" w:hAnsi="Times New Roman"/>
        </w:rPr>
      </w:pPr>
      <w:r>
        <w:rPr>
          <w:rFonts w:ascii="Times New Roman" w:hAnsi="Times New Roman"/>
          <w:sz w:val="13"/>
        </w:rPr>
        <w:t>(3)</w:t>
      </w:r>
      <w:r>
        <w:rPr>
          <w:rFonts w:ascii="Times New Roman" w:hAnsi="Times New Roman"/>
        </w:rPr>
        <w:t xml:space="preserve">            </w:t>
      </w:r>
      <w:r>
        <w:rPr>
          <w:rFonts w:ascii="Times New Roman" w:hAnsi="Times New Roman"/>
          <w:sz w:val="13"/>
        </w:rPr>
        <w:t>Mid-point of estimate.</w:t>
      </w:r>
    </w:p>
    <w:p>
      <w:pPr>
        <w:pStyle w:val="TextBody"/>
        <w:spacing w:lineRule="atLeast" w:line="180" w:before="0" w:after="120"/>
        <w:ind w:left="800" w:right="0" w:hanging="400"/>
        <w:rPr>
          <w:rFonts w:ascii="Times New Roman" w:hAnsi="Times New Roman"/>
        </w:rPr>
      </w:pPr>
      <w:r>
        <w:rPr>
          <w:rFonts w:ascii="Times New Roman" w:hAnsi="Times New Roman"/>
          <w:sz w:val="13"/>
        </w:rPr>
        <w:t>(4)</w:t>
      </w:r>
      <w:r>
        <w:rPr>
          <w:rFonts w:ascii="Times New Roman" w:hAnsi="Times New Roman"/>
        </w:rPr>
        <w:t xml:space="preserve">            </w:t>
      </w:r>
      <w:r>
        <w:rPr>
          <w:rFonts w:ascii="Times New Roman" w:hAnsi="Times New Roman"/>
          <w:sz w:val="13"/>
        </w:rPr>
        <w:t>System became operational on March 1, 2005.</w:t>
      </w:r>
    </w:p>
    <w:p>
      <w:pPr>
        <w:pStyle w:val="TextBody"/>
        <w:keepNext w:val="true"/>
        <w:spacing w:before="0" w:after="240"/>
        <w:ind w:left="400" w:right="0" w:hanging="0"/>
        <w:rPr>
          <w:rFonts w:ascii="Times New Roman" w:hAnsi="Times New Roman"/>
          <w:sz w:val="17"/>
        </w:rPr>
      </w:pPr>
      <w:r>
        <w:rPr>
          <w:rFonts w:ascii="Times New Roman" w:hAnsi="Times New Roman"/>
          <w:sz w:val="17"/>
        </w:rPr>
        <w:t xml:space="preserve">Segment profit is forecasted using the volume assumptions in the table above priced at tariff rates currently received, with adjustments where appropriate for estimated escalation in certain rates as allowed by contractual terms, less estimated field operating costs and G&amp;A. Field operating costs do not include depreciation. Effective July 1, 2005, common carrier tariffs are permitted to escalate approximately 3.6% in accordance with FERC regulated guidelines. However, in certain instances, contractual arrangements or market forces may not allow us to realize the benefit of these permitted </w:t>
      </w:r>
    </w:p>
    <w:p>
      <w:pPr>
        <w:pStyle w:val="TextBody"/>
        <w:spacing w:before="480" w:after="48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400" w:right="0" w:hanging="0"/>
        <w:rPr>
          <w:rFonts w:ascii="Times New Roman" w:hAnsi="Times New Roman"/>
          <w:sz w:val="17"/>
        </w:rPr>
      </w:pPr>
      <w:r>
        <w:rPr>
          <w:rFonts w:ascii="Times New Roman" w:hAnsi="Times New Roman"/>
          <w:sz w:val="17"/>
        </w:rPr>
        <w:t>escalations. To illustrate the impact volume changes may have on segment profit, the following table provides a volume sensitivity analysis of three systems representing approximately 30% of total pipeline net revenues.</w:t>
      </w:r>
    </w:p>
    <w:tbl>
      <w:tblPr>
        <w:tblW w:w="8375" w:type="dxa"/>
        <w:jc w:val="left"/>
        <w:tblInd w:w="0" w:type="dxa"/>
        <w:tblCellMar>
          <w:top w:w="0" w:type="dxa"/>
          <w:left w:w="0" w:type="dxa"/>
          <w:bottom w:w="28" w:type="dxa"/>
          <w:right w:w="0" w:type="dxa"/>
        </w:tblCellMar>
      </w:tblPr>
      <w:tblGrid>
        <w:gridCol w:w="525"/>
        <w:gridCol w:w="105"/>
        <w:gridCol w:w="4635"/>
        <w:gridCol w:w="240"/>
        <w:gridCol w:w="135"/>
        <w:gridCol w:w="465"/>
        <w:gridCol w:w="135"/>
        <w:gridCol w:w="240"/>
        <w:gridCol w:w="165"/>
        <w:gridCol w:w="195"/>
        <w:gridCol w:w="165"/>
        <w:gridCol w:w="240"/>
        <w:gridCol w:w="375"/>
        <w:gridCol w:w="95"/>
        <w:gridCol w:w="225"/>
        <w:gridCol w:w="375"/>
        <w:gridCol w:w="60"/>
      </w:tblGrid>
      <w:tr>
        <w:trPr/>
        <w:tc>
          <w:tcPr>
            <w:tcW w:w="8315" w:type="dxa"/>
            <w:gridSpan w:val="16"/>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Volume Sensitivity Analysis</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6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73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52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 of</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070" w:type="dxa"/>
            <w:gridSpan w:val="4"/>
            <w:tcBorders/>
            <w:shd w:fill="auto" w:val="clear"/>
            <w:tcMar>
              <w:bottom w:w="0" w:type="dxa"/>
            </w:tcMar>
            <w:vAlign w:val="bottom"/>
          </w:tcPr>
          <w:p>
            <w:pPr>
              <w:pStyle w:val="TableContents"/>
              <w:spacing w:lineRule="atLeast" w:line="160" w:before="0" w:after="0"/>
              <w:ind w:left="0" w:right="0" w:hanging="0"/>
              <w:rPr/>
            </w:pPr>
            <w:r>
              <w:rPr/>
              <w:t> </w:t>
            </w:r>
            <w:r>
              <w:rPr>
                <w:rFonts w:ascii="Times New Roman" w:hAnsi="Times New Roman"/>
                <w:b/>
                <w:sz w:val="13"/>
              </w:rPr>
              <w:t>Change</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6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735" w:type="dxa"/>
            <w:gridSpan w:val="3"/>
            <w:tcBorders/>
            <w:shd w:fill="auto" w:val="clear"/>
            <w:tcMar>
              <w:bottom w:w="0" w:type="dxa"/>
            </w:tcMar>
            <w:vAlign w:val="bottom"/>
          </w:tcPr>
          <w:p>
            <w:pPr>
              <w:pStyle w:val="TableContents"/>
              <w:spacing w:lineRule="atLeast" w:line="160" w:before="0" w:after="0"/>
              <w:ind w:left="0" w:right="0" w:hanging="0"/>
              <w:rPr/>
            </w:pPr>
            <w:r>
              <w:rPr/>
              <w:t> </w:t>
            </w:r>
            <w:r>
              <w:rPr>
                <w:rFonts w:ascii="Times New Roman" w:hAnsi="Times New Roman"/>
                <w:b/>
                <w:sz w:val="13"/>
              </w:rPr>
              <w:t>Change</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52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System</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070" w:type="dxa"/>
            <w:gridSpan w:val="4"/>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Annualized</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5" w:type="dxa"/>
            <w:tcBorders>
              <w:bottom w:val="single" w:sz="8" w:space="0" w:color="000000"/>
            </w:tcBorders>
            <w:shd w:fill="auto" w:val="clear"/>
            <w:vAlign w:val="bottom"/>
          </w:tcPr>
          <w:p>
            <w:pPr>
              <w:pStyle w:val="TableContents"/>
              <w:spacing w:lineRule="atLeast" w:line="160" w:before="0" w:after="0"/>
              <w:ind w:left="0" w:right="0" w:hanging="0"/>
              <w:jc w:val="left"/>
              <w:rPr>
                <w:rFonts w:ascii="Times New Roman" w:hAnsi="Times New Roman"/>
                <w:b/>
                <w:sz w:val="13"/>
              </w:rPr>
            </w:pPr>
            <w:r>
              <w:rPr>
                <w:rFonts w:ascii="Times New Roman" w:hAnsi="Times New Roman"/>
                <w:b/>
                <w:sz w:val="13"/>
              </w:rPr>
              <w:t>System</w:t>
            </w:r>
          </w:p>
        </w:tc>
        <w:tc>
          <w:tcPr>
            <w:tcW w:w="105" w:type="dxa"/>
            <w:tcBorders/>
            <w:shd w:fill="auto" w:val="clear"/>
            <w:tcMar>
              <w:bottom w:w="0" w:type="dxa"/>
            </w:tcMar>
            <w:vAlign w:val="bottom"/>
          </w:tcPr>
          <w:p>
            <w:pPr>
              <w:pStyle w:val="TableContents"/>
              <w:spacing w:lineRule="atLeast" w:line="160" w:before="0" w:after="0"/>
              <w:ind w:left="0" w:right="0" w:hanging="0"/>
              <w:rPr/>
            </w:pPr>
            <w:r>
              <w:rPr/>
              <w:t> </w:t>
            </w:r>
          </w:p>
        </w:tc>
        <w:tc>
          <w:tcPr>
            <w:tcW w:w="4635" w:type="dxa"/>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735" w:type="dxa"/>
            <w:gridSpan w:val="3"/>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Volume</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525" w:type="dxa"/>
            <w:gridSpan w:val="3"/>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Total</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070" w:type="dxa"/>
            <w:gridSpan w:val="4"/>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Segment Profit</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6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735" w:type="dxa"/>
            <w:gridSpan w:val="3"/>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(Bbls/d)</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525" w:type="dxa"/>
            <w:gridSpan w:val="3"/>
            <w:tcBorders/>
            <w:shd w:fill="auto" w:val="clear"/>
            <w:tcMar>
              <w:bottom w:w="0" w:type="dxa"/>
            </w:tcMar>
            <w:vAlign w:val="bottom"/>
          </w:tcPr>
          <w:p>
            <w:pPr>
              <w:pStyle w:val="TableContents"/>
              <w:spacing w:lineRule="atLeast" w:line="160" w:before="0" w:after="0"/>
              <w:ind w:left="0" w:right="0" w:hanging="0"/>
              <w:rPr/>
            </w:pPr>
            <w:r>
              <w:rPr/>
              <w:t> </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1070" w:type="dxa"/>
            <w:gridSpan w:val="4"/>
            <w:tcBorders/>
            <w:shd w:fill="auto" w:val="clear"/>
            <w:tcMar>
              <w:bottom w:w="0"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5265" w:type="dxa"/>
            <w:gridSpan w:val="3"/>
            <w:tcBorders/>
            <w:shd w:fill="CCEEFF" w:val="clear"/>
            <w:tcMar>
              <w:bottom w:w="0" w:type="dxa"/>
            </w:tcM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All American</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135" w:type="dxa"/>
            <w:tcBorders/>
            <w:shd w:fill="CCEEFF" w:val="clear"/>
            <w:tcMar>
              <w:bottom w:w="0" w:type="dxa"/>
            </w:tcMar>
            <w:vAlign w:val="bottom"/>
          </w:tcPr>
          <w:p>
            <w:pPr>
              <w:pStyle w:val="TableContents"/>
              <w:spacing w:lineRule="atLeast" w:line="200" w:before="0" w:after="0"/>
              <w:ind w:left="0" w:right="0" w:hanging="0"/>
              <w:rPr/>
            </w:pPr>
            <w:r>
              <w:rPr/>
              <w:t> </w:t>
            </w:r>
          </w:p>
        </w:tc>
        <w:tc>
          <w:tcPr>
            <w:tcW w:w="46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5,000</w:t>
            </w:r>
          </w:p>
        </w:tc>
        <w:tc>
          <w:tcPr>
            <w:tcW w:w="135" w:type="dxa"/>
            <w:tcBorders/>
            <w:shd w:fill="CCEEFF" w:val="clear"/>
            <w:tcMar>
              <w:bottom w:w="0" w:type="dxa"/>
            </w:tcMar>
            <w:vAlign w:val="bottom"/>
          </w:tcPr>
          <w:p>
            <w:pPr>
              <w:pStyle w:val="TableContents"/>
              <w:spacing w:lineRule="atLeast" w:line="200" w:before="0" w:after="0"/>
              <w:ind w:left="0" w:right="0" w:hanging="0"/>
              <w:rPr/>
            </w:pPr>
            <w:r>
              <w:rPr/>
              <w:t> </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165" w:type="dxa"/>
            <w:tcBorders/>
            <w:shd w:fill="CCEEFF" w:val="clear"/>
            <w:tcMar>
              <w:bottom w:w="0" w:type="dxa"/>
            </w:tcMar>
            <w:vAlign w:val="bottom"/>
          </w:tcPr>
          <w:p>
            <w:pPr>
              <w:pStyle w:val="TableContents"/>
              <w:spacing w:lineRule="atLeast" w:line="200" w:before="0" w:after="0"/>
              <w:ind w:left="0" w:right="0" w:hanging="0"/>
              <w:rPr/>
            </w:pPr>
            <w:r>
              <w:rPr/>
              <w:t> </w:t>
            </w:r>
          </w:p>
        </w:tc>
        <w:tc>
          <w:tcPr>
            <w:tcW w:w="19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10</w:t>
            </w:r>
          </w:p>
        </w:tc>
        <w:tc>
          <w:tcPr>
            <w:tcW w:w="16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375" w:type="dxa"/>
            <w:tcBorders/>
            <w:shd w:fill="CCEEFF" w:val="clear"/>
            <w:tcMar>
              <w:bottom w:w="0" w:type="dxa"/>
            </w:tcMar>
            <w:vAlign w:val="bottom"/>
          </w:tcPr>
          <w:p>
            <w:pPr>
              <w:pStyle w:val="TableContents"/>
              <w:spacing w:lineRule="atLeast" w:line="200" w:before="0" w:after="0"/>
              <w:ind w:left="0" w:right="0" w:hanging="0"/>
              <w:rPr/>
            </w:pPr>
            <w:r>
              <w:rPr/>
              <w:t> </w:t>
            </w:r>
          </w:p>
        </w:tc>
        <w:tc>
          <w:tcPr>
            <w:tcW w:w="95" w:type="dxa"/>
            <w:tcBorders/>
            <w:shd w:fill="CCEEFF" w:val="clear"/>
            <w:tcMar>
              <w:bottom w:w="0"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22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3.2</w:t>
            </w:r>
          </w:p>
        </w:tc>
        <w:tc>
          <w:tcPr>
            <w:tcW w:w="375" w:type="dxa"/>
            <w:tcBorders/>
            <w:shd w:fill="CCEEFF" w:val="clear"/>
            <w:tcMar>
              <w:bottom w:w="0" w:type="dxa"/>
            </w:tcMar>
            <w:vAlign w:val="bottom"/>
          </w:tcPr>
          <w:p>
            <w:pPr>
              <w:pStyle w:val="TableContents"/>
              <w:spacing w:before="0" w:after="0"/>
              <w:ind w:left="0" w:right="0" w:hanging="0"/>
              <w:rPr/>
            </w:pPr>
            <w:r>
              <w:rPr/>
              <w:t> </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5265" w:type="dxa"/>
            <w:gridSpan w:val="3"/>
            <w:tcBorders/>
            <w:shd w:fill="auto" w:val="clear"/>
            <w:tcMar>
              <w:bottom w:w="0" w:type="dxa"/>
            </w:tcM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Basin</w:t>
            </w:r>
          </w:p>
        </w:tc>
        <w:tc>
          <w:tcPr>
            <w:tcW w:w="240" w:type="dxa"/>
            <w:tcBorders/>
            <w:shd w:fill="auto" w:val="clear"/>
            <w:tcMar>
              <w:bottom w:w="0" w:type="dxa"/>
            </w:tcMar>
            <w:vAlign w:val="bottom"/>
          </w:tcPr>
          <w:p>
            <w:pPr>
              <w:pStyle w:val="TableContents"/>
              <w:spacing w:lineRule="atLeast" w:line="200" w:before="0" w:after="0"/>
              <w:ind w:left="0" w:right="0" w:hanging="0"/>
              <w:rPr/>
            </w:pPr>
            <w:r>
              <w:rPr/>
              <w:t> </w:t>
            </w:r>
          </w:p>
        </w:tc>
        <w:tc>
          <w:tcPr>
            <w:tcW w:w="135" w:type="dxa"/>
            <w:tcBorders/>
            <w:shd w:fill="auto" w:val="clear"/>
            <w:tcMar>
              <w:bottom w:w="0" w:type="dxa"/>
            </w:tcMar>
            <w:vAlign w:val="bottom"/>
          </w:tcPr>
          <w:p>
            <w:pPr>
              <w:pStyle w:val="TableContents"/>
              <w:spacing w:lineRule="atLeast" w:line="200" w:before="0" w:after="0"/>
              <w:ind w:left="0" w:right="0" w:hanging="0"/>
              <w:rPr/>
            </w:pPr>
            <w:r>
              <w:rPr/>
              <w:t> </w:t>
            </w:r>
          </w:p>
        </w:tc>
        <w:tc>
          <w:tcPr>
            <w:tcW w:w="465" w:type="dxa"/>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20,000</w:t>
            </w:r>
          </w:p>
        </w:tc>
        <w:tc>
          <w:tcPr>
            <w:tcW w:w="135" w:type="dxa"/>
            <w:tcBorders/>
            <w:shd w:fill="auto" w:val="clear"/>
            <w:tcMar>
              <w:bottom w:w="0" w:type="dxa"/>
            </w:tcMar>
            <w:vAlign w:val="bottom"/>
          </w:tcPr>
          <w:p>
            <w:pPr>
              <w:pStyle w:val="TableContents"/>
              <w:spacing w:lineRule="atLeast" w:line="200" w:before="0" w:after="0"/>
              <w:ind w:left="0" w:right="0" w:hanging="0"/>
              <w:rPr/>
            </w:pPr>
            <w:r>
              <w:rPr/>
              <w:t> </w:t>
            </w:r>
          </w:p>
        </w:tc>
        <w:tc>
          <w:tcPr>
            <w:tcW w:w="240" w:type="dxa"/>
            <w:tcBorders/>
            <w:shd w:fill="auto" w:val="clear"/>
            <w:tcMar>
              <w:bottom w:w="0" w:type="dxa"/>
            </w:tcMar>
            <w:vAlign w:val="bottom"/>
          </w:tcPr>
          <w:p>
            <w:pPr>
              <w:pStyle w:val="TableContents"/>
              <w:spacing w:lineRule="atLeast" w:line="200" w:before="0" w:after="0"/>
              <w:ind w:left="0" w:right="0" w:hanging="0"/>
              <w:rPr/>
            </w:pPr>
            <w:r>
              <w:rPr/>
              <w:t> </w:t>
            </w:r>
          </w:p>
        </w:tc>
        <w:tc>
          <w:tcPr>
            <w:tcW w:w="165" w:type="dxa"/>
            <w:tcBorders/>
            <w:shd w:fill="auto" w:val="clear"/>
            <w:tcMar>
              <w:bottom w:w="0" w:type="dxa"/>
            </w:tcMar>
            <w:vAlign w:val="bottom"/>
          </w:tcPr>
          <w:p>
            <w:pPr>
              <w:pStyle w:val="TableContents"/>
              <w:spacing w:lineRule="atLeast" w:line="200" w:before="0" w:after="0"/>
              <w:ind w:left="0" w:right="0" w:hanging="0"/>
              <w:rPr/>
            </w:pPr>
            <w:r>
              <w:rPr/>
              <w:t> </w:t>
            </w:r>
          </w:p>
        </w:tc>
        <w:tc>
          <w:tcPr>
            <w:tcW w:w="195" w:type="dxa"/>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w:t>
            </w:r>
          </w:p>
        </w:tc>
        <w:tc>
          <w:tcPr>
            <w:tcW w:w="165" w:type="dxa"/>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tcMar>
              <w:bottom w:w="0" w:type="dxa"/>
            </w:tcMar>
            <w:vAlign w:val="bottom"/>
          </w:tcPr>
          <w:p>
            <w:pPr>
              <w:pStyle w:val="TableContents"/>
              <w:spacing w:lineRule="atLeast" w:line="200" w:before="0" w:after="0"/>
              <w:ind w:left="0" w:right="0" w:hanging="0"/>
              <w:rPr/>
            </w:pPr>
            <w:r>
              <w:rPr/>
              <w:t> </w:t>
            </w:r>
          </w:p>
        </w:tc>
        <w:tc>
          <w:tcPr>
            <w:tcW w:w="375" w:type="dxa"/>
            <w:tcBorders/>
            <w:shd w:fill="auto" w:val="clear"/>
            <w:tcMar>
              <w:bottom w:w="0" w:type="dxa"/>
            </w:tcMar>
            <w:vAlign w:val="bottom"/>
          </w:tcPr>
          <w:p>
            <w:pPr>
              <w:pStyle w:val="TableContents"/>
              <w:spacing w:lineRule="atLeast" w:line="200" w:before="0" w:after="0"/>
              <w:ind w:left="0" w:right="0" w:hanging="0"/>
              <w:rPr/>
            </w:pPr>
            <w:r>
              <w:rPr/>
              <w:t> </w:t>
            </w:r>
          </w:p>
        </w:tc>
        <w:tc>
          <w:tcPr>
            <w:tcW w:w="95" w:type="dxa"/>
            <w:tcBorders/>
            <w:shd w:fill="auto" w:val="clear"/>
            <w:tcMar>
              <w:bottom w:w="0"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225" w:type="dxa"/>
            <w:tcBorders/>
            <w:shd w:fill="auto"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w:t>
            </w:r>
          </w:p>
        </w:tc>
        <w:tc>
          <w:tcPr>
            <w:tcW w:w="375" w:type="dxa"/>
            <w:tcBorders/>
            <w:shd w:fill="auto" w:val="clear"/>
            <w:tcMar>
              <w:bottom w:w="0" w:type="dxa"/>
            </w:tcMar>
            <w:vAlign w:val="bottom"/>
          </w:tcPr>
          <w:p>
            <w:pPr>
              <w:pStyle w:val="TableContents"/>
              <w:spacing w:before="0" w:after="0"/>
              <w:ind w:left="0" w:right="0" w:hanging="0"/>
              <w:rPr/>
            </w:pPr>
            <w:r>
              <w:rPr/>
              <w:t> </w:t>
            </w:r>
          </w:p>
        </w:tc>
        <w:tc>
          <w:tcPr>
            <w:tcW w:w="60" w:type="dxa"/>
            <w:tcBorders/>
            <w:shd w:fill="auto" w:val="clear"/>
            <w:tcMar>
              <w:bottom w:w="0" w:type="dxa"/>
            </w:tcMar>
            <w:vAlign w:val="bottom"/>
          </w:tcPr>
          <w:p>
            <w:pPr>
              <w:pStyle w:val="TableContents"/>
              <w:spacing w:before="0" w:after="0"/>
              <w:ind w:left="0" w:right="0" w:hanging="0"/>
              <w:rPr/>
            </w:pPr>
            <w:r>
              <w:rPr/>
              <w:t> </w:t>
            </w:r>
          </w:p>
        </w:tc>
      </w:tr>
      <w:tr>
        <w:trPr/>
        <w:tc>
          <w:tcPr>
            <w:tcW w:w="5265" w:type="dxa"/>
            <w:gridSpan w:val="3"/>
            <w:tcBorders/>
            <w:shd w:fill="CCEEFF" w:val="clear"/>
            <w:tcMar>
              <w:bottom w:w="0" w:type="dxa"/>
            </w:tcM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Capline</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135" w:type="dxa"/>
            <w:tcBorders/>
            <w:shd w:fill="CCEEFF" w:val="clear"/>
            <w:tcMar>
              <w:bottom w:w="0" w:type="dxa"/>
            </w:tcMar>
            <w:vAlign w:val="bottom"/>
          </w:tcPr>
          <w:p>
            <w:pPr>
              <w:pStyle w:val="TableContents"/>
              <w:spacing w:lineRule="atLeast" w:line="200" w:before="0" w:after="0"/>
              <w:ind w:left="0" w:right="0" w:hanging="0"/>
              <w:rPr/>
            </w:pPr>
            <w:r>
              <w:rPr/>
              <w:t> </w:t>
            </w:r>
          </w:p>
        </w:tc>
        <w:tc>
          <w:tcPr>
            <w:tcW w:w="46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10,000</w:t>
            </w:r>
          </w:p>
        </w:tc>
        <w:tc>
          <w:tcPr>
            <w:tcW w:w="135" w:type="dxa"/>
            <w:tcBorders/>
            <w:shd w:fill="CCEEFF" w:val="clear"/>
            <w:tcMar>
              <w:bottom w:w="0" w:type="dxa"/>
            </w:tcMar>
            <w:vAlign w:val="bottom"/>
          </w:tcPr>
          <w:p>
            <w:pPr>
              <w:pStyle w:val="TableContents"/>
              <w:spacing w:lineRule="atLeast" w:line="200" w:before="0" w:after="0"/>
              <w:ind w:left="0" w:right="0" w:hanging="0"/>
              <w:rPr/>
            </w:pPr>
            <w:r>
              <w:rPr/>
              <w:t> </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165" w:type="dxa"/>
            <w:tcBorders/>
            <w:shd w:fill="CCEEFF" w:val="clear"/>
            <w:tcMar>
              <w:bottom w:w="0" w:type="dxa"/>
            </w:tcMar>
            <w:vAlign w:val="bottom"/>
          </w:tcPr>
          <w:p>
            <w:pPr>
              <w:pStyle w:val="TableContents"/>
              <w:spacing w:lineRule="atLeast" w:line="200" w:before="0" w:after="0"/>
              <w:ind w:left="0" w:right="0" w:hanging="0"/>
              <w:rPr/>
            </w:pPr>
            <w:r>
              <w:rPr/>
              <w:t> </w:t>
            </w:r>
          </w:p>
        </w:tc>
        <w:tc>
          <w:tcPr>
            <w:tcW w:w="19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w:t>
            </w:r>
          </w:p>
        </w:tc>
        <w:tc>
          <w:tcPr>
            <w:tcW w:w="16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240" w:type="dxa"/>
            <w:tcBorders/>
            <w:shd w:fill="CCEEFF" w:val="clear"/>
            <w:tcMar>
              <w:bottom w:w="0" w:type="dxa"/>
            </w:tcMar>
            <w:vAlign w:val="bottom"/>
          </w:tcPr>
          <w:p>
            <w:pPr>
              <w:pStyle w:val="TableContents"/>
              <w:spacing w:lineRule="atLeast" w:line="200" w:before="0" w:after="0"/>
              <w:ind w:left="0" w:right="0" w:hanging="0"/>
              <w:rPr/>
            </w:pPr>
            <w:r>
              <w:rPr/>
              <w:t> </w:t>
            </w:r>
          </w:p>
        </w:tc>
        <w:tc>
          <w:tcPr>
            <w:tcW w:w="375" w:type="dxa"/>
            <w:tcBorders/>
            <w:shd w:fill="CCEEFF" w:val="clear"/>
            <w:tcMar>
              <w:bottom w:w="0" w:type="dxa"/>
            </w:tcMar>
            <w:vAlign w:val="bottom"/>
          </w:tcPr>
          <w:p>
            <w:pPr>
              <w:pStyle w:val="TableContents"/>
              <w:spacing w:lineRule="atLeast" w:line="200" w:before="0" w:after="0"/>
              <w:ind w:left="0" w:right="0" w:hanging="0"/>
              <w:rPr/>
            </w:pPr>
            <w:r>
              <w:rPr/>
              <w:t> </w:t>
            </w:r>
          </w:p>
        </w:tc>
        <w:tc>
          <w:tcPr>
            <w:tcW w:w="95" w:type="dxa"/>
            <w:tcBorders/>
            <w:shd w:fill="CCEEFF" w:val="clear"/>
            <w:tcMar>
              <w:bottom w:w="0"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225" w:type="dxa"/>
            <w:tcBorders/>
            <w:shd w:fill="CCEEFF" w:val="clear"/>
            <w:tcMar>
              <w:bottom w:w="0"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w:t>
            </w:r>
          </w:p>
        </w:tc>
        <w:tc>
          <w:tcPr>
            <w:tcW w:w="375" w:type="dxa"/>
            <w:tcBorders/>
            <w:shd w:fill="CCEEFF" w:val="clear"/>
            <w:tcMar>
              <w:bottom w:w="0" w:type="dxa"/>
            </w:tcMar>
            <w:vAlign w:val="bottom"/>
          </w:tcPr>
          <w:p>
            <w:pPr>
              <w:pStyle w:val="TableContents"/>
              <w:spacing w:before="0" w:after="0"/>
              <w:ind w:left="0" w:right="0" w:hanging="0"/>
              <w:rPr/>
            </w:pPr>
            <w:r>
              <w:rPr/>
              <w:t> </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525" w:type="dxa"/>
            <w:tcBorders/>
            <w:shd w:fill="auto" w:val="clear"/>
            <w:tcMar>
              <w:bottom w:w="0" w:type="dxa"/>
            </w:tcMar>
            <w:vAlign w:val="center"/>
          </w:tcPr>
          <w:p>
            <w:pPr>
              <w:pStyle w:val="TableContents"/>
              <w:spacing w:before="0" w:after="283"/>
              <w:rPr>
                <w:sz w:val="4"/>
                <w:szCs w:val="4"/>
              </w:rPr>
            </w:pPr>
            <w:r>
              <w:rPr>
                <w:sz w:val="4"/>
                <w:szCs w:val="4"/>
              </w:rPr>
            </w:r>
          </w:p>
        </w:tc>
        <w:tc>
          <w:tcPr>
            <w:tcW w:w="105" w:type="dxa"/>
            <w:tcBorders/>
            <w:shd w:fill="auto" w:val="clear"/>
            <w:tcMar>
              <w:bottom w:w="0" w:type="dxa"/>
            </w:tcMar>
            <w:vAlign w:val="center"/>
          </w:tcPr>
          <w:p>
            <w:pPr>
              <w:pStyle w:val="TableContents"/>
              <w:spacing w:before="0" w:after="283"/>
              <w:rPr>
                <w:sz w:val="4"/>
                <w:szCs w:val="4"/>
              </w:rPr>
            </w:pPr>
            <w:r>
              <w:rPr>
                <w:sz w:val="4"/>
                <w:szCs w:val="4"/>
              </w:rPr>
            </w:r>
          </w:p>
        </w:tc>
        <w:tc>
          <w:tcPr>
            <w:tcW w:w="4635"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135" w:type="dxa"/>
            <w:tcBorders/>
            <w:shd w:fill="auto" w:val="clear"/>
            <w:tcMar>
              <w:bottom w:w="0" w:type="dxa"/>
            </w:tcMar>
            <w:vAlign w:val="center"/>
          </w:tcPr>
          <w:p>
            <w:pPr>
              <w:pStyle w:val="TableContents"/>
              <w:spacing w:before="0" w:after="283"/>
              <w:rPr>
                <w:sz w:val="4"/>
                <w:szCs w:val="4"/>
              </w:rPr>
            </w:pPr>
            <w:r>
              <w:rPr>
                <w:sz w:val="4"/>
                <w:szCs w:val="4"/>
              </w:rPr>
            </w:r>
          </w:p>
        </w:tc>
        <w:tc>
          <w:tcPr>
            <w:tcW w:w="465" w:type="dxa"/>
            <w:tcBorders/>
            <w:shd w:fill="auto" w:val="clear"/>
            <w:tcMar>
              <w:bottom w:w="0" w:type="dxa"/>
            </w:tcMar>
            <w:vAlign w:val="center"/>
          </w:tcPr>
          <w:p>
            <w:pPr>
              <w:pStyle w:val="TableContents"/>
              <w:spacing w:before="0" w:after="283"/>
              <w:rPr>
                <w:sz w:val="4"/>
                <w:szCs w:val="4"/>
              </w:rPr>
            </w:pPr>
            <w:r>
              <w:rPr>
                <w:sz w:val="4"/>
                <w:szCs w:val="4"/>
              </w:rPr>
            </w:r>
          </w:p>
        </w:tc>
        <w:tc>
          <w:tcPr>
            <w:tcW w:w="135"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165" w:type="dxa"/>
            <w:tcBorders/>
            <w:shd w:fill="auto" w:val="clear"/>
            <w:tcMar>
              <w:bottom w:w="0" w:type="dxa"/>
            </w:tcMar>
            <w:vAlign w:val="center"/>
          </w:tcPr>
          <w:p>
            <w:pPr>
              <w:pStyle w:val="TableContents"/>
              <w:spacing w:before="0" w:after="283"/>
              <w:rPr>
                <w:sz w:val="4"/>
                <w:szCs w:val="4"/>
              </w:rPr>
            </w:pPr>
            <w:r>
              <w:rPr>
                <w:sz w:val="4"/>
                <w:szCs w:val="4"/>
              </w:rPr>
            </w:r>
          </w:p>
        </w:tc>
        <w:tc>
          <w:tcPr>
            <w:tcW w:w="195" w:type="dxa"/>
            <w:tcBorders/>
            <w:shd w:fill="auto" w:val="clear"/>
            <w:tcMar>
              <w:bottom w:w="0" w:type="dxa"/>
            </w:tcMar>
            <w:vAlign w:val="center"/>
          </w:tcPr>
          <w:p>
            <w:pPr>
              <w:pStyle w:val="TableContents"/>
              <w:spacing w:before="0" w:after="283"/>
              <w:rPr>
                <w:sz w:val="4"/>
                <w:szCs w:val="4"/>
              </w:rPr>
            </w:pPr>
            <w:r>
              <w:rPr>
                <w:sz w:val="4"/>
                <w:szCs w:val="4"/>
              </w:rPr>
            </w:r>
          </w:p>
        </w:tc>
        <w:tc>
          <w:tcPr>
            <w:tcW w:w="165" w:type="dxa"/>
            <w:tcBorders/>
            <w:shd w:fill="auto" w:val="clear"/>
            <w:tcMar>
              <w:bottom w:w="0" w:type="dxa"/>
            </w:tcMar>
            <w:vAlign w:val="center"/>
          </w:tcPr>
          <w:p>
            <w:pPr>
              <w:pStyle w:val="TableContents"/>
              <w:spacing w:before="0" w:after="283"/>
              <w:rPr>
                <w:sz w:val="4"/>
                <w:szCs w:val="4"/>
              </w:rPr>
            </w:pPr>
            <w:r>
              <w:rPr>
                <w:sz w:val="4"/>
                <w:szCs w:val="4"/>
              </w:rPr>
            </w:r>
          </w:p>
        </w:tc>
        <w:tc>
          <w:tcPr>
            <w:tcW w:w="240" w:type="dxa"/>
            <w:tcBorders/>
            <w:shd w:fill="auto" w:val="clear"/>
            <w:tcMar>
              <w:bottom w:w="0" w:type="dxa"/>
            </w:tcMar>
            <w:vAlign w:val="center"/>
          </w:tcPr>
          <w:p>
            <w:pPr>
              <w:pStyle w:val="TableContents"/>
              <w:spacing w:before="0" w:after="283"/>
              <w:rPr>
                <w:sz w:val="4"/>
                <w:szCs w:val="4"/>
              </w:rPr>
            </w:pPr>
            <w:r>
              <w:rPr>
                <w:sz w:val="4"/>
                <w:szCs w:val="4"/>
              </w:rPr>
            </w:r>
          </w:p>
        </w:tc>
        <w:tc>
          <w:tcPr>
            <w:tcW w:w="375" w:type="dxa"/>
            <w:tcBorders/>
            <w:shd w:fill="auto" w:val="clear"/>
            <w:tcMar>
              <w:bottom w:w="0" w:type="dxa"/>
            </w:tcMar>
            <w:vAlign w:val="center"/>
          </w:tcPr>
          <w:p>
            <w:pPr>
              <w:pStyle w:val="TableContents"/>
              <w:spacing w:before="0" w:after="283"/>
              <w:rPr>
                <w:sz w:val="4"/>
                <w:szCs w:val="4"/>
              </w:rPr>
            </w:pPr>
            <w:r>
              <w:rPr>
                <w:sz w:val="4"/>
                <w:szCs w:val="4"/>
              </w:rPr>
            </w:r>
          </w:p>
        </w:tc>
        <w:tc>
          <w:tcPr>
            <w:tcW w:w="95" w:type="dxa"/>
            <w:tcBorders/>
            <w:shd w:fill="auto" w:val="clear"/>
            <w:tcMar>
              <w:bottom w:w="0" w:type="dxa"/>
            </w:tcMar>
            <w:vAlign w:val="center"/>
          </w:tcPr>
          <w:p>
            <w:pPr>
              <w:pStyle w:val="TableContents"/>
              <w:spacing w:before="0" w:after="283"/>
              <w:rPr>
                <w:sz w:val="4"/>
                <w:szCs w:val="4"/>
              </w:rPr>
            </w:pPr>
            <w:r>
              <w:rPr>
                <w:sz w:val="4"/>
                <w:szCs w:val="4"/>
              </w:rPr>
            </w:r>
          </w:p>
        </w:tc>
        <w:tc>
          <w:tcPr>
            <w:tcW w:w="225" w:type="dxa"/>
            <w:tcBorders/>
            <w:shd w:fill="auto" w:val="clear"/>
            <w:tcMar>
              <w:bottom w:w="0" w:type="dxa"/>
            </w:tcMar>
            <w:vAlign w:val="center"/>
          </w:tcPr>
          <w:p>
            <w:pPr>
              <w:pStyle w:val="TableContents"/>
              <w:spacing w:before="0" w:after="283"/>
              <w:rPr>
                <w:sz w:val="4"/>
                <w:szCs w:val="4"/>
              </w:rPr>
            </w:pPr>
            <w:r>
              <w:rPr>
                <w:sz w:val="4"/>
                <w:szCs w:val="4"/>
              </w:rPr>
            </w:r>
          </w:p>
        </w:tc>
        <w:tc>
          <w:tcPr>
            <w:tcW w:w="37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keepNext w:val="true"/>
        <w:spacing w:lineRule="atLeast" w:line="141" w:before="0" w:after="240"/>
        <w:ind w:left="0" w:right="0" w:hanging="0"/>
        <w:rPr/>
      </w:pPr>
      <w:r>
        <w:rPr/>
        <w:t> </w:t>
      </w:r>
    </w:p>
    <w:p>
      <w:pPr>
        <w:pStyle w:val="TextBody"/>
        <w:spacing w:before="0" w:after="120"/>
        <w:ind w:left="400" w:right="0" w:hanging="400"/>
        <w:rPr>
          <w:rFonts w:ascii="Times New Roman" w:hAnsi="Times New Roman"/>
          <w:sz w:val="17"/>
        </w:rPr>
      </w:pPr>
      <w:r>
        <w:rPr>
          <w:rFonts w:ascii="Times New Roman" w:hAnsi="Times New Roman"/>
          <w:sz w:val="17"/>
        </w:rPr>
        <w:t xml:space="preserve">3.                 </w:t>
      </w:r>
      <w:r>
        <w:rPr>
          <w:rFonts w:ascii="Times New Roman" w:hAnsi="Times New Roman"/>
          <w:i/>
          <w:sz w:val="17"/>
        </w:rPr>
        <w:t>Gathering, Marketing, Terminalling and Storage Operations</w:t>
      </w:r>
      <w:r>
        <w:rPr>
          <w:rFonts w:ascii="Times New Roman" w:hAnsi="Times New Roman"/>
          <w:sz w:val="17"/>
        </w:rPr>
        <w:t>.  The degree of volatility in the crude oil market influences the level of profit in the GMT&amp;S segment. Our guidance for the second half of the year assumes that the favorable market conditions in the oil markets will subside over the remainder of the year.</w:t>
      </w:r>
    </w:p>
    <w:p>
      <w:pPr>
        <w:pStyle w:val="TextBody"/>
        <w:keepNext w:val="true"/>
        <w:spacing w:before="0" w:after="240"/>
        <w:ind w:left="400" w:right="0" w:hanging="0"/>
        <w:rPr>
          <w:rFonts w:ascii="Times New Roman" w:hAnsi="Times New Roman"/>
          <w:sz w:val="17"/>
        </w:rPr>
      </w:pPr>
      <w:r>
        <w:rPr>
          <w:rFonts w:ascii="Times New Roman" w:hAnsi="Times New Roman"/>
          <w:sz w:val="17"/>
        </w:rPr>
        <w:t>LPG volumes are influenced by seasonal demands with higher volumes sold in the winter months, primarily for heating, and decreasing during the summer months.</w:t>
      </w:r>
    </w:p>
    <w:tbl>
      <w:tblPr>
        <w:tblW w:w="8435" w:type="dxa"/>
        <w:jc w:val="left"/>
        <w:tblInd w:w="0" w:type="dxa"/>
        <w:tblCellMar>
          <w:top w:w="0" w:type="dxa"/>
          <w:left w:w="0" w:type="dxa"/>
          <w:bottom w:w="0" w:type="dxa"/>
          <w:right w:w="0" w:type="dxa"/>
        </w:tblCellMar>
      </w:tblPr>
      <w:tblGrid>
        <w:gridCol w:w="3750"/>
        <w:gridCol w:w="225"/>
        <w:gridCol w:w="180"/>
        <w:gridCol w:w="95"/>
        <w:gridCol w:w="390"/>
        <w:gridCol w:w="180"/>
        <w:gridCol w:w="180"/>
        <w:gridCol w:w="255"/>
        <w:gridCol w:w="95"/>
        <w:gridCol w:w="390"/>
        <w:gridCol w:w="255"/>
        <w:gridCol w:w="180"/>
        <w:gridCol w:w="300"/>
        <w:gridCol w:w="95"/>
        <w:gridCol w:w="390"/>
        <w:gridCol w:w="300"/>
        <w:gridCol w:w="135"/>
        <w:gridCol w:w="270"/>
        <w:gridCol w:w="95"/>
        <w:gridCol w:w="390"/>
        <w:gridCol w:w="225"/>
        <w:gridCol w:w="60"/>
      </w:tblGrid>
      <w:tr>
        <w:trPr/>
        <w:tc>
          <w:tcPr>
            <w:tcW w:w="3750" w:type="dxa"/>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4400" w:type="dxa"/>
            <w:gridSpan w:val="1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 2005</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750" w:type="dxa"/>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84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Actual</w:t>
            </w:r>
          </w:p>
        </w:tc>
        <w:tc>
          <w:tcPr>
            <w:tcW w:w="180" w:type="dxa"/>
            <w:tcBorders/>
            <w:shd w:fill="auto" w:val="clear"/>
            <w:vAlign w:val="bottom"/>
          </w:tcPr>
          <w:p>
            <w:pPr>
              <w:pStyle w:val="TableContents"/>
              <w:spacing w:lineRule="atLeast" w:line="160" w:before="0" w:after="0"/>
              <w:ind w:left="0" w:right="0" w:hanging="0"/>
              <w:rPr/>
            </w:pPr>
            <w:r>
              <w:rPr/>
              <w:t> </w:t>
            </w:r>
          </w:p>
        </w:tc>
        <w:tc>
          <w:tcPr>
            <w:tcW w:w="3375" w:type="dxa"/>
            <w:gridSpan w:val="1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750" w:type="dxa"/>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84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w:t>
            </w:r>
          </w:p>
        </w:tc>
        <w:tc>
          <w:tcPr>
            <w:tcW w:w="180" w:type="dxa"/>
            <w:tcBorders/>
            <w:shd w:fill="auto" w:val="clear"/>
            <w:vAlign w:val="bottom"/>
          </w:tcPr>
          <w:p>
            <w:pPr>
              <w:pStyle w:val="TableContents"/>
              <w:spacing w:lineRule="atLeast" w:line="160" w:before="0" w:after="0"/>
              <w:ind w:left="0" w:right="0" w:hanging="0"/>
              <w:rPr/>
            </w:pPr>
            <w:r>
              <w:rPr/>
              <w:t> </w:t>
            </w:r>
          </w:p>
        </w:tc>
        <w:tc>
          <w:tcPr>
            <w:tcW w:w="2260" w:type="dxa"/>
            <w:gridSpan w:val="9"/>
            <w:tcBorders/>
            <w:shd w:fill="auto" w:val="clear"/>
            <w:vAlign w:val="bottom"/>
          </w:tcPr>
          <w:p>
            <w:pPr>
              <w:pStyle w:val="TableContents"/>
              <w:spacing w:lineRule="atLeast" w:line="160" w:before="0" w:after="0"/>
              <w:ind w:left="0" w:right="0" w:hanging="0"/>
              <w:rPr/>
            </w:pPr>
            <w:r>
              <w:rPr/>
              <w:t> </w:t>
            </w:r>
          </w:p>
        </w:tc>
        <w:tc>
          <w:tcPr>
            <w:tcW w:w="135" w:type="dxa"/>
            <w:tcBorders/>
            <w:shd w:fill="auto" w:val="clear"/>
            <w:vAlign w:val="bottom"/>
          </w:tcPr>
          <w:p>
            <w:pPr>
              <w:pStyle w:val="TableContents"/>
              <w:spacing w:lineRule="atLeast" w:line="160" w:before="0" w:after="0"/>
              <w:ind w:left="0" w:right="0" w:hanging="0"/>
              <w:rPr/>
            </w:pPr>
            <w:r>
              <w:rPr/>
              <w:t> </w:t>
            </w:r>
          </w:p>
        </w:tc>
        <w:tc>
          <w:tcPr>
            <w:tcW w:w="98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w:t>
              <w:br/>
              <w:t>Months</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750" w:type="dxa"/>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84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Ended</w:t>
            </w:r>
          </w:p>
        </w:tc>
        <w:tc>
          <w:tcPr>
            <w:tcW w:w="180" w:type="dxa"/>
            <w:tcBorders/>
            <w:shd w:fill="auto" w:val="clear"/>
            <w:vAlign w:val="bottom"/>
          </w:tcPr>
          <w:p>
            <w:pPr>
              <w:pStyle w:val="TableContents"/>
              <w:spacing w:lineRule="atLeast" w:line="160" w:before="0" w:after="0"/>
              <w:ind w:left="0" w:right="0" w:hanging="0"/>
              <w:rPr/>
            </w:pPr>
            <w:r>
              <w:rPr/>
              <w:t> </w:t>
            </w:r>
          </w:p>
        </w:tc>
        <w:tc>
          <w:tcPr>
            <w:tcW w:w="2260"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135" w:type="dxa"/>
            <w:tcBorders/>
            <w:shd w:fill="auto" w:val="clear"/>
            <w:vAlign w:val="bottom"/>
          </w:tcPr>
          <w:p>
            <w:pPr>
              <w:pStyle w:val="TableContents"/>
              <w:spacing w:lineRule="atLeast" w:line="160" w:before="0" w:after="0"/>
              <w:ind w:left="0" w:right="0" w:hanging="0"/>
              <w:rPr/>
            </w:pPr>
            <w:r>
              <w:rPr/>
              <w:t> </w:t>
            </w:r>
          </w:p>
        </w:tc>
        <w:tc>
          <w:tcPr>
            <w:tcW w:w="98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Ended</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750" w:type="dxa"/>
            <w:tcBorders/>
            <w:shd w:fill="auto" w:val="clear"/>
            <w:vAlign w:val="bottom"/>
          </w:tcPr>
          <w:p>
            <w:pPr>
              <w:pStyle w:val="TableContents"/>
              <w:spacing w:lineRule="atLeast" w:line="160" w:before="0" w:after="0"/>
              <w:ind w:left="0" w:right="0" w:hanging="0"/>
              <w:rPr/>
            </w:pPr>
            <w:r>
              <w:rPr/>
              <w:t> </w:t>
            </w:r>
          </w:p>
        </w:tc>
        <w:tc>
          <w:tcPr>
            <w:tcW w:w="225" w:type="dxa"/>
            <w:tcBorders/>
            <w:shd w:fill="auto" w:val="clear"/>
            <w:vAlign w:val="bottom"/>
          </w:tcPr>
          <w:p>
            <w:pPr>
              <w:pStyle w:val="TableContents"/>
              <w:spacing w:lineRule="atLeast" w:line="160" w:before="0" w:after="0"/>
              <w:ind w:left="0" w:right="0" w:hanging="0"/>
              <w:rPr/>
            </w:pPr>
            <w:r>
              <w:rPr/>
              <w:t> </w:t>
            </w:r>
          </w:p>
        </w:tc>
        <w:tc>
          <w:tcPr>
            <w:tcW w:w="84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180" w:type="dxa"/>
            <w:tcBorders/>
            <w:shd w:fill="auto" w:val="clear"/>
            <w:vAlign w:val="bottom"/>
          </w:tcPr>
          <w:p>
            <w:pPr>
              <w:pStyle w:val="TableContents"/>
              <w:spacing w:lineRule="atLeast" w:line="160" w:before="0" w:after="0"/>
              <w:ind w:left="0" w:right="0" w:hanging="0"/>
              <w:rPr/>
            </w:pPr>
            <w:r>
              <w:rPr/>
              <w:t> </w:t>
            </w:r>
          </w:p>
        </w:tc>
        <w:tc>
          <w:tcPr>
            <w:tcW w:w="99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w:t>
            </w:r>
          </w:p>
        </w:tc>
        <w:tc>
          <w:tcPr>
            <w:tcW w:w="180"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085"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135" w:type="dxa"/>
            <w:tcBorders/>
            <w:shd w:fill="auto" w:val="clear"/>
            <w:vAlign w:val="bottom"/>
          </w:tcPr>
          <w:p>
            <w:pPr>
              <w:pStyle w:val="TableContents"/>
              <w:spacing w:lineRule="atLeast" w:line="160" w:before="0" w:after="0"/>
              <w:ind w:left="0" w:right="0" w:hanging="0"/>
              <w:rPr/>
            </w:pPr>
            <w:r>
              <w:rPr/>
              <w:t> </w:t>
            </w:r>
          </w:p>
        </w:tc>
        <w:tc>
          <w:tcPr>
            <w:tcW w:w="98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75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Average Daily Volumes (000s Bbl/d)</w:t>
            </w:r>
          </w:p>
        </w:tc>
        <w:tc>
          <w:tcPr>
            <w:tcW w:w="225"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pPr>
            <w:r>
              <w:rPr/>
              <w:t> </w:t>
            </w:r>
          </w:p>
        </w:tc>
        <w:tc>
          <w:tcPr>
            <w:tcW w:w="225"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375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Crude Oil Lease Gathered</w:t>
            </w:r>
          </w:p>
        </w:tc>
        <w:tc>
          <w:tcPr>
            <w:tcW w:w="225"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625</w:t>
            </w:r>
          </w:p>
        </w:tc>
        <w:tc>
          <w:tcPr>
            <w:tcW w:w="18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630</w:t>
            </w:r>
          </w:p>
        </w:tc>
        <w:tc>
          <w:tcPr>
            <w:tcW w:w="255"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635</w:t>
            </w:r>
          </w:p>
        </w:tc>
        <w:tc>
          <w:tcPr>
            <w:tcW w:w="30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629</w:t>
            </w:r>
          </w:p>
        </w:tc>
        <w:tc>
          <w:tcPr>
            <w:tcW w:w="225"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375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LPG</w:t>
            </w:r>
          </w:p>
        </w:tc>
        <w:tc>
          <w:tcPr>
            <w:tcW w:w="225"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55</w:t>
            </w:r>
          </w:p>
        </w:tc>
        <w:tc>
          <w:tcPr>
            <w:tcW w:w="180"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40</w:t>
            </w:r>
          </w:p>
        </w:tc>
        <w:tc>
          <w:tcPr>
            <w:tcW w:w="255"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75</w:t>
            </w:r>
          </w:p>
        </w:tc>
        <w:tc>
          <w:tcPr>
            <w:tcW w:w="30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56</w:t>
            </w:r>
          </w:p>
        </w:tc>
        <w:tc>
          <w:tcPr>
            <w:tcW w:w="225"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3750" w:type="dxa"/>
            <w:tcBorders/>
            <w:shd w:fill="auto" w:val="clear"/>
          </w:tcPr>
          <w:p>
            <w:pPr>
              <w:pStyle w:val="TableContents"/>
              <w:spacing w:lineRule="atLeast" w:line="200" w:before="0" w:after="0"/>
              <w:ind w:left="0" w:right="0" w:hanging="0"/>
              <w:rPr/>
            </w:pPr>
            <w:r>
              <w:rPr/>
              <w:t> </w:t>
            </w:r>
          </w:p>
        </w:tc>
        <w:tc>
          <w:tcPr>
            <w:tcW w:w="225"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680</w:t>
            </w:r>
          </w:p>
        </w:tc>
        <w:tc>
          <w:tcPr>
            <w:tcW w:w="180"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670</w:t>
            </w:r>
          </w:p>
        </w:tc>
        <w:tc>
          <w:tcPr>
            <w:tcW w:w="255"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710</w:t>
            </w:r>
          </w:p>
        </w:tc>
        <w:tc>
          <w:tcPr>
            <w:tcW w:w="30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685</w:t>
            </w:r>
          </w:p>
        </w:tc>
        <w:tc>
          <w:tcPr>
            <w:tcW w:w="225"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3750" w:type="dxa"/>
            <w:tcBorders/>
            <w:shd w:fill="CCEEFF" w:val="clear"/>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Segment Profit ($/Bbl)</w:t>
            </w:r>
          </w:p>
        </w:tc>
        <w:tc>
          <w:tcPr>
            <w:tcW w:w="225" w:type="dxa"/>
            <w:tcBorders/>
            <w:shd w:fill="CCEEFF" w:val="clear"/>
            <w:vAlign w:val="bottom"/>
          </w:tcPr>
          <w:p>
            <w:pPr>
              <w:pStyle w:val="TableContents"/>
              <w:spacing w:lineRule="atLeast" w:line="200" w:before="120" w:after="120"/>
              <w:ind w:left="0" w:right="0" w:hanging="0"/>
              <w:rPr/>
            </w:pPr>
            <w:r>
              <w:rPr/>
              <w:t> </w:t>
            </w:r>
          </w:p>
        </w:tc>
        <w:tc>
          <w:tcPr>
            <w:tcW w:w="18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180" w:type="dxa"/>
            <w:tcBorders/>
            <w:shd w:fill="CCEEFF" w:val="clear"/>
            <w:vAlign w:val="bottom"/>
          </w:tcPr>
          <w:p>
            <w:pPr>
              <w:pStyle w:val="TableContents"/>
              <w:spacing w:lineRule="atLeast" w:line="200" w:before="120" w:after="120"/>
              <w:ind w:left="0" w:right="0" w:hanging="0"/>
              <w:rPr/>
            </w:pPr>
            <w:r>
              <w:rPr/>
              <w:t> </w:t>
            </w:r>
          </w:p>
        </w:tc>
        <w:tc>
          <w:tcPr>
            <w:tcW w:w="180" w:type="dxa"/>
            <w:tcBorders/>
            <w:shd w:fill="CCEEFF" w:val="clear"/>
            <w:vAlign w:val="bottom"/>
          </w:tcPr>
          <w:p>
            <w:pPr>
              <w:pStyle w:val="TableContents"/>
              <w:spacing w:lineRule="atLeast" w:line="200" w:before="120" w:after="120"/>
              <w:ind w:left="0" w:right="0" w:hanging="0"/>
              <w:rPr/>
            </w:pPr>
            <w:r>
              <w:rPr/>
              <w:t> </w:t>
            </w:r>
          </w:p>
        </w:tc>
        <w:tc>
          <w:tcPr>
            <w:tcW w:w="255"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255" w:type="dxa"/>
            <w:tcBorders/>
            <w:shd w:fill="CCEEFF" w:val="clear"/>
            <w:vAlign w:val="bottom"/>
          </w:tcPr>
          <w:p>
            <w:pPr>
              <w:pStyle w:val="TableContents"/>
              <w:spacing w:lineRule="atLeast" w:line="200" w:before="120" w:after="120"/>
              <w:ind w:left="0" w:right="0" w:hanging="0"/>
              <w:rPr/>
            </w:pPr>
            <w:r>
              <w:rPr/>
              <w:t> </w:t>
            </w:r>
          </w:p>
        </w:tc>
        <w:tc>
          <w:tcPr>
            <w:tcW w:w="180" w:type="dxa"/>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300" w:type="dxa"/>
            <w:tcBorders/>
            <w:shd w:fill="CCEEFF" w:val="clear"/>
            <w:vAlign w:val="bottom"/>
          </w:tcPr>
          <w:p>
            <w:pPr>
              <w:pStyle w:val="TableContents"/>
              <w:spacing w:lineRule="atLeast" w:line="200" w:before="120" w:after="120"/>
              <w:ind w:left="0" w:right="0" w:hanging="0"/>
              <w:rPr/>
            </w:pPr>
            <w:r>
              <w:rPr/>
              <w:t> </w:t>
            </w:r>
          </w:p>
        </w:tc>
        <w:tc>
          <w:tcPr>
            <w:tcW w:w="135" w:type="dxa"/>
            <w:tcBorders/>
            <w:shd w:fill="CCEEFF" w:val="clear"/>
            <w:vAlign w:val="bottom"/>
          </w:tcPr>
          <w:p>
            <w:pPr>
              <w:pStyle w:val="TableContents"/>
              <w:spacing w:lineRule="atLeast" w:line="200" w:before="120" w:after="120"/>
              <w:ind w:left="0" w:right="0" w:hanging="0"/>
              <w:rPr/>
            </w:pPr>
            <w:r>
              <w:rPr/>
              <w:t> </w:t>
            </w:r>
          </w:p>
        </w:tc>
        <w:tc>
          <w:tcPr>
            <w:tcW w:w="270" w:type="dxa"/>
            <w:tcBorders/>
            <w:shd w:fill="CCEEFF" w:val="clear"/>
            <w:vAlign w:val="bottom"/>
          </w:tcPr>
          <w:p>
            <w:pPr>
              <w:pStyle w:val="TableContents"/>
              <w:spacing w:lineRule="atLeast" w:line="200" w:before="120" w:after="120"/>
              <w:ind w:left="0" w:right="0" w:hanging="0"/>
              <w:rPr/>
            </w:pPr>
            <w:r>
              <w:rPr/>
              <w:t> </w:t>
            </w:r>
          </w:p>
        </w:tc>
        <w:tc>
          <w:tcPr>
            <w:tcW w:w="485" w:type="dxa"/>
            <w:gridSpan w:val="2"/>
            <w:tcBorders/>
            <w:shd w:fill="CCEEFF" w:val="clear"/>
            <w:vAlign w:val="bottom"/>
          </w:tcPr>
          <w:p>
            <w:pPr>
              <w:pStyle w:val="TableContents"/>
              <w:spacing w:lineRule="atLeast" w:line="200" w:before="120" w:after="120"/>
              <w:ind w:left="0" w:right="0" w:hanging="0"/>
              <w:rPr/>
            </w:pPr>
            <w:r>
              <w:rPr/>
              <w:t> </w:t>
            </w:r>
          </w:p>
        </w:tc>
        <w:tc>
          <w:tcPr>
            <w:tcW w:w="225" w:type="dxa"/>
            <w:tcBorders/>
            <w:shd w:fill="CCEEFF" w:val="clear"/>
            <w:vAlign w:val="bottom"/>
          </w:tcPr>
          <w:p>
            <w:pPr>
              <w:pStyle w:val="TableContents"/>
              <w:spacing w:lineRule="atLeast" w:line="200" w:before="120" w:after="12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r>
      <w:tr>
        <w:trPr/>
        <w:tc>
          <w:tcPr>
            <w:tcW w:w="375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As Reported/Estimated</w:t>
            </w:r>
          </w:p>
        </w:tc>
        <w:tc>
          <w:tcPr>
            <w:tcW w:w="225" w:type="dxa"/>
            <w:tcBorders/>
            <w:shd w:fill="auto" w:val="clear"/>
            <w:vAlign w:val="bottom"/>
          </w:tcPr>
          <w:p>
            <w:pPr>
              <w:pStyle w:val="TableContents"/>
              <w:spacing w:lineRule="atLeast" w:line="200"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0.568</w:t>
            </w:r>
          </w:p>
        </w:tc>
        <w:tc>
          <w:tcPr>
            <w:tcW w:w="180"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lineRule="atLeast" w:line="200" w:before="0" w:after="0"/>
              <w:ind w:left="0" w:right="0" w:hanging="0"/>
              <w:rPr/>
            </w:pPr>
            <w:r>
              <w:rPr/>
              <w:t> </w:t>
            </w:r>
          </w:p>
        </w:tc>
        <w:tc>
          <w:tcPr>
            <w:tcW w:w="25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0.781</w:t>
            </w:r>
          </w:p>
        </w:tc>
        <w:tc>
          <w:tcPr>
            <w:tcW w:w="255"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180"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0.439</w:t>
            </w:r>
          </w:p>
        </w:tc>
        <w:tc>
          <w:tcPr>
            <w:tcW w:w="300"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13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0.587</w:t>
            </w:r>
          </w:p>
        </w:tc>
        <w:tc>
          <w:tcPr>
            <w:tcW w:w="225" w:type="dxa"/>
            <w:tcBorders/>
            <w:shd w:fill="auto"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60" w:type="dxa"/>
            <w:tcBorders/>
            <w:shd w:fill="auto" w:val="clear"/>
            <w:vAlign w:val="bottom"/>
          </w:tcPr>
          <w:p>
            <w:pPr>
              <w:pStyle w:val="TableContents"/>
              <w:spacing w:before="0" w:after="0"/>
              <w:ind w:left="0" w:right="0" w:hanging="0"/>
              <w:rPr/>
            </w:pPr>
            <w:r>
              <w:rPr/>
              <w:t> </w:t>
            </w:r>
          </w:p>
        </w:tc>
      </w:tr>
      <w:tr>
        <w:trPr/>
        <w:tc>
          <w:tcPr>
            <w:tcW w:w="375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Excluding Selected Items Impacting Comparability</w:t>
            </w:r>
          </w:p>
        </w:tc>
        <w:tc>
          <w:tcPr>
            <w:tcW w:w="225" w:type="dxa"/>
            <w:tcBorders/>
            <w:shd w:fill="CCEEFF" w:val="clear"/>
            <w:vAlign w:val="bottom"/>
          </w:tcPr>
          <w:p>
            <w:pPr>
              <w:pStyle w:val="TableContents"/>
              <w:spacing w:lineRule="atLeast" w:line="200"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0.817</w:t>
            </w:r>
          </w:p>
        </w:tc>
        <w:tc>
          <w:tcPr>
            <w:tcW w:w="180"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lineRule="atLeast" w:line="200" w:before="0" w:after="0"/>
              <w:ind w:left="0" w:right="0" w:hanging="0"/>
              <w:rPr/>
            </w:pPr>
            <w:r>
              <w:rPr/>
              <w:t> </w:t>
            </w:r>
          </w:p>
        </w:tc>
        <w:tc>
          <w:tcPr>
            <w:tcW w:w="25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0.832</w:t>
            </w:r>
          </w:p>
        </w:tc>
        <w:tc>
          <w:tcPr>
            <w:tcW w:w="255"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180"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0.488</w:t>
            </w:r>
          </w:p>
        </w:tc>
        <w:tc>
          <w:tcPr>
            <w:tcW w:w="300"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0.734</w:t>
            </w:r>
          </w:p>
        </w:tc>
        <w:tc>
          <w:tcPr>
            <w:tcW w:w="225" w:type="dxa"/>
            <w:tcBorders/>
            <w:shd w:fill="CCEEFF" w:val="clear"/>
            <w:vAlign w:val="bottom"/>
          </w:tcPr>
          <w:p>
            <w:pPr>
              <w:pStyle w:val="TableContents"/>
              <w:spacing w:lineRule="atLeast" w:line="200" w:before="0" w:after="0"/>
              <w:ind w:left="0" w:right="0" w:hanging="0"/>
              <w:rPr>
                <w:rFonts w:ascii="Times New Roman" w:hAnsi="Times New Roman"/>
                <w:sz w:val="8"/>
              </w:rPr>
            </w:pPr>
            <w:r>
              <w:rPr>
                <w:rFonts w:ascii="Times New Roman" w:hAnsi="Times New Roman"/>
                <w:sz w:val="8"/>
              </w:rPr>
              <w:t>(1)</w:t>
            </w:r>
          </w:p>
        </w:tc>
        <w:tc>
          <w:tcPr>
            <w:tcW w:w="6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HorizontalLine"/>
        <w:pBdr>
          <w:bottom w:val="single" w:sz="6" w:space="0" w:color="000000"/>
        </w:pBdr>
        <w:spacing w:before="0" w:after="0"/>
        <w:rPr/>
      </w:pPr>
      <w:r>
        <w:rPr/>
      </w:r>
    </w:p>
    <w:p>
      <w:pPr>
        <w:pStyle w:val="TextBody"/>
        <w:spacing w:lineRule="atLeast" w:line="180" w:before="0" w:after="120"/>
        <w:ind w:left="800" w:right="0" w:hanging="400"/>
        <w:rPr>
          <w:rFonts w:ascii="Times New Roman" w:hAnsi="Times New Roman"/>
          <w:sz w:val="17"/>
        </w:rPr>
      </w:pPr>
      <w:r>
        <w:rPr>
          <w:rFonts w:ascii="Times New Roman" w:hAnsi="Times New Roman"/>
          <w:sz w:val="17"/>
        </w:rPr>
        <w:t>(</w:t>
      </w:r>
      <w:r>
        <w:rPr>
          <w:rFonts w:ascii="Times New Roman" w:hAnsi="Times New Roman"/>
          <w:sz w:val="13"/>
        </w:rPr>
        <w:t>1)</w:t>
      </w:r>
      <w:r>
        <w:rPr>
          <w:rFonts w:ascii="Times New Roman" w:hAnsi="Times New Roman"/>
          <w:sz w:val="17"/>
        </w:rPr>
        <w:t xml:space="preserve">           </w:t>
      </w:r>
      <w:r>
        <w:rPr>
          <w:rFonts w:ascii="Times New Roman" w:hAnsi="Times New Roman"/>
          <w:sz w:val="13"/>
        </w:rPr>
        <w:t>Mid-point of estimate.</w:t>
      </w:r>
    </w:p>
    <w:p>
      <w:pPr>
        <w:pStyle w:val="TextBody"/>
        <w:spacing w:before="0" w:after="120"/>
        <w:ind w:left="400" w:right="0" w:hanging="0"/>
        <w:rPr>
          <w:rFonts w:ascii="Times New Roman" w:hAnsi="Times New Roman"/>
          <w:sz w:val="17"/>
        </w:rPr>
      </w:pPr>
      <w:r>
        <w:rPr>
          <w:rFonts w:ascii="Times New Roman" w:hAnsi="Times New Roman"/>
          <w:sz w:val="17"/>
        </w:rPr>
        <w:t>Segment profit is forecasted using the volume assumptions stated above and estimates of unit margins, field operating costs, G&amp;A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 Based on our mid-point projected segment profit per barrel for the third quarter of 2005, a 15,000 Bbl/d variance in lease gathering volumes would impact segment profit by approximately $4.2 million on an annualized basis. A $0.01 variance in the aggregate average per-barrel margin would impact segment profit by approximately $2.5 million on an annualized basis.</w:t>
      </w:r>
    </w:p>
    <w:p>
      <w:pPr>
        <w:pStyle w:val="TextBody"/>
        <w:spacing w:before="0" w:after="120"/>
        <w:ind w:left="400" w:right="0" w:hanging="400"/>
        <w:rPr>
          <w:rFonts w:ascii="Times New Roman" w:hAnsi="Times New Roman"/>
          <w:sz w:val="17"/>
        </w:rPr>
      </w:pPr>
      <w:r>
        <w:rPr>
          <w:rFonts w:ascii="Times New Roman" w:hAnsi="Times New Roman"/>
          <w:sz w:val="17"/>
        </w:rPr>
        <w:t xml:space="preserve">4.                 </w:t>
      </w:r>
      <w:r>
        <w:rPr>
          <w:rFonts w:ascii="Times New Roman" w:hAnsi="Times New Roman"/>
          <w:i/>
          <w:sz w:val="17"/>
        </w:rPr>
        <w:t xml:space="preserve">Depreciation &amp; Amortization. </w:t>
      </w:r>
      <w:r>
        <w:rPr>
          <w:rFonts w:ascii="Times New Roman" w:hAnsi="Times New Roman"/>
          <w:sz w:val="17"/>
        </w:rPr>
        <w:t> Depreciation and amortization is forecast based on our existing depreciable assets and forecasted capital expenditures. Depreciation is computed using the straight-line method over estimated useful lives, which range from 3 years (for office property and equipment) to 50 years (for certain pipelines, crude oil terminals and facilities).</w:t>
      </w:r>
    </w:p>
    <w:p>
      <w:pPr>
        <w:pStyle w:val="TextBody"/>
        <w:spacing w:before="0" w:after="120"/>
        <w:ind w:left="400" w:right="0" w:hanging="400"/>
        <w:rPr>
          <w:rFonts w:ascii="Times New Roman" w:hAnsi="Times New Roman"/>
          <w:sz w:val="17"/>
        </w:rPr>
      </w:pPr>
      <w:r>
        <w:rPr>
          <w:rFonts w:ascii="Times New Roman" w:hAnsi="Times New Roman"/>
          <w:sz w:val="17"/>
        </w:rPr>
        <w:t xml:space="preserve">5.                 </w:t>
      </w:r>
      <w:r>
        <w:rPr>
          <w:rFonts w:ascii="Times New Roman" w:hAnsi="Times New Roman"/>
          <w:i/>
          <w:sz w:val="17"/>
        </w:rPr>
        <w:t xml:space="preserve">Statement of Financial Accounting Standards No. 133 Accounting for Derivative Instruments and Hedging </w:t>
      </w:r>
      <w:r>
        <w:rPr>
          <w:rFonts w:ascii="Times New Roman" w:hAnsi="Times New Roman"/>
          <w:sz w:val="17"/>
        </w:rPr>
        <w:t>Activities</w:t>
      </w:r>
      <w:r>
        <w:rPr>
          <w:rFonts w:ascii="Times New Roman" w:hAnsi="Times New Roman"/>
          <w:i/>
          <w:sz w:val="17"/>
        </w:rPr>
        <w:t xml:space="preserve"> (SFAS 133). </w:t>
      </w:r>
      <w:r>
        <w:rPr>
          <w:rFonts w:ascii="Times New Roman" w:hAnsi="Times New Roman"/>
          <w:sz w:val="17"/>
        </w:rPr>
        <w:t xml:space="preserve"> The guidance presented above does not include assumptions or </w:t>
      </w:r>
    </w:p>
    <w:p>
      <w:pPr>
        <w:pStyle w:val="TextBody"/>
        <w:spacing w:before="480" w:after="480"/>
        <w:ind w:left="0" w:right="0" w:hanging="0"/>
        <w:rPr>
          <w:rFonts w:ascii="Times New Roman" w:hAnsi="Times New Roman"/>
          <w:sz w:val="17"/>
        </w:rPr>
      </w:pPr>
      <w:r>
        <w:rPr>
          <w:rFonts w:ascii="Times New Roman" w:hAnsi="Times New Roman"/>
          <w:sz w:val="17"/>
        </w:rPr>
        <w:t>5</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400" w:right="0" w:hanging="0"/>
        <w:rPr>
          <w:rFonts w:ascii="Times New Roman" w:hAnsi="Times New Roman"/>
          <w:sz w:val="17"/>
        </w:rPr>
      </w:pPr>
      <w:r>
        <w:rPr>
          <w:rFonts w:ascii="Times New Roman" w:hAnsi="Times New Roman"/>
          <w:sz w:val="17"/>
        </w:rPr>
        <w:t>projections with respect to potential gains or losses related to derivatives accounted for under SFAS 133, as there is no accurate way to forecast these potential gains or losses. The potential gains or losses related to these derivatives (primarily non-cash, mark-to-market adjustments) could cause actual net income to differ materially from our projections.</w:t>
      </w:r>
    </w:p>
    <w:p>
      <w:pPr>
        <w:pStyle w:val="TextBody"/>
        <w:keepNext w:val="true"/>
        <w:spacing w:before="0" w:after="240"/>
        <w:ind w:left="400" w:right="0" w:hanging="400"/>
        <w:rPr>
          <w:rFonts w:ascii="Times New Roman" w:hAnsi="Times New Roman"/>
          <w:sz w:val="17"/>
        </w:rPr>
      </w:pPr>
      <w:r>
        <w:rPr>
          <w:rFonts w:ascii="Times New Roman" w:hAnsi="Times New Roman"/>
          <w:sz w:val="17"/>
        </w:rPr>
        <w:t xml:space="preserve">6.                 </w:t>
      </w:r>
      <w:r>
        <w:rPr>
          <w:rFonts w:ascii="Times New Roman" w:hAnsi="Times New Roman"/>
          <w:i/>
          <w:sz w:val="17"/>
        </w:rPr>
        <w:t>Acquisitions and Capital Expenditures.  </w:t>
      </w:r>
      <w:r>
        <w:rPr>
          <w:rFonts w:ascii="Times New Roman" w:hAnsi="Times New Roman"/>
          <w:sz w:val="17"/>
        </w:rPr>
        <w:t>Although acquisitions constitute a key element of our growth strategy, the forecasted results and associated estimates do not include any assumptions or forecasts for any material acquisition that may be made after the date hereof. Capital expenditures for expansion projects are forecast to be approximately $190 million during calendar 2005. Following are some of the more notable projects to be undertaken in 2005 and the estimated expenditures for the year.</w:t>
      </w:r>
    </w:p>
    <w:tbl>
      <w:tblPr>
        <w:tblW w:w="8360" w:type="dxa"/>
        <w:jc w:val="left"/>
        <w:tblInd w:w="0" w:type="dxa"/>
        <w:tblCellMar>
          <w:top w:w="0" w:type="dxa"/>
          <w:left w:w="0" w:type="dxa"/>
          <w:bottom w:w="0" w:type="dxa"/>
          <w:right w:w="0" w:type="dxa"/>
        </w:tblCellMar>
      </w:tblPr>
      <w:tblGrid>
        <w:gridCol w:w="7125"/>
        <w:gridCol w:w="240"/>
        <w:gridCol w:w="300"/>
        <w:gridCol w:w="110"/>
        <w:gridCol w:w="225"/>
        <w:gridCol w:w="300"/>
        <w:gridCol w:w="60"/>
      </w:tblGrid>
      <w:tr>
        <w:trPr/>
        <w:tc>
          <w:tcPr>
            <w:tcW w:w="712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Calendar</w:t>
              <w:br/>
              <w:t>2005</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712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7125" w:type="dxa"/>
            <w:tcBorders/>
            <w:shd w:fill="CCEEFF" w:val="clear"/>
          </w:tcPr>
          <w:p>
            <w:pPr>
              <w:pStyle w:val="TableContents"/>
              <w:spacing w:before="0" w:after="0"/>
              <w:ind w:left="0" w:right="0" w:hanging="0"/>
              <w:rPr>
                <w:sz w:val="17"/>
              </w:rPr>
            </w:pPr>
            <w:r>
              <w:rPr>
                <w:rFonts w:ascii="Symbol" w:hAnsi="Symbol"/>
                <w:sz w:val="17"/>
              </w:rPr>
              <w:t>·</w:t>
            </w:r>
            <w:r>
              <w:rPr>
                <w:sz w:val="17"/>
              </w:rPr>
              <w:t>  St. James, Louisiana storage facility</w:t>
            </w:r>
          </w:p>
        </w:tc>
        <w:tc>
          <w:tcPr>
            <w:tcW w:w="240" w:type="dxa"/>
            <w:tcBorders/>
            <w:shd w:fill="CCEEFF" w:val="clear"/>
            <w:vAlign w:val="bottom"/>
          </w:tcPr>
          <w:p>
            <w:pPr>
              <w:pStyle w:val="TableContents"/>
              <w:spacing w:before="0" w:after="0"/>
              <w:ind w:left="0" w:right="0" w:hanging="0"/>
              <w:rPr/>
            </w:pPr>
            <w:r>
              <w:rPr/>
              <w:t> </w:t>
            </w:r>
          </w:p>
        </w:tc>
        <w:tc>
          <w:tcPr>
            <w:tcW w:w="3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30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7125" w:type="dxa"/>
            <w:tcBorders/>
            <w:shd w:fill="auto" w:val="clear"/>
          </w:tcPr>
          <w:p>
            <w:pPr>
              <w:pStyle w:val="TableContents"/>
              <w:spacing w:before="120" w:after="120"/>
              <w:ind w:left="0" w:right="0" w:hanging="0"/>
              <w:rPr>
                <w:sz w:val="17"/>
              </w:rPr>
            </w:pPr>
            <w:r>
              <w:rPr>
                <w:rFonts w:ascii="Symbol" w:hAnsi="Symbol"/>
                <w:sz w:val="17"/>
              </w:rPr>
              <w:t>·</w:t>
            </w:r>
            <w:r>
              <w:rPr>
                <w:sz w:val="17"/>
              </w:rPr>
              <w:t>  Trenton pipeline expansion</w:t>
            </w:r>
          </w:p>
        </w:tc>
        <w:tc>
          <w:tcPr>
            <w:tcW w:w="240" w:type="dxa"/>
            <w:tcBorders/>
            <w:shd w:fill="auto" w:val="clear"/>
            <w:vAlign w:val="bottom"/>
          </w:tcPr>
          <w:p>
            <w:pPr>
              <w:pStyle w:val="TableContents"/>
              <w:spacing w:before="120" w:after="120"/>
              <w:ind w:left="0" w:right="0" w:hanging="0"/>
              <w:rPr/>
            </w:pPr>
            <w:r>
              <w:rPr/>
              <w:t> </w:t>
            </w:r>
          </w:p>
        </w:tc>
        <w:tc>
          <w:tcPr>
            <w:tcW w:w="300" w:type="dxa"/>
            <w:tcBorders/>
            <w:shd w:fill="auto" w:val="clear"/>
            <w:vAlign w:val="bottom"/>
          </w:tcPr>
          <w:p>
            <w:pPr>
              <w:pStyle w:val="TableContents"/>
              <w:spacing w:before="120" w:after="120"/>
              <w:ind w:left="0" w:right="0" w:hanging="0"/>
              <w:rPr/>
            </w:pPr>
            <w:r>
              <w:rPr/>
              <w:t> </w:t>
            </w:r>
          </w:p>
        </w:tc>
        <w:tc>
          <w:tcPr>
            <w:tcW w:w="110" w:type="dxa"/>
            <w:tcBorders/>
            <w:shd w:fill="auto"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34</w:t>
            </w:r>
          </w:p>
        </w:tc>
        <w:tc>
          <w:tcPr>
            <w:tcW w:w="30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120" w:after="120"/>
              <w:ind w:left="0" w:right="0" w:hanging="0"/>
              <w:rPr/>
            </w:pPr>
            <w:r>
              <w:rPr/>
              <w:t> </w:t>
            </w:r>
          </w:p>
        </w:tc>
      </w:tr>
      <w:tr>
        <w:trPr/>
        <w:tc>
          <w:tcPr>
            <w:tcW w:w="7125" w:type="dxa"/>
            <w:tcBorders/>
            <w:shd w:fill="CCEEFF" w:val="clear"/>
          </w:tcPr>
          <w:p>
            <w:pPr>
              <w:pStyle w:val="TableContents"/>
              <w:spacing w:before="120" w:after="120"/>
              <w:ind w:left="0" w:right="0" w:hanging="0"/>
              <w:rPr>
                <w:sz w:val="17"/>
              </w:rPr>
            </w:pPr>
            <w:r>
              <w:rPr>
                <w:rFonts w:ascii="Symbol" w:hAnsi="Symbol"/>
                <w:sz w:val="17"/>
              </w:rPr>
              <w:t>·</w:t>
            </w:r>
            <w:r>
              <w:rPr>
                <w:sz w:val="17"/>
              </w:rPr>
              <w:t>  Capital projects associated with the Link acquisition</w:t>
            </w:r>
          </w:p>
        </w:tc>
        <w:tc>
          <w:tcPr>
            <w:tcW w:w="240" w:type="dxa"/>
            <w:tcBorders/>
            <w:shd w:fill="CCEEFF" w:val="clear"/>
            <w:vAlign w:val="bottom"/>
          </w:tcPr>
          <w:p>
            <w:pPr>
              <w:pStyle w:val="TableContents"/>
              <w:spacing w:before="120" w:after="120"/>
              <w:ind w:left="0" w:right="0" w:hanging="0"/>
              <w:rPr/>
            </w:pPr>
            <w:r>
              <w:rPr/>
              <w:t> </w:t>
            </w:r>
          </w:p>
        </w:tc>
        <w:tc>
          <w:tcPr>
            <w:tcW w:w="300" w:type="dxa"/>
            <w:tcBorders/>
            <w:shd w:fill="CCEEFF" w:val="clear"/>
            <w:vAlign w:val="bottom"/>
          </w:tcPr>
          <w:p>
            <w:pPr>
              <w:pStyle w:val="TableContents"/>
              <w:spacing w:before="120" w:after="120"/>
              <w:ind w:left="0" w:right="0" w:hanging="0"/>
              <w:rPr/>
            </w:pPr>
            <w:r>
              <w:rPr/>
              <w:t> </w:t>
            </w:r>
          </w:p>
        </w:tc>
        <w:tc>
          <w:tcPr>
            <w:tcW w:w="110" w:type="dxa"/>
            <w:tcBorders/>
            <w:shd w:fill="CCEEFF"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18</w:t>
            </w:r>
          </w:p>
        </w:tc>
        <w:tc>
          <w:tcPr>
            <w:tcW w:w="30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r>
      <w:tr>
        <w:trPr/>
        <w:tc>
          <w:tcPr>
            <w:tcW w:w="7125" w:type="dxa"/>
            <w:tcBorders/>
            <w:shd w:fill="auto" w:val="clear"/>
          </w:tcPr>
          <w:p>
            <w:pPr>
              <w:pStyle w:val="TableContents"/>
              <w:spacing w:before="120" w:after="120"/>
              <w:ind w:left="0" w:right="0" w:hanging="0"/>
              <w:rPr>
                <w:sz w:val="17"/>
              </w:rPr>
            </w:pPr>
            <w:r>
              <w:rPr>
                <w:rFonts w:ascii="Symbol" w:hAnsi="Symbol"/>
                <w:sz w:val="17"/>
              </w:rPr>
              <w:t>·</w:t>
            </w:r>
            <w:r>
              <w:rPr>
                <w:sz w:val="17"/>
              </w:rPr>
              <w:t>  NW Alberta fractionator</w:t>
            </w:r>
          </w:p>
        </w:tc>
        <w:tc>
          <w:tcPr>
            <w:tcW w:w="240" w:type="dxa"/>
            <w:tcBorders/>
            <w:shd w:fill="auto" w:val="clear"/>
            <w:vAlign w:val="bottom"/>
          </w:tcPr>
          <w:p>
            <w:pPr>
              <w:pStyle w:val="TableContents"/>
              <w:spacing w:before="120" w:after="120"/>
              <w:ind w:left="0" w:right="0" w:hanging="0"/>
              <w:rPr/>
            </w:pPr>
            <w:r>
              <w:rPr/>
              <w:t> </w:t>
            </w:r>
          </w:p>
        </w:tc>
        <w:tc>
          <w:tcPr>
            <w:tcW w:w="300" w:type="dxa"/>
            <w:tcBorders/>
            <w:shd w:fill="auto" w:val="clear"/>
            <w:vAlign w:val="bottom"/>
          </w:tcPr>
          <w:p>
            <w:pPr>
              <w:pStyle w:val="TableContents"/>
              <w:spacing w:before="120" w:after="120"/>
              <w:ind w:left="0" w:right="0" w:hanging="0"/>
              <w:rPr/>
            </w:pPr>
            <w:r>
              <w:rPr/>
              <w:t> </w:t>
            </w:r>
          </w:p>
        </w:tc>
        <w:tc>
          <w:tcPr>
            <w:tcW w:w="110" w:type="dxa"/>
            <w:tcBorders/>
            <w:shd w:fill="auto"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16</w:t>
            </w:r>
          </w:p>
        </w:tc>
        <w:tc>
          <w:tcPr>
            <w:tcW w:w="30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120" w:after="120"/>
              <w:ind w:left="0" w:right="0" w:hanging="0"/>
              <w:rPr/>
            </w:pPr>
            <w:r>
              <w:rPr/>
              <w:t> </w:t>
            </w:r>
          </w:p>
        </w:tc>
      </w:tr>
      <w:tr>
        <w:trPr/>
        <w:tc>
          <w:tcPr>
            <w:tcW w:w="7125" w:type="dxa"/>
            <w:tcBorders/>
            <w:shd w:fill="CCEEFF" w:val="clear"/>
          </w:tcPr>
          <w:p>
            <w:pPr>
              <w:pStyle w:val="TableContents"/>
              <w:spacing w:before="120" w:after="120"/>
              <w:ind w:left="0" w:right="0" w:hanging="0"/>
              <w:rPr>
                <w:sz w:val="17"/>
              </w:rPr>
            </w:pPr>
            <w:r>
              <w:rPr>
                <w:rFonts w:ascii="Symbol" w:hAnsi="Symbol"/>
                <w:sz w:val="17"/>
              </w:rPr>
              <w:t>·</w:t>
            </w:r>
            <w:r>
              <w:rPr>
                <w:sz w:val="17"/>
              </w:rPr>
              <w:t>  Cushing Phase V expansion</w:t>
            </w:r>
          </w:p>
        </w:tc>
        <w:tc>
          <w:tcPr>
            <w:tcW w:w="240" w:type="dxa"/>
            <w:tcBorders/>
            <w:shd w:fill="CCEEFF" w:val="clear"/>
            <w:vAlign w:val="bottom"/>
          </w:tcPr>
          <w:p>
            <w:pPr>
              <w:pStyle w:val="TableContents"/>
              <w:spacing w:before="120" w:after="120"/>
              <w:ind w:left="0" w:right="0" w:hanging="0"/>
              <w:rPr/>
            </w:pPr>
            <w:r>
              <w:rPr/>
              <w:t> </w:t>
            </w:r>
          </w:p>
        </w:tc>
        <w:tc>
          <w:tcPr>
            <w:tcW w:w="300" w:type="dxa"/>
            <w:tcBorders/>
            <w:shd w:fill="CCEEFF" w:val="clear"/>
            <w:vAlign w:val="bottom"/>
          </w:tcPr>
          <w:p>
            <w:pPr>
              <w:pStyle w:val="TableContents"/>
              <w:spacing w:before="120" w:after="120"/>
              <w:ind w:left="0" w:right="0" w:hanging="0"/>
              <w:rPr/>
            </w:pPr>
            <w:r>
              <w:rPr/>
              <w:t> </w:t>
            </w:r>
          </w:p>
        </w:tc>
        <w:tc>
          <w:tcPr>
            <w:tcW w:w="110" w:type="dxa"/>
            <w:tcBorders/>
            <w:shd w:fill="CCEEFF"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13</w:t>
            </w:r>
          </w:p>
        </w:tc>
        <w:tc>
          <w:tcPr>
            <w:tcW w:w="30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r>
      <w:tr>
        <w:trPr/>
        <w:tc>
          <w:tcPr>
            <w:tcW w:w="7125" w:type="dxa"/>
            <w:tcBorders/>
            <w:shd w:fill="auto" w:val="clear"/>
          </w:tcPr>
          <w:p>
            <w:pPr>
              <w:pStyle w:val="TableContents"/>
              <w:spacing w:before="120" w:after="120"/>
              <w:ind w:left="0" w:right="0" w:hanging="0"/>
              <w:rPr>
                <w:sz w:val="17"/>
              </w:rPr>
            </w:pPr>
            <w:r>
              <w:rPr>
                <w:rFonts w:ascii="Symbol" w:hAnsi="Symbol"/>
                <w:sz w:val="17"/>
              </w:rPr>
              <w:t>·</w:t>
            </w:r>
            <w:r>
              <w:rPr>
                <w:sz w:val="17"/>
              </w:rPr>
              <w:t>  Kerrobert Tank expansion</w:t>
            </w:r>
          </w:p>
        </w:tc>
        <w:tc>
          <w:tcPr>
            <w:tcW w:w="240" w:type="dxa"/>
            <w:tcBorders/>
            <w:shd w:fill="auto" w:val="clear"/>
            <w:vAlign w:val="bottom"/>
          </w:tcPr>
          <w:p>
            <w:pPr>
              <w:pStyle w:val="TableContents"/>
              <w:spacing w:before="120" w:after="120"/>
              <w:ind w:left="0" w:right="0" w:hanging="0"/>
              <w:rPr/>
            </w:pPr>
            <w:r>
              <w:rPr/>
              <w:t> </w:t>
            </w:r>
          </w:p>
        </w:tc>
        <w:tc>
          <w:tcPr>
            <w:tcW w:w="300" w:type="dxa"/>
            <w:tcBorders/>
            <w:shd w:fill="auto" w:val="clear"/>
            <w:vAlign w:val="bottom"/>
          </w:tcPr>
          <w:p>
            <w:pPr>
              <w:pStyle w:val="TableContents"/>
              <w:spacing w:before="120" w:after="120"/>
              <w:ind w:left="0" w:right="0" w:hanging="0"/>
              <w:rPr/>
            </w:pPr>
            <w:r>
              <w:rPr/>
              <w:t> </w:t>
            </w:r>
          </w:p>
        </w:tc>
        <w:tc>
          <w:tcPr>
            <w:tcW w:w="110" w:type="dxa"/>
            <w:tcBorders/>
            <w:shd w:fill="auto"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9</w:t>
            </w:r>
          </w:p>
        </w:tc>
        <w:tc>
          <w:tcPr>
            <w:tcW w:w="30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120" w:after="120"/>
              <w:ind w:left="0" w:right="0" w:hanging="0"/>
              <w:rPr/>
            </w:pPr>
            <w:r>
              <w:rPr/>
              <w:t> </w:t>
            </w:r>
          </w:p>
        </w:tc>
      </w:tr>
      <w:tr>
        <w:trPr/>
        <w:tc>
          <w:tcPr>
            <w:tcW w:w="7125" w:type="dxa"/>
            <w:tcBorders/>
            <w:shd w:fill="CCEEFF" w:val="clear"/>
          </w:tcPr>
          <w:p>
            <w:pPr>
              <w:pStyle w:val="TableContents"/>
              <w:spacing w:before="120" w:after="120"/>
              <w:ind w:left="0" w:right="0" w:hanging="0"/>
              <w:rPr>
                <w:sz w:val="17"/>
              </w:rPr>
            </w:pPr>
            <w:r>
              <w:rPr>
                <w:rFonts w:ascii="Symbol" w:hAnsi="Symbol"/>
                <w:sz w:val="17"/>
              </w:rPr>
              <w:t>·</w:t>
            </w:r>
            <w:r>
              <w:rPr>
                <w:sz w:val="17"/>
              </w:rPr>
              <w:t>  Shell South Louisiana Asset Acquisition</w:t>
            </w:r>
          </w:p>
        </w:tc>
        <w:tc>
          <w:tcPr>
            <w:tcW w:w="240" w:type="dxa"/>
            <w:tcBorders/>
            <w:shd w:fill="CCEEFF" w:val="clear"/>
            <w:vAlign w:val="bottom"/>
          </w:tcPr>
          <w:p>
            <w:pPr>
              <w:pStyle w:val="TableContents"/>
              <w:spacing w:before="120" w:after="120"/>
              <w:ind w:left="0" w:right="0" w:hanging="0"/>
              <w:rPr/>
            </w:pPr>
            <w:r>
              <w:rPr/>
              <w:t> </w:t>
            </w:r>
          </w:p>
        </w:tc>
        <w:tc>
          <w:tcPr>
            <w:tcW w:w="300" w:type="dxa"/>
            <w:tcBorders/>
            <w:shd w:fill="CCEEFF" w:val="clear"/>
            <w:vAlign w:val="bottom"/>
          </w:tcPr>
          <w:p>
            <w:pPr>
              <w:pStyle w:val="TableContents"/>
              <w:spacing w:before="120" w:after="120"/>
              <w:ind w:left="0" w:right="0" w:hanging="0"/>
              <w:rPr/>
            </w:pPr>
            <w:r>
              <w:rPr/>
              <w:t> </w:t>
            </w:r>
          </w:p>
        </w:tc>
        <w:tc>
          <w:tcPr>
            <w:tcW w:w="110" w:type="dxa"/>
            <w:tcBorders/>
            <w:shd w:fill="CCEEFF" w:val="clear"/>
            <w:vAlign w:val="bottom"/>
          </w:tcPr>
          <w:p>
            <w:pPr>
              <w:pStyle w:val="TableContents"/>
              <w:spacing w:before="120" w:after="120"/>
              <w:ind w:left="0" w:right="0" w:hanging="0"/>
              <w:jc w:val="left"/>
              <w:rPr>
                <w:rFonts w:ascii="Times New Roman" w:hAnsi="Times New Roman"/>
                <w:sz w:val="17"/>
              </w:rPr>
            </w:pPr>
            <w:r>
              <w:rPr>
                <w:rFonts w:ascii="Times New Roman" w:hAnsi="Times New Roman"/>
                <w:sz w:val="17"/>
              </w:rPr>
              <w:t>$</w:t>
            </w:r>
          </w:p>
        </w:tc>
        <w:tc>
          <w:tcPr>
            <w:tcW w:w="225" w:type="dxa"/>
            <w:tcBorders/>
            <w:shd w:fill="CCEEFF" w:val="clear"/>
            <w:vAlign w:val="bottom"/>
          </w:tcPr>
          <w:p>
            <w:pPr>
              <w:pStyle w:val="TableContents"/>
              <w:spacing w:before="120" w:after="120"/>
              <w:ind w:left="0" w:right="0" w:hanging="0"/>
              <w:rPr>
                <w:rFonts w:ascii="Times New Roman" w:hAnsi="Times New Roman"/>
                <w:sz w:val="17"/>
              </w:rPr>
            </w:pPr>
            <w:r>
              <w:rPr>
                <w:rFonts w:ascii="Times New Roman" w:hAnsi="Times New Roman"/>
                <w:sz w:val="17"/>
              </w:rPr>
              <w:t>8</w:t>
            </w:r>
          </w:p>
        </w:tc>
        <w:tc>
          <w:tcPr>
            <w:tcW w:w="30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r>
    </w:tbl>
    <w:p>
      <w:pPr>
        <w:pStyle w:val="TextBody"/>
        <w:spacing w:lineRule="atLeast" w:line="141" w:before="0" w:after="240"/>
        <w:ind w:left="0" w:right="0" w:hanging="0"/>
        <w:rPr/>
      </w:pPr>
      <w:r>
        <w:rPr/>
        <w:t> </w:t>
      </w:r>
    </w:p>
    <w:p>
      <w:pPr>
        <w:pStyle w:val="TextBody"/>
        <w:spacing w:before="0" w:after="120"/>
        <w:ind w:left="400" w:right="0" w:hanging="0"/>
        <w:rPr>
          <w:rFonts w:ascii="Times New Roman" w:hAnsi="Times New Roman"/>
          <w:sz w:val="17"/>
        </w:rPr>
      </w:pPr>
      <w:r>
        <w:rPr>
          <w:rFonts w:ascii="Times New Roman" w:hAnsi="Times New Roman"/>
          <w:sz w:val="17"/>
        </w:rPr>
        <w:t>During the six months ended June 30, 2005, approximately $73 million of the forecasted $190 million of expansion capital was incurred in accordance with the project commitments.</w:t>
      </w:r>
    </w:p>
    <w:p>
      <w:pPr>
        <w:pStyle w:val="TextBody"/>
        <w:spacing w:before="0" w:after="120"/>
        <w:ind w:left="400" w:right="0" w:hanging="0"/>
        <w:rPr>
          <w:rFonts w:ascii="Times New Roman" w:hAnsi="Times New Roman"/>
          <w:sz w:val="17"/>
        </w:rPr>
      </w:pPr>
      <w:r>
        <w:rPr>
          <w:rFonts w:ascii="Times New Roman" w:hAnsi="Times New Roman"/>
          <w:sz w:val="17"/>
        </w:rPr>
        <w:t>Capital expenditures for maintenance projects are forecast to be approximately $19 million during 2005, of which approximately $8 million was incurred in the first six months.</w:t>
      </w:r>
    </w:p>
    <w:p>
      <w:pPr>
        <w:pStyle w:val="TextBody"/>
        <w:spacing w:before="0" w:after="120"/>
        <w:ind w:left="400" w:right="0" w:hanging="400"/>
        <w:rPr>
          <w:rFonts w:ascii="Times New Roman" w:hAnsi="Times New Roman"/>
          <w:sz w:val="17"/>
        </w:rPr>
      </w:pPr>
      <w:r>
        <w:rPr>
          <w:rFonts w:ascii="Times New Roman" w:hAnsi="Times New Roman"/>
          <w:sz w:val="17"/>
        </w:rPr>
        <w:t xml:space="preserve">7.                 </w:t>
      </w:r>
      <w:r>
        <w:rPr>
          <w:rFonts w:ascii="Times New Roman" w:hAnsi="Times New Roman"/>
          <w:i/>
          <w:sz w:val="17"/>
        </w:rPr>
        <w:t xml:space="preserve">Capital Structure. </w:t>
      </w:r>
      <w:r>
        <w:rPr>
          <w:rFonts w:ascii="Times New Roman" w:hAnsi="Times New Roman"/>
          <w:sz w:val="17"/>
        </w:rPr>
        <w:t> The guidance is based on our capital structure as of June 30, 2005.</w:t>
      </w:r>
    </w:p>
    <w:p>
      <w:pPr>
        <w:pStyle w:val="TextBody"/>
        <w:spacing w:before="0" w:after="120"/>
        <w:ind w:left="400" w:right="0" w:hanging="400"/>
        <w:rPr>
          <w:rFonts w:ascii="Times New Roman" w:hAnsi="Times New Roman"/>
          <w:sz w:val="17"/>
        </w:rPr>
      </w:pPr>
      <w:r>
        <w:rPr>
          <w:rFonts w:ascii="Times New Roman" w:hAnsi="Times New Roman"/>
          <w:sz w:val="17"/>
        </w:rPr>
        <w:t xml:space="preserve">8.                 </w:t>
      </w:r>
      <w:r>
        <w:rPr>
          <w:rFonts w:ascii="Times New Roman" w:hAnsi="Times New Roman"/>
          <w:i/>
          <w:sz w:val="17"/>
        </w:rPr>
        <w:t xml:space="preserve">Interest Expense. </w:t>
      </w:r>
      <w:r>
        <w:rPr>
          <w:rFonts w:ascii="Times New Roman" w:hAnsi="Times New Roman"/>
          <w:sz w:val="17"/>
        </w:rPr>
        <w:t> Debt balances are projected based on estimated cash flows, current distribution rates, capital expenditures for maintenance and expansion projects, expected timing of collections and payments, and forecast levels of inventory and other working capital sources and uses.</w:t>
      </w:r>
    </w:p>
    <w:p>
      <w:pPr>
        <w:pStyle w:val="TextBody"/>
        <w:spacing w:before="0" w:after="120"/>
        <w:ind w:left="400" w:right="0" w:hanging="0"/>
        <w:rPr>
          <w:rFonts w:ascii="Times New Roman" w:hAnsi="Times New Roman"/>
          <w:sz w:val="17"/>
        </w:rPr>
      </w:pPr>
      <w:r>
        <w:rPr>
          <w:rFonts w:ascii="Times New Roman" w:hAnsi="Times New Roman"/>
          <w:sz w:val="17"/>
        </w:rPr>
        <w:t>Calendar 2005 interest expense is expected to be between $62.6 million and $61.6 million, assuming an average long-term debt balance of approximately $1.0 billion and an all-in average rate of approximately 6.3%. Included in the effective cost of debt are not only current cash payments, but also commitment fees, amortization of long-term debt discounts, and deferred amounts associated with terminated interest rate hedges. While interest on floating rate debt is based on a forward one-year LIBOR index curve of approximately 4.1%, over 90% of our projected average long-term debt balance has an average fixed interest rate of 6.0%. The amortization of deferred amounts associated with terminated interest rate hedges results in a non-cash component to interest expense of approximately $1.6 million per year (approximately $400,000 per quarter). Approximately 70% of the non-cash interest expense amounts will be completely amortized by the fourth quarter of 2006. The remainder will be amortized over the next eleven years.</w:t>
      </w:r>
    </w:p>
    <w:p>
      <w:pPr>
        <w:pStyle w:val="TextBody"/>
        <w:spacing w:before="0" w:after="120"/>
        <w:ind w:left="400" w:right="0" w:hanging="0"/>
        <w:rPr>
          <w:rFonts w:ascii="Times New Roman" w:hAnsi="Times New Roman"/>
          <w:sz w:val="17"/>
        </w:rPr>
      </w:pPr>
      <w:r>
        <w:rPr>
          <w:rFonts w:ascii="Times New Roman" w:hAnsi="Times New Roman"/>
          <w:sz w:val="17"/>
        </w:rPr>
        <w:t>Interest expense does not include interest on borrowings for contango inventory. We treat these costs as carrying costs of the crude and reflect it as part of the purchase price of the crude.</w:t>
      </w:r>
    </w:p>
    <w:p>
      <w:pPr>
        <w:pStyle w:val="TextBody"/>
        <w:spacing w:before="0" w:after="120"/>
        <w:ind w:left="400" w:right="0" w:hanging="0"/>
        <w:rPr>
          <w:rFonts w:ascii="Times New Roman" w:hAnsi="Times New Roman"/>
          <w:sz w:val="17"/>
        </w:rPr>
      </w:pPr>
      <w:r>
        <w:rPr>
          <w:rFonts w:ascii="Times New Roman" w:hAnsi="Times New Roman"/>
          <w:sz w:val="17"/>
        </w:rPr>
        <w:t>Long-term debt at December 31, 2005 is projected to be approximately $1.02 billion.</w:t>
      </w:r>
    </w:p>
    <w:p>
      <w:pPr>
        <w:pStyle w:val="TextBody"/>
        <w:spacing w:before="480" w:after="480"/>
        <w:ind w:left="0" w:right="0" w:hanging="0"/>
        <w:rPr>
          <w:rFonts w:ascii="Times New Roman" w:hAnsi="Times New Roman"/>
          <w:sz w:val="17"/>
        </w:rPr>
      </w:pPr>
      <w:r>
        <w:rPr>
          <w:rFonts w:ascii="Times New Roman" w:hAnsi="Times New Roman"/>
          <w:sz w:val="17"/>
        </w:rPr>
        <w:t>6</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400" w:right="0" w:hanging="400"/>
        <w:rPr>
          <w:rFonts w:ascii="Times New Roman" w:hAnsi="Times New Roman"/>
          <w:sz w:val="17"/>
        </w:rPr>
      </w:pPr>
      <w:r>
        <w:rPr>
          <w:rFonts w:ascii="Times New Roman" w:hAnsi="Times New Roman"/>
          <w:sz w:val="17"/>
        </w:rPr>
        <w:t xml:space="preserve">9.                 </w:t>
      </w:r>
      <w:r>
        <w:rPr>
          <w:rFonts w:ascii="Times New Roman" w:hAnsi="Times New Roman"/>
          <w:i/>
          <w:sz w:val="17"/>
        </w:rPr>
        <w:t xml:space="preserve">Net Income per Unit. </w:t>
      </w:r>
      <w:r>
        <w:rPr>
          <w:rFonts w:ascii="Times New Roman" w:hAnsi="Times New Roman"/>
          <w:sz w:val="17"/>
        </w:rPr>
        <w:t xml:space="preserve"> Basic net income per limited partner unit is calculated by dividing net income allocated to limited partners by the basic weighted average units outstanding during the period. Under </w:t>
      </w:r>
      <w:r>
        <w:rPr>
          <w:rFonts w:ascii="Times New Roman" w:hAnsi="Times New Roman"/>
          <w:i/>
          <w:sz w:val="17"/>
        </w:rPr>
        <w:t>Emerging Issues Task Force Issue 03-06: Participating Securities and the Two-Class Method under FASB Statement No. 128</w:t>
      </w:r>
      <w:r>
        <w:rPr>
          <w:rFonts w:ascii="Times New Roman" w:hAnsi="Times New Roman"/>
          <w:sz w:val="17"/>
        </w:rPr>
        <w:t xml:space="preserve"> (EITF 03-06), when the Partnerships aggregate net income exceeds the aggregate distribution made during such period, earnings per limited partner unit are calculated as if all of the earnings for the period were distributed, regardless of the pro forma nature of the allocation and whether those earnings would actually be distributed during a particular period from an economic or practical perspective. Although EITF 03-06 does not impact overall net income or other financial results of the Partnership, for periods in which aggregate net income exceeds the aggregate distributions for such period, earnings per limited partner unit will be reduced. The following table reconciles net income to limited partners both before and after EITF 03-06.</w:t>
      </w:r>
    </w:p>
    <w:tbl>
      <w:tblPr>
        <w:tblW w:w="9135" w:type="dxa"/>
        <w:jc w:val="left"/>
        <w:tblInd w:w="0" w:type="dxa"/>
        <w:tblCellMar>
          <w:top w:w="0" w:type="dxa"/>
          <w:left w:w="0" w:type="dxa"/>
          <w:bottom w:w="0" w:type="dxa"/>
          <w:right w:w="0" w:type="dxa"/>
        </w:tblCellMar>
      </w:tblPr>
      <w:tblGrid>
        <w:gridCol w:w="2640"/>
        <w:gridCol w:w="120"/>
        <w:gridCol w:w="165"/>
        <w:gridCol w:w="95"/>
        <w:gridCol w:w="315"/>
        <w:gridCol w:w="165"/>
        <w:gridCol w:w="315"/>
        <w:gridCol w:w="195"/>
        <w:gridCol w:w="95"/>
        <w:gridCol w:w="315"/>
        <w:gridCol w:w="195"/>
        <w:gridCol w:w="360"/>
        <w:gridCol w:w="165"/>
        <w:gridCol w:w="95"/>
        <w:gridCol w:w="315"/>
        <w:gridCol w:w="165"/>
        <w:gridCol w:w="315"/>
        <w:gridCol w:w="195"/>
        <w:gridCol w:w="95"/>
        <w:gridCol w:w="315"/>
        <w:gridCol w:w="195"/>
        <w:gridCol w:w="360"/>
        <w:gridCol w:w="120"/>
        <w:gridCol w:w="95"/>
        <w:gridCol w:w="390"/>
        <w:gridCol w:w="120"/>
        <w:gridCol w:w="315"/>
        <w:gridCol w:w="150"/>
        <w:gridCol w:w="95"/>
        <w:gridCol w:w="390"/>
        <w:gridCol w:w="150"/>
        <w:gridCol w:w="120"/>
      </w:tblGrid>
      <w:tr>
        <w:trPr/>
        <w:tc>
          <w:tcPr>
            <w:tcW w:w="2640" w:type="dxa"/>
            <w:tcBorders/>
            <w:shd w:fill="auto" w:val="clear"/>
            <w:vAlign w:val="bottom"/>
          </w:tcPr>
          <w:p>
            <w:pPr>
              <w:pStyle w:val="TableContents"/>
              <w:spacing w:lineRule="atLeast" w:line="160" w:before="0" w:after="0"/>
              <w:ind w:left="0" w:right="0" w:hanging="0"/>
              <w:rPr/>
            </w:pPr>
            <w:r>
              <w:rPr/>
              <w:t> </w:t>
            </w:r>
          </w:p>
        </w:tc>
        <w:tc>
          <w:tcPr>
            <w:tcW w:w="120" w:type="dxa"/>
            <w:tcBorders/>
            <w:shd w:fill="auto" w:val="clear"/>
            <w:vAlign w:val="bottom"/>
          </w:tcPr>
          <w:p>
            <w:pPr>
              <w:pStyle w:val="TableContents"/>
              <w:spacing w:lineRule="atLeast" w:line="160" w:before="0" w:after="0"/>
              <w:ind w:left="0" w:right="0" w:hanging="0"/>
              <w:rPr/>
            </w:pPr>
            <w:r>
              <w:rPr/>
              <w:t> </w:t>
            </w:r>
          </w:p>
        </w:tc>
        <w:tc>
          <w:tcPr>
            <w:tcW w:w="6255" w:type="dxa"/>
            <w:gridSpan w:val="2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Guidance (in millions)</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2640" w:type="dxa"/>
            <w:tcBorders/>
            <w:shd w:fill="auto" w:val="clear"/>
            <w:vAlign w:val="bottom"/>
          </w:tcPr>
          <w:p>
            <w:pPr>
              <w:pStyle w:val="TableContents"/>
              <w:spacing w:lineRule="atLeast" w:line="160" w:before="0" w:after="0"/>
              <w:ind w:left="0" w:right="0" w:hanging="0"/>
              <w:rPr/>
            </w:pPr>
            <w:r>
              <w:rPr/>
              <w:t> </w:t>
            </w:r>
          </w:p>
        </w:tc>
        <w:tc>
          <w:tcPr>
            <w:tcW w:w="120" w:type="dxa"/>
            <w:tcBorders/>
            <w:shd w:fill="auto" w:val="clear"/>
            <w:vAlign w:val="bottom"/>
          </w:tcPr>
          <w:p>
            <w:pPr>
              <w:pStyle w:val="TableContents"/>
              <w:spacing w:lineRule="atLeast" w:line="160" w:before="0" w:after="0"/>
              <w:ind w:left="0" w:right="0" w:hanging="0"/>
              <w:rPr/>
            </w:pPr>
            <w:r>
              <w:rPr/>
              <w:t> </w:t>
            </w:r>
          </w:p>
        </w:tc>
        <w:tc>
          <w:tcPr>
            <w:tcW w:w="1855"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360" w:type="dxa"/>
            <w:tcBorders/>
            <w:shd w:fill="auto" w:val="clear"/>
            <w:vAlign w:val="bottom"/>
          </w:tcPr>
          <w:p>
            <w:pPr>
              <w:pStyle w:val="TableContents"/>
              <w:spacing w:lineRule="atLeast" w:line="160" w:before="0" w:after="0"/>
              <w:ind w:left="0" w:right="0" w:hanging="0"/>
              <w:rPr/>
            </w:pPr>
            <w:r>
              <w:rPr/>
              <w:t> </w:t>
            </w:r>
          </w:p>
        </w:tc>
        <w:tc>
          <w:tcPr>
            <w:tcW w:w="1855"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360" w:type="dxa"/>
            <w:tcBorders/>
            <w:shd w:fill="auto" w:val="clear"/>
            <w:vAlign w:val="bottom"/>
          </w:tcPr>
          <w:p>
            <w:pPr>
              <w:pStyle w:val="TableContents"/>
              <w:spacing w:lineRule="atLeast" w:line="160" w:before="0" w:after="0"/>
              <w:ind w:left="0" w:right="0" w:hanging="0"/>
              <w:rPr/>
            </w:pPr>
            <w:r>
              <w:rPr/>
              <w:t> </w:t>
            </w:r>
          </w:p>
        </w:tc>
        <w:tc>
          <w:tcPr>
            <w:tcW w:w="1825"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Twelve Months Ended</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2640" w:type="dxa"/>
            <w:tcBorders/>
            <w:shd w:fill="auto" w:val="clear"/>
            <w:vAlign w:val="bottom"/>
          </w:tcPr>
          <w:p>
            <w:pPr>
              <w:pStyle w:val="TableContents"/>
              <w:spacing w:lineRule="atLeast" w:line="160" w:before="0" w:after="0"/>
              <w:ind w:left="0" w:right="0" w:hanging="0"/>
              <w:rPr/>
            </w:pPr>
            <w:r>
              <w:rPr/>
              <w:t> </w:t>
            </w:r>
          </w:p>
        </w:tc>
        <w:tc>
          <w:tcPr>
            <w:tcW w:w="120" w:type="dxa"/>
            <w:tcBorders/>
            <w:shd w:fill="auto" w:val="clear"/>
            <w:vAlign w:val="bottom"/>
          </w:tcPr>
          <w:p>
            <w:pPr>
              <w:pStyle w:val="TableContents"/>
              <w:spacing w:lineRule="atLeast" w:line="160" w:before="0" w:after="0"/>
              <w:ind w:left="0" w:right="0" w:hanging="0"/>
              <w:rPr/>
            </w:pPr>
            <w:r>
              <w:rPr/>
              <w:t> </w:t>
            </w:r>
          </w:p>
        </w:tc>
        <w:tc>
          <w:tcPr>
            <w:tcW w:w="1855"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September 30, 2005</w:t>
            </w:r>
          </w:p>
        </w:tc>
        <w:tc>
          <w:tcPr>
            <w:tcW w:w="360" w:type="dxa"/>
            <w:tcBorders/>
            <w:shd w:fill="auto" w:val="clear"/>
            <w:vAlign w:val="bottom"/>
          </w:tcPr>
          <w:p>
            <w:pPr>
              <w:pStyle w:val="TableContents"/>
              <w:spacing w:lineRule="atLeast" w:line="160" w:before="0" w:after="0"/>
              <w:ind w:left="0" w:right="0" w:hanging="0"/>
              <w:rPr/>
            </w:pPr>
            <w:r>
              <w:rPr/>
              <w:t> </w:t>
            </w:r>
          </w:p>
        </w:tc>
        <w:tc>
          <w:tcPr>
            <w:tcW w:w="1855"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 2005</w:t>
            </w:r>
          </w:p>
        </w:tc>
        <w:tc>
          <w:tcPr>
            <w:tcW w:w="360" w:type="dxa"/>
            <w:tcBorders/>
            <w:shd w:fill="auto" w:val="clear"/>
            <w:vAlign w:val="bottom"/>
          </w:tcPr>
          <w:p>
            <w:pPr>
              <w:pStyle w:val="TableContents"/>
              <w:spacing w:lineRule="atLeast" w:line="160" w:before="0" w:after="0"/>
              <w:ind w:left="0" w:right="0" w:hanging="0"/>
              <w:rPr/>
            </w:pPr>
            <w:r>
              <w:rPr/>
              <w:t> </w:t>
            </w:r>
          </w:p>
        </w:tc>
        <w:tc>
          <w:tcPr>
            <w:tcW w:w="1825" w:type="dxa"/>
            <w:gridSpan w:val="9"/>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 2005</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2640" w:type="dxa"/>
            <w:tcBorders/>
            <w:shd w:fill="auto" w:val="clear"/>
            <w:vAlign w:val="bottom"/>
          </w:tcPr>
          <w:p>
            <w:pPr>
              <w:pStyle w:val="TableContents"/>
              <w:spacing w:lineRule="atLeast" w:line="160" w:before="0" w:after="0"/>
              <w:ind w:left="0" w:right="0" w:hanging="0"/>
              <w:rPr/>
            </w:pPr>
            <w:r>
              <w:rPr/>
              <w:t> </w:t>
            </w:r>
          </w:p>
        </w:tc>
        <w:tc>
          <w:tcPr>
            <w:tcW w:w="120" w:type="dxa"/>
            <w:tcBorders/>
            <w:shd w:fill="auto" w:val="clear"/>
            <w:vAlign w:val="bottom"/>
          </w:tcPr>
          <w:p>
            <w:pPr>
              <w:pStyle w:val="TableContents"/>
              <w:spacing w:lineRule="atLeast" w:line="160" w:before="0" w:after="0"/>
              <w:ind w:left="0" w:right="0" w:hanging="0"/>
              <w:rPr/>
            </w:pPr>
            <w:r>
              <w:rPr/>
              <w:t> </w:t>
            </w:r>
          </w:p>
        </w:tc>
        <w:tc>
          <w:tcPr>
            <w:tcW w:w="74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Low     </w:t>
            </w:r>
          </w:p>
        </w:tc>
        <w:tc>
          <w:tcPr>
            <w:tcW w:w="315" w:type="dxa"/>
            <w:tcBorders/>
            <w:shd w:fill="auto" w:val="clear"/>
            <w:vAlign w:val="bottom"/>
          </w:tcPr>
          <w:p>
            <w:pPr>
              <w:pStyle w:val="TableContents"/>
              <w:spacing w:lineRule="atLeast" w:line="160" w:before="0" w:after="0"/>
              <w:ind w:left="0" w:right="0" w:hanging="0"/>
              <w:rPr/>
            </w:pPr>
            <w:r>
              <w:rPr/>
              <w:t> </w:t>
            </w:r>
          </w:p>
        </w:tc>
        <w:tc>
          <w:tcPr>
            <w:tcW w:w="80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High     </w:t>
            </w:r>
          </w:p>
        </w:tc>
        <w:tc>
          <w:tcPr>
            <w:tcW w:w="360" w:type="dxa"/>
            <w:tcBorders/>
            <w:shd w:fill="auto" w:val="clear"/>
            <w:vAlign w:val="bottom"/>
          </w:tcPr>
          <w:p>
            <w:pPr>
              <w:pStyle w:val="TableContents"/>
              <w:spacing w:lineRule="atLeast" w:line="160" w:before="0" w:after="0"/>
              <w:ind w:left="0" w:right="0" w:hanging="0"/>
              <w:rPr/>
            </w:pPr>
            <w:r>
              <w:rPr/>
              <w:t> </w:t>
            </w:r>
          </w:p>
        </w:tc>
        <w:tc>
          <w:tcPr>
            <w:tcW w:w="74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Low     </w:t>
            </w:r>
          </w:p>
        </w:tc>
        <w:tc>
          <w:tcPr>
            <w:tcW w:w="315" w:type="dxa"/>
            <w:tcBorders/>
            <w:shd w:fill="auto" w:val="clear"/>
            <w:vAlign w:val="bottom"/>
          </w:tcPr>
          <w:p>
            <w:pPr>
              <w:pStyle w:val="TableContents"/>
              <w:spacing w:lineRule="atLeast" w:line="160" w:before="0" w:after="0"/>
              <w:ind w:left="0" w:right="0" w:hanging="0"/>
              <w:rPr/>
            </w:pPr>
            <w:r>
              <w:rPr/>
              <w:t> </w:t>
            </w:r>
          </w:p>
        </w:tc>
        <w:tc>
          <w:tcPr>
            <w:tcW w:w="80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High     </w:t>
            </w:r>
          </w:p>
        </w:tc>
        <w:tc>
          <w:tcPr>
            <w:tcW w:w="360" w:type="dxa"/>
            <w:tcBorders/>
            <w:shd w:fill="auto" w:val="clear"/>
            <w:vAlign w:val="bottom"/>
          </w:tcPr>
          <w:p>
            <w:pPr>
              <w:pStyle w:val="TableContents"/>
              <w:spacing w:lineRule="atLeast" w:line="160" w:before="0" w:after="0"/>
              <w:ind w:left="0" w:right="0" w:hanging="0"/>
              <w:rPr/>
            </w:pPr>
            <w:r>
              <w:rPr/>
              <w:t> </w:t>
            </w:r>
          </w:p>
        </w:tc>
        <w:tc>
          <w:tcPr>
            <w:tcW w:w="72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Low     </w:t>
            </w:r>
          </w:p>
        </w:tc>
        <w:tc>
          <w:tcPr>
            <w:tcW w:w="315" w:type="dxa"/>
            <w:tcBorders/>
            <w:shd w:fill="auto" w:val="clear"/>
            <w:vAlign w:val="bottom"/>
          </w:tcPr>
          <w:p>
            <w:pPr>
              <w:pStyle w:val="TableContents"/>
              <w:spacing w:lineRule="atLeast" w:line="160" w:before="0" w:after="0"/>
              <w:ind w:left="0" w:right="0" w:hanging="0"/>
              <w:rPr/>
            </w:pPr>
            <w:r>
              <w:rPr/>
              <w:t> </w:t>
            </w:r>
          </w:p>
        </w:tc>
        <w:tc>
          <w:tcPr>
            <w:tcW w:w="78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High     </w:t>
            </w:r>
          </w:p>
        </w:tc>
        <w:tc>
          <w:tcPr>
            <w:tcW w:w="120" w:type="dxa"/>
            <w:tcBorders/>
            <w:shd w:fill="auto" w:val="clear"/>
            <w:vAlign w:val="bottom"/>
          </w:tcPr>
          <w:p>
            <w:pPr>
              <w:pStyle w:val="TableContents"/>
              <w:spacing w:lineRule="atLeast" w:line="160" w:before="0" w:after="0"/>
              <w:ind w:left="0" w:right="0" w:hanging="0"/>
              <w:rPr/>
            </w:pPr>
            <w:r>
              <w:rPr/>
              <w:t> </w:t>
            </w:r>
          </w:p>
        </w:tc>
      </w:tr>
      <w:tr>
        <w:trPr/>
        <w:tc>
          <w:tcPr>
            <w:tcW w:w="264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Net Income</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50.7</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61.8</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30.0</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45.9</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175.8</w:t>
            </w:r>
          </w:p>
        </w:tc>
        <w:tc>
          <w:tcPr>
            <w:tcW w:w="120"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95" w:type="dxa"/>
            <w:tcBorders/>
            <w:shd w:fill="CCEEFF"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202.8</w:t>
            </w:r>
          </w:p>
        </w:tc>
        <w:tc>
          <w:tcPr>
            <w:tcW w:w="15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264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Less:</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264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General partners incentive distribution paid</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w:t>
            </w:r>
          </w:p>
        </w:tc>
        <w:tc>
          <w:tcPr>
            <w:tcW w:w="16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w:t>
            </w:r>
          </w:p>
        </w:tc>
        <w:tc>
          <w:tcPr>
            <w:tcW w:w="19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6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w:t>
            </w:r>
          </w:p>
        </w:tc>
        <w:tc>
          <w:tcPr>
            <w:tcW w:w="16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w:t>
            </w:r>
          </w:p>
        </w:tc>
        <w:tc>
          <w:tcPr>
            <w:tcW w:w="19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(14.0</w:t>
            </w:r>
          </w:p>
        </w:tc>
        <w:tc>
          <w:tcPr>
            <w:tcW w:w="12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(14.0</w:t>
            </w:r>
          </w:p>
        </w:tc>
        <w:tc>
          <w:tcPr>
            <w:tcW w:w="15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2640" w:type="dxa"/>
            <w:tcBorders/>
            <w:shd w:fill="auto" w:val="clear"/>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46.9</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58.0</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26.2</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42.1</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161.8</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188.8</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264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General partner 2% ownership</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(0.9</w:t>
            </w:r>
          </w:p>
        </w:tc>
        <w:tc>
          <w:tcPr>
            <w:tcW w:w="16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(1.1</w:t>
            </w:r>
          </w:p>
        </w:tc>
        <w:tc>
          <w:tcPr>
            <w:tcW w:w="19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6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(0.5</w:t>
            </w:r>
          </w:p>
        </w:tc>
        <w:tc>
          <w:tcPr>
            <w:tcW w:w="16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(0.8</w:t>
            </w:r>
          </w:p>
        </w:tc>
        <w:tc>
          <w:tcPr>
            <w:tcW w:w="19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(3.2</w:t>
            </w:r>
          </w:p>
        </w:tc>
        <w:tc>
          <w:tcPr>
            <w:tcW w:w="12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(3.8</w:t>
            </w:r>
          </w:p>
        </w:tc>
        <w:tc>
          <w:tcPr>
            <w:tcW w:w="15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264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Net income available to limited partners</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46.0</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56.9</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25.7</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41.3</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158.6</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185.0</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264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Pro forma additional general partner's incentive distribution</w:t>
            </w:r>
            <w:r>
              <w:rPr>
                <w:rFonts w:ascii="Times New Roman" w:hAnsi="Times New Roman"/>
                <w:spacing w:val="45"/>
                <w:sz w:val="13"/>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(0.4</w:t>
            </w:r>
          </w:p>
        </w:tc>
        <w:tc>
          <w:tcPr>
            <w:tcW w:w="16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(5.7</w:t>
            </w:r>
          </w:p>
        </w:tc>
        <w:tc>
          <w:tcPr>
            <w:tcW w:w="195"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36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65"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95" w:type="dxa"/>
            <w:tcBorders/>
            <w:shd w:fill="CCEEFF" w:val="clear"/>
            <w:vAlign w:val="bottom"/>
          </w:tcPr>
          <w:p>
            <w:pPr>
              <w:pStyle w:val="TableContents"/>
              <w:spacing w:lineRule="atLeast" w:line="200"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(2.8</w:t>
            </w:r>
          </w:p>
        </w:tc>
        <w:tc>
          <w:tcPr>
            <w:tcW w:w="150" w:type="dxa"/>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264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Numerator for basic and diluted earnings per limited partner unit</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264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Net Income available for limited partners under EITF 03-06</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45.6</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51.2</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25.7</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41.3</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158.6</w:t>
            </w:r>
          </w:p>
        </w:tc>
        <w:tc>
          <w:tcPr>
            <w:tcW w:w="120"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182.2</w:t>
            </w:r>
          </w:p>
        </w:tc>
        <w:tc>
          <w:tcPr>
            <w:tcW w:w="15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2640" w:type="dxa"/>
            <w:tcBorders/>
            <w:shd w:fill="auto" w:val="clear"/>
          </w:tcPr>
          <w:p>
            <w:pPr>
              <w:pStyle w:val="TableContents"/>
              <w:spacing w:lineRule="atLeast" w:line="200" w:before="120" w:after="120"/>
              <w:ind w:left="0" w:right="0" w:hanging="0"/>
              <w:rPr>
                <w:rFonts w:ascii="Times New Roman" w:hAnsi="Times New Roman"/>
                <w:sz w:val="13"/>
              </w:rPr>
            </w:pPr>
            <w:r>
              <w:rPr>
                <w:rFonts w:ascii="Times New Roman" w:hAnsi="Times New Roman"/>
                <w:sz w:val="13"/>
              </w:rPr>
              <w:t>Denominator:</w:t>
            </w:r>
          </w:p>
        </w:tc>
        <w:tc>
          <w:tcPr>
            <w:tcW w:w="120" w:type="dxa"/>
            <w:tcBorders/>
            <w:shd w:fill="auto" w:val="clear"/>
            <w:vAlign w:val="bottom"/>
          </w:tcPr>
          <w:p>
            <w:pPr>
              <w:pStyle w:val="TableContents"/>
              <w:spacing w:lineRule="atLeast" w:line="200" w:before="120" w:after="120"/>
              <w:ind w:left="0" w:right="0" w:hanging="0"/>
              <w:rPr/>
            </w:pPr>
            <w:r>
              <w:rPr/>
              <w:t> </w:t>
            </w:r>
          </w:p>
        </w:tc>
        <w:tc>
          <w:tcPr>
            <w:tcW w:w="165" w:type="dxa"/>
            <w:tcBorders/>
            <w:shd w:fill="auto" w:val="clear"/>
            <w:vAlign w:val="bottom"/>
          </w:tcPr>
          <w:p>
            <w:pPr>
              <w:pStyle w:val="TableContents"/>
              <w:spacing w:lineRule="atLeast" w:line="200" w:before="120" w:after="120"/>
              <w:ind w:left="0" w:right="0" w:hanging="0"/>
              <w:rPr/>
            </w:pPr>
            <w:r>
              <w:rPr/>
              <w:t> </w:t>
            </w:r>
          </w:p>
        </w:tc>
        <w:tc>
          <w:tcPr>
            <w:tcW w:w="410" w:type="dxa"/>
            <w:gridSpan w:val="2"/>
            <w:tcBorders/>
            <w:shd w:fill="auto" w:val="clear"/>
            <w:vAlign w:val="bottom"/>
          </w:tcPr>
          <w:p>
            <w:pPr>
              <w:pStyle w:val="TableContents"/>
              <w:spacing w:lineRule="atLeast" w:line="200" w:before="120" w:after="120"/>
              <w:ind w:left="0" w:right="0" w:hanging="0"/>
              <w:rPr/>
            </w:pPr>
            <w:r>
              <w:rPr/>
              <w:t> </w:t>
            </w:r>
          </w:p>
        </w:tc>
        <w:tc>
          <w:tcPr>
            <w:tcW w:w="165" w:type="dxa"/>
            <w:tcBorders/>
            <w:shd w:fill="auto" w:val="clear"/>
            <w:vAlign w:val="bottom"/>
          </w:tcPr>
          <w:p>
            <w:pPr>
              <w:pStyle w:val="TableContents"/>
              <w:spacing w:lineRule="atLeast" w:line="200" w:before="120" w:after="120"/>
              <w:ind w:left="0" w:right="0" w:hanging="0"/>
              <w:rPr/>
            </w:pPr>
            <w:r>
              <w:rPr/>
              <w:t> </w:t>
            </w:r>
          </w:p>
        </w:tc>
        <w:tc>
          <w:tcPr>
            <w:tcW w:w="315" w:type="dxa"/>
            <w:tcBorders/>
            <w:shd w:fill="auto" w:val="clear"/>
            <w:vAlign w:val="bottom"/>
          </w:tcPr>
          <w:p>
            <w:pPr>
              <w:pStyle w:val="TableContents"/>
              <w:spacing w:lineRule="atLeast" w:line="200" w:before="120" w:after="120"/>
              <w:ind w:left="0" w:right="0" w:hanging="0"/>
              <w:rPr/>
            </w:pPr>
            <w:r>
              <w:rPr/>
              <w:t> </w:t>
            </w:r>
          </w:p>
        </w:tc>
        <w:tc>
          <w:tcPr>
            <w:tcW w:w="195" w:type="dxa"/>
            <w:tcBorders/>
            <w:shd w:fill="auto" w:val="clear"/>
            <w:vAlign w:val="bottom"/>
          </w:tcPr>
          <w:p>
            <w:pPr>
              <w:pStyle w:val="TableContents"/>
              <w:spacing w:lineRule="atLeast" w:line="200" w:before="120" w:after="120"/>
              <w:ind w:left="0" w:right="0" w:hanging="0"/>
              <w:rPr/>
            </w:pPr>
            <w:r>
              <w:rPr/>
              <w:t> </w:t>
            </w:r>
          </w:p>
        </w:tc>
        <w:tc>
          <w:tcPr>
            <w:tcW w:w="410" w:type="dxa"/>
            <w:gridSpan w:val="2"/>
            <w:tcBorders/>
            <w:shd w:fill="auto" w:val="clear"/>
            <w:vAlign w:val="bottom"/>
          </w:tcPr>
          <w:p>
            <w:pPr>
              <w:pStyle w:val="TableContents"/>
              <w:spacing w:lineRule="atLeast" w:line="200" w:before="120" w:after="120"/>
              <w:ind w:left="0" w:right="0" w:hanging="0"/>
              <w:rPr/>
            </w:pPr>
            <w:r>
              <w:rPr/>
              <w:t> </w:t>
            </w:r>
          </w:p>
        </w:tc>
        <w:tc>
          <w:tcPr>
            <w:tcW w:w="195" w:type="dxa"/>
            <w:tcBorders/>
            <w:shd w:fill="auto" w:val="clear"/>
            <w:vAlign w:val="bottom"/>
          </w:tcPr>
          <w:p>
            <w:pPr>
              <w:pStyle w:val="TableContents"/>
              <w:spacing w:lineRule="atLeast" w:line="200" w:before="120" w:after="120"/>
              <w:ind w:left="0" w:right="0" w:hanging="0"/>
              <w:rPr/>
            </w:pPr>
            <w:r>
              <w:rPr/>
              <w:t> </w:t>
            </w:r>
          </w:p>
        </w:tc>
        <w:tc>
          <w:tcPr>
            <w:tcW w:w="360" w:type="dxa"/>
            <w:tcBorders/>
            <w:shd w:fill="auto" w:val="clear"/>
            <w:vAlign w:val="bottom"/>
          </w:tcPr>
          <w:p>
            <w:pPr>
              <w:pStyle w:val="TableContents"/>
              <w:spacing w:lineRule="atLeast" w:line="200" w:before="120" w:after="120"/>
              <w:ind w:left="0" w:right="0" w:hanging="0"/>
              <w:rPr/>
            </w:pPr>
            <w:r>
              <w:rPr/>
              <w:t> </w:t>
            </w:r>
          </w:p>
        </w:tc>
        <w:tc>
          <w:tcPr>
            <w:tcW w:w="165" w:type="dxa"/>
            <w:tcBorders/>
            <w:shd w:fill="auto" w:val="clear"/>
            <w:vAlign w:val="bottom"/>
          </w:tcPr>
          <w:p>
            <w:pPr>
              <w:pStyle w:val="TableContents"/>
              <w:spacing w:lineRule="atLeast" w:line="200" w:before="120" w:after="120"/>
              <w:ind w:left="0" w:right="0" w:hanging="0"/>
              <w:rPr/>
            </w:pPr>
            <w:r>
              <w:rPr/>
              <w:t> </w:t>
            </w:r>
          </w:p>
        </w:tc>
        <w:tc>
          <w:tcPr>
            <w:tcW w:w="410" w:type="dxa"/>
            <w:gridSpan w:val="2"/>
            <w:tcBorders/>
            <w:shd w:fill="auto" w:val="clear"/>
            <w:vAlign w:val="bottom"/>
          </w:tcPr>
          <w:p>
            <w:pPr>
              <w:pStyle w:val="TableContents"/>
              <w:spacing w:lineRule="atLeast" w:line="200" w:before="120" w:after="120"/>
              <w:ind w:left="0" w:right="0" w:hanging="0"/>
              <w:rPr/>
            </w:pPr>
            <w:r>
              <w:rPr/>
              <w:t> </w:t>
            </w:r>
          </w:p>
        </w:tc>
        <w:tc>
          <w:tcPr>
            <w:tcW w:w="165" w:type="dxa"/>
            <w:tcBorders/>
            <w:shd w:fill="auto" w:val="clear"/>
            <w:vAlign w:val="bottom"/>
          </w:tcPr>
          <w:p>
            <w:pPr>
              <w:pStyle w:val="TableContents"/>
              <w:spacing w:lineRule="atLeast" w:line="200" w:before="120" w:after="120"/>
              <w:ind w:left="0" w:right="0" w:hanging="0"/>
              <w:rPr/>
            </w:pPr>
            <w:r>
              <w:rPr/>
              <w:t> </w:t>
            </w:r>
          </w:p>
        </w:tc>
        <w:tc>
          <w:tcPr>
            <w:tcW w:w="315" w:type="dxa"/>
            <w:tcBorders/>
            <w:shd w:fill="auto" w:val="clear"/>
            <w:vAlign w:val="bottom"/>
          </w:tcPr>
          <w:p>
            <w:pPr>
              <w:pStyle w:val="TableContents"/>
              <w:spacing w:lineRule="atLeast" w:line="200" w:before="120" w:after="120"/>
              <w:ind w:left="0" w:right="0" w:hanging="0"/>
              <w:rPr/>
            </w:pPr>
            <w:r>
              <w:rPr/>
              <w:t> </w:t>
            </w:r>
          </w:p>
        </w:tc>
        <w:tc>
          <w:tcPr>
            <w:tcW w:w="195" w:type="dxa"/>
            <w:tcBorders/>
            <w:shd w:fill="auto" w:val="clear"/>
            <w:vAlign w:val="bottom"/>
          </w:tcPr>
          <w:p>
            <w:pPr>
              <w:pStyle w:val="TableContents"/>
              <w:spacing w:lineRule="atLeast" w:line="200" w:before="120" w:after="120"/>
              <w:ind w:left="0" w:right="0" w:hanging="0"/>
              <w:rPr/>
            </w:pPr>
            <w:r>
              <w:rPr/>
              <w:t> </w:t>
            </w:r>
          </w:p>
        </w:tc>
        <w:tc>
          <w:tcPr>
            <w:tcW w:w="410" w:type="dxa"/>
            <w:gridSpan w:val="2"/>
            <w:tcBorders/>
            <w:shd w:fill="auto" w:val="clear"/>
            <w:vAlign w:val="bottom"/>
          </w:tcPr>
          <w:p>
            <w:pPr>
              <w:pStyle w:val="TableContents"/>
              <w:spacing w:lineRule="atLeast" w:line="200" w:before="120" w:after="120"/>
              <w:ind w:left="0" w:right="0" w:hanging="0"/>
              <w:rPr/>
            </w:pPr>
            <w:r>
              <w:rPr/>
              <w:t> </w:t>
            </w:r>
          </w:p>
        </w:tc>
        <w:tc>
          <w:tcPr>
            <w:tcW w:w="195" w:type="dxa"/>
            <w:tcBorders/>
            <w:shd w:fill="auto" w:val="clear"/>
            <w:vAlign w:val="bottom"/>
          </w:tcPr>
          <w:p>
            <w:pPr>
              <w:pStyle w:val="TableContents"/>
              <w:spacing w:lineRule="atLeast" w:line="200" w:before="120" w:after="120"/>
              <w:ind w:left="0" w:right="0" w:hanging="0"/>
              <w:rPr/>
            </w:pPr>
            <w:r>
              <w:rPr/>
              <w:t> </w:t>
            </w:r>
          </w:p>
        </w:tc>
        <w:tc>
          <w:tcPr>
            <w:tcW w:w="360" w:type="dxa"/>
            <w:tcBorders/>
            <w:shd w:fill="auto" w:val="clear"/>
            <w:vAlign w:val="bottom"/>
          </w:tcPr>
          <w:p>
            <w:pPr>
              <w:pStyle w:val="TableContents"/>
              <w:spacing w:lineRule="atLeast" w:line="200" w:before="120" w:after="120"/>
              <w:ind w:left="0" w:right="0" w:hanging="0"/>
              <w:rPr/>
            </w:pPr>
            <w:r>
              <w:rPr/>
              <w:t> </w:t>
            </w:r>
          </w:p>
        </w:tc>
        <w:tc>
          <w:tcPr>
            <w:tcW w:w="120" w:type="dxa"/>
            <w:tcBorders/>
            <w:shd w:fill="auto" w:val="clear"/>
            <w:vAlign w:val="bottom"/>
          </w:tcPr>
          <w:p>
            <w:pPr>
              <w:pStyle w:val="TableContents"/>
              <w:spacing w:lineRule="atLeast" w:line="200" w:before="120" w:after="120"/>
              <w:ind w:left="0" w:right="0" w:hanging="0"/>
              <w:rPr/>
            </w:pPr>
            <w:r>
              <w:rPr/>
              <w:t> </w:t>
            </w:r>
          </w:p>
        </w:tc>
        <w:tc>
          <w:tcPr>
            <w:tcW w:w="485" w:type="dxa"/>
            <w:gridSpan w:val="2"/>
            <w:tcBorders/>
            <w:shd w:fill="auto" w:val="clear"/>
            <w:vAlign w:val="bottom"/>
          </w:tcPr>
          <w:p>
            <w:pPr>
              <w:pStyle w:val="TableContents"/>
              <w:spacing w:lineRule="atLeast" w:line="200" w:before="120" w:after="120"/>
              <w:ind w:left="0" w:right="0" w:hanging="0"/>
              <w:rPr/>
            </w:pPr>
            <w:r>
              <w:rPr/>
              <w:t> </w:t>
            </w:r>
          </w:p>
        </w:tc>
        <w:tc>
          <w:tcPr>
            <w:tcW w:w="120" w:type="dxa"/>
            <w:tcBorders/>
            <w:shd w:fill="auto" w:val="clear"/>
            <w:vAlign w:val="bottom"/>
          </w:tcPr>
          <w:p>
            <w:pPr>
              <w:pStyle w:val="TableContents"/>
              <w:spacing w:lineRule="atLeast" w:line="200" w:before="120" w:after="120"/>
              <w:ind w:left="0" w:right="0" w:hanging="0"/>
              <w:rPr/>
            </w:pPr>
            <w:r>
              <w:rPr/>
              <w:t> </w:t>
            </w:r>
          </w:p>
        </w:tc>
        <w:tc>
          <w:tcPr>
            <w:tcW w:w="315" w:type="dxa"/>
            <w:tcBorders/>
            <w:shd w:fill="auto" w:val="clear"/>
            <w:vAlign w:val="bottom"/>
          </w:tcPr>
          <w:p>
            <w:pPr>
              <w:pStyle w:val="TableContents"/>
              <w:spacing w:lineRule="atLeast" w:line="200" w:before="120" w:after="120"/>
              <w:ind w:left="0" w:right="0" w:hanging="0"/>
              <w:rPr/>
            </w:pPr>
            <w:r>
              <w:rPr/>
              <w:t> </w:t>
            </w:r>
          </w:p>
        </w:tc>
        <w:tc>
          <w:tcPr>
            <w:tcW w:w="150" w:type="dxa"/>
            <w:tcBorders/>
            <w:shd w:fill="auto" w:val="clear"/>
            <w:vAlign w:val="bottom"/>
          </w:tcPr>
          <w:p>
            <w:pPr>
              <w:pStyle w:val="TableContents"/>
              <w:spacing w:lineRule="atLeast" w:line="200" w:before="120" w:after="120"/>
              <w:ind w:left="0" w:right="0" w:hanging="0"/>
              <w:rPr/>
            </w:pPr>
            <w:r>
              <w:rPr/>
              <w:t> </w:t>
            </w:r>
          </w:p>
        </w:tc>
        <w:tc>
          <w:tcPr>
            <w:tcW w:w="485" w:type="dxa"/>
            <w:gridSpan w:val="2"/>
            <w:tcBorders/>
            <w:shd w:fill="auto" w:val="clear"/>
            <w:vAlign w:val="bottom"/>
          </w:tcPr>
          <w:p>
            <w:pPr>
              <w:pStyle w:val="TableContents"/>
              <w:spacing w:lineRule="atLeast" w:line="200" w:before="120" w:after="120"/>
              <w:ind w:left="0" w:right="0" w:hanging="0"/>
              <w:rPr/>
            </w:pPr>
            <w:r>
              <w:rPr/>
              <w:t> </w:t>
            </w:r>
          </w:p>
        </w:tc>
        <w:tc>
          <w:tcPr>
            <w:tcW w:w="150" w:type="dxa"/>
            <w:tcBorders/>
            <w:shd w:fill="auto" w:val="clear"/>
            <w:vAlign w:val="bottom"/>
          </w:tcPr>
          <w:p>
            <w:pPr>
              <w:pStyle w:val="TableContents"/>
              <w:spacing w:lineRule="atLeast" w:line="200" w:before="120" w:after="120"/>
              <w:ind w:left="0" w:right="0" w:hanging="0"/>
              <w:rPr/>
            </w:pPr>
            <w:r>
              <w:rPr/>
              <w:t> </w:t>
            </w:r>
          </w:p>
        </w:tc>
        <w:tc>
          <w:tcPr>
            <w:tcW w:w="120" w:type="dxa"/>
            <w:tcBorders/>
            <w:shd w:fill="auto" w:val="clear"/>
            <w:vAlign w:val="bottom"/>
          </w:tcPr>
          <w:p>
            <w:pPr>
              <w:pStyle w:val="TableContents"/>
              <w:spacing w:lineRule="atLeast" w:line="200" w:before="120" w:after="120"/>
              <w:ind w:left="0" w:right="0" w:hanging="0"/>
              <w:rPr/>
            </w:pPr>
            <w:r>
              <w:rPr/>
              <w:t> </w:t>
            </w:r>
          </w:p>
        </w:tc>
      </w:tr>
      <w:tr>
        <w:trPr/>
        <w:tc>
          <w:tcPr>
            <w:tcW w:w="264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Denominator for basic earnings per limited partner unit-weighted average number of limited partner units</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67.9</w:t>
            </w:r>
          </w:p>
        </w:tc>
        <w:tc>
          <w:tcPr>
            <w:tcW w:w="165"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67.9</w:t>
            </w:r>
          </w:p>
        </w:tc>
        <w:tc>
          <w:tcPr>
            <w:tcW w:w="195" w:type="dxa"/>
            <w:tcBorders/>
            <w:shd w:fill="CCEEFF" w:val="clear"/>
            <w:vAlign w:val="bottom"/>
          </w:tcPr>
          <w:p>
            <w:pPr>
              <w:pStyle w:val="TableContents"/>
              <w:spacing w:lineRule="atLeast" w:line="200"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67.9</w:t>
            </w:r>
          </w:p>
        </w:tc>
        <w:tc>
          <w:tcPr>
            <w:tcW w:w="165"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67.9</w:t>
            </w:r>
          </w:p>
        </w:tc>
        <w:tc>
          <w:tcPr>
            <w:tcW w:w="195" w:type="dxa"/>
            <w:tcBorders/>
            <w:shd w:fill="CCEEFF" w:val="clear"/>
            <w:vAlign w:val="bottom"/>
          </w:tcPr>
          <w:p>
            <w:pPr>
              <w:pStyle w:val="TableContents"/>
              <w:spacing w:lineRule="atLeast" w:line="200"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67.8</w:t>
            </w:r>
          </w:p>
        </w:tc>
        <w:tc>
          <w:tcPr>
            <w:tcW w:w="120"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shd w:fill="CCEEFF"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67.8</w:t>
            </w:r>
          </w:p>
        </w:tc>
        <w:tc>
          <w:tcPr>
            <w:tcW w:w="15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264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Effect of dilutive securities:</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264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Weighted average 2005 LTIP units</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w:t>
            </w:r>
          </w:p>
        </w:tc>
        <w:tc>
          <w:tcPr>
            <w:tcW w:w="165"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w:t>
            </w:r>
          </w:p>
        </w:tc>
        <w:tc>
          <w:tcPr>
            <w:tcW w:w="195" w:type="dxa"/>
            <w:tcBorders/>
            <w:shd w:fill="CCEEFF" w:val="clear"/>
            <w:vAlign w:val="bottom"/>
          </w:tcPr>
          <w:p>
            <w:pPr>
              <w:pStyle w:val="TableContents"/>
              <w:spacing w:lineRule="atLeast" w:line="200"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w:t>
            </w:r>
          </w:p>
        </w:tc>
        <w:tc>
          <w:tcPr>
            <w:tcW w:w="165"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w:t>
            </w:r>
          </w:p>
        </w:tc>
        <w:tc>
          <w:tcPr>
            <w:tcW w:w="195" w:type="dxa"/>
            <w:tcBorders/>
            <w:shd w:fill="CCEEFF" w:val="clear"/>
            <w:vAlign w:val="bottom"/>
          </w:tcPr>
          <w:p>
            <w:pPr>
              <w:pStyle w:val="TableContents"/>
              <w:spacing w:lineRule="atLeast" w:line="200"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1.3</w:t>
            </w:r>
          </w:p>
        </w:tc>
        <w:tc>
          <w:tcPr>
            <w:tcW w:w="120" w:type="dxa"/>
            <w:tcBorders/>
            <w:shd w:fill="CCEEFF" w:val="clear"/>
            <w:vAlign w:val="bottom"/>
          </w:tcPr>
          <w:p>
            <w:pPr>
              <w:pStyle w:val="TableContents"/>
              <w:spacing w:lineRule="atLeast" w:line="200"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1.3</w:t>
            </w:r>
          </w:p>
        </w:tc>
        <w:tc>
          <w:tcPr>
            <w:tcW w:w="15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264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Denominator for diluted earnings per limited partner unit-weighted average number of limited partner units</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69.5</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69.5</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69.5</w:t>
            </w:r>
          </w:p>
        </w:tc>
        <w:tc>
          <w:tcPr>
            <w:tcW w:w="165"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410" w:type="dxa"/>
            <w:gridSpan w:val="2"/>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69.5</w:t>
            </w:r>
          </w:p>
        </w:tc>
        <w:tc>
          <w:tcPr>
            <w:tcW w:w="195" w:type="dxa"/>
            <w:tcBorders/>
            <w:shd w:fill="auto" w:val="clear"/>
            <w:vAlign w:val="bottom"/>
          </w:tcPr>
          <w:p>
            <w:pPr>
              <w:pStyle w:val="TableContents"/>
              <w:spacing w:lineRule="atLeast" w:line="200"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69.1</w:t>
            </w:r>
          </w:p>
        </w:tc>
        <w:tc>
          <w:tcPr>
            <w:tcW w:w="120" w:type="dxa"/>
            <w:tcBorders/>
            <w:shd w:fill="auto" w:val="clear"/>
            <w:vAlign w:val="bottom"/>
          </w:tcPr>
          <w:p>
            <w:pPr>
              <w:pStyle w:val="TableContents"/>
              <w:spacing w:lineRule="atLeast" w:line="200"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485" w:type="dxa"/>
            <w:gridSpan w:val="2"/>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69.1</w:t>
            </w:r>
          </w:p>
        </w:tc>
        <w:tc>
          <w:tcPr>
            <w:tcW w:w="15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r>
        <w:trPr/>
        <w:tc>
          <w:tcPr>
            <w:tcW w:w="264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Basic net income per limited partner unit</w:t>
            </w:r>
          </w:p>
        </w:tc>
        <w:tc>
          <w:tcPr>
            <w:tcW w:w="12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0.67</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0.75</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0.38</w:t>
            </w:r>
          </w:p>
        </w:tc>
        <w:tc>
          <w:tcPr>
            <w:tcW w:w="165"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95"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0.61</w:t>
            </w:r>
          </w:p>
        </w:tc>
        <w:tc>
          <w:tcPr>
            <w:tcW w:w="195" w:type="dxa"/>
            <w:tcBorders/>
            <w:shd w:fill="CCEEFF" w:val="clear"/>
            <w:vAlign w:val="bottom"/>
          </w:tcPr>
          <w:p>
            <w:pPr>
              <w:pStyle w:val="TableContents"/>
              <w:spacing w:before="0" w:after="0"/>
              <w:ind w:left="0" w:right="0" w:hanging="0"/>
              <w:rPr/>
            </w:pPr>
            <w:r>
              <w:rPr/>
              <w:t> </w:t>
            </w:r>
          </w:p>
        </w:tc>
        <w:tc>
          <w:tcPr>
            <w:tcW w:w="360"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2.34</w:t>
            </w:r>
          </w:p>
        </w:tc>
        <w:tc>
          <w:tcPr>
            <w:tcW w:w="120" w:type="dxa"/>
            <w:tcBorders/>
            <w:shd w:fill="CCEEFF" w:val="clear"/>
            <w:vAlign w:val="bottom"/>
          </w:tcPr>
          <w:p>
            <w:pPr>
              <w:pStyle w:val="TableContents"/>
              <w:spacing w:before="0" w:after="0"/>
              <w:ind w:left="0" w:right="0" w:hanging="0"/>
              <w:rPr/>
            </w:pPr>
            <w:r>
              <w:rPr/>
              <w:t> </w:t>
            </w:r>
          </w:p>
        </w:tc>
        <w:tc>
          <w:tcPr>
            <w:tcW w:w="315" w:type="dxa"/>
            <w:tcBorders/>
            <w:shd w:fill="CCEEFF" w:val="clear"/>
            <w:vAlign w:val="bottom"/>
          </w:tcPr>
          <w:p>
            <w:pPr>
              <w:pStyle w:val="TableContents"/>
              <w:spacing w:lineRule="atLeast" w:line="200" w:before="0" w:after="0"/>
              <w:ind w:left="0" w:right="0" w:hanging="0"/>
              <w:rPr/>
            </w:pPr>
            <w:r>
              <w:rPr/>
              <w:t> </w:t>
            </w:r>
          </w:p>
        </w:tc>
        <w:tc>
          <w:tcPr>
            <w:tcW w:w="150" w:type="dxa"/>
            <w:tcBorders/>
            <w:shd w:fill="CCEEFF"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2.69</w:t>
            </w:r>
          </w:p>
        </w:tc>
        <w:tc>
          <w:tcPr>
            <w:tcW w:w="15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r>
      <w:tr>
        <w:trPr/>
        <w:tc>
          <w:tcPr>
            <w:tcW w:w="264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Diluted net income per limited partner unit</w:t>
            </w:r>
          </w:p>
        </w:tc>
        <w:tc>
          <w:tcPr>
            <w:tcW w:w="12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0.66</w:t>
            </w:r>
          </w:p>
        </w:tc>
        <w:tc>
          <w:tcPr>
            <w:tcW w:w="165" w:type="dxa"/>
            <w:tcBorders/>
            <w:shd w:fill="auto" w:val="clear"/>
            <w:vAlign w:val="bottom"/>
          </w:tcPr>
          <w:p>
            <w:pPr>
              <w:pStyle w:val="TableContents"/>
              <w:spacing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0.74</w:t>
            </w:r>
          </w:p>
        </w:tc>
        <w:tc>
          <w:tcPr>
            <w:tcW w:w="195" w:type="dxa"/>
            <w:tcBorders/>
            <w:shd w:fill="auto" w:val="clear"/>
            <w:vAlign w:val="bottom"/>
          </w:tcPr>
          <w:p>
            <w:pPr>
              <w:pStyle w:val="TableContents"/>
              <w:spacing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0.37</w:t>
            </w:r>
          </w:p>
        </w:tc>
        <w:tc>
          <w:tcPr>
            <w:tcW w:w="165" w:type="dxa"/>
            <w:tcBorders/>
            <w:shd w:fill="auto" w:val="clear"/>
            <w:vAlign w:val="bottom"/>
          </w:tcPr>
          <w:p>
            <w:pPr>
              <w:pStyle w:val="TableContents"/>
              <w:spacing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9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1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0.59</w:t>
            </w:r>
          </w:p>
        </w:tc>
        <w:tc>
          <w:tcPr>
            <w:tcW w:w="195" w:type="dxa"/>
            <w:tcBorders/>
            <w:shd w:fill="auto" w:val="clear"/>
            <w:vAlign w:val="bottom"/>
          </w:tcPr>
          <w:p>
            <w:pPr>
              <w:pStyle w:val="TableContents"/>
              <w:spacing w:before="0" w:after="0"/>
              <w:ind w:left="0" w:right="0" w:hanging="0"/>
              <w:rPr/>
            </w:pPr>
            <w:r>
              <w:rPr/>
              <w:t> </w:t>
            </w:r>
          </w:p>
        </w:tc>
        <w:tc>
          <w:tcPr>
            <w:tcW w:w="360" w:type="dxa"/>
            <w:tcBorders/>
            <w:shd w:fill="auto" w:val="clear"/>
            <w:vAlign w:val="bottom"/>
          </w:tcPr>
          <w:p>
            <w:pPr>
              <w:pStyle w:val="TableContents"/>
              <w:spacing w:lineRule="atLeast" w:line="200"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2.30</w:t>
            </w:r>
          </w:p>
        </w:tc>
        <w:tc>
          <w:tcPr>
            <w:tcW w:w="120" w:type="dxa"/>
            <w:tcBorders/>
            <w:shd w:fill="auto" w:val="clear"/>
            <w:vAlign w:val="bottom"/>
          </w:tcPr>
          <w:p>
            <w:pPr>
              <w:pStyle w:val="TableContents"/>
              <w:spacing w:before="0" w:after="0"/>
              <w:ind w:left="0" w:right="0" w:hanging="0"/>
              <w:rPr/>
            </w:pPr>
            <w:r>
              <w:rPr/>
              <w:t> </w:t>
            </w:r>
          </w:p>
        </w:tc>
        <w:tc>
          <w:tcPr>
            <w:tcW w:w="315" w:type="dxa"/>
            <w:tcBorders/>
            <w:shd w:fill="auto" w:val="clear"/>
            <w:vAlign w:val="bottom"/>
          </w:tcPr>
          <w:p>
            <w:pPr>
              <w:pStyle w:val="TableContents"/>
              <w:spacing w:lineRule="atLeast" w:line="200" w:before="0" w:after="0"/>
              <w:ind w:left="0" w:right="0" w:hanging="0"/>
              <w:rPr/>
            </w:pPr>
            <w:r>
              <w:rPr/>
              <w:t> </w:t>
            </w:r>
          </w:p>
        </w:tc>
        <w:tc>
          <w:tcPr>
            <w:tcW w:w="150"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90"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2.64</w:t>
            </w:r>
          </w:p>
        </w:tc>
        <w:tc>
          <w:tcPr>
            <w:tcW w:w="15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120"/>
        <w:ind w:left="400" w:right="0" w:hanging="0"/>
        <w:rPr>
          <w:rFonts w:ascii="Times New Roman" w:hAnsi="Times New Roman"/>
          <w:sz w:val="17"/>
        </w:rPr>
      </w:pPr>
      <w:r>
        <w:rPr>
          <w:rFonts w:ascii="Times New Roman" w:hAnsi="Times New Roman"/>
          <w:sz w:val="17"/>
        </w:rPr>
        <w:t xml:space="preserve">Net income allocated to limited partners is impacted by the income allocated to the general partner and the amount of the incentive distribution paid to the general partner. Accordingly, when the aggregate distribution is greater than net income, for each $0.05 per unit annual increase in the distribution rate up to $2.70 per unit, net income available for limited partners decreases approximately $1.1 million ($0.02 per unit) on an annualized basis. The amount of income allocated to our limited partnership interests is 98% of the total partnership income after deducting the amount of the general partners incentive distribution. Based on our current annualized distribution rate of $2.60 per unit, our general partners distribution is forecast to be approximately $18.7 million annually, of </w:t>
      </w:r>
    </w:p>
    <w:p>
      <w:pPr>
        <w:pStyle w:val="TextBody"/>
        <w:spacing w:before="480" w:after="480"/>
        <w:ind w:left="0" w:right="0" w:hanging="0"/>
        <w:rPr>
          <w:rFonts w:ascii="Times New Roman" w:hAnsi="Times New Roman"/>
          <w:sz w:val="17"/>
        </w:rPr>
      </w:pPr>
      <w:r>
        <w:rPr>
          <w:rFonts w:ascii="Times New Roman" w:hAnsi="Times New Roman"/>
          <w:sz w:val="17"/>
        </w:rPr>
        <w:t>7</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400" w:right="0" w:hanging="0"/>
        <w:rPr>
          <w:rFonts w:ascii="Times New Roman" w:hAnsi="Times New Roman"/>
          <w:sz w:val="17"/>
        </w:rPr>
      </w:pPr>
      <w:r>
        <w:rPr>
          <w:rFonts w:ascii="Times New Roman" w:hAnsi="Times New Roman"/>
          <w:sz w:val="17"/>
        </w:rPr>
        <w:t>which $15.1 million is attributed to the incentive distribution rights. The relative amount of the incentive distribution varies directionally with the number of units outstanding and the level of the distribution on the units.</w:t>
      </w:r>
    </w:p>
    <w:p>
      <w:pPr>
        <w:pStyle w:val="TextBody"/>
        <w:spacing w:before="0" w:after="120"/>
        <w:ind w:left="400" w:right="0" w:hanging="400"/>
        <w:rPr>
          <w:rFonts w:ascii="Times New Roman" w:hAnsi="Times New Roman"/>
          <w:sz w:val="17"/>
        </w:rPr>
      </w:pPr>
      <w:r>
        <w:rPr>
          <w:rFonts w:ascii="Times New Roman" w:hAnsi="Times New Roman"/>
          <w:sz w:val="17"/>
        </w:rPr>
        <w:t xml:space="preserve">10.          </w:t>
      </w:r>
      <w:r>
        <w:rPr>
          <w:rFonts w:ascii="Times New Roman" w:hAnsi="Times New Roman"/>
          <w:i/>
          <w:sz w:val="17"/>
        </w:rPr>
        <w:t>Long-term Incentive Plans</w:t>
      </w:r>
      <w:r>
        <w:rPr>
          <w:rFonts w:ascii="Times New Roman" w:hAnsi="Times New Roman"/>
          <w:sz w:val="17"/>
        </w:rPr>
        <w:t>.  The majority of phantom unit grants outstanding under our 1998 and 2005 Long-Term Incentive Plans contain vesting criteria that are based on a combination of performance benchmarks and service period. The phantom units under the 2005 plan generally vest on the later of 2 years, 4 years or 5 years, or achievement of annualized distribution levels of $2.60, $2.80 and $3.00 per unit, respectively, and the majority of the phantom units have a final service period vesting in 2011. Accordingly, guidance includes (i) for phantom units tied to the $2.60 and $2.80 performance levels, an accrual over the corresponding service period, as it has been deemed probable that the $2.80 performance level will be reached, and (ii) for the phantom units that vest when the $3.00 performance threshold is achieved but have a final service period vesting in 2011, a pro rata accrual associated with a six-year service period. For 2005, the guidance includes approximately $24.5 million of principally non-cash expense associated with these phantom units. The actual amount of LTIP expense amortization in any given year will be directly influenced by fluctuations in our unit price and the amount of amortization in the early years and will also be increased if a determination is made that achievement of any of the remaining performance thresholds is probable.</w:t>
      </w:r>
    </w:p>
    <w:p>
      <w:pPr>
        <w:pStyle w:val="TextBody"/>
        <w:keepNext w:val="true"/>
        <w:spacing w:before="0" w:after="240"/>
        <w:ind w:left="400" w:right="0" w:hanging="400"/>
        <w:rPr>
          <w:rFonts w:ascii="Times New Roman" w:hAnsi="Times New Roman"/>
          <w:sz w:val="17"/>
        </w:rPr>
      </w:pPr>
      <w:r>
        <w:rPr>
          <w:rFonts w:ascii="Times New Roman" w:hAnsi="Times New Roman"/>
          <w:sz w:val="17"/>
        </w:rPr>
        <w:t xml:space="preserve">11.          </w:t>
      </w:r>
      <w:r>
        <w:rPr>
          <w:rFonts w:ascii="Times New Roman" w:hAnsi="Times New Roman"/>
          <w:i/>
          <w:sz w:val="17"/>
        </w:rPr>
        <w:t xml:space="preserve">Reconciliation of EBITDA and EBIT to Net Income. </w:t>
      </w:r>
      <w:r>
        <w:rPr>
          <w:rFonts w:ascii="Times New Roman" w:hAnsi="Times New Roman"/>
          <w:sz w:val="17"/>
        </w:rPr>
        <w:t> The following table reconciles the guidance ranges for EBIT and EBITDA to net income.</w:t>
      </w:r>
    </w:p>
    <w:tbl>
      <w:tblPr>
        <w:tblW w:w="9235" w:type="dxa"/>
        <w:jc w:val="left"/>
        <w:tblInd w:w="0" w:type="dxa"/>
        <w:tblCellMar>
          <w:top w:w="0" w:type="dxa"/>
          <w:left w:w="0" w:type="dxa"/>
          <w:bottom w:w="0" w:type="dxa"/>
          <w:right w:w="0" w:type="dxa"/>
        </w:tblCellMar>
      </w:tblPr>
      <w:tblGrid>
        <w:gridCol w:w="3000"/>
        <w:gridCol w:w="270"/>
        <w:gridCol w:w="135"/>
        <w:gridCol w:w="95"/>
        <w:gridCol w:w="360"/>
        <w:gridCol w:w="135"/>
        <w:gridCol w:w="270"/>
        <w:gridCol w:w="165"/>
        <w:gridCol w:w="95"/>
        <w:gridCol w:w="360"/>
        <w:gridCol w:w="165"/>
        <w:gridCol w:w="300"/>
        <w:gridCol w:w="135"/>
        <w:gridCol w:w="95"/>
        <w:gridCol w:w="360"/>
        <w:gridCol w:w="135"/>
        <w:gridCol w:w="270"/>
        <w:gridCol w:w="165"/>
        <w:gridCol w:w="95"/>
        <w:gridCol w:w="360"/>
        <w:gridCol w:w="165"/>
        <w:gridCol w:w="300"/>
        <w:gridCol w:w="90"/>
        <w:gridCol w:w="95"/>
        <w:gridCol w:w="435"/>
        <w:gridCol w:w="90"/>
        <w:gridCol w:w="270"/>
        <w:gridCol w:w="120"/>
        <w:gridCol w:w="525"/>
        <w:gridCol w:w="120"/>
        <w:gridCol w:w="60"/>
      </w:tblGrid>
      <w:tr>
        <w:trPr/>
        <w:tc>
          <w:tcPr>
            <w:tcW w:w="300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5905" w:type="dxa"/>
            <w:gridSpan w:val="28"/>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Guidance (in millions)</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300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780" w:type="dxa"/>
            <w:gridSpan w:val="9"/>
            <w:tcBorders/>
            <w:shd w:fill="auto" w:val="cle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Three Months Ended</w:t>
            </w:r>
          </w:p>
        </w:tc>
        <w:tc>
          <w:tcPr>
            <w:tcW w:w="300" w:type="dxa"/>
            <w:tcBorders/>
            <w:shd w:fill="auto" w:val="clear"/>
            <w:vAlign w:val="bottom"/>
          </w:tcPr>
          <w:p>
            <w:pPr>
              <w:pStyle w:val="TableContents"/>
              <w:spacing w:lineRule="atLeast" w:line="200" w:before="0" w:after="0"/>
              <w:ind w:left="0" w:right="0" w:hanging="0"/>
              <w:rPr/>
            </w:pPr>
            <w:r>
              <w:rPr/>
              <w:t> </w:t>
            </w:r>
          </w:p>
        </w:tc>
        <w:tc>
          <w:tcPr>
            <w:tcW w:w="1780" w:type="dxa"/>
            <w:gridSpan w:val="9"/>
            <w:tcBorders/>
            <w:shd w:fill="auto" w:val="cle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Three Months Ended</w:t>
            </w:r>
          </w:p>
        </w:tc>
        <w:tc>
          <w:tcPr>
            <w:tcW w:w="300" w:type="dxa"/>
            <w:tcBorders/>
            <w:shd w:fill="auto" w:val="clear"/>
            <w:vAlign w:val="bottom"/>
          </w:tcPr>
          <w:p>
            <w:pPr>
              <w:pStyle w:val="TableContents"/>
              <w:spacing w:lineRule="atLeast" w:line="200" w:before="0" w:after="0"/>
              <w:ind w:left="0" w:right="0" w:hanging="0"/>
              <w:rPr/>
            </w:pPr>
            <w:r>
              <w:rPr/>
              <w:t> </w:t>
            </w:r>
          </w:p>
        </w:tc>
        <w:tc>
          <w:tcPr>
            <w:tcW w:w="1745" w:type="dxa"/>
            <w:gridSpan w:val="8"/>
            <w:tcBorders/>
            <w:shd w:fill="auto" w:val="cle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Twelve Months Ended</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300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780" w:type="dxa"/>
            <w:gridSpan w:val="9"/>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September 30, 2005</w:t>
            </w:r>
          </w:p>
        </w:tc>
        <w:tc>
          <w:tcPr>
            <w:tcW w:w="300" w:type="dxa"/>
            <w:tcBorders/>
            <w:shd w:fill="auto" w:val="clear"/>
            <w:vAlign w:val="bottom"/>
          </w:tcPr>
          <w:p>
            <w:pPr>
              <w:pStyle w:val="TableContents"/>
              <w:spacing w:lineRule="atLeast" w:line="200" w:before="0" w:after="0"/>
              <w:ind w:left="0" w:right="0" w:hanging="0"/>
              <w:rPr/>
            </w:pPr>
            <w:r>
              <w:rPr/>
              <w:t> </w:t>
            </w:r>
          </w:p>
        </w:tc>
        <w:tc>
          <w:tcPr>
            <w:tcW w:w="1780" w:type="dxa"/>
            <w:gridSpan w:val="9"/>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December 31, 2005</w:t>
            </w:r>
          </w:p>
        </w:tc>
        <w:tc>
          <w:tcPr>
            <w:tcW w:w="300" w:type="dxa"/>
            <w:tcBorders/>
            <w:shd w:fill="auto" w:val="clear"/>
            <w:vAlign w:val="bottom"/>
          </w:tcPr>
          <w:p>
            <w:pPr>
              <w:pStyle w:val="TableContents"/>
              <w:spacing w:lineRule="atLeast" w:line="200" w:before="0" w:after="0"/>
              <w:ind w:left="0" w:right="0" w:hanging="0"/>
              <w:rPr/>
            </w:pPr>
            <w:r>
              <w:rPr/>
              <w:t> </w:t>
            </w:r>
          </w:p>
        </w:tc>
        <w:tc>
          <w:tcPr>
            <w:tcW w:w="1745" w:type="dxa"/>
            <w:gridSpan w:val="8"/>
            <w:tcBorders>
              <w:bottom w:val="single" w:sz="8"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December 31, 2005</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3000"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725"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Low    </w:t>
            </w:r>
          </w:p>
        </w:tc>
        <w:tc>
          <w:tcPr>
            <w:tcW w:w="270" w:type="dxa"/>
            <w:tcBorders/>
            <w:shd w:fill="auto" w:val="clear"/>
            <w:vAlign w:val="bottom"/>
          </w:tcPr>
          <w:p>
            <w:pPr>
              <w:pStyle w:val="TableContents"/>
              <w:spacing w:lineRule="atLeast" w:line="200" w:before="0" w:after="0"/>
              <w:ind w:left="0" w:right="0" w:hanging="0"/>
              <w:rPr/>
            </w:pPr>
            <w:r>
              <w:rPr/>
              <w:t> </w:t>
            </w:r>
          </w:p>
        </w:tc>
        <w:tc>
          <w:tcPr>
            <w:tcW w:w="785"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High    </w:t>
            </w:r>
          </w:p>
        </w:tc>
        <w:tc>
          <w:tcPr>
            <w:tcW w:w="300" w:type="dxa"/>
            <w:tcBorders/>
            <w:shd w:fill="auto" w:val="clear"/>
            <w:vAlign w:val="bottom"/>
          </w:tcPr>
          <w:p>
            <w:pPr>
              <w:pStyle w:val="TableContents"/>
              <w:spacing w:lineRule="atLeast" w:line="200" w:before="0" w:after="0"/>
              <w:ind w:left="0" w:right="0" w:hanging="0"/>
              <w:rPr/>
            </w:pPr>
            <w:r>
              <w:rPr/>
              <w:t> </w:t>
            </w:r>
          </w:p>
        </w:tc>
        <w:tc>
          <w:tcPr>
            <w:tcW w:w="725"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Low    </w:t>
            </w:r>
          </w:p>
        </w:tc>
        <w:tc>
          <w:tcPr>
            <w:tcW w:w="270" w:type="dxa"/>
            <w:tcBorders/>
            <w:shd w:fill="auto" w:val="clear"/>
            <w:vAlign w:val="bottom"/>
          </w:tcPr>
          <w:p>
            <w:pPr>
              <w:pStyle w:val="TableContents"/>
              <w:spacing w:lineRule="atLeast" w:line="200" w:before="0" w:after="0"/>
              <w:ind w:left="0" w:right="0" w:hanging="0"/>
              <w:rPr/>
            </w:pPr>
            <w:r>
              <w:rPr/>
              <w:t> </w:t>
            </w:r>
          </w:p>
        </w:tc>
        <w:tc>
          <w:tcPr>
            <w:tcW w:w="785"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High    </w:t>
            </w:r>
          </w:p>
        </w:tc>
        <w:tc>
          <w:tcPr>
            <w:tcW w:w="300" w:type="dxa"/>
            <w:tcBorders/>
            <w:shd w:fill="auto" w:val="clear"/>
            <w:vAlign w:val="bottom"/>
          </w:tcPr>
          <w:p>
            <w:pPr>
              <w:pStyle w:val="TableContents"/>
              <w:spacing w:lineRule="atLeast" w:line="200" w:before="0" w:after="0"/>
              <w:ind w:left="0" w:right="0" w:hanging="0"/>
              <w:rPr/>
            </w:pPr>
            <w:r>
              <w:rPr/>
              <w:t> </w:t>
            </w:r>
          </w:p>
        </w:tc>
        <w:tc>
          <w:tcPr>
            <w:tcW w:w="710" w:type="dxa"/>
            <w:gridSpan w:val="4"/>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Low    </w:t>
            </w:r>
          </w:p>
        </w:tc>
        <w:tc>
          <w:tcPr>
            <w:tcW w:w="270" w:type="dxa"/>
            <w:tcBorders/>
            <w:shd w:fill="auto" w:val="clear"/>
            <w:vAlign w:val="bottom"/>
          </w:tcPr>
          <w:p>
            <w:pPr>
              <w:pStyle w:val="TableContents"/>
              <w:spacing w:lineRule="atLeast" w:line="200" w:before="0" w:after="0"/>
              <w:ind w:left="0" w:right="0" w:hanging="0"/>
              <w:rPr/>
            </w:pPr>
            <w:r>
              <w:rPr/>
              <w:t> </w:t>
            </w:r>
          </w:p>
        </w:tc>
        <w:tc>
          <w:tcPr>
            <w:tcW w:w="765" w:type="dxa"/>
            <w:gridSpan w:val="3"/>
            <w:tcBorders>
              <w:bottom w:val="single" w:sz="8" w:space="0" w:color="000000"/>
            </w:tcBorders>
            <w:shd w:fill="auto" w:val="clear"/>
            <w:tcMar>
              <w:bottom w:w="28" w:type="dxa"/>
            </w:tcMar>
            <w:vAlign w:val="bottom"/>
          </w:tcPr>
          <w:p>
            <w:pPr>
              <w:pStyle w:val="TableContents"/>
              <w:spacing w:lineRule="atLeast" w:line="200" w:before="0" w:after="0"/>
              <w:ind w:left="0" w:right="0" w:hanging="0"/>
              <w:rPr/>
            </w:pPr>
            <w:r>
              <w:rPr/>
              <w:t>    </w:t>
            </w:r>
            <w:r>
              <w:rPr>
                <w:rFonts w:ascii="Times New Roman" w:hAnsi="Times New Roman"/>
                <w:b/>
                <w:sz w:val="13"/>
              </w:rPr>
              <w:t>High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3000" w:type="dxa"/>
            <w:tcBorders/>
            <w:shd w:fill="CCEEFF" w:val="clear"/>
          </w:tcPr>
          <w:p>
            <w:pPr>
              <w:pStyle w:val="TableContents"/>
              <w:spacing w:lineRule="atLeast" w:line="200" w:before="0" w:after="0"/>
              <w:ind w:left="0" w:right="0" w:hanging="0"/>
              <w:rPr>
                <w:rFonts w:ascii="Times New Roman" w:hAnsi="Times New Roman"/>
                <w:b/>
                <w:sz w:val="13"/>
              </w:rPr>
            </w:pPr>
            <w:r>
              <w:rPr>
                <w:rFonts w:ascii="Times New Roman" w:hAnsi="Times New Roman"/>
                <w:b/>
                <w:sz w:val="13"/>
              </w:rPr>
              <w:t>Reconciliation to Net Income</w:t>
            </w:r>
          </w:p>
        </w:tc>
        <w:tc>
          <w:tcPr>
            <w:tcW w:w="27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30"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525" w:type="dxa"/>
            <w:tcBorders/>
            <w:shd w:fill="CCEEFF" w:val="clear"/>
            <w:vAlign w:val="bottom"/>
          </w:tcPr>
          <w:p>
            <w:pPr>
              <w:pStyle w:val="TableContents"/>
              <w:spacing w:lineRule="atLeast" w:line="200"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lineRule="atLeast" w:line="200" w:before="0" w:after="0"/>
              <w:ind w:left="0" w:right="0" w:hanging="0"/>
              <w:rPr/>
            </w:pPr>
            <w:r>
              <w:rPr/>
              <w:t> </w:t>
            </w:r>
          </w:p>
        </w:tc>
      </w:tr>
      <w:tr>
        <w:trPr/>
        <w:tc>
          <w:tcPr>
            <w:tcW w:w="300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EBITDA</w:t>
            </w:r>
          </w:p>
        </w:tc>
        <w:tc>
          <w:tcPr>
            <w:tcW w:w="27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95" w:type="dxa"/>
            <w:tcBorders/>
            <w:shd w:fill="auto"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60"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87.8</w:t>
            </w:r>
          </w:p>
        </w:tc>
        <w:tc>
          <w:tcPr>
            <w:tcW w:w="135"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95" w:type="dxa"/>
            <w:tcBorders/>
            <w:shd w:fill="auto"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60"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97.8</w:t>
            </w:r>
          </w:p>
        </w:tc>
        <w:tc>
          <w:tcPr>
            <w:tcW w:w="165" w:type="dxa"/>
            <w:tcBorders/>
            <w:shd w:fill="auto" w:val="clear"/>
            <w:vAlign w:val="bottom"/>
          </w:tcPr>
          <w:p>
            <w:pPr>
              <w:pStyle w:val="TableContents"/>
              <w:spacing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95" w:type="dxa"/>
            <w:tcBorders/>
            <w:shd w:fill="auto"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60"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67.8</w:t>
            </w:r>
          </w:p>
        </w:tc>
        <w:tc>
          <w:tcPr>
            <w:tcW w:w="135"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95" w:type="dxa"/>
            <w:tcBorders/>
            <w:shd w:fill="auto" w:val="cle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60"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82.8</w:t>
            </w:r>
          </w:p>
        </w:tc>
        <w:tc>
          <w:tcPr>
            <w:tcW w:w="165" w:type="dxa"/>
            <w:tcBorders/>
            <w:shd w:fill="auto" w:val="clear"/>
            <w:vAlign w:val="bottom"/>
          </w:tcPr>
          <w:p>
            <w:pPr>
              <w:pStyle w:val="TableContents"/>
              <w:spacing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435"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318.1</w:t>
            </w:r>
          </w:p>
        </w:tc>
        <w:tc>
          <w:tcPr>
            <w:tcW w:w="90"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525"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$343.1</w:t>
            </w:r>
          </w:p>
        </w:tc>
        <w:tc>
          <w:tcPr>
            <w:tcW w:w="120"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300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Depreciation and</w:t>
              <w:br/>
              <w:t>amortization</w:t>
            </w:r>
          </w:p>
        </w:tc>
        <w:tc>
          <w:tcPr>
            <w:tcW w:w="27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20.3</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19.8</w:t>
            </w:r>
          </w:p>
        </w:tc>
        <w:tc>
          <w:tcPr>
            <w:tcW w:w="16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20.8</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20.3</w:t>
            </w:r>
          </w:p>
        </w:tc>
        <w:tc>
          <w:tcPr>
            <w:tcW w:w="16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3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79.7</w:t>
            </w:r>
          </w:p>
        </w:tc>
        <w:tc>
          <w:tcPr>
            <w:tcW w:w="90" w:type="dxa"/>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525" w:type="dxa"/>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78.7</w:t>
            </w:r>
          </w:p>
        </w:tc>
        <w:tc>
          <w:tcPr>
            <w:tcW w:w="120"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lineRule="atLeast" w:line="200" w:before="0" w:after="0"/>
              <w:ind w:left="0" w:right="0" w:hanging="0"/>
              <w:rPr/>
            </w:pPr>
            <w:r>
              <w:rPr/>
              <w:t> </w:t>
            </w:r>
          </w:p>
        </w:tc>
      </w:tr>
      <w:tr>
        <w:trPr/>
        <w:tc>
          <w:tcPr>
            <w:tcW w:w="300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EBIT</w:t>
            </w:r>
          </w:p>
        </w:tc>
        <w:tc>
          <w:tcPr>
            <w:tcW w:w="27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45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67.5</w:t>
            </w:r>
          </w:p>
        </w:tc>
        <w:tc>
          <w:tcPr>
            <w:tcW w:w="13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5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78.0</w:t>
            </w:r>
          </w:p>
        </w:tc>
        <w:tc>
          <w:tcPr>
            <w:tcW w:w="16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45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47.0</w:t>
            </w:r>
          </w:p>
        </w:tc>
        <w:tc>
          <w:tcPr>
            <w:tcW w:w="13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55" w:type="dxa"/>
            <w:gridSpan w:val="2"/>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62.5</w:t>
            </w:r>
          </w:p>
        </w:tc>
        <w:tc>
          <w:tcPr>
            <w:tcW w:w="16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530" w:type="dxa"/>
            <w:gridSpan w:val="2"/>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238.4</w:t>
            </w:r>
          </w:p>
        </w:tc>
        <w:tc>
          <w:tcPr>
            <w:tcW w:w="90"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525" w:type="dxa"/>
            <w:tcBorders/>
            <w:shd w:fill="auto" w:val="cle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264.4</w:t>
            </w:r>
          </w:p>
        </w:tc>
        <w:tc>
          <w:tcPr>
            <w:tcW w:w="120"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3000" w:type="dxa"/>
            <w:tcBorders/>
            <w:shd w:fill="CCEEFF"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Interest expense</w:t>
            </w:r>
          </w:p>
        </w:tc>
        <w:tc>
          <w:tcPr>
            <w:tcW w:w="27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16.8</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16.2</w:t>
            </w:r>
          </w:p>
        </w:tc>
        <w:tc>
          <w:tcPr>
            <w:tcW w:w="16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13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17.0</w:t>
            </w:r>
          </w:p>
        </w:tc>
        <w:tc>
          <w:tcPr>
            <w:tcW w:w="135" w:type="dxa"/>
            <w:tcBorders/>
            <w:shd w:fill="CCEEFF" w:val="clear"/>
            <w:vAlign w:val="bottom"/>
          </w:tcPr>
          <w:p>
            <w:pPr>
              <w:pStyle w:val="TableContents"/>
              <w:spacing w:lineRule="atLeast" w:line="200" w:before="0" w:after="0"/>
              <w:ind w:left="0" w:right="0" w:hanging="0"/>
              <w:rPr/>
            </w:pPr>
            <w:r>
              <w:rPr/>
              <w:t> </w:t>
            </w:r>
          </w:p>
        </w:tc>
        <w:tc>
          <w:tcPr>
            <w:tcW w:w="270" w:type="dxa"/>
            <w:tcBorders/>
            <w:shd w:fill="CCEEFF" w:val="clear"/>
            <w:vAlign w:val="bottom"/>
          </w:tcPr>
          <w:p>
            <w:pPr>
              <w:pStyle w:val="TableContents"/>
              <w:spacing w:lineRule="atLeast" w:line="200" w:before="0" w:after="0"/>
              <w:ind w:left="0" w:right="0" w:hanging="0"/>
              <w:rPr/>
            </w:pPr>
            <w:r>
              <w:rPr/>
              <w:t> </w:t>
            </w:r>
          </w:p>
        </w:tc>
        <w:tc>
          <w:tcPr>
            <w:tcW w:w="165" w:type="dxa"/>
            <w:tcBorders/>
            <w:shd w:fill="CCEEFF" w:val="clear"/>
            <w:vAlign w:val="bottom"/>
          </w:tcPr>
          <w:p>
            <w:pPr>
              <w:pStyle w:val="TableContents"/>
              <w:spacing w:lineRule="atLeast" w:line="200" w:before="0" w:after="0"/>
              <w:ind w:left="0" w:right="0" w:hanging="0"/>
              <w:rPr/>
            </w:pPr>
            <w:r>
              <w:rPr/>
              <w:t> </w:t>
            </w:r>
          </w:p>
        </w:tc>
        <w:tc>
          <w:tcPr>
            <w:tcW w:w="455" w:type="dxa"/>
            <w:gridSpan w:val="2"/>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16.6</w:t>
            </w:r>
          </w:p>
        </w:tc>
        <w:tc>
          <w:tcPr>
            <w:tcW w:w="165" w:type="dxa"/>
            <w:tcBorders/>
            <w:shd w:fill="CCEEFF" w:val="clear"/>
            <w:vAlign w:val="bottom"/>
          </w:tcPr>
          <w:p>
            <w:pPr>
              <w:pStyle w:val="TableContents"/>
              <w:spacing w:lineRule="atLeast" w:line="200" w:before="0" w:after="0"/>
              <w:ind w:left="0" w:right="0" w:hanging="0"/>
              <w:rPr/>
            </w:pPr>
            <w:r>
              <w:rPr/>
              <w:t> </w:t>
            </w:r>
          </w:p>
        </w:tc>
        <w:tc>
          <w:tcPr>
            <w:tcW w:w="300" w:type="dxa"/>
            <w:tcBorders/>
            <w:shd w:fill="CCEEFF" w:val="clear"/>
            <w:vAlign w:val="bottom"/>
          </w:tcPr>
          <w:p>
            <w:pPr>
              <w:pStyle w:val="TableContents"/>
              <w:spacing w:lineRule="atLeast" w:line="200"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53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62.6</w:t>
            </w:r>
          </w:p>
        </w:tc>
        <w:tc>
          <w:tcPr>
            <w:tcW w:w="90" w:type="dxa"/>
            <w:tcBorders/>
            <w:shd w:fill="CCEEFF" w:val="clear"/>
            <w:vAlign w:val="bottom"/>
          </w:tcPr>
          <w:p>
            <w:pPr>
              <w:pStyle w:val="TableContents"/>
              <w:spacing w:before="0" w:after="0"/>
              <w:ind w:left="0" w:right="0" w:hanging="0"/>
              <w:rPr/>
            </w:pPr>
            <w:r>
              <w:rPr/>
              <w:t> </w:t>
            </w:r>
          </w:p>
        </w:tc>
        <w:tc>
          <w:tcPr>
            <w:tcW w:w="27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lineRule="atLeast" w:line="200" w:before="0" w:after="0"/>
              <w:ind w:left="0" w:right="0" w:hanging="0"/>
              <w:rPr/>
            </w:pPr>
            <w:r>
              <w:rPr/>
              <w:t> </w:t>
            </w:r>
          </w:p>
        </w:tc>
        <w:tc>
          <w:tcPr>
            <w:tcW w:w="525" w:type="dxa"/>
            <w:tcBorders>
              <w:bottom w:val="single" w:sz="8" w:space="0" w:color="000000"/>
            </w:tcBorders>
            <w:shd w:fill="CCEEFF"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61.6</w:t>
            </w:r>
          </w:p>
        </w:tc>
        <w:tc>
          <w:tcPr>
            <w:tcW w:w="120" w:type="dxa"/>
            <w:tcBorders/>
            <w:shd w:fill="CCEEFF" w:val="clear"/>
            <w:vAlign w:val="bottom"/>
          </w:tcPr>
          <w:p>
            <w:pPr>
              <w:pStyle w:val="TableContents"/>
              <w:spacing w:lineRule="atLeast" w:line="200" w:before="0" w:after="0"/>
              <w:ind w:left="0" w:right="0" w:hanging="0"/>
              <w:rPr/>
            </w:pPr>
            <w:r>
              <w:rPr/>
              <w:t> </w:t>
            </w:r>
          </w:p>
        </w:tc>
        <w:tc>
          <w:tcPr>
            <w:tcW w:w="60" w:type="dxa"/>
            <w:tcBorders/>
            <w:shd w:fill="CCEEFF" w:val="clear"/>
            <w:vAlign w:val="bottom"/>
          </w:tcPr>
          <w:p>
            <w:pPr>
              <w:pStyle w:val="TableContents"/>
              <w:spacing w:lineRule="atLeast" w:line="200" w:before="0" w:after="0"/>
              <w:ind w:left="0" w:right="0" w:hanging="0"/>
              <w:rPr/>
            </w:pPr>
            <w:r>
              <w:rPr/>
              <w:t> </w:t>
            </w:r>
          </w:p>
        </w:tc>
      </w:tr>
      <w:tr>
        <w:trPr/>
        <w:tc>
          <w:tcPr>
            <w:tcW w:w="3000" w:type="dxa"/>
            <w:tcBorders/>
            <w:shd w:fill="auto" w:val="clear"/>
          </w:tcPr>
          <w:p>
            <w:pPr>
              <w:pStyle w:val="TableContents"/>
              <w:spacing w:lineRule="atLeast" w:line="200" w:before="0" w:after="0"/>
              <w:ind w:left="0" w:right="0" w:hanging="0"/>
              <w:rPr>
                <w:rFonts w:ascii="Times New Roman" w:hAnsi="Times New Roman"/>
                <w:sz w:val="13"/>
              </w:rPr>
            </w:pPr>
            <w:r>
              <w:rPr>
                <w:rFonts w:ascii="Times New Roman" w:hAnsi="Times New Roman"/>
                <w:sz w:val="13"/>
              </w:rPr>
              <w:t>Net Income</w:t>
            </w:r>
          </w:p>
        </w:tc>
        <w:tc>
          <w:tcPr>
            <w:tcW w:w="27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6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50.7</w:t>
            </w:r>
          </w:p>
        </w:tc>
        <w:tc>
          <w:tcPr>
            <w:tcW w:w="135"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jc w:val="left"/>
              <w:rPr>
                <w:rFonts w:ascii="Times New Roman" w:hAnsi="Times New Roman"/>
                <w:sz w:val="13"/>
              </w:rPr>
            </w:pPr>
            <w:r>
              <w:rPr>
                <w:rFonts w:ascii="Times New Roman" w:hAnsi="Times New Roman"/>
                <w:sz w:val="13"/>
              </w:rPr>
              <w:t>$</w:t>
            </w:r>
          </w:p>
        </w:tc>
        <w:tc>
          <w:tcPr>
            <w:tcW w:w="36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61.8</w:t>
            </w:r>
          </w:p>
        </w:tc>
        <w:tc>
          <w:tcPr>
            <w:tcW w:w="165" w:type="dxa"/>
            <w:tcBorders/>
            <w:shd w:fill="auto" w:val="clear"/>
            <w:vAlign w:val="bottom"/>
          </w:tcPr>
          <w:p>
            <w:pPr>
              <w:pStyle w:val="TableContents"/>
              <w:spacing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135" w:type="dxa"/>
            <w:tcBorders/>
            <w:shd w:fill="auto" w:val="clear"/>
            <w:vAlign w:val="bottom"/>
          </w:tcPr>
          <w:p>
            <w:pPr>
              <w:pStyle w:val="TableContents"/>
              <w:spacing w:lineRule="atLeast" w:line="200" w:before="0" w:after="0"/>
              <w:ind w:left="0" w:right="0" w:hanging="0"/>
              <w:rPr/>
            </w:pPr>
            <w:r>
              <w:rPr/>
              <w:t> </w:t>
            </w:r>
          </w:p>
        </w:tc>
        <w:tc>
          <w:tcPr>
            <w:tcW w:w="45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$30.0</w:t>
            </w:r>
          </w:p>
        </w:tc>
        <w:tc>
          <w:tcPr>
            <w:tcW w:w="135" w:type="dxa"/>
            <w:tcBorders/>
            <w:shd w:fill="auto" w:val="clear"/>
            <w:vAlign w:val="bottom"/>
          </w:tcPr>
          <w:p>
            <w:pPr>
              <w:pStyle w:val="TableContents"/>
              <w:spacing w:lineRule="atLeast" w:line="200" w:before="0" w:after="0"/>
              <w:ind w:left="0" w:right="0" w:hanging="0"/>
              <w:rPr/>
            </w:pPr>
            <w:r>
              <w:rPr/>
              <w:t> </w:t>
            </w:r>
          </w:p>
        </w:tc>
        <w:tc>
          <w:tcPr>
            <w:tcW w:w="270" w:type="dxa"/>
            <w:tcBorders/>
            <w:shd w:fill="auto" w:val="clear"/>
            <w:vAlign w:val="bottom"/>
          </w:tcPr>
          <w:p>
            <w:pPr>
              <w:pStyle w:val="TableContents"/>
              <w:spacing w:lineRule="atLeast" w:line="200" w:before="0" w:after="0"/>
              <w:ind w:left="0" w:right="0" w:hanging="0"/>
              <w:rPr/>
            </w:pPr>
            <w:r>
              <w:rPr/>
              <w:t> </w:t>
            </w:r>
          </w:p>
        </w:tc>
        <w:tc>
          <w:tcPr>
            <w:tcW w:w="165" w:type="dxa"/>
            <w:tcBorders/>
            <w:shd w:fill="auto" w:val="clear"/>
            <w:vAlign w:val="bottom"/>
          </w:tcPr>
          <w:p>
            <w:pPr>
              <w:pStyle w:val="TableContents"/>
              <w:spacing w:lineRule="atLeast" w:line="200" w:before="0" w:after="0"/>
              <w:ind w:left="0" w:right="0" w:hanging="0"/>
              <w:rPr/>
            </w:pPr>
            <w:r>
              <w:rPr/>
              <w:t> </w:t>
            </w:r>
          </w:p>
        </w:tc>
        <w:tc>
          <w:tcPr>
            <w:tcW w:w="455" w:type="dxa"/>
            <w:gridSpan w:val="2"/>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$45.9</w:t>
            </w:r>
          </w:p>
        </w:tc>
        <w:tc>
          <w:tcPr>
            <w:tcW w:w="165" w:type="dxa"/>
            <w:tcBorders/>
            <w:shd w:fill="auto" w:val="clear"/>
            <w:vAlign w:val="bottom"/>
          </w:tcPr>
          <w:p>
            <w:pPr>
              <w:pStyle w:val="TableContents"/>
              <w:spacing w:lineRule="atLeast" w:line="200" w:before="0" w:after="0"/>
              <w:ind w:left="0" w:right="0" w:hanging="0"/>
              <w:rPr/>
            </w:pPr>
            <w:r>
              <w:rPr/>
              <w:t> </w:t>
            </w:r>
          </w:p>
        </w:tc>
        <w:tc>
          <w:tcPr>
            <w:tcW w:w="300" w:type="dxa"/>
            <w:tcBorders/>
            <w:shd w:fill="auto" w:val="clear"/>
            <w:vAlign w:val="bottom"/>
          </w:tcPr>
          <w:p>
            <w:pPr>
              <w:pStyle w:val="TableContents"/>
              <w:spacing w:lineRule="atLeast" w:line="200"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3"/>
              </w:rPr>
            </w:pPr>
            <w:r>
              <w:rPr>
                <w:rFonts w:ascii="Times New Roman" w:hAnsi="Times New Roman"/>
                <w:sz w:val="13"/>
              </w:rPr>
              <w:t>$</w:t>
            </w:r>
          </w:p>
        </w:tc>
        <w:tc>
          <w:tcPr>
            <w:tcW w:w="43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3"/>
              </w:rPr>
            </w:pPr>
            <w:r>
              <w:rPr>
                <w:rFonts w:ascii="Times New Roman" w:hAnsi="Times New Roman"/>
                <w:sz w:val="13"/>
              </w:rPr>
              <w:t>175.8</w:t>
            </w:r>
          </w:p>
        </w:tc>
        <w:tc>
          <w:tcPr>
            <w:tcW w:w="90" w:type="dxa"/>
            <w:tcBorders/>
            <w:shd w:fill="auto" w:val="clear"/>
            <w:vAlign w:val="bottom"/>
          </w:tcPr>
          <w:p>
            <w:pPr>
              <w:pStyle w:val="TableContents"/>
              <w:spacing w:before="0" w:after="0"/>
              <w:ind w:left="0" w:right="0" w:hanging="0"/>
              <w:rPr/>
            </w:pPr>
            <w:r>
              <w:rPr/>
              <w:t> </w:t>
            </w:r>
          </w:p>
        </w:tc>
        <w:tc>
          <w:tcPr>
            <w:tcW w:w="270"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lineRule="atLeast" w:line="200" w:before="0" w:after="0"/>
              <w:ind w:left="0" w:right="0" w:hanging="0"/>
              <w:rPr/>
            </w:pPr>
            <w:r>
              <w:rPr/>
              <w:t> </w:t>
            </w:r>
          </w:p>
        </w:tc>
        <w:tc>
          <w:tcPr>
            <w:tcW w:w="525" w:type="dxa"/>
            <w:tcBorders>
              <w:bottom w:val="double" w:sz="6" w:space="0" w:color="000000"/>
            </w:tcBorders>
            <w:shd w:fill="auto" w:val="clear"/>
            <w:tcMar>
              <w:bottom w:w="28" w:type="dxa"/>
            </w:tcMar>
            <w:vAlign w:val="bottom"/>
          </w:tcPr>
          <w:p>
            <w:pPr>
              <w:pStyle w:val="TableContents"/>
              <w:spacing w:lineRule="atLeast" w:line="200" w:before="0" w:after="0"/>
              <w:ind w:left="0" w:right="0" w:hanging="0"/>
              <w:rPr>
                <w:rFonts w:ascii="Times New Roman" w:hAnsi="Times New Roman"/>
                <w:sz w:val="13"/>
              </w:rPr>
            </w:pPr>
            <w:r>
              <w:rPr>
                <w:rFonts w:ascii="Times New Roman" w:hAnsi="Times New Roman"/>
                <w:sz w:val="13"/>
              </w:rPr>
              <w:t>$202.8</w:t>
            </w:r>
          </w:p>
        </w:tc>
        <w:tc>
          <w:tcPr>
            <w:tcW w:w="120" w:type="dxa"/>
            <w:tcBorders/>
            <w:shd w:fill="auto" w:val="clear"/>
            <w:vAlign w:val="bottom"/>
          </w:tcPr>
          <w:p>
            <w:pPr>
              <w:pStyle w:val="TableContents"/>
              <w:spacing w:lineRule="atLeast" w:line="200" w:before="0" w:after="0"/>
              <w:ind w:left="0" w:right="0" w:hanging="0"/>
              <w:rPr/>
            </w:pPr>
            <w:r>
              <w:rPr/>
              <w:t> </w:t>
            </w:r>
          </w:p>
        </w:tc>
        <w:tc>
          <w:tcPr>
            <w:tcW w:w="60" w:type="dxa"/>
            <w:tcBorders/>
            <w:shd w:fill="auto" w:val="clear"/>
            <w:vAlign w:val="bottom"/>
          </w:tcPr>
          <w:p>
            <w:pPr>
              <w:pStyle w:val="TableContents"/>
              <w:spacing w:lineRule="atLeast" w:line="200" w:before="0" w:after="0"/>
              <w:ind w:left="0" w:right="0" w:hanging="0"/>
              <w:rPr/>
            </w:pPr>
            <w:r>
              <w:rPr/>
              <w:t> </w:t>
            </w:r>
          </w:p>
        </w:tc>
      </w:tr>
      <w:tr>
        <w:trPr/>
        <w:tc>
          <w:tcPr>
            <w:tcW w:w="300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8</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sz w:val="17"/>
        </w:rPr>
      </w:pPr>
      <w:bookmarkStart w:id="6" w:name="ForwardlookingStatementsAndAssoci_231214"/>
      <w:bookmarkEnd w:id="6"/>
      <w:r>
        <w:rPr>
          <w:rFonts w:ascii="Times New Roman" w:hAnsi="Times New Roman"/>
          <w:b/>
          <w:sz w:val="17"/>
        </w:rPr>
        <w:t>Forward-Looking Statements and Associated Risks</w:t>
      </w:r>
    </w:p>
    <w:p>
      <w:pPr>
        <w:pStyle w:val="TextBody"/>
        <w:keepNext w:val="true"/>
        <w:spacing w:before="0" w:after="120"/>
        <w:ind w:left="0" w:right="0" w:firstLine="400"/>
        <w:rPr>
          <w:rFonts w:ascii="Times New Roman" w:hAnsi="Times New Roman"/>
          <w:sz w:val="17"/>
        </w:rPr>
      </w:pPr>
      <w:r>
        <w:rPr>
          <w:rFonts w:ascii="Times New Roman" w:hAnsi="Times New Roman"/>
          <w:sz w:val="17"/>
        </w:rPr>
        <w:t>All statements, other than statements of historical fact, included in this report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abrupt or severe production declines or production interruptions in outer continental shelf production located offshore California and transported on our pipeline system;</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success of our risk management activities;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and our ability to consummate, acquisition or combination opportunities;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our access to capital to fund additional acquisitions and our ability to obtain debt or equity financing on satisfactory terms;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successful integration and future performance of acquired assets or businesses;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environmental liabilities or events that are not covered by an indemnity, insurance or existing reserves;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maintenance of our credit rating and ability to receive open credit from our suppliers and trade counter-parties;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declines in volumes shipped on the Basin Pipeline, Capline Pipeline and our other pipelines by third party shippers;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adequate third party production volumes for transportation and marketing in the areas in which we operate;</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successful third-party drilling efforts in areas in which we operate pipelines or gather crude oil;</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demand for various grades of crude oil and resulting changes in pricing conditions or transmission throughput requirements;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fluctuations in refinery capacity in areas supplied by our transmission lines;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effects of competition;</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continued creditworthiness of, and performance by, our counterparties;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impact of crude oil price fluctuations;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impact of current and future laws, rulings and governmental regulations;</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shortages or cost increases of power supplies, materials or labor;</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weather interference with business operations or project construction;</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the currency exchange rate of the Canadian dollar;</w:t>
      </w:r>
    </w:p>
    <w:p>
      <w:pPr>
        <w:pStyle w:val="TextBody"/>
        <w:spacing w:before="480" w:after="480"/>
        <w:ind w:left="0" w:right="0" w:hanging="0"/>
        <w:rPr>
          <w:rFonts w:ascii="Times New Roman" w:hAnsi="Times New Roman"/>
          <w:sz w:val="17"/>
        </w:rPr>
      </w:pPr>
      <w:r>
        <w:rPr>
          <w:rFonts w:ascii="Times New Roman" w:hAnsi="Times New Roman"/>
          <w:sz w:val="17"/>
        </w:rPr>
        <w:t>8</w:t>
      </w:r>
    </w:p>
    <w:p>
      <w:pPr>
        <w:pStyle w:val="TextBody"/>
        <w:spacing w:before="0" w:after="0"/>
        <w:rPr/>
      </w:pPr>
      <w:r>
        <w:rPr/>
      </w:r>
    </w:p>
    <w:p>
      <w:pPr>
        <w:pStyle w:val="HorizontalLine"/>
        <w:pBdr>
          <w:bottom w:val="single" w:sz="18" w:space="0" w:color="010101"/>
        </w:pBdr>
        <w:rPr/>
      </w:pPr>
      <w:r>
        <w:rPr/>
      </w:r>
      <w:r>
        <w:br w:type="page"/>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fluctuations in the debt and equity markets, including the price of our units at the time of vesting under our LTIP plan;</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general economic, market or business conditions; and</w:t>
      </w:r>
    </w:p>
    <w:p>
      <w:pPr>
        <w:pStyle w:val="TextBody"/>
        <w:spacing w:before="0" w:after="180"/>
        <w:ind w:left="600" w:right="0" w:hanging="200"/>
        <w:rPr>
          <w:rFonts w:ascii="Times New Roman" w:hAnsi="Times New Roman"/>
          <w:sz w:val="17"/>
        </w:rPr>
      </w:pPr>
      <w:r>
        <w:rPr>
          <w:rFonts w:ascii="Symbol" w:hAnsi="Symbol"/>
          <w:sz w:val="17"/>
        </w:rPr>
        <w:t>·</w:t>
      </w:r>
      <w:r>
        <w:rPr>
          <w:rFonts w:ascii="Times New Roman" w:hAnsi="Times New Roman"/>
          <w:sz w:val="17"/>
        </w:rPr>
        <w:t>       other factors and uncertainties inherent in the marketing, transportation, terminalling, gathering and storage of crude oil and liquified petroleum gas.</w:t>
      </w:r>
    </w:p>
    <w:p>
      <w:pPr>
        <w:pStyle w:val="TextBody"/>
        <w:spacing w:before="0" w:after="120"/>
        <w:ind w:left="0" w:right="0" w:firstLine="40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480" w:after="480"/>
        <w:ind w:left="0" w:right="0" w:hanging="0"/>
        <w:rPr>
          <w:rFonts w:ascii="Times New Roman" w:hAnsi="Times New Roman"/>
          <w:sz w:val="17"/>
        </w:rPr>
      </w:pPr>
      <w:r>
        <w:rPr>
          <w:rFonts w:ascii="Times New Roman" w:hAnsi="Times New Roman"/>
          <w:sz w:val="17"/>
        </w:rPr>
        <w:t>9</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7" w:name="Signatures_232111"/>
      <w:bookmarkEnd w:id="7"/>
      <w:r>
        <w:rPr>
          <w:rFonts w:ascii="Times New Roman" w:hAnsi="Times New Roman"/>
          <w:b/>
          <w:sz w:val="17"/>
        </w:rPr>
        <w:t>SIGNATURES</w:t>
      </w:r>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tbl>
      <w:tblPr>
        <w:tblW w:w="10155" w:type="dxa"/>
        <w:jc w:val="left"/>
        <w:tblInd w:w="0" w:type="dxa"/>
        <w:tblCellMar>
          <w:top w:w="0" w:type="dxa"/>
          <w:left w:w="0" w:type="dxa"/>
          <w:bottom w:w="0" w:type="dxa"/>
          <w:right w:w="0" w:type="dxa"/>
        </w:tblCellMar>
      </w:tblPr>
      <w:tblGrid>
        <w:gridCol w:w="3855"/>
        <w:gridCol w:w="240"/>
        <w:gridCol w:w="405"/>
        <w:gridCol w:w="255"/>
        <w:gridCol w:w="825"/>
        <w:gridCol w:w="210"/>
        <w:gridCol w:w="4365"/>
      </w:tblGrid>
      <w:tr>
        <w:trPr/>
        <w:tc>
          <w:tcPr>
            <w:tcW w:w="385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60" w:type="dxa"/>
            <w:gridSpan w:val="5"/>
            <w:tcBorders/>
            <w:shd w:fill="auto" w:val="clear"/>
            <w:vAlign w:val="bottom"/>
          </w:tcPr>
          <w:p>
            <w:pPr>
              <w:pStyle w:val="TableContents"/>
              <w:spacing w:before="0" w:after="0"/>
              <w:ind w:left="0" w:right="0" w:hanging="0"/>
              <w:rPr>
                <w:sz w:val="17"/>
              </w:rPr>
            </w:pPr>
            <w:r>
              <w:rPr>
                <w:sz w:val="17"/>
              </w:rPr>
              <w:t>PLAINS ALL AMERICAN PIPELINE, L.P.</w:t>
            </w:r>
          </w:p>
        </w:tc>
      </w:tr>
      <w:tr>
        <w:trPr/>
        <w:tc>
          <w:tcPr>
            <w:tcW w:w="3855" w:type="dxa"/>
            <w:tcBorders/>
            <w:shd w:fill="auto" w:val="clear"/>
          </w:tcPr>
          <w:p>
            <w:pPr>
              <w:pStyle w:val="TableContents"/>
              <w:spacing w:before="120" w:after="120"/>
              <w:ind w:left="0" w:right="0" w:hanging="0"/>
              <w:rPr/>
            </w:pPr>
            <w:r>
              <w:rPr/>
              <w:t> </w:t>
            </w:r>
          </w:p>
        </w:tc>
        <w:tc>
          <w:tcPr>
            <w:tcW w:w="240" w:type="dxa"/>
            <w:tcBorders/>
            <w:shd w:fill="auto" w:val="clear"/>
            <w:vAlign w:val="bottom"/>
          </w:tcPr>
          <w:p>
            <w:pPr>
              <w:pStyle w:val="TableContents"/>
              <w:spacing w:before="120" w:after="120"/>
              <w:ind w:left="0" w:right="0" w:hanging="0"/>
              <w:rPr/>
            </w:pPr>
            <w:r>
              <w:rPr/>
              <w:t> </w:t>
            </w:r>
          </w:p>
        </w:tc>
        <w:tc>
          <w:tcPr>
            <w:tcW w:w="405"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By:</w:t>
            </w:r>
          </w:p>
        </w:tc>
        <w:tc>
          <w:tcPr>
            <w:tcW w:w="255" w:type="dxa"/>
            <w:tcBorders/>
            <w:shd w:fill="auto" w:val="clear"/>
            <w:vAlign w:val="bottom"/>
          </w:tcPr>
          <w:p>
            <w:pPr>
              <w:pStyle w:val="TableContents"/>
              <w:spacing w:before="120" w:after="120"/>
              <w:ind w:left="0" w:right="0" w:hanging="0"/>
              <w:rPr/>
            </w:pPr>
            <w:r>
              <w:rPr/>
              <w:t> </w:t>
            </w:r>
          </w:p>
        </w:tc>
        <w:tc>
          <w:tcPr>
            <w:tcW w:w="5400" w:type="dxa"/>
            <w:gridSpan w:val="3"/>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PLAINS AAP, L. P., its general partner</w:t>
            </w:r>
          </w:p>
        </w:tc>
      </w:tr>
      <w:tr>
        <w:trPr/>
        <w:tc>
          <w:tcPr>
            <w:tcW w:w="3855" w:type="dxa"/>
            <w:tcBorders/>
            <w:shd w:fill="auto" w:val="clear"/>
          </w:tcPr>
          <w:p>
            <w:pPr>
              <w:pStyle w:val="TableContents"/>
              <w:spacing w:before="120" w:after="120"/>
              <w:ind w:left="0" w:right="0" w:hanging="0"/>
              <w:rPr/>
            </w:pPr>
            <w:r>
              <w:rPr/>
              <w:t> </w:t>
            </w:r>
          </w:p>
        </w:tc>
        <w:tc>
          <w:tcPr>
            <w:tcW w:w="240" w:type="dxa"/>
            <w:tcBorders/>
            <w:shd w:fill="auto" w:val="clear"/>
            <w:vAlign w:val="bottom"/>
          </w:tcPr>
          <w:p>
            <w:pPr>
              <w:pStyle w:val="TableContents"/>
              <w:spacing w:before="120" w:after="120"/>
              <w:ind w:left="0" w:right="0" w:hanging="0"/>
              <w:rPr/>
            </w:pPr>
            <w:r>
              <w:rPr/>
              <w:t> </w:t>
            </w:r>
          </w:p>
        </w:tc>
        <w:tc>
          <w:tcPr>
            <w:tcW w:w="405"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By:</w:t>
            </w:r>
          </w:p>
        </w:tc>
        <w:tc>
          <w:tcPr>
            <w:tcW w:w="255" w:type="dxa"/>
            <w:tcBorders/>
            <w:shd w:fill="auto" w:val="clear"/>
            <w:vAlign w:val="bottom"/>
          </w:tcPr>
          <w:p>
            <w:pPr>
              <w:pStyle w:val="TableContents"/>
              <w:spacing w:before="120" w:after="120"/>
              <w:ind w:left="0" w:right="0" w:hanging="0"/>
              <w:rPr/>
            </w:pPr>
            <w:r>
              <w:rPr/>
              <w:t> </w:t>
            </w:r>
          </w:p>
        </w:tc>
        <w:tc>
          <w:tcPr>
            <w:tcW w:w="5400" w:type="dxa"/>
            <w:gridSpan w:val="3"/>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PLAINS ALL AMERICAN GP LLC,</w:t>
              <w:br/>
              <w:t>its general partner</w:t>
            </w:r>
          </w:p>
        </w:tc>
      </w:tr>
      <w:tr>
        <w:trPr/>
        <w:tc>
          <w:tcPr>
            <w:tcW w:w="3855"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Date: July 28, 2005</w:t>
            </w:r>
          </w:p>
        </w:tc>
        <w:tc>
          <w:tcPr>
            <w:tcW w:w="240" w:type="dxa"/>
            <w:tcBorders/>
            <w:shd w:fill="auto" w:val="clear"/>
            <w:vAlign w:val="bottom"/>
          </w:tcPr>
          <w:p>
            <w:pPr>
              <w:pStyle w:val="TableContents"/>
              <w:spacing w:before="120" w:after="120"/>
              <w:ind w:left="0" w:right="0" w:hanging="0"/>
              <w:rPr/>
            </w:pPr>
            <w:r>
              <w:rPr/>
              <w:t> </w:t>
            </w:r>
          </w:p>
        </w:tc>
        <w:tc>
          <w:tcPr>
            <w:tcW w:w="405"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By:</w:t>
            </w:r>
          </w:p>
        </w:tc>
        <w:tc>
          <w:tcPr>
            <w:tcW w:w="255" w:type="dxa"/>
            <w:tcBorders/>
            <w:shd w:fill="auto" w:val="clear"/>
            <w:vAlign w:val="bottom"/>
          </w:tcPr>
          <w:p>
            <w:pPr>
              <w:pStyle w:val="TableContents"/>
              <w:spacing w:before="120" w:after="120"/>
              <w:ind w:left="0" w:right="0" w:hanging="0"/>
              <w:rPr/>
            </w:pPr>
            <w:r>
              <w:rPr/>
              <w:t> </w:t>
            </w:r>
          </w:p>
        </w:tc>
        <w:tc>
          <w:tcPr>
            <w:tcW w:w="5400" w:type="dxa"/>
            <w:gridSpan w:val="3"/>
            <w:tcBorders>
              <w:bottom w:val="single" w:sz="8" w:space="0" w:color="000000"/>
            </w:tcBorders>
            <w:shd w:fill="auto" w:val="clear"/>
            <w:tcMar>
              <w:bottom w:w="28" w:type="dxa"/>
            </w:tcMar>
          </w:tcPr>
          <w:p>
            <w:pPr>
              <w:pStyle w:val="TableContents"/>
              <w:spacing w:before="120" w:after="120"/>
              <w:ind w:left="0" w:right="0" w:hanging="0"/>
              <w:rPr>
                <w:rFonts w:ascii="Times New Roman" w:hAnsi="Times New Roman"/>
                <w:sz w:val="17"/>
              </w:rPr>
            </w:pPr>
            <w:r>
              <w:rPr>
                <w:rFonts w:ascii="Times New Roman" w:hAnsi="Times New Roman"/>
                <w:sz w:val="17"/>
              </w:rPr>
              <w:t>/s/ PHIL KRAMER</w:t>
            </w:r>
          </w:p>
        </w:tc>
      </w:tr>
      <w:tr>
        <w:trPr/>
        <w:tc>
          <w:tcPr>
            <w:tcW w:w="385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40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4365"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Phil Kramer</w:t>
            </w:r>
          </w:p>
        </w:tc>
      </w:tr>
      <w:tr>
        <w:trPr/>
        <w:tc>
          <w:tcPr>
            <w:tcW w:w="385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405" w:type="dxa"/>
            <w:tcBorders/>
            <w:shd w:fill="auto" w:val="clear"/>
            <w:vAlign w:val="bottom"/>
          </w:tcPr>
          <w:p>
            <w:pPr>
              <w:pStyle w:val="TableContents"/>
              <w:spacing w:before="0" w:after="0"/>
              <w:ind w:left="0" w:right="0" w:hanging="0"/>
              <w:rPr/>
            </w:pPr>
            <w:r>
              <w:rPr/>
              <w:t> </w:t>
            </w:r>
          </w:p>
        </w:tc>
        <w:tc>
          <w:tcPr>
            <w:tcW w:w="255" w:type="dxa"/>
            <w:tcBorders/>
            <w:shd w:fill="auto" w:val="clear"/>
            <w:vAlign w:val="bottom"/>
          </w:tcPr>
          <w:p>
            <w:pPr>
              <w:pStyle w:val="TableContents"/>
              <w:spacing w:before="0" w:after="0"/>
              <w:ind w:left="0" w:right="0" w:hanging="0"/>
              <w:rPr/>
            </w:pPr>
            <w:r>
              <w:rPr/>
              <w:t> </w:t>
            </w:r>
          </w:p>
        </w:tc>
        <w:tc>
          <w:tcPr>
            <w:tcW w:w="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210" w:type="dxa"/>
            <w:tcBorders/>
            <w:shd w:fill="auto" w:val="clear"/>
            <w:vAlign w:val="bottom"/>
          </w:tcPr>
          <w:p>
            <w:pPr>
              <w:pStyle w:val="TableContents"/>
              <w:spacing w:before="0" w:after="0"/>
              <w:ind w:left="0" w:right="0" w:hanging="0"/>
              <w:rPr/>
            </w:pPr>
            <w:r>
              <w:rPr/>
              <w:t> </w:t>
            </w:r>
          </w:p>
        </w:tc>
        <w:tc>
          <w:tcPr>
            <w:tcW w:w="4365"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Executive Vice President and Chief Financial Officer</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10</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bookmarkStart w:id="8" w:name="a05-12477_1ex99d1.htm"/>
      <w:bookmarkStart w:id="9" w:name="ksa0512477_1ex99d1"/>
      <w:bookmarkEnd w:id="8"/>
      <w:bookmarkEnd w:id="9"/>
      <w:r>
        <w:rPr>
          <w:rFonts w:ascii="Times New Roman" w:hAnsi="Times New Roman"/>
          <w:b/>
          <w:sz w:val="17"/>
        </w:rPr>
        <w:t>Exhibit 99.1</w:t>
      </w:r>
    </w:p>
    <w:tbl>
      <w:tblPr>
        <w:tblW w:w="9345" w:type="dxa"/>
        <w:jc w:val="left"/>
        <w:tblInd w:w="0" w:type="dxa"/>
        <w:tblCellMar>
          <w:top w:w="0" w:type="dxa"/>
          <w:left w:w="0" w:type="dxa"/>
          <w:bottom w:w="0" w:type="dxa"/>
          <w:right w:w="0" w:type="dxa"/>
        </w:tblCellMar>
      </w:tblPr>
      <w:tblGrid>
        <w:gridCol w:w="1410"/>
        <w:gridCol w:w="3600"/>
        <w:gridCol w:w="4335"/>
      </w:tblGrid>
      <w:tr>
        <w:trPr/>
        <w:tc>
          <w:tcPr>
            <w:tcW w:w="1410" w:type="dxa"/>
            <w:tcBorders/>
            <w:shd w:fill="auto" w:val="clear"/>
          </w:tcPr>
          <w:p>
            <w:pPr>
              <w:pStyle w:val="TableContents"/>
              <w:spacing w:before="0" w:after="0"/>
              <w:ind w:left="0" w:right="0" w:hanging="0"/>
              <w:rPr>
                <w:b/>
                <w:sz w:val="17"/>
              </w:rPr>
            </w:pPr>
            <w:r>
              <w:rPr>
                <w:rFonts w:ascii="Times New Roman" w:hAnsi="Times New Roman"/>
                <w:b/>
                <w:i/>
                <w:sz w:val="17"/>
              </w:rPr>
              <w:t>Contacts</w:t>
            </w:r>
            <w:r>
              <w:rPr>
                <w:b/>
                <w:sz w:val="17"/>
              </w:rPr>
              <w:t>:</w:t>
            </w:r>
          </w:p>
        </w:tc>
        <w:tc>
          <w:tcPr>
            <w:tcW w:w="36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433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 Patrick Diamond</w:t>
            </w:r>
          </w:p>
        </w:tc>
      </w:tr>
      <w:tr>
        <w:trPr/>
        <w:tc>
          <w:tcPr>
            <w:tcW w:w="1410" w:type="dxa"/>
            <w:tcBorders/>
            <w:shd w:fill="auto" w:val="clear"/>
          </w:tcPr>
          <w:p>
            <w:pPr>
              <w:pStyle w:val="TableContents"/>
              <w:spacing w:before="0" w:after="0"/>
              <w:ind w:left="0" w:right="0" w:hanging="0"/>
              <w:rPr/>
            </w:pPr>
            <w:r>
              <w:rPr/>
              <w:t> </w:t>
            </w:r>
          </w:p>
        </w:tc>
        <w:tc>
          <w:tcPr>
            <w:tcW w:w="36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VP and CFO</w:t>
            </w:r>
          </w:p>
        </w:tc>
        <w:tc>
          <w:tcPr>
            <w:tcW w:w="433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Strategic Planning</w:t>
            </w:r>
          </w:p>
        </w:tc>
      </w:tr>
      <w:tr>
        <w:trPr/>
        <w:tc>
          <w:tcPr>
            <w:tcW w:w="1410" w:type="dxa"/>
            <w:tcBorders/>
            <w:shd w:fill="auto" w:val="clear"/>
          </w:tcPr>
          <w:p>
            <w:pPr>
              <w:pStyle w:val="TableContents"/>
              <w:spacing w:before="0" w:after="0"/>
              <w:ind w:left="0" w:right="0" w:hanging="0"/>
              <w:rPr/>
            </w:pPr>
            <w:r>
              <w:rPr/>
              <w:t> </w:t>
            </w:r>
          </w:p>
        </w:tc>
        <w:tc>
          <w:tcPr>
            <w:tcW w:w="36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713/646-4560800/564-3036</w:t>
            </w:r>
          </w:p>
        </w:tc>
        <w:tc>
          <w:tcPr>
            <w:tcW w:w="433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713/646-4487800/564-3036</w:t>
            </w:r>
          </w:p>
        </w:tc>
      </w:tr>
    </w:tbl>
    <w:p>
      <w:pPr>
        <w:pStyle w:val="TextBody"/>
        <w:spacing w:lineRule="atLeast" w:line="141" w:before="0" w:after="240"/>
        <w:ind w:left="0" w:right="0" w:hanging="0"/>
        <w:rPr/>
      </w:pPr>
      <w:r>
        <w:rPr/>
        <w:t> </w:t>
      </w:r>
    </w:p>
    <w:p>
      <w:pPr>
        <w:pStyle w:val="TextBody"/>
        <w:keepNext w:val="true"/>
        <w:spacing w:before="0" w:after="120"/>
        <w:ind w:left="200" w:right="0" w:hanging="200"/>
        <w:rPr>
          <w:rFonts w:ascii="Times New Roman" w:hAnsi="Times New Roman"/>
          <w:b/>
          <w:i/>
          <w:sz w:val="17"/>
        </w:rPr>
      </w:pPr>
      <w:bookmarkStart w:id="10" w:name="ForImmediateRelease_181040"/>
      <w:bookmarkEnd w:id="10"/>
      <w:r>
        <w:rPr>
          <w:rFonts w:ascii="Times New Roman" w:hAnsi="Times New Roman"/>
          <w:b/>
          <w:i/>
          <w:sz w:val="17"/>
        </w:rPr>
        <w:t>FOR IMMEDIATE RELEASE</w:t>
      </w:r>
    </w:p>
    <w:p>
      <w:pPr>
        <w:pStyle w:val="TextBody"/>
        <w:keepNext w:val="true"/>
        <w:spacing w:before="0" w:after="120"/>
        <w:ind w:left="0" w:right="0" w:hanging="0"/>
        <w:jc w:val="center"/>
        <w:rPr>
          <w:rFonts w:ascii="Times New Roman" w:hAnsi="Times New Roman"/>
          <w:b/>
          <w:sz w:val="23"/>
        </w:rPr>
      </w:pPr>
      <w:r>
        <w:rPr>
          <w:rFonts w:ascii="Times New Roman" w:hAnsi="Times New Roman"/>
          <w:b/>
          <w:sz w:val="23"/>
        </w:rPr>
        <w:t>Plains All American Pipeline, L.P. Reports</w:t>
        <w:br/>
        <w:t>Record Financial Results for Second Quarter 2005</w:t>
        <w:br/>
        <w:t>Net Income Up 75%; Net Income Per Unit Up 37%;</w:t>
        <w:br/>
        <w:t>EBITDA Up 56%</w:t>
      </w:r>
    </w:p>
    <w:p>
      <w:pPr>
        <w:pStyle w:val="TextBody"/>
        <w:spacing w:before="0" w:after="120"/>
        <w:ind w:left="0" w:right="0" w:firstLine="400"/>
        <w:rPr>
          <w:rFonts w:ascii="Times New Roman" w:hAnsi="Times New Roman"/>
          <w:sz w:val="17"/>
        </w:rPr>
      </w:pPr>
      <w:r>
        <w:rPr>
          <w:rFonts w:ascii="Times New Roman" w:hAnsi="Times New Roman"/>
          <w:sz w:val="17"/>
        </w:rPr>
        <w:t>(HoustonJuly 28, 2005) Plains All American Pipeline, L.P. (NYSE: PAA) today reported net income of $62.3 million, or $0.74 per diluted limited partner unit, for the second quarter of 2005. These financial results represent an increase of 75% and 37%, respectively, over net income of $35.7 million, or $0.54 per diluted limited partner unit, for the second quarter of 2004. For the first six months of 2005, the Partnership reported net income of $95.1 million, or $1.26 per diluted limited partner unit, an increase of 50% and 29%, respectively, over net income of $63.6 million, or $0.98 per diluted limited partner unit, for the first six months of 2004.</w:t>
      </w:r>
    </w:p>
    <w:p>
      <w:pPr>
        <w:pStyle w:val="TextBody"/>
        <w:spacing w:before="0" w:after="120"/>
        <w:ind w:left="0" w:right="0" w:firstLine="400"/>
        <w:rPr>
          <w:rFonts w:ascii="Times New Roman" w:hAnsi="Times New Roman"/>
          <w:sz w:val="17"/>
        </w:rPr>
      </w:pPr>
      <w:r>
        <w:rPr>
          <w:rFonts w:ascii="Times New Roman" w:hAnsi="Times New Roman"/>
          <w:sz w:val="17"/>
        </w:rPr>
        <w:t>As reported, earnings before interest, taxes, depreciation and amortization (EBITDA) for the second quarter of 2005 were $96.0 million, an increase of 56% as compared with EBITDA of $61.6 million for the second quarter of 2004. EBITDA for the first six months of 2005 was $162.5 million, an increase of 45% as compared with EBITDA of $112.2 million for the first six months of 2004.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120"/>
        <w:ind w:left="0" w:right="0" w:firstLine="400"/>
        <w:rPr>
          <w:rFonts w:ascii="Times New Roman" w:hAnsi="Times New Roman"/>
          <w:sz w:val="17"/>
        </w:rPr>
      </w:pPr>
      <w:r>
        <w:rPr>
          <w:rFonts w:ascii="Times New Roman" w:hAnsi="Times New Roman"/>
          <w:sz w:val="17"/>
        </w:rPr>
        <w:t>In the second quarter, Plains All American delivered by a wide margin the strongest financial and operating performance in the history of the Partnership, said Greg L. Armstrong, Chairman and CEO of the Partnership. The primary drivers of the strong performance were solid pipeline volumes and continued favorable market conditions in our gathering, marketing, terminalling and storage segment, as well as the realization of additional operating and commercial synergies from assets and businesses that we have acquired in the last 18 months. These results highlight the proven ability of our asset base and business model to generate growing levels of sustainable cash flow while periodically capturing discrete profit opportunities derived from favorable crude oil market conditions. Armstrong noted that based on its outlook for future performance, the Partnership is well positioned to generate sustainable cash flows that will support future distribution growth.</w:t>
      </w:r>
    </w:p>
    <w:p>
      <w:pPr>
        <w:pStyle w:val="TextBody"/>
        <w:spacing w:before="0" w:after="120"/>
        <w:ind w:left="0" w:right="0" w:firstLine="400"/>
        <w:rPr>
          <w:rFonts w:ascii="Times New Roman" w:hAnsi="Times New Roman"/>
          <w:sz w:val="17"/>
        </w:rPr>
      </w:pPr>
      <w:r>
        <w:rPr>
          <w:rFonts w:ascii="Times New Roman" w:hAnsi="Times New Roman"/>
          <w:sz w:val="17"/>
        </w:rPr>
        <w:t>Reported results include the impact of various items that affect comparability between reporting periods. Adjusting for selected items impacting comparability, the Partnerships second quarter 2005 adjusted net income, adjusted net income per limited partner unit and adjusted EBITDA were $82.1 million, $1.11 per diluted unit, and $115.8 million, respectively. Similarly, the Partnerships second quarter 2004 adjusted net income, adjusted net income per limited partner unit and adjusted EBITDA were $41.6 million, $0.63 per diluted unit, and $67.6 million, respectively. On a comparable basis, second quarter 2005 adjusted net income, adjusted net income per diluted limited partner unit and adjusted EBITDA increased 97%, 76% and 71%, respectively, over second quarter 2004.</w:t>
      </w:r>
    </w:p>
    <w:p>
      <w:pPr>
        <w:pStyle w:val="TextBody"/>
        <w:spacing w:before="0" w:after="120"/>
        <w:ind w:left="0" w:right="0" w:firstLine="400"/>
        <w:rPr>
          <w:rFonts w:ascii="Times New Roman" w:hAnsi="Times New Roman"/>
          <w:sz w:val="17"/>
        </w:rPr>
      </w:pPr>
      <w:r>
        <w:rPr>
          <w:rFonts w:ascii="Times New Roman" w:hAnsi="Times New Roman"/>
          <w:sz w:val="17"/>
        </w:rPr>
        <w:t xml:space="preserve">The Partnerships adjusted net income, adjusted net income per limited partner unit and adjusted EBITDA for the first six months of 2005 were $131.3 million, $1.78 per diluted unit, and $198.7 million, respectively. Similarly, the Partnerships adjusted net income, adjusted net income per limited partner unit and adjusted EBITDA for the first six months of 2004 were $69.8 million, $1.08 per diluted unit, and $118.4 million, respectively. On a comparable basis, adjusted net income, adjusted net income per diluted </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limited partner unit and adjusted EBITDA for the first six months of 2005 increased 88%, 65% and 68%, respectively, over the first six months of 2004.</w:t>
      </w:r>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table summarizes selected items that the Partnership believes impact the comparability of financial results between reporting periods:</w:t>
      </w:r>
    </w:p>
    <w:tbl>
      <w:tblPr>
        <w:tblW w:w="9170" w:type="dxa"/>
        <w:jc w:val="left"/>
        <w:tblInd w:w="0" w:type="dxa"/>
        <w:tblCellMar>
          <w:top w:w="0" w:type="dxa"/>
          <w:left w:w="0" w:type="dxa"/>
          <w:bottom w:w="0" w:type="dxa"/>
          <w:right w:w="0" w:type="dxa"/>
        </w:tblCellMar>
      </w:tblPr>
      <w:tblGrid>
        <w:gridCol w:w="5820"/>
        <w:gridCol w:w="240"/>
        <w:gridCol w:w="110"/>
        <w:gridCol w:w="465"/>
        <w:gridCol w:w="240"/>
        <w:gridCol w:w="110"/>
        <w:gridCol w:w="465"/>
        <w:gridCol w:w="240"/>
        <w:gridCol w:w="110"/>
        <w:gridCol w:w="465"/>
        <w:gridCol w:w="240"/>
        <w:gridCol w:w="110"/>
        <w:gridCol w:w="465"/>
        <w:gridCol w:w="90"/>
      </w:tblGrid>
      <w:tr>
        <w:trPr/>
        <w:tc>
          <w:tcPr>
            <w:tcW w:w="582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39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For the</w:t>
              <w:br/>
              <w:t>Three Months</w:t>
              <w:br/>
              <w:t>Ended</w:t>
            </w:r>
          </w:p>
        </w:tc>
        <w:tc>
          <w:tcPr>
            <w:tcW w:w="240" w:type="dxa"/>
            <w:tcBorders/>
            <w:shd w:fill="auto" w:val="clear"/>
            <w:vAlign w:val="bottom"/>
          </w:tcPr>
          <w:p>
            <w:pPr>
              <w:pStyle w:val="TableContents"/>
              <w:spacing w:lineRule="atLeast" w:line="160" w:before="0" w:after="0"/>
              <w:ind w:left="0" w:right="0" w:hanging="0"/>
              <w:rPr/>
            </w:pPr>
            <w:r>
              <w:rPr/>
              <w:t> </w:t>
            </w:r>
          </w:p>
        </w:tc>
        <w:tc>
          <w:tcPr>
            <w:tcW w:w="139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For the</w:t>
              <w:br/>
              <w:t>Six Months</w:t>
              <w:br/>
              <w:t>Ended</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82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39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139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82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5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82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3020" w:type="dxa"/>
            <w:gridSpan w:val="11"/>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(Dollars in millions, except per unit data)</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8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 (LTIP) charge</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(7.9</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Cumulative effect of change in accounting principle</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0.2</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90" w:type="dxa"/>
            <w:tcBorders/>
            <w:shd w:fill="CCEEFF" w:val="clear"/>
            <w:vAlign w:val="bottom"/>
          </w:tcPr>
          <w:p>
            <w:pPr>
              <w:pStyle w:val="TableContents"/>
              <w:spacing w:before="0" w:after="0"/>
              <w:ind w:left="0" w:right="0" w:hanging="0"/>
              <w:rPr/>
            </w:pPr>
            <w:r>
              <w:rPr/>
              <w:t> </w:t>
            </w:r>
          </w:p>
        </w:tc>
      </w:tr>
      <w:tr>
        <w:trPr/>
        <w:tc>
          <w:tcPr>
            <w:tcW w:w="58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 forma additional GP distribution under EITF 03-06</w:t>
            </w:r>
            <w:r>
              <w:rPr>
                <w:rFonts w:ascii="Times New Roman" w:hAnsi="Times New Roman"/>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57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58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noncash mark-to-market adjustment</w:t>
            </w:r>
          </w:p>
        </w:tc>
        <w:tc>
          <w:tcPr>
            <w:tcW w:w="240" w:type="dxa"/>
            <w:tcBorders/>
            <w:shd w:fill="CCEEFF" w:val="clear"/>
            <w:vAlign w:val="bottom"/>
          </w:tcPr>
          <w:p>
            <w:pPr>
              <w:pStyle w:val="TableContents"/>
              <w:spacing w:before="0" w:after="0"/>
              <w:ind w:left="0" w:right="0" w:hanging="0"/>
              <w:rPr/>
            </w:pPr>
            <w:r>
              <w:rPr/>
              <w:t> </w:t>
            </w:r>
          </w:p>
        </w:tc>
        <w:tc>
          <w:tcPr>
            <w:tcW w:w="57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(6.9</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(26.3</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90" w:type="dxa"/>
            <w:tcBorders/>
            <w:shd w:fill="CCEEFF" w:val="clear"/>
            <w:vAlign w:val="bottom"/>
          </w:tcPr>
          <w:p>
            <w:pPr>
              <w:pStyle w:val="TableContents"/>
              <w:spacing w:before="0" w:after="0"/>
              <w:ind w:left="0" w:right="0" w:hanging="0"/>
              <w:rPr/>
            </w:pPr>
            <w:r>
              <w:rPr/>
              <w:t> </w:t>
            </w:r>
          </w:p>
        </w:tc>
      </w:tr>
      <w:tr>
        <w:trPr/>
        <w:tc>
          <w:tcPr>
            <w:tcW w:w="58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(19.8</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(36.3</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20"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Per Basic Limited Partner Unit</w:t>
            </w:r>
            <w:r>
              <w:rPr>
                <w:rFonts w:ascii="Times New Roman" w:hAnsi="Times New Roman"/>
                <w:i/>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(0.37</w:t>
            </w:r>
          </w:p>
        </w:tc>
        <w:tc>
          <w:tcPr>
            <w:tcW w:w="240"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110" w:type="dxa"/>
            <w:tcBorders/>
            <w:shd w:fill="CCEEFF"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(0.09</w:t>
            </w:r>
          </w:p>
        </w:tc>
        <w:tc>
          <w:tcPr>
            <w:tcW w:w="240"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110" w:type="dxa"/>
            <w:tcBorders/>
            <w:shd w:fill="CCEEFF"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(0.54</w:t>
            </w:r>
          </w:p>
        </w:tc>
        <w:tc>
          <w:tcPr>
            <w:tcW w:w="240"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110" w:type="dxa"/>
            <w:tcBorders/>
            <w:shd w:fill="CCEEFF"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(0.10</w:t>
            </w:r>
          </w:p>
        </w:tc>
        <w:tc>
          <w:tcPr>
            <w:tcW w:w="90"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r>
      <w:tr>
        <w:trPr/>
        <w:tc>
          <w:tcPr>
            <w:tcW w:w="5820"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Per Diluted Limited Partner Unit</w:t>
            </w:r>
            <w:r>
              <w:rPr>
                <w:rFonts w:ascii="Times New Roman" w:hAnsi="Times New Roman"/>
                <w:i/>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(0.37</w:t>
            </w:r>
          </w:p>
        </w:tc>
        <w:tc>
          <w:tcPr>
            <w:tcW w:w="240"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(0.09</w:t>
            </w:r>
          </w:p>
        </w:tc>
        <w:tc>
          <w:tcPr>
            <w:tcW w:w="240"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(0.52</w:t>
            </w:r>
          </w:p>
        </w:tc>
        <w:tc>
          <w:tcPr>
            <w:tcW w:w="240"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i/>
                <w:sz w:val="17"/>
              </w:rPr>
            </w:pPr>
            <w:r>
              <w:rPr>
                <w:rFonts w:ascii="Times New Roman" w:hAnsi="Times New Roman"/>
                <w:i/>
                <w:sz w:val="17"/>
              </w:rPr>
              <w:t>$</w:t>
            </w:r>
          </w:p>
        </w:tc>
        <w:tc>
          <w:tcPr>
            <w:tcW w:w="465"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(0.10</w:t>
            </w:r>
          </w:p>
        </w:tc>
        <w:tc>
          <w:tcPr>
            <w:tcW w:w="90" w:type="dxa"/>
            <w:tcBorders/>
            <w:shd w:fill="auto"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xml:space="preserve">                 In the second quarter 2005, the Partnerships net income exceeded the cash distribution paid during the quarter, which required the application of </w:t>
      </w:r>
      <w:r>
        <w:rPr>
          <w:rFonts w:ascii="Times New Roman" w:hAnsi="Times New Roman"/>
          <w:i/>
          <w:sz w:val="17"/>
        </w:rPr>
        <w:t>Emerging Issues Task Force Issue No. 03-06: Participating Securities and the Two-Class Method under FASB Statement No. 128</w:t>
      </w:r>
      <w:r>
        <w:rPr>
          <w:rFonts w:ascii="Times New Roman" w:hAnsi="Times New Roman"/>
          <w:sz w:val="17"/>
        </w:rPr>
        <w:t xml:space="preserve"> (EITF 03-06). This accounting literature dictates that earnings per unit must be calculated as if all of the Partnerships earnings for the period were distributed. This theoretical calculation does not impact the Partnerships aggregate net income or EBITDA, but does reduce the Partnerships net income per limited partner unit. The application of EITF 03-06 negatively impacted net income to limited partners by $6.2 million and $0.6 million, and negatively impacted basic and diluted earnings per limited partner unit by $0.09 and $0.01 for the second quarter and first half of 2005, respectively.</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table presents certain selected financial information by segment for the second quarter reporting periods:</w:t>
      </w:r>
    </w:p>
    <w:tbl>
      <w:tblPr>
        <w:tblW w:w="9115" w:type="dxa"/>
        <w:jc w:val="left"/>
        <w:tblInd w:w="0" w:type="dxa"/>
        <w:tblCellMar>
          <w:top w:w="0" w:type="dxa"/>
          <w:left w:w="0" w:type="dxa"/>
          <w:bottom w:w="0" w:type="dxa"/>
          <w:right w:w="0" w:type="dxa"/>
        </w:tblCellMar>
      </w:tblPr>
      <w:tblGrid>
        <w:gridCol w:w="6750"/>
        <w:gridCol w:w="240"/>
        <w:gridCol w:w="60"/>
        <w:gridCol w:w="110"/>
        <w:gridCol w:w="555"/>
        <w:gridCol w:w="90"/>
        <w:gridCol w:w="240"/>
        <w:gridCol w:w="75"/>
        <w:gridCol w:w="110"/>
        <w:gridCol w:w="705"/>
        <w:gridCol w:w="90"/>
        <w:gridCol w:w="90"/>
      </w:tblGrid>
      <w:tr>
        <w:trPr/>
        <w:tc>
          <w:tcPr>
            <w:tcW w:w="67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8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Gathering,</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7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8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Marketing,</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7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8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Terminalling </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7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98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&amp; Storage</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7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Operations</w:t>
            </w:r>
          </w:p>
        </w:tc>
        <w:tc>
          <w:tcPr>
            <w:tcW w:w="240" w:type="dxa"/>
            <w:tcBorders/>
            <w:shd w:fill="auto" w:val="clear"/>
            <w:vAlign w:val="bottom"/>
          </w:tcPr>
          <w:p>
            <w:pPr>
              <w:pStyle w:val="TableContents"/>
              <w:spacing w:lineRule="atLeast" w:line="160" w:before="0" w:after="0"/>
              <w:ind w:left="0" w:right="0" w:hanging="0"/>
              <w:rPr/>
            </w:pPr>
            <w:r>
              <w:rPr/>
              <w:t> </w:t>
            </w:r>
          </w:p>
        </w:tc>
        <w:tc>
          <w:tcPr>
            <w:tcW w:w="98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b/>
              </w:rPr>
            </w:pPr>
            <w:r>
              <w:rPr>
                <w:rFonts w:ascii="Times New Roman" w:hAnsi="Times New Roman"/>
                <w:b/>
                <w:sz w:val="13"/>
              </w:rPr>
              <w:t>Operations</w:t>
            </w:r>
            <w:r>
              <w:rPr>
                <w:b/>
                <w:sz w:val="8"/>
              </w:rPr>
              <w:t>(4)</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7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2035"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(Dollars in millions)</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75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June 30, 2005</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sz w:val="17"/>
              </w:rPr>
            </w:pPr>
            <w:r>
              <w:rPr>
                <w:rFonts w:ascii="Times New Roman" w:hAnsi="Times New Roman"/>
                <w:sz w:val="17"/>
              </w:rPr>
              <w:t>Revenues</w:t>
            </w:r>
            <w:r>
              <w:rPr>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260.5</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6,931.0</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0" w:after="0"/>
              <w:ind w:left="0" w:right="0" w:hanging="0"/>
              <w:rPr>
                <w:sz w:val="17"/>
              </w:rPr>
            </w:pPr>
            <w:r>
              <w:rPr>
                <w:rFonts w:ascii="Times New Roman" w:hAnsi="Times New Roman"/>
                <w:sz w:val="17"/>
              </w:rPr>
              <w:t>Purchases</w:t>
            </w:r>
            <w:r>
              <w:rPr>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(167.8</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(6,834.7</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(37.7</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(29.1</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chargeoperations</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(0.3</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sz w:val="17"/>
              </w:rPr>
            </w:pPr>
            <w:r>
              <w:rPr>
                <w:rFonts w:ascii="Times New Roman" w:hAnsi="Times New Roman"/>
                <w:sz w:val="17"/>
              </w:rPr>
              <w:t>Segment general and administrative expenses (excluding LTIP charge)</w:t>
            </w:r>
            <w:r>
              <w:rPr>
                <w:position w:val="5"/>
                <w:sz w:val="13"/>
                <w:sz w:val="17"/>
              </w:rPr>
              <w:t>(2)</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(9.2</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(9.9</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0" w:after="0"/>
              <w:ind w:left="0" w:right="0" w:hanging="0"/>
              <w:rPr>
                <w:sz w:val="17"/>
              </w:rPr>
            </w:pPr>
            <w:r>
              <w:rPr>
                <w:rFonts w:ascii="Times New Roman" w:hAnsi="Times New Roman"/>
                <w:sz w:val="17"/>
              </w:rPr>
              <w:t>LTIP chargegeneral and administrative</w:t>
            </w:r>
            <w:r>
              <w:rPr>
                <w:position w:val="5"/>
                <w:sz w:val="13"/>
                <w:sz w:val="17"/>
              </w:rPr>
              <w:t>(2)</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(2.9</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53.7</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0" w:after="0"/>
              <w:ind w:left="0" w:right="0" w:hanging="0"/>
              <w:rPr>
                <w:sz w:val="17"/>
              </w:rPr>
            </w:pPr>
            <w:r>
              <w:rPr>
                <w:rFonts w:ascii="Times New Roman" w:hAnsi="Times New Roman"/>
                <w:sz w:val="17"/>
              </w:rPr>
              <w:t>Noncash SFAS 133 impact</w:t>
            </w:r>
            <w:r>
              <w:rPr>
                <w:position w:val="5"/>
                <w:sz w:val="13"/>
                <w:sz w:val="17"/>
              </w:rPr>
              <w:t>(3)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120" w:after="120"/>
              <w:ind w:left="0" w:right="0" w:hanging="0"/>
              <w:rPr>
                <w:rFonts w:ascii="Times New Roman" w:hAnsi="Times New Roman"/>
                <w:b/>
                <w:sz w:val="17"/>
              </w:rPr>
            </w:pPr>
            <w:r>
              <w:rPr>
                <w:rFonts w:ascii="Times New Roman" w:hAnsi="Times New Roman"/>
                <w:b/>
                <w:sz w:val="17"/>
              </w:rPr>
              <w:t>Three Months Ended June 30, 2004</w:t>
            </w:r>
          </w:p>
        </w:tc>
        <w:tc>
          <w:tcPr>
            <w:tcW w:w="240" w:type="dxa"/>
            <w:tcBorders/>
            <w:shd w:fill="CCEEFF" w:val="clear"/>
            <w:vAlign w:val="bottom"/>
          </w:tcPr>
          <w:p>
            <w:pPr>
              <w:pStyle w:val="TableContents"/>
              <w:spacing w:before="120" w:after="12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c>
          <w:tcPr>
            <w:tcW w:w="665" w:type="dxa"/>
            <w:gridSpan w:val="2"/>
            <w:tcBorders/>
            <w:shd w:fill="CCEEFF" w:val="clear"/>
            <w:vAlign w:val="bottom"/>
          </w:tcPr>
          <w:p>
            <w:pPr>
              <w:pStyle w:val="TableContents"/>
              <w:spacing w:before="120" w:after="120"/>
              <w:ind w:left="0" w:right="0" w:hanging="0"/>
              <w:rPr/>
            </w:pPr>
            <w:r>
              <w:rPr/>
              <w:t> </w:t>
            </w:r>
          </w:p>
        </w:tc>
        <w:tc>
          <w:tcPr>
            <w:tcW w:w="90" w:type="dxa"/>
            <w:tcBorders/>
            <w:shd w:fill="CCEEFF" w:val="clear"/>
            <w:vAlign w:val="bottom"/>
          </w:tcPr>
          <w:p>
            <w:pPr>
              <w:pStyle w:val="TableContents"/>
              <w:spacing w:before="120" w:after="120"/>
              <w:ind w:left="0" w:right="0" w:hanging="0"/>
              <w:rPr/>
            </w:pPr>
            <w:r>
              <w:rPr/>
              <w:t> </w:t>
            </w:r>
          </w:p>
        </w:tc>
        <w:tc>
          <w:tcPr>
            <w:tcW w:w="240" w:type="dxa"/>
            <w:tcBorders/>
            <w:shd w:fill="CCEEFF" w:val="clear"/>
            <w:vAlign w:val="bottom"/>
          </w:tcPr>
          <w:p>
            <w:pPr>
              <w:pStyle w:val="TableContents"/>
              <w:spacing w:before="120" w:after="120"/>
              <w:ind w:left="0" w:right="0" w:hanging="0"/>
              <w:rPr/>
            </w:pPr>
            <w:r>
              <w:rPr/>
              <w:t> </w:t>
            </w:r>
          </w:p>
        </w:tc>
        <w:tc>
          <w:tcPr>
            <w:tcW w:w="75" w:type="dxa"/>
            <w:tcBorders/>
            <w:shd w:fill="CCEEFF" w:val="clear"/>
            <w:vAlign w:val="bottom"/>
          </w:tcPr>
          <w:p>
            <w:pPr>
              <w:pStyle w:val="TableContents"/>
              <w:spacing w:before="120" w:after="120"/>
              <w:ind w:left="0" w:right="0" w:hanging="0"/>
              <w:rPr/>
            </w:pPr>
            <w:r>
              <w:rPr/>
              <w:t> </w:t>
            </w:r>
          </w:p>
        </w:tc>
        <w:tc>
          <w:tcPr>
            <w:tcW w:w="815" w:type="dxa"/>
            <w:gridSpan w:val="2"/>
            <w:tcBorders/>
            <w:shd w:fill="CCEEFF" w:val="clear"/>
            <w:vAlign w:val="bottom"/>
          </w:tcPr>
          <w:p>
            <w:pPr>
              <w:pStyle w:val="TableContents"/>
              <w:spacing w:before="120" w:after="120"/>
              <w:ind w:left="0" w:right="0" w:hanging="0"/>
              <w:rPr/>
            </w:pPr>
            <w:r>
              <w:rPr/>
              <w:t> </w:t>
            </w:r>
          </w:p>
        </w:tc>
        <w:tc>
          <w:tcPr>
            <w:tcW w:w="90" w:type="dxa"/>
            <w:tcBorders/>
            <w:shd w:fill="CCEEFF" w:val="clear"/>
            <w:vAlign w:val="bottom"/>
          </w:tcPr>
          <w:p>
            <w:pPr>
              <w:pStyle w:val="TableContents"/>
              <w:spacing w:before="120" w:after="120"/>
              <w:ind w:left="0" w:right="0" w:hanging="0"/>
              <w:rPr/>
            </w:pPr>
            <w:r>
              <w:rPr/>
              <w:t> </w:t>
            </w:r>
          </w:p>
        </w:tc>
        <w:tc>
          <w:tcPr>
            <w:tcW w:w="90" w:type="dxa"/>
            <w:tcBorders/>
            <w:shd w:fill="CCEEFF" w:val="clear"/>
            <w:vAlign w:val="bottom"/>
          </w:tcPr>
          <w:p>
            <w:pPr>
              <w:pStyle w:val="TableContents"/>
              <w:spacing w:before="120" w:after="120"/>
              <w:ind w:left="0" w:right="0" w:hanging="0"/>
              <w:rPr/>
            </w:pPr>
            <w:r>
              <w:rPr/>
              <w:t> </w:t>
            </w:r>
          </w:p>
        </w:tc>
      </w:tr>
      <w:tr>
        <w:trPr/>
        <w:tc>
          <w:tcPr>
            <w:tcW w:w="6750" w:type="dxa"/>
            <w:tcBorders/>
            <w:shd w:fill="auto" w:val="clear"/>
          </w:tcPr>
          <w:p>
            <w:pPr>
              <w:pStyle w:val="TableContents"/>
              <w:spacing w:before="0" w:after="0"/>
              <w:ind w:left="0" w:right="0" w:hanging="0"/>
              <w:rPr>
                <w:sz w:val="17"/>
              </w:rPr>
            </w:pPr>
            <w:r>
              <w:rPr>
                <w:rFonts w:ascii="Times New Roman" w:hAnsi="Times New Roman"/>
                <w:sz w:val="17"/>
              </w:rPr>
              <w:t>Revenues</w:t>
            </w:r>
            <w:r>
              <w:rPr>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222.8</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4,941.3</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0" w:after="0"/>
              <w:ind w:left="0" w:right="0" w:hanging="0"/>
              <w:rPr>
                <w:sz w:val="17"/>
              </w:rPr>
            </w:pPr>
            <w:r>
              <w:rPr>
                <w:rFonts w:ascii="Times New Roman" w:hAnsi="Times New Roman"/>
                <w:sz w:val="17"/>
              </w:rPr>
              <w:t>Purchases</w:t>
            </w:r>
            <w:r>
              <w:rPr>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(132.9</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(4,891.3</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(31.9</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(27.2</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chargeoperations</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81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sz w:val="17"/>
              </w:rPr>
            </w:pPr>
            <w:r>
              <w:rPr>
                <w:rFonts w:ascii="Times New Roman" w:hAnsi="Times New Roman"/>
                <w:sz w:val="17"/>
              </w:rPr>
              <w:t>Segment general and administrative expenses (excluding LTIP charge)</w:t>
            </w:r>
            <w:r>
              <w:rPr>
                <w:position w:val="5"/>
                <w:sz w:val="13"/>
                <w:sz w:val="17"/>
              </w:rPr>
              <w:t>(2)</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81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(9.3</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0" w:after="0"/>
              <w:ind w:left="0" w:right="0" w:hanging="0"/>
              <w:rPr>
                <w:sz w:val="17"/>
              </w:rPr>
            </w:pPr>
            <w:r>
              <w:rPr>
                <w:rFonts w:ascii="Times New Roman" w:hAnsi="Times New Roman"/>
                <w:sz w:val="17"/>
              </w:rPr>
              <w:t>LTIP chargegeneral and administrative</w:t>
            </w:r>
            <w:r>
              <w:rPr>
                <w:position w:val="5"/>
                <w:sz w:val="13"/>
                <w:sz w:val="17"/>
              </w:rPr>
              <w:t>(2)</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81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47.7</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13.5</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750" w:type="dxa"/>
            <w:tcBorders/>
            <w:shd w:fill="CCEEFF" w:val="clear"/>
          </w:tcPr>
          <w:p>
            <w:pPr>
              <w:pStyle w:val="TableContents"/>
              <w:spacing w:before="0" w:after="0"/>
              <w:ind w:left="0" w:right="0" w:hanging="0"/>
              <w:rPr>
                <w:sz w:val="17"/>
              </w:rPr>
            </w:pPr>
            <w:r>
              <w:rPr>
                <w:rFonts w:ascii="Times New Roman" w:hAnsi="Times New Roman"/>
                <w:sz w:val="17"/>
              </w:rPr>
              <w:t>Noncash SFAS 133 impact</w:t>
            </w:r>
            <w:r>
              <w:rPr>
                <w:position w:val="5"/>
                <w:sz w:val="13"/>
                <w:sz w:val="17"/>
              </w:rPr>
              <w:t>(3)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7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(6.9</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7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0.7</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Include intersegment amounts.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(2)</w:t>
      </w:r>
      <w:r>
        <w:rPr>
          <w:rFonts w:ascii="Times New Roman" w:hAnsi="Times New Roman"/>
          <w:sz w:val="17"/>
        </w:rPr>
        <w:t>                 Segment general and administrative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120"/>
        <w:ind w:left="400" w:right="0" w:hanging="400"/>
        <w:rPr>
          <w:rFonts w:ascii="Times New Roman" w:hAnsi="Times New Roman"/>
          <w:sz w:val="17"/>
        </w:rPr>
      </w:pPr>
      <w:r>
        <w:rPr>
          <w:rFonts w:ascii="Times New Roman" w:hAnsi="Times New Roman"/>
          <w:position w:val="5"/>
          <w:sz w:val="12"/>
          <w:sz w:val="15"/>
        </w:rPr>
        <w:t>(3)</w:t>
      </w:r>
      <w:r>
        <w:rPr>
          <w:rFonts w:ascii="Times New Roman" w:hAnsi="Times New Roman"/>
          <w:sz w:val="17"/>
        </w:rPr>
        <w:t>                 Amounts related to SFAS 133 are included in revenues and impact segment profit. The SFAS 133 mark-to-market adjustment is primarily based upon crude oil prices at the end of the period and is related to the non-effective portion of our cash flow hedges, as well as certain derivative contracts that do not qualify under SFAS 133 as cash flow hedges. The net loss related to these derivative instruments is principally offset by physical positions in future periods.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(4)</w:t>
      </w:r>
      <w:r>
        <w:rPr>
          <w:rFonts w:ascii="Times New Roman" w:hAnsi="Times New Roman"/>
          <w:sz w:val="17"/>
        </w:rPr>
        <w:t>                 Gains/losses on foreign currency revaluation are included in the Gathering, Marketing, Terminalling &amp; Storage segment.</w:t>
      </w:r>
    </w:p>
    <w:p>
      <w:pPr>
        <w:pStyle w:val="TextBody"/>
        <w:spacing w:before="0" w:after="120"/>
        <w:ind w:left="0" w:right="0" w:firstLine="400"/>
        <w:rPr>
          <w:rFonts w:ascii="Times New Roman" w:hAnsi="Times New Roman"/>
          <w:sz w:val="17"/>
        </w:rPr>
      </w:pPr>
      <w:r>
        <w:rPr>
          <w:rFonts w:ascii="Times New Roman" w:hAnsi="Times New Roman"/>
          <w:sz w:val="17"/>
        </w:rPr>
        <w:t xml:space="preserve">Excluding selected items impacting comparability in both periods, segment profit from pipeline operations in the second quarter of 2005 was $45.8 million versus $47.7 million for the second quarter of 2004 on average daily pipeline volumes of 1.8 million barrels per day versus 1.7 million barrels per day. Current period results reflect the adverse impact of a less favorable volume mix and increased environmental reserves. Additionally, second quarter pipeline segment profit was reduced by approximately $5.0 million due to voluntary market rate adjustments made by the Partnership to tariffs on certain pipelines formerly owned by Link Energy. As a result of these lower tariffs on barrels shipped by PAA in connection with its gathering and marketing activities, segment profit from gathering, marketing, terminalling and storage was increased by a comparable amount. Excluding selected items impacting </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hanging="0"/>
        <w:rPr>
          <w:rFonts w:ascii="Times New Roman" w:hAnsi="Times New Roman"/>
          <w:sz w:val="17"/>
        </w:rPr>
      </w:pPr>
      <w:r>
        <w:rPr>
          <w:rFonts w:ascii="Times New Roman" w:hAnsi="Times New Roman"/>
          <w:sz w:val="17"/>
        </w:rPr>
        <w:t>comparability in both periods, segment profit from gathering, marketing, terminalling and storage operations was up approximately 255% over the corresponding period in 2004 as a result of lower tariffs, continued favorable market conditions in our gathering, marketing, terminalling and storage segment and commercial synergies from assets and businesses that we have acquired in the last 18 months.</w:t>
      </w:r>
    </w:p>
    <w:p>
      <w:pPr>
        <w:pStyle w:val="TextBody"/>
        <w:spacing w:before="0" w:after="120"/>
        <w:ind w:left="0" w:right="0" w:firstLine="400"/>
        <w:rPr>
          <w:rFonts w:ascii="Times New Roman" w:hAnsi="Times New Roman"/>
          <w:sz w:val="17"/>
        </w:rPr>
      </w:pPr>
      <w:r>
        <w:rPr>
          <w:rFonts w:ascii="Times New Roman" w:hAnsi="Times New Roman"/>
          <w:sz w:val="17"/>
        </w:rPr>
        <w:t>The following table presents certain selected financial information by segment for the first six-month reporting periods:</w:t>
      </w:r>
    </w:p>
    <w:tbl>
      <w:tblPr>
        <w:tblW w:w="9115" w:type="dxa"/>
        <w:jc w:val="left"/>
        <w:tblInd w:w="0" w:type="dxa"/>
        <w:tblCellMar>
          <w:top w:w="0" w:type="dxa"/>
          <w:left w:w="0" w:type="dxa"/>
          <w:bottom w:w="0" w:type="dxa"/>
          <w:right w:w="0" w:type="dxa"/>
        </w:tblCellMar>
      </w:tblPr>
      <w:tblGrid>
        <w:gridCol w:w="6660"/>
        <w:gridCol w:w="240"/>
        <w:gridCol w:w="60"/>
        <w:gridCol w:w="110"/>
        <w:gridCol w:w="555"/>
        <w:gridCol w:w="90"/>
        <w:gridCol w:w="240"/>
        <w:gridCol w:w="60"/>
        <w:gridCol w:w="110"/>
        <w:gridCol w:w="810"/>
        <w:gridCol w:w="90"/>
        <w:gridCol w:w="90"/>
      </w:tblGrid>
      <w:tr>
        <w:trPr/>
        <w:tc>
          <w:tcPr>
            <w:tcW w:w="66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Gathering,</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6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Marketing,</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6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Terminalling</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6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&amp; Storage</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6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15"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Operations</w:t>
            </w:r>
          </w:p>
        </w:tc>
        <w:tc>
          <w:tcPr>
            <w:tcW w:w="240" w:type="dxa"/>
            <w:tcBorders/>
            <w:shd w:fill="auto" w:val="clear"/>
            <w:vAlign w:val="bottom"/>
          </w:tcPr>
          <w:p>
            <w:pPr>
              <w:pStyle w:val="TableContents"/>
              <w:spacing w:lineRule="atLeast" w:line="160" w:before="0" w:after="0"/>
              <w:ind w:left="0" w:right="0" w:hanging="0"/>
              <w:rPr/>
            </w:pPr>
            <w:r>
              <w:rPr/>
              <w:t> </w:t>
            </w:r>
          </w:p>
        </w:tc>
        <w:tc>
          <w:tcPr>
            <w:tcW w:w="1070"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b/>
              </w:rPr>
            </w:pPr>
            <w:r>
              <w:rPr>
                <w:rFonts w:ascii="Times New Roman" w:hAnsi="Times New Roman"/>
                <w:b/>
                <w:sz w:val="13"/>
              </w:rPr>
              <w:t>Operations</w:t>
            </w:r>
            <w:r>
              <w:rPr>
                <w:b/>
                <w:sz w:val="8"/>
              </w:rPr>
              <w:t>(4)</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66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2125" w:type="dxa"/>
            <w:gridSpan w:val="9"/>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(Dollars in millions)</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666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Six Months Ended June 30, 2005</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sz w:val="17"/>
              </w:rPr>
            </w:pPr>
            <w:r>
              <w:rPr>
                <w:rFonts w:ascii="Times New Roman" w:hAnsi="Times New Roman"/>
                <w:sz w:val="17"/>
              </w:rPr>
              <w:t>Revenues</w:t>
            </w:r>
            <w:r>
              <w:rPr>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507.7</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13,357.2</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0" w:after="0"/>
              <w:ind w:left="0" w:right="0" w:hanging="0"/>
              <w:rPr>
                <w:sz w:val="17"/>
              </w:rPr>
            </w:pPr>
            <w:r>
              <w:rPr>
                <w:rFonts w:ascii="Times New Roman" w:hAnsi="Times New Roman"/>
                <w:sz w:val="17"/>
              </w:rPr>
              <w:t>Purchases</w:t>
            </w:r>
            <w:r>
              <w:rPr>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(319.5</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(13,204.1</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(71.7</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(58.6</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chargeoperations</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sz w:val="17"/>
              </w:rPr>
            </w:pPr>
            <w:r>
              <w:rPr>
                <w:rFonts w:ascii="Times New Roman" w:hAnsi="Times New Roman"/>
                <w:sz w:val="17"/>
              </w:rPr>
              <w:t>Segment general and administrative expenses (excluding LTIP charge)</w:t>
            </w:r>
            <w:r>
              <w:rPr>
                <w:position w:val="5"/>
                <w:sz w:val="13"/>
                <w:sz w:val="17"/>
              </w:rPr>
              <w:t>(2)</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(19.4</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0" w:after="0"/>
              <w:ind w:left="0" w:right="0" w:hanging="0"/>
              <w:rPr>
                <w:sz w:val="17"/>
              </w:rPr>
            </w:pPr>
            <w:r>
              <w:rPr>
                <w:rFonts w:ascii="Times New Roman" w:hAnsi="Times New Roman"/>
                <w:sz w:val="17"/>
              </w:rPr>
              <w:t>LTIP chargegeneral and administrative</w:t>
            </w:r>
            <w:r>
              <w:rPr>
                <w:position w:val="5"/>
                <w:sz w:val="13"/>
                <w:sz w:val="17"/>
              </w:rPr>
              <w:t>(2)</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91.5</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70.0</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0" w:after="0"/>
              <w:ind w:left="0" w:right="0" w:hanging="0"/>
              <w:rPr>
                <w:sz w:val="17"/>
              </w:rPr>
            </w:pPr>
            <w:r>
              <w:rPr>
                <w:rFonts w:ascii="Times New Roman" w:hAnsi="Times New Roman"/>
                <w:sz w:val="17"/>
              </w:rPr>
              <w:t>Noncash SFAS 133 impact</w:t>
            </w:r>
            <w:r>
              <w:rPr>
                <w:position w:val="5"/>
                <w:sz w:val="13"/>
                <w:sz w:val="17"/>
              </w:rPr>
              <w:t>(3)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(26.3</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120" w:after="120"/>
              <w:ind w:left="0" w:right="0" w:hanging="0"/>
              <w:rPr>
                <w:rFonts w:ascii="Times New Roman" w:hAnsi="Times New Roman"/>
                <w:b/>
                <w:sz w:val="17"/>
              </w:rPr>
            </w:pPr>
            <w:r>
              <w:rPr>
                <w:rFonts w:ascii="Times New Roman" w:hAnsi="Times New Roman"/>
                <w:b/>
                <w:sz w:val="17"/>
              </w:rPr>
              <w:t>Six Months Ended June 30, 2004</w:t>
            </w:r>
          </w:p>
        </w:tc>
        <w:tc>
          <w:tcPr>
            <w:tcW w:w="240" w:type="dxa"/>
            <w:tcBorders/>
            <w:shd w:fill="CCEEFF" w:val="clear"/>
            <w:vAlign w:val="bottom"/>
          </w:tcPr>
          <w:p>
            <w:pPr>
              <w:pStyle w:val="TableContents"/>
              <w:spacing w:before="120" w:after="12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c>
          <w:tcPr>
            <w:tcW w:w="665" w:type="dxa"/>
            <w:gridSpan w:val="2"/>
            <w:tcBorders/>
            <w:shd w:fill="CCEEFF" w:val="clear"/>
            <w:vAlign w:val="bottom"/>
          </w:tcPr>
          <w:p>
            <w:pPr>
              <w:pStyle w:val="TableContents"/>
              <w:spacing w:before="120" w:after="120"/>
              <w:ind w:left="0" w:right="0" w:hanging="0"/>
              <w:rPr/>
            </w:pPr>
            <w:r>
              <w:rPr/>
              <w:t> </w:t>
            </w:r>
          </w:p>
        </w:tc>
        <w:tc>
          <w:tcPr>
            <w:tcW w:w="90" w:type="dxa"/>
            <w:tcBorders/>
            <w:shd w:fill="CCEEFF" w:val="clear"/>
            <w:vAlign w:val="bottom"/>
          </w:tcPr>
          <w:p>
            <w:pPr>
              <w:pStyle w:val="TableContents"/>
              <w:spacing w:before="120" w:after="120"/>
              <w:ind w:left="0" w:right="0" w:hanging="0"/>
              <w:rPr/>
            </w:pPr>
            <w:r>
              <w:rPr/>
              <w:t> </w:t>
            </w:r>
          </w:p>
        </w:tc>
        <w:tc>
          <w:tcPr>
            <w:tcW w:w="240" w:type="dxa"/>
            <w:tcBorders/>
            <w:shd w:fill="CCEEFF" w:val="clear"/>
            <w:vAlign w:val="bottom"/>
          </w:tcPr>
          <w:p>
            <w:pPr>
              <w:pStyle w:val="TableContents"/>
              <w:spacing w:before="120" w:after="120"/>
              <w:ind w:left="0" w:right="0" w:hanging="0"/>
              <w:rPr/>
            </w:pPr>
            <w:r>
              <w:rPr/>
              <w:t> </w:t>
            </w:r>
          </w:p>
        </w:tc>
        <w:tc>
          <w:tcPr>
            <w:tcW w:w="60" w:type="dxa"/>
            <w:tcBorders/>
            <w:shd w:fill="CCEEFF" w:val="clear"/>
            <w:vAlign w:val="bottom"/>
          </w:tcPr>
          <w:p>
            <w:pPr>
              <w:pStyle w:val="TableContents"/>
              <w:spacing w:before="120" w:after="120"/>
              <w:ind w:left="0" w:right="0" w:hanging="0"/>
              <w:rPr/>
            </w:pPr>
            <w:r>
              <w:rPr/>
              <w:t> </w:t>
            </w:r>
          </w:p>
        </w:tc>
        <w:tc>
          <w:tcPr>
            <w:tcW w:w="920" w:type="dxa"/>
            <w:gridSpan w:val="2"/>
            <w:tcBorders/>
            <w:shd w:fill="CCEEFF" w:val="clear"/>
            <w:vAlign w:val="bottom"/>
          </w:tcPr>
          <w:p>
            <w:pPr>
              <w:pStyle w:val="TableContents"/>
              <w:spacing w:before="120" w:after="120"/>
              <w:ind w:left="0" w:right="0" w:hanging="0"/>
              <w:rPr/>
            </w:pPr>
            <w:r>
              <w:rPr/>
              <w:t> </w:t>
            </w:r>
          </w:p>
        </w:tc>
        <w:tc>
          <w:tcPr>
            <w:tcW w:w="90" w:type="dxa"/>
            <w:tcBorders/>
            <w:shd w:fill="CCEEFF" w:val="clear"/>
            <w:vAlign w:val="bottom"/>
          </w:tcPr>
          <w:p>
            <w:pPr>
              <w:pStyle w:val="TableContents"/>
              <w:spacing w:before="120" w:after="120"/>
              <w:ind w:left="0" w:right="0" w:hanging="0"/>
              <w:rPr/>
            </w:pPr>
            <w:r>
              <w:rPr/>
              <w:t> </w:t>
            </w:r>
          </w:p>
        </w:tc>
        <w:tc>
          <w:tcPr>
            <w:tcW w:w="90" w:type="dxa"/>
            <w:tcBorders/>
            <w:shd w:fill="CCEEFF" w:val="clear"/>
            <w:vAlign w:val="bottom"/>
          </w:tcPr>
          <w:p>
            <w:pPr>
              <w:pStyle w:val="TableContents"/>
              <w:spacing w:before="120" w:after="120"/>
              <w:ind w:left="0" w:right="0" w:hanging="0"/>
              <w:rPr/>
            </w:pPr>
            <w:r>
              <w:rPr/>
              <w:t> </w:t>
            </w:r>
          </w:p>
        </w:tc>
      </w:tr>
      <w:tr>
        <w:trPr/>
        <w:tc>
          <w:tcPr>
            <w:tcW w:w="6660" w:type="dxa"/>
            <w:tcBorders/>
            <w:shd w:fill="auto" w:val="clear"/>
          </w:tcPr>
          <w:p>
            <w:pPr>
              <w:pStyle w:val="TableContents"/>
              <w:spacing w:before="0" w:after="0"/>
              <w:ind w:left="0" w:right="0" w:hanging="0"/>
              <w:rPr>
                <w:sz w:val="17"/>
              </w:rPr>
            </w:pPr>
            <w:r>
              <w:rPr>
                <w:rFonts w:ascii="Times New Roman" w:hAnsi="Times New Roman"/>
                <w:sz w:val="17"/>
              </w:rPr>
              <w:t>Revenues</w:t>
            </w:r>
            <w:r>
              <w:rPr>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412.1</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8,572.6</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0" w:after="0"/>
              <w:ind w:left="0" w:right="0" w:hanging="0"/>
              <w:rPr>
                <w:sz w:val="17"/>
              </w:rPr>
            </w:pPr>
            <w:r>
              <w:rPr>
                <w:rFonts w:ascii="Times New Roman" w:hAnsi="Times New Roman"/>
                <w:sz w:val="17"/>
              </w:rPr>
              <w:t>Purchases</w:t>
            </w:r>
            <w:r>
              <w:rPr>
                <w:position w:val="5"/>
                <w:sz w:val="13"/>
                <w:sz w:val="17"/>
              </w:rPr>
              <w:t>(1)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(269.6</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(8,464.2</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(51.2</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(45.7</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chargeoperations</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sz w:val="17"/>
              </w:rPr>
            </w:pPr>
            <w:r>
              <w:rPr>
                <w:rFonts w:ascii="Times New Roman" w:hAnsi="Times New Roman"/>
                <w:sz w:val="17"/>
              </w:rPr>
              <w:t>Segment general and administrative expenses (excluding LTIP charge)</w:t>
            </w:r>
            <w:r>
              <w:rPr>
                <w:position w:val="5"/>
                <w:sz w:val="13"/>
                <w:sz w:val="17"/>
              </w:rPr>
              <w:t>(2)</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(16.3</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(18.7</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0" w:after="0"/>
              <w:ind w:left="0" w:right="0" w:hanging="0"/>
              <w:rPr>
                <w:sz w:val="17"/>
              </w:rPr>
            </w:pPr>
            <w:r>
              <w:rPr>
                <w:rFonts w:ascii="Times New Roman" w:hAnsi="Times New Roman"/>
                <w:sz w:val="17"/>
              </w:rPr>
              <w:t>LTIP chargegeneral and administrative</w:t>
            </w:r>
            <w:r>
              <w:rPr>
                <w:position w:val="5"/>
                <w:sz w:val="13"/>
                <w:sz w:val="17"/>
              </w:rPr>
              <w:t>(2)</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2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73.2</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6660" w:type="dxa"/>
            <w:tcBorders/>
            <w:shd w:fill="CCEEFF" w:val="clear"/>
          </w:tcPr>
          <w:p>
            <w:pPr>
              <w:pStyle w:val="TableContents"/>
              <w:spacing w:before="0" w:after="0"/>
              <w:ind w:left="0" w:right="0" w:hanging="0"/>
              <w:rPr>
                <w:sz w:val="17"/>
              </w:rPr>
            </w:pPr>
            <w:r>
              <w:rPr>
                <w:rFonts w:ascii="Times New Roman" w:hAnsi="Times New Roman"/>
                <w:sz w:val="17"/>
              </w:rPr>
              <w:t>Noncash SFAS 133 impact</w:t>
            </w:r>
            <w:r>
              <w:rPr>
                <w:position w:val="5"/>
                <w:sz w:val="13"/>
                <w:sz w:val="17"/>
              </w:rPr>
              <w:t>(3)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0.5</w:t>
            </w:r>
          </w:p>
        </w:tc>
        <w:tc>
          <w:tcPr>
            <w:tcW w:w="90" w:type="dxa"/>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6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90"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90"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Include intersegment amounts.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(2)</w:t>
      </w:r>
      <w:r>
        <w:rPr>
          <w:rFonts w:ascii="Times New Roman" w:hAnsi="Times New Roman"/>
          <w:sz w:val="17"/>
        </w:rPr>
        <w:t>                 Segment general and administrative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pStyle w:val="TextBody"/>
        <w:spacing w:before="0" w:after="120"/>
        <w:ind w:left="400" w:right="0" w:hanging="400"/>
        <w:rPr>
          <w:rFonts w:ascii="Times New Roman" w:hAnsi="Times New Roman"/>
          <w:sz w:val="17"/>
        </w:rPr>
      </w:pPr>
      <w:r>
        <w:rPr>
          <w:rFonts w:ascii="Times New Roman" w:hAnsi="Times New Roman"/>
          <w:position w:val="5"/>
          <w:sz w:val="12"/>
          <w:sz w:val="15"/>
        </w:rPr>
        <w:t>(3)</w:t>
      </w:r>
      <w:r>
        <w:rPr>
          <w:rFonts w:ascii="Times New Roman" w:hAnsi="Times New Roman"/>
          <w:sz w:val="17"/>
        </w:rPr>
        <w:t>                 Amounts related to SFAS 133 are included in revenues and impact segment profit. The SFAS 133 mark-to-market adjustment is primarily based upon crude oil prices at the end of the period and is related to the non-effective portion of our cash flow hedges, as well as certain derivative contracts that do not qualify under SFAS 133 as cash flow hedges. The net loss related to these derivative instruments is principally offset by physical positions in future periods.</w:t>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(4)</w:t>
      </w:r>
      <w:r>
        <w:rPr>
          <w:rFonts w:ascii="Times New Roman" w:hAnsi="Times New Roman"/>
          <w:sz w:val="17"/>
        </w:rPr>
        <w:t>                 Gains/losses on foreign currency revaluation are included in the Gathering, Marketing, Terminalling &amp; Storage segment.</w:t>
      </w:r>
    </w:p>
    <w:p>
      <w:pPr>
        <w:pStyle w:val="TextBody"/>
        <w:spacing w:before="0" w:after="120"/>
        <w:ind w:left="0" w:right="0" w:firstLine="400"/>
        <w:rPr>
          <w:rFonts w:ascii="Times New Roman" w:hAnsi="Times New Roman"/>
          <w:sz w:val="17"/>
        </w:rPr>
      </w:pPr>
      <w:r>
        <w:rPr>
          <w:rFonts w:ascii="Times New Roman" w:hAnsi="Times New Roman"/>
          <w:sz w:val="17"/>
        </w:rPr>
        <w:t>The Partnerships basic weighted average units outstanding for the second quarter of 2005 totaled 67.9 million (69.3 million diluted) as compared to 61.6 million (61.6 million diluted) in last years second quarter. At June 30, 2005, the Partnership had approximately 67.9 million units outstanding, long-term debt of $953.2 million and a long-term debt-to-total capitalization ratio of approximately 49%.</w:t>
      </w:r>
    </w:p>
    <w:p>
      <w:pPr>
        <w:pStyle w:val="TextBody"/>
        <w:spacing w:before="0" w:after="0"/>
        <w:rPr/>
      </w:pPr>
      <w:r>
        <w:rPr/>
      </w:r>
    </w:p>
    <w:p>
      <w:pPr>
        <w:pStyle w:val="HorizontalLine"/>
        <w:pBdr>
          <w:bottom w:val="single" w:sz="18" w:space="0" w:color="010101"/>
        </w:pBdr>
        <w:rPr/>
      </w:pPr>
      <w:r>
        <w:rPr/>
      </w:r>
      <w:r>
        <w:br w:type="page"/>
      </w:r>
    </w:p>
    <w:p>
      <w:pPr>
        <w:pStyle w:val="TextBody"/>
        <w:spacing w:before="0" w:after="120"/>
        <w:ind w:left="0" w:right="0" w:firstLine="400"/>
        <w:rPr>
          <w:rFonts w:ascii="Times New Roman" w:hAnsi="Times New Roman"/>
          <w:sz w:val="17"/>
        </w:rPr>
      </w:pPr>
      <w:r>
        <w:rPr>
          <w:rFonts w:ascii="Times New Roman" w:hAnsi="Times New Roman"/>
          <w:sz w:val="17"/>
        </w:rPr>
        <w:t>On July 21, 2005, the Partnership declared a cash distribution of $0.65 per unit ($2.60 per unit on an annualized basis) on its outstanding limited partner units. The distribution will be paid on August 12, 2005, to holders of record of such units at the close of business on August 2, 2005. The distribution represents an increase of approximately 12.6% over the August 2004 distribution and approximately 2.0% over the May 2005 distribution. This represents the 12</w:t>
      </w:r>
      <w:r>
        <w:rPr>
          <w:rFonts w:ascii="Times New Roman" w:hAnsi="Times New Roman"/>
          <w:position w:val="5"/>
          <w:sz w:val="13"/>
          <w:sz w:val="17"/>
        </w:rPr>
        <w:t>th</w:t>
      </w:r>
      <w:r>
        <w:rPr>
          <w:rFonts w:ascii="Times New Roman" w:hAnsi="Times New Roman"/>
          <w:sz w:val="17"/>
        </w:rPr>
        <w:t xml:space="preserve"> distribution increase for the Partnership in the last 18 quarters.</w:t>
      </w:r>
    </w:p>
    <w:p>
      <w:pPr>
        <w:pStyle w:val="TextBody"/>
        <w:spacing w:before="0" w:after="240"/>
        <w:ind w:left="0" w:right="0" w:firstLine="400"/>
        <w:rPr>
          <w:rFonts w:ascii="Times New Roman" w:hAnsi="Times New Roman"/>
          <w:sz w:val="17"/>
        </w:rPr>
      </w:pPr>
      <w:r>
        <w:rPr>
          <w:rFonts w:ascii="Times New Roman" w:hAnsi="Times New Roman"/>
          <w:sz w:val="17"/>
        </w:rPr>
        <w:t>The Partnership today furnished a current report on Form 8-K, which included material in this press release and financial and operational guidance for the third and fourth quarters and full year 2005. A copy of the Form 8-K is available on the Partnerships website at www.paalp.com.</w:t>
      </w:r>
    </w:p>
    <w:p>
      <w:pPr>
        <w:pStyle w:val="TextBody"/>
        <w:keepNext w:val="true"/>
        <w:spacing w:before="0" w:after="120"/>
        <w:ind w:left="200" w:right="0" w:hanging="200"/>
        <w:rPr>
          <w:rFonts w:ascii="Times New Roman" w:hAnsi="Times New Roman"/>
          <w:b/>
          <w:sz w:val="17"/>
        </w:rPr>
      </w:pPr>
      <w:bookmarkStart w:id="11" w:name="NongaapFinancialMeasures_185315"/>
      <w:bookmarkEnd w:id="11"/>
      <w:r>
        <w:rPr>
          <w:rFonts w:ascii="Times New Roman" w:hAnsi="Times New Roman"/>
          <w:b/>
          <w:sz w:val="17"/>
        </w:rPr>
        <w:t>Non-GAAP Financial Measures</w:t>
      </w:r>
    </w:p>
    <w:p>
      <w:pPr>
        <w:pStyle w:val="TextBody"/>
        <w:spacing w:before="0" w:after="120"/>
        <w:ind w:left="0" w:right="0" w:firstLine="40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of results of operations or cash provided by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its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in managements discussion and analysis of operating results in our Quarterly Report on Form 10-Q.</w:t>
      </w:r>
    </w:p>
    <w:p>
      <w:pPr>
        <w:pStyle w:val="TextBody"/>
        <w:spacing w:before="0" w:after="240"/>
        <w:ind w:left="0" w:right="0" w:firstLine="400"/>
        <w:rPr>
          <w:rFonts w:ascii="Times New Roman" w:hAnsi="Times New Roman"/>
          <w:sz w:val="17"/>
        </w:rPr>
      </w:pPr>
      <w:r>
        <w:rPr>
          <w:rFonts w:ascii="Times New Roman" w:hAnsi="Times New Roman"/>
          <w:sz w:val="17"/>
        </w:rPr>
        <w:t>A reconciliation of EBITDA to net income and cash flow from operating activities for the periods presented is included in the tables attached to this release. In addition, the Partnership maintains on its website (www.paalp.com)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page.</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Conference Call:</w:t>
      </w:r>
    </w:p>
    <w:p>
      <w:pPr>
        <w:pStyle w:val="TextBody"/>
        <w:keepNext w:val="true"/>
        <w:spacing w:before="0" w:after="120"/>
        <w:ind w:left="0" w:right="0" w:firstLine="400"/>
        <w:rPr>
          <w:rFonts w:ascii="Times New Roman" w:hAnsi="Times New Roman"/>
          <w:sz w:val="17"/>
        </w:rPr>
      </w:pPr>
      <w:r>
        <w:rPr>
          <w:rFonts w:ascii="Times New Roman" w:hAnsi="Times New Roman"/>
          <w:sz w:val="17"/>
        </w:rPr>
        <w:t>The Partnership will host a conference call to discuss the results and other forward-looking items on Thursday, July 28, 2005. Specific items to be addressed in this call include:</w:t>
      </w:r>
    </w:p>
    <w:p>
      <w:pPr>
        <w:pStyle w:val="TextBody"/>
        <w:spacing w:before="0" w:after="120"/>
        <w:ind w:left="0" w:right="0" w:firstLine="400"/>
        <w:rPr>
          <w:rFonts w:ascii="Times New Roman" w:hAnsi="Times New Roman"/>
          <w:sz w:val="17"/>
        </w:rPr>
      </w:pPr>
      <w:r>
        <w:rPr>
          <w:rFonts w:ascii="Times New Roman" w:hAnsi="Times New Roman"/>
          <w:sz w:val="17"/>
        </w:rPr>
        <w:t>1.     A brief review of the Partnerships second quarter performance;</w:t>
      </w:r>
    </w:p>
    <w:p>
      <w:pPr>
        <w:pStyle w:val="TextBody"/>
        <w:spacing w:before="0" w:after="120"/>
        <w:ind w:left="0" w:right="0" w:firstLine="400"/>
        <w:rPr>
          <w:rFonts w:ascii="Times New Roman" w:hAnsi="Times New Roman"/>
          <w:sz w:val="17"/>
        </w:rPr>
      </w:pPr>
      <w:r>
        <w:rPr>
          <w:rFonts w:ascii="Times New Roman" w:hAnsi="Times New Roman"/>
          <w:sz w:val="17"/>
        </w:rPr>
        <w:t>2.     A status report on expansion and organic growth projects;</w:t>
      </w:r>
    </w:p>
    <w:p>
      <w:pPr>
        <w:pStyle w:val="TextBody"/>
        <w:spacing w:before="0" w:after="120"/>
        <w:ind w:left="0" w:right="0" w:firstLine="400"/>
        <w:rPr>
          <w:rFonts w:ascii="Times New Roman" w:hAnsi="Times New Roman"/>
          <w:sz w:val="17"/>
        </w:rPr>
      </w:pPr>
      <w:r>
        <w:rPr>
          <w:rFonts w:ascii="Times New Roman" w:hAnsi="Times New Roman"/>
          <w:sz w:val="17"/>
        </w:rPr>
        <w:t>3.     A discussion of capitalization and liquidity;</w:t>
      </w:r>
    </w:p>
    <w:p>
      <w:pPr>
        <w:pStyle w:val="TextBody"/>
        <w:spacing w:before="0" w:after="120"/>
        <w:ind w:left="0" w:right="0" w:firstLine="400"/>
        <w:rPr>
          <w:rFonts w:ascii="Times New Roman" w:hAnsi="Times New Roman"/>
          <w:sz w:val="17"/>
        </w:rPr>
      </w:pPr>
      <w:r>
        <w:rPr>
          <w:rFonts w:ascii="Times New Roman" w:hAnsi="Times New Roman"/>
          <w:sz w:val="17"/>
        </w:rPr>
        <w:t>4.     A review of financial and operating guidance for the third quarter and full year of 2005; and</w:t>
      </w:r>
    </w:p>
    <w:p>
      <w:pPr>
        <w:pStyle w:val="TextBody"/>
        <w:spacing w:before="0" w:after="120"/>
        <w:ind w:left="0" w:right="0" w:firstLine="400"/>
        <w:rPr>
          <w:rFonts w:ascii="Times New Roman" w:hAnsi="Times New Roman"/>
          <w:sz w:val="17"/>
        </w:rPr>
      </w:pPr>
      <w:r>
        <w:rPr>
          <w:rFonts w:ascii="Times New Roman" w:hAnsi="Times New Roman"/>
          <w:sz w:val="17"/>
        </w:rPr>
        <w:t>5.     Comments regarding the Partnerships outlook for the future.</w:t>
      </w:r>
    </w:p>
    <w:p>
      <w:pPr>
        <w:pStyle w:val="TextBody"/>
        <w:spacing w:before="0" w:after="240"/>
        <w:ind w:left="0" w:right="0" w:firstLine="400"/>
        <w:rPr>
          <w:rFonts w:ascii="Times New Roman" w:hAnsi="Times New Roman"/>
          <w:sz w:val="17"/>
        </w:rPr>
      </w:pPr>
      <w:r>
        <w:rPr>
          <w:rFonts w:ascii="Times New Roman" w:hAnsi="Times New Roman"/>
          <w:sz w:val="17"/>
        </w:rPr>
        <w:t>The call will begin at 10:00 AM (Central). To participate in the call, please call 800-473-6123, or, for international callers, 973-582-2706 at approximately 9:55 AM (Central). No password or reservation number is required.</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Webcast Instructions:</w:t>
      </w:r>
    </w:p>
    <w:p>
      <w:pPr>
        <w:pStyle w:val="TextBody"/>
        <w:spacing w:before="0" w:after="240"/>
        <w:ind w:left="0" w:right="0" w:firstLine="40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keepNext w:val="true"/>
        <w:spacing w:before="0" w:after="120"/>
        <w:ind w:left="200" w:right="0" w:hanging="200"/>
        <w:rPr>
          <w:rFonts w:ascii="Times New Roman" w:hAnsi="Times New Roman"/>
          <w:b/>
          <w:i/>
          <w:sz w:val="17"/>
        </w:rPr>
      </w:pPr>
      <w:r>
        <w:rPr>
          <w:rFonts w:ascii="Times New Roman" w:hAnsi="Times New Roman"/>
          <w:b/>
          <w:i/>
          <w:sz w:val="17"/>
        </w:rPr>
        <w:t>Telephonic Replay Instructions:</w:t>
      </w:r>
    </w:p>
    <w:p>
      <w:pPr>
        <w:pStyle w:val="TextBody"/>
        <w:spacing w:before="0" w:after="120"/>
        <w:ind w:left="0" w:right="0" w:hanging="0"/>
        <w:rPr>
          <w:rFonts w:ascii="Times New Roman" w:hAnsi="Times New Roman"/>
          <w:sz w:val="17"/>
        </w:rPr>
      </w:pPr>
      <w:r>
        <w:rPr>
          <w:rFonts w:ascii="Times New Roman" w:hAnsi="Times New Roman"/>
          <w:b/>
          <w:sz w:val="17"/>
        </w:rPr>
        <w:t>Call 877-519-4471 or international call 973-341-3080</w:t>
      </w:r>
      <w:r>
        <w:rPr>
          <w:rFonts w:ascii="Times New Roman" w:hAnsi="Times New Roman"/>
          <w:sz w:val="17"/>
        </w:rPr>
        <w:t xml:space="preserve"> and enter </w:t>
      </w:r>
      <w:r>
        <w:rPr>
          <w:rFonts w:ascii="Times New Roman" w:hAnsi="Times New Roman"/>
          <w:b/>
          <w:sz w:val="17"/>
        </w:rPr>
        <w:t>PIN # 6248081</w:t>
      </w:r>
    </w:p>
    <w:p>
      <w:pPr>
        <w:pStyle w:val="TextBody"/>
        <w:spacing w:before="0" w:after="120"/>
        <w:ind w:left="0" w:right="0" w:hanging="0"/>
        <w:rPr>
          <w:rFonts w:ascii="Times New Roman" w:hAnsi="Times New Roman"/>
          <w:sz w:val="17"/>
        </w:rPr>
      </w:pPr>
      <w:r>
        <w:rPr>
          <w:rFonts w:ascii="Times New Roman" w:hAnsi="Times New Roman"/>
          <w:sz w:val="17"/>
        </w:rPr>
        <w:t>The replay will be available beginning Thursday, July 28, 2005, at approximately 1:00 PM (Central) and continue until 11:59pm (Central) Monday, August 1, 2005.</w:t>
      </w:r>
    </w:p>
    <w:p>
      <w:pPr>
        <w:pStyle w:val="TextBody"/>
        <w:spacing w:before="0" w:after="120"/>
        <w:ind w:left="0" w:right="0" w:firstLine="400"/>
        <w:rPr>
          <w:rFonts w:ascii="Times New Roman" w:hAnsi="Times New Roman"/>
          <w:sz w:val="17"/>
        </w:rPr>
      </w:pPr>
      <w:r>
        <w:rPr>
          <w:rFonts w:ascii="Times New Roman" w:hAnsi="Times New Roman"/>
          <w:sz w:val="17"/>
        </w:rPr>
        <w:t>Except for the historical information contained herein, the matters discussed in this news release are forward-looking statements that involve certain risks and uncertainties that could cause actual results to differ materially from results anticipated in the forward looking statements. These risks and uncertainties include, among other things: abrupt or severe production declines or production interruptions in outer continental shelf production located offshore California and transported on our pipeline systems; the success of our risk management activities; the availability of, and ability to consummate, acquisition or combination opportunities; our access to capital to fund additional acquisitions and our ability to obtain debt or equity financing on satisfactory terms; successful integration and future performance of acquired assets or businesses; environmental liabilities or events that are not covered by an indemnity, insurance or existing reserves; maintenance of our credit rating and ability to receive open credit from our suppliers and trade counterparties; declines in volumes shipped on the Basin Pipeline, Capline Pipeline and our other pipelines by the Partnership or third party shippers; the availability of adequate third party production volumes for transportation and marketing in the areas in which we operate; successful third party drilling efforts in areas in which we operate pipelines or gather crude oil; demand for various grades of crude oil and resulting changes in pricing conditions or transmission throughput requirements; fluctuations in refinery capacity in areas supplied by our transmission lines; the effects of competition; continued credit worthiness of, and performance by, our counterparties; the impact of crude oil price fluctuations; the impact of current and future laws, rulings and government regulations; shortages or cost increases in power supplies, materials and labor; weather interference with business operations or project construction; the currency exchange rate of the Canadian dollar; fluctuation in the debt and equity capital markets (including the price of our units at the time of vesting under our LTIP); general economic, market or business conditions; and other factors and uncertainties inherent in the marketing, transportation, terminalling, gathering and storage of crude oil and liquefied petroleum gas (LPG) discussed in the Partnerships filings with the Securities and Exchange Commission.</w:t>
      </w:r>
    </w:p>
    <w:p>
      <w:pPr>
        <w:pStyle w:val="TextBody"/>
        <w:keepNext w:val="true"/>
        <w:spacing w:before="0" w:after="120"/>
        <w:ind w:left="0" w:right="0" w:firstLine="40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The Partnerships common units are traded on the New York Stock Exchange under the symbol PAA. The Partnership is headquartered in Houston, Texas.</w:t>
      </w:r>
    </w:p>
    <w:p>
      <w:pPr>
        <w:pStyle w:val="TextBody"/>
        <w:spacing w:before="0" w:after="120"/>
        <w:ind w:left="0" w:right="0" w:firstLine="400"/>
        <w:jc w:val="center"/>
        <w:rPr>
          <w:rFonts w:ascii="Times New Roman" w:hAnsi="Times New Roman"/>
          <w:sz w:val="17"/>
        </w:rPr>
      </w:pPr>
      <w:r>
        <w:rPr>
          <w:rFonts w:ascii="Times New Roman" w:hAnsi="Times New Roman"/>
          <w:sz w:val="17"/>
        </w:rPr>
        <w:t># #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ALL AMERICAN PIPELINE, L.P. AND SUBSIDIARIES</w:t>
        <w:br/>
        <w:t>FINANCIAL SUMMARY (unaudited) (in thousands, except per unit data) (continued)</w:t>
      </w:r>
    </w:p>
    <w:p>
      <w:pPr>
        <w:pStyle w:val="TextBody"/>
        <w:keepNext w:val="true"/>
        <w:spacing w:before="0" w:after="240"/>
        <w:ind w:left="200" w:right="0" w:hanging="200"/>
        <w:rPr>
          <w:rFonts w:ascii="Times New Roman" w:hAnsi="Times New Roman"/>
          <w:b/>
          <w:sz w:val="17"/>
        </w:rPr>
      </w:pPr>
      <w:bookmarkStart w:id="12" w:name="ConsolidatedStatementsOfOperation_190227"/>
      <w:bookmarkEnd w:id="12"/>
      <w:r>
        <w:rPr>
          <w:rFonts w:ascii="Times New Roman" w:hAnsi="Times New Roman"/>
          <w:b/>
          <w:sz w:val="17"/>
        </w:rPr>
        <w:t>CONSOLIDATED STATEMENTS OF OPERATIONS</w:t>
      </w:r>
    </w:p>
    <w:tbl>
      <w:tblPr>
        <w:tblW w:w="9175" w:type="dxa"/>
        <w:jc w:val="left"/>
        <w:tblInd w:w="0" w:type="dxa"/>
        <w:tblCellMar>
          <w:top w:w="0" w:type="dxa"/>
          <w:left w:w="0" w:type="dxa"/>
          <w:bottom w:w="0" w:type="dxa"/>
          <w:right w:w="0" w:type="dxa"/>
        </w:tblCellMar>
      </w:tblPr>
      <w:tblGrid>
        <w:gridCol w:w="4995"/>
        <w:gridCol w:w="240"/>
        <w:gridCol w:w="95"/>
        <w:gridCol w:w="675"/>
        <w:gridCol w:w="240"/>
        <w:gridCol w:w="95"/>
        <w:gridCol w:w="675"/>
        <w:gridCol w:w="240"/>
        <w:gridCol w:w="95"/>
        <w:gridCol w:w="750"/>
        <w:gridCol w:w="240"/>
        <w:gridCol w:w="95"/>
        <w:gridCol w:w="675"/>
        <w:gridCol w:w="65"/>
      </w:tblGrid>
      <w:tr>
        <w:trPr/>
        <w:tc>
          <w:tcPr>
            <w:tcW w:w="499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78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240" w:type="dxa"/>
            <w:tcBorders/>
            <w:shd w:fill="auto" w:val="clear"/>
            <w:vAlign w:val="bottom"/>
          </w:tcPr>
          <w:p>
            <w:pPr>
              <w:pStyle w:val="TableContents"/>
              <w:spacing w:lineRule="atLeast" w:line="160" w:before="0" w:after="0"/>
              <w:ind w:left="0" w:right="0" w:hanging="0"/>
              <w:rPr/>
            </w:pPr>
            <w:r>
              <w:rPr/>
              <w:t> </w:t>
            </w:r>
          </w:p>
        </w:tc>
        <w:tc>
          <w:tcPr>
            <w:tcW w:w="1855"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r>
          </w:p>
        </w:tc>
        <w:tc>
          <w:tcPr>
            <w:tcW w:w="65" w:type="dxa"/>
            <w:tcBorders/>
            <w:shd w:fill="auto" w:val="clear"/>
            <w:vAlign w:val="bottom"/>
          </w:tcPr>
          <w:p>
            <w:pPr>
              <w:pStyle w:val="TableContents"/>
              <w:spacing w:lineRule="atLeast" w:line="160" w:before="0" w:after="0"/>
              <w:ind w:left="0" w:right="0" w:hanging="0"/>
              <w:rPr/>
            </w:pPr>
            <w:r>
              <w:rPr/>
              <w:t> </w:t>
            </w:r>
          </w:p>
        </w:tc>
      </w:tr>
      <w:tr>
        <w:trPr/>
        <w:tc>
          <w:tcPr>
            <w:tcW w:w="499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78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1855"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65" w:type="dxa"/>
            <w:tcBorders/>
            <w:shd w:fill="auto" w:val="clear"/>
            <w:vAlign w:val="bottom"/>
          </w:tcPr>
          <w:p>
            <w:pPr>
              <w:pStyle w:val="TableContents"/>
              <w:spacing w:lineRule="atLeast" w:line="160" w:before="0" w:after="0"/>
              <w:ind w:left="0" w:right="0" w:hanging="0"/>
              <w:rPr/>
            </w:pPr>
            <w:r>
              <w:rPr/>
              <w:t> </w:t>
            </w:r>
          </w:p>
        </w:tc>
      </w:tr>
      <w:tr>
        <w:trPr/>
        <w:tc>
          <w:tcPr>
            <w:tcW w:w="499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65" w:type="dxa"/>
            <w:tcBorders/>
            <w:shd w:fill="auto" w:val="clear"/>
            <w:vAlign w:val="bottom"/>
          </w:tcPr>
          <w:p>
            <w:pPr>
              <w:pStyle w:val="TableContents"/>
              <w:spacing w:lineRule="atLeast" w:line="16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REVENUES</w:t>
            </w:r>
          </w:p>
        </w:tc>
        <w:tc>
          <w:tcPr>
            <w:tcW w:w="240" w:type="dxa"/>
            <w:tcBorders/>
            <w:shd w:fill="CCEEFF" w:val="clear"/>
            <w:vAlign w:val="bottom"/>
          </w:tcPr>
          <w:p>
            <w:pPr>
              <w:pStyle w:val="TableContents"/>
              <w:spacing w:lineRule="atLeast" w:line="180"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7,160,707</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5,131,735</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13,799,203</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8,936,379</w:t>
            </w:r>
          </w:p>
        </w:tc>
        <w:tc>
          <w:tcPr>
            <w:tcW w:w="65" w:type="dxa"/>
            <w:tcBorders/>
            <w:shd w:fill="CCEEFF" w:val="clear"/>
            <w:vAlign w:val="bottom"/>
          </w:tcPr>
          <w:p>
            <w:pPr>
              <w:pStyle w:val="TableContents"/>
              <w:spacing w:before="0" w:after="0"/>
              <w:ind w:left="0" w:right="0" w:hanging="0"/>
              <w:rPr/>
            </w:pPr>
            <w:r>
              <w:rPr/>
              <w:t> </w:t>
            </w:r>
          </w:p>
        </w:tc>
      </w:tr>
      <w:tr>
        <w:trPr/>
        <w:tc>
          <w:tcPr>
            <w:tcW w:w="4995" w:type="dxa"/>
            <w:tcBorders/>
            <w:shd w:fill="auto" w:val="clear"/>
          </w:tcPr>
          <w:p>
            <w:pPr>
              <w:pStyle w:val="TableContents"/>
              <w:spacing w:lineRule="atLeast" w:line="180" w:before="60" w:after="60"/>
              <w:ind w:left="0" w:right="0" w:hanging="0"/>
              <w:rPr>
                <w:rFonts w:ascii="Times New Roman" w:hAnsi="Times New Roman"/>
                <w:b/>
                <w:sz w:val="13"/>
              </w:rPr>
            </w:pPr>
            <w:r>
              <w:rPr>
                <w:rFonts w:ascii="Times New Roman" w:hAnsi="Times New Roman"/>
                <w:b/>
                <w:sz w:val="13"/>
              </w:rPr>
              <w:t>COSTS AND EXPENSES</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84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65" w:type="dxa"/>
            <w:tcBorders/>
            <w:shd w:fill="auto" w:val="clear"/>
            <w:vAlign w:val="bottom"/>
          </w:tcPr>
          <w:p>
            <w:pPr>
              <w:pStyle w:val="TableContents"/>
              <w:spacing w:lineRule="atLeast" w:line="180" w:before="60" w:after="6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Crude oil and LPG purchases and related costs</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6,971,690</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4,991,867</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13,457,850</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8,685,372</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Field operating costs (excluding LTIP charge)</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66,846</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59,035</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130,322</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96,851</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LTIP chargeoperations</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975</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1,319</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567</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General and administrative expenses (excluding LTIP charge)</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19,198</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19,603</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39,414</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35,081</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LTIP chargegeneral &amp; administrative</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6,951</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8,846</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3,661</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Depreciation and amortization</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19,448</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15,998</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38,566</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29,118</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Total costs and expenses</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7,085,108</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5,086,503</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13,676,317</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8,850,650</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Gain on sale of assets</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445</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84</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445</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84</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OPERATING INCOME</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76,044</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45,316</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123,331</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85,813</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60" w:after="60"/>
              <w:ind w:left="0" w:right="0" w:hanging="0"/>
              <w:rPr>
                <w:rFonts w:ascii="Times New Roman" w:hAnsi="Times New Roman"/>
                <w:b/>
                <w:sz w:val="13"/>
              </w:rPr>
            </w:pPr>
            <w:r>
              <w:rPr>
                <w:rFonts w:ascii="Times New Roman" w:hAnsi="Times New Roman"/>
                <w:b/>
                <w:sz w:val="13"/>
              </w:rPr>
              <w:t>OTHER INCOME/(EXPENSE)</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84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65" w:type="dxa"/>
            <w:tcBorders/>
            <w:shd w:fill="auto" w:val="clear"/>
            <w:vAlign w:val="bottom"/>
          </w:tcPr>
          <w:p>
            <w:pPr>
              <w:pStyle w:val="TableContents"/>
              <w:spacing w:lineRule="atLeast" w:line="180" w:before="60" w:after="6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Interest expense</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(14,253</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(9,967</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8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(28,811</w:t>
            </w:r>
          </w:p>
        </w:tc>
        <w:tc>
          <w:tcPr>
            <w:tcW w:w="24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(19,499</w:t>
            </w:r>
          </w:p>
        </w:tc>
        <w:tc>
          <w:tcPr>
            <w:tcW w:w="6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Interest and other income (expense), net</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491</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328</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570</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369</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Income before cumulative effect of change in accounting principle</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62,282</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35,677</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95,090</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66,683</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Cumulative effect of change in accounting principle</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(3,130</w:t>
            </w:r>
          </w:p>
        </w:tc>
        <w:tc>
          <w:tcPr>
            <w:tcW w:w="65"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4995" w:type="dxa"/>
            <w:tcBorders/>
            <w:shd w:fill="CCEEFF" w:val="clear"/>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NET INCOME</w:t>
            </w:r>
          </w:p>
        </w:tc>
        <w:tc>
          <w:tcPr>
            <w:tcW w:w="240" w:type="dxa"/>
            <w:tcBorders/>
            <w:shd w:fill="CCEEFF" w:val="clear"/>
            <w:vAlign w:val="bottom"/>
          </w:tcPr>
          <w:p>
            <w:pPr>
              <w:pStyle w:val="TableContents"/>
              <w:spacing w:lineRule="atLeast" w:line="18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62,282</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35,677</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95,090</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63,553</w:t>
            </w:r>
          </w:p>
        </w:tc>
        <w:tc>
          <w:tcPr>
            <w:tcW w:w="65" w:type="dxa"/>
            <w:tcBorders/>
            <w:shd w:fill="CCEEFF" w:val="clear"/>
            <w:vAlign w:val="bottom"/>
          </w:tcPr>
          <w:p>
            <w:pPr>
              <w:pStyle w:val="TableContents"/>
              <w:spacing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pPr>
            <w:r>
              <w:rPr>
                <w:rFonts w:ascii="Times New Roman" w:hAnsi="Times New Roman"/>
                <w:b/>
                <w:sz w:val="13"/>
              </w:rPr>
              <w:t>NET INCOME</w:t>
            </w:r>
            <w:r>
              <w:rPr>
                <w:sz w:val="13"/>
              </w:rPr>
              <w:t></w:t>
            </w:r>
            <w:r>
              <w:rPr>
                <w:b/>
                <w:sz w:val="13"/>
              </w:rPr>
              <w:t>LIMITED PARTNERS</w:t>
            </w:r>
          </w:p>
        </w:tc>
        <w:tc>
          <w:tcPr>
            <w:tcW w:w="240" w:type="dxa"/>
            <w:tcBorders/>
            <w:shd w:fill="auto" w:val="clear"/>
            <w:vAlign w:val="bottom"/>
          </w:tcPr>
          <w:p>
            <w:pPr>
              <w:pStyle w:val="TableContents"/>
              <w:spacing w:lineRule="atLeast" w:line="18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57,602</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33,247</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750"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86,867</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58,954</w:t>
            </w:r>
          </w:p>
        </w:tc>
        <w:tc>
          <w:tcPr>
            <w:tcW w:w="65" w:type="dxa"/>
            <w:tcBorders/>
            <w:shd w:fill="auto" w:val="clear"/>
            <w:vAlign w:val="bottom"/>
          </w:tcPr>
          <w:p>
            <w:pPr>
              <w:pStyle w:val="TableContents"/>
              <w:spacing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pPr>
            <w:r>
              <w:rPr>
                <w:rFonts w:ascii="Times New Roman" w:hAnsi="Times New Roman"/>
                <w:b/>
                <w:sz w:val="13"/>
              </w:rPr>
              <w:t>NET INCOME</w:t>
            </w:r>
            <w:r>
              <w:rPr>
                <w:sz w:val="13"/>
              </w:rPr>
              <w:t></w:t>
            </w:r>
            <w:r>
              <w:rPr>
                <w:b/>
                <w:sz w:val="13"/>
              </w:rPr>
              <w:t>GENERAL PARTNER</w:t>
            </w:r>
          </w:p>
        </w:tc>
        <w:tc>
          <w:tcPr>
            <w:tcW w:w="240" w:type="dxa"/>
            <w:tcBorders/>
            <w:shd w:fill="CCEEFF" w:val="clear"/>
            <w:vAlign w:val="bottom"/>
          </w:tcPr>
          <w:p>
            <w:pPr>
              <w:pStyle w:val="TableContents"/>
              <w:spacing w:lineRule="atLeast" w:line="18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4,680</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2,430</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750"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8,223</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4,599</w:t>
            </w:r>
          </w:p>
        </w:tc>
        <w:tc>
          <w:tcPr>
            <w:tcW w:w="65" w:type="dxa"/>
            <w:tcBorders/>
            <w:shd w:fill="CCEEFF" w:val="clear"/>
            <w:vAlign w:val="bottom"/>
          </w:tcPr>
          <w:p>
            <w:pPr>
              <w:pStyle w:val="TableContents"/>
              <w:spacing w:before="0" w:after="0"/>
              <w:ind w:left="0" w:right="0" w:hanging="0"/>
              <w:rPr/>
            </w:pPr>
            <w:r>
              <w:rPr/>
              <w:t> </w:t>
            </w:r>
          </w:p>
        </w:tc>
      </w:tr>
      <w:tr>
        <w:trPr/>
        <w:tc>
          <w:tcPr>
            <w:tcW w:w="4995" w:type="dxa"/>
            <w:tcBorders/>
            <w:shd w:fill="auto" w:val="clear"/>
          </w:tcPr>
          <w:p>
            <w:pPr>
              <w:pStyle w:val="TableContents"/>
              <w:spacing w:lineRule="atLeast" w:line="180" w:before="60" w:after="60"/>
              <w:ind w:left="0" w:right="0" w:hanging="0"/>
              <w:rPr>
                <w:rFonts w:ascii="Times New Roman" w:hAnsi="Times New Roman"/>
                <w:b/>
                <w:sz w:val="13"/>
              </w:rPr>
            </w:pPr>
            <w:r>
              <w:rPr>
                <w:rFonts w:ascii="Times New Roman" w:hAnsi="Times New Roman"/>
                <w:b/>
                <w:sz w:val="13"/>
              </w:rPr>
              <w:t>BASIC NET INCOME PER LIMITED PARTNER UNIT</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84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65" w:type="dxa"/>
            <w:tcBorders/>
            <w:shd w:fill="auto" w:val="clear"/>
            <w:vAlign w:val="bottom"/>
          </w:tcPr>
          <w:p>
            <w:pPr>
              <w:pStyle w:val="TableContents"/>
              <w:spacing w:lineRule="atLeast" w:line="180" w:before="60" w:after="6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Income before cumulative effect of change in accounting principle</w:t>
            </w:r>
          </w:p>
        </w:tc>
        <w:tc>
          <w:tcPr>
            <w:tcW w:w="240" w:type="dxa"/>
            <w:tcBorders/>
            <w:shd w:fill="CCEEFF" w:val="clear"/>
            <w:vAlign w:val="bottom"/>
          </w:tcPr>
          <w:p>
            <w:pPr>
              <w:pStyle w:val="TableContents"/>
              <w:spacing w:lineRule="atLeast" w:line="180"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0.76</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0.54</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1.27</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1.03</w:t>
            </w:r>
          </w:p>
        </w:tc>
        <w:tc>
          <w:tcPr>
            <w:tcW w:w="65" w:type="dxa"/>
            <w:tcBorders/>
            <w:shd w:fill="CCEEFF" w:val="clear"/>
            <w:vAlign w:val="bottom"/>
          </w:tcPr>
          <w:p>
            <w:pPr>
              <w:pStyle w:val="TableContents"/>
              <w:spacing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Cumulative effect of change in accounting principle</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(0.05</w:t>
            </w:r>
          </w:p>
        </w:tc>
        <w:tc>
          <w:tcPr>
            <w:tcW w:w="65"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Basic net income per limited partner unit</w:t>
            </w:r>
          </w:p>
        </w:tc>
        <w:tc>
          <w:tcPr>
            <w:tcW w:w="240" w:type="dxa"/>
            <w:tcBorders/>
            <w:shd w:fill="CCEEFF" w:val="clear"/>
            <w:vAlign w:val="bottom"/>
          </w:tcPr>
          <w:p>
            <w:pPr>
              <w:pStyle w:val="TableContents"/>
              <w:spacing w:lineRule="atLeast" w:line="18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0.76</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0.54</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1.27</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0.98</w:t>
            </w:r>
          </w:p>
        </w:tc>
        <w:tc>
          <w:tcPr>
            <w:tcW w:w="65" w:type="dxa"/>
            <w:tcBorders/>
            <w:shd w:fill="CCEEFF" w:val="clear"/>
            <w:vAlign w:val="bottom"/>
          </w:tcPr>
          <w:p>
            <w:pPr>
              <w:pStyle w:val="TableContents"/>
              <w:spacing w:before="0" w:after="0"/>
              <w:ind w:left="0" w:right="0" w:hanging="0"/>
              <w:rPr/>
            </w:pPr>
            <w:r>
              <w:rPr/>
              <w:t> </w:t>
            </w:r>
          </w:p>
        </w:tc>
      </w:tr>
      <w:tr>
        <w:trPr/>
        <w:tc>
          <w:tcPr>
            <w:tcW w:w="4995" w:type="dxa"/>
            <w:tcBorders/>
            <w:shd w:fill="auto" w:val="clear"/>
          </w:tcPr>
          <w:p>
            <w:pPr>
              <w:pStyle w:val="TableContents"/>
              <w:spacing w:lineRule="atLeast" w:line="180" w:before="60" w:after="60"/>
              <w:ind w:left="0" w:right="0" w:hanging="0"/>
              <w:rPr>
                <w:rFonts w:ascii="Times New Roman" w:hAnsi="Times New Roman"/>
                <w:b/>
                <w:sz w:val="13"/>
              </w:rPr>
            </w:pPr>
            <w:r>
              <w:rPr>
                <w:rFonts w:ascii="Times New Roman" w:hAnsi="Times New Roman"/>
                <w:b/>
                <w:sz w:val="13"/>
              </w:rPr>
              <w:t>DILUTED NET INCOME PER LIMITED PARTNER UNIT</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84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65" w:type="dxa"/>
            <w:tcBorders/>
            <w:shd w:fill="auto" w:val="clear"/>
            <w:vAlign w:val="bottom"/>
          </w:tcPr>
          <w:p>
            <w:pPr>
              <w:pStyle w:val="TableContents"/>
              <w:spacing w:lineRule="atLeast" w:line="180" w:before="60" w:after="6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Income before cumulative effect of change in accounting principle</w:t>
            </w:r>
          </w:p>
        </w:tc>
        <w:tc>
          <w:tcPr>
            <w:tcW w:w="240" w:type="dxa"/>
            <w:tcBorders/>
            <w:shd w:fill="CCEEFF" w:val="clear"/>
            <w:vAlign w:val="bottom"/>
          </w:tcPr>
          <w:p>
            <w:pPr>
              <w:pStyle w:val="TableContents"/>
              <w:spacing w:lineRule="atLeast" w:line="180"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0.74</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0.54</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750"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1.26</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1.03</w:t>
            </w:r>
          </w:p>
        </w:tc>
        <w:tc>
          <w:tcPr>
            <w:tcW w:w="65" w:type="dxa"/>
            <w:tcBorders/>
            <w:shd w:fill="CCEEFF" w:val="clear"/>
            <w:vAlign w:val="bottom"/>
          </w:tcPr>
          <w:p>
            <w:pPr>
              <w:pStyle w:val="TableContents"/>
              <w:spacing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Cumulative effect of change in accounting principle</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(0.05</w:t>
            </w:r>
          </w:p>
        </w:tc>
        <w:tc>
          <w:tcPr>
            <w:tcW w:w="65" w:type="dxa"/>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Diluted net income per limited partner unit</w:t>
            </w:r>
          </w:p>
        </w:tc>
        <w:tc>
          <w:tcPr>
            <w:tcW w:w="240" w:type="dxa"/>
            <w:tcBorders/>
            <w:shd w:fill="CCEEFF" w:val="clear"/>
            <w:vAlign w:val="bottom"/>
          </w:tcPr>
          <w:p>
            <w:pPr>
              <w:pStyle w:val="TableContents"/>
              <w:spacing w:lineRule="atLeast" w:line="18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0.74</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0.54</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1.26</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180" w:before="0" w:after="0"/>
              <w:ind w:left="0" w:right="0" w:hanging="0"/>
              <w:jc w:val="left"/>
              <w:rPr>
                <w:rFonts w:ascii="Times New Roman" w:hAnsi="Times New Roman"/>
                <w:sz w:val="13"/>
              </w:rPr>
            </w:pPr>
            <w:r>
              <w:rPr>
                <w:rFonts w:ascii="Times New Roman" w:hAnsi="Times New Roman"/>
                <w:sz w:val="13"/>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0.98</w:t>
            </w:r>
          </w:p>
        </w:tc>
        <w:tc>
          <w:tcPr>
            <w:tcW w:w="65" w:type="dxa"/>
            <w:tcBorders/>
            <w:shd w:fill="CCEEFF" w:val="clear"/>
            <w:vAlign w:val="bottom"/>
          </w:tcPr>
          <w:p>
            <w:pPr>
              <w:pStyle w:val="TableContents"/>
              <w:spacing w:before="0" w:after="0"/>
              <w:ind w:left="0" w:right="0" w:hanging="0"/>
              <w:rPr/>
            </w:pPr>
            <w:r>
              <w:rPr/>
              <w:t> </w:t>
            </w:r>
          </w:p>
        </w:tc>
      </w:tr>
      <w:tr>
        <w:trPr/>
        <w:tc>
          <w:tcPr>
            <w:tcW w:w="4995" w:type="dxa"/>
            <w:tcBorders/>
            <w:shd w:fill="auto" w:val="clear"/>
          </w:tcPr>
          <w:p>
            <w:pPr>
              <w:pStyle w:val="TableContents"/>
              <w:spacing w:lineRule="atLeast" w:line="180" w:before="60" w:after="60"/>
              <w:ind w:left="0" w:right="0" w:hanging="0"/>
              <w:rPr>
                <w:rFonts w:ascii="Times New Roman" w:hAnsi="Times New Roman"/>
                <w:b/>
                <w:sz w:val="13"/>
              </w:rPr>
            </w:pPr>
            <w:r>
              <w:rPr>
                <w:rFonts w:ascii="Times New Roman" w:hAnsi="Times New Roman"/>
                <w:b/>
                <w:sz w:val="13"/>
              </w:rPr>
              <w:t>BASIC WEIGHTED AVERAGE UNITS OUTSTANDING</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lineRule="atLeast" w:line="180" w:before="60" w:after="60"/>
              <w:ind w:left="0" w:right="0" w:hanging="0"/>
              <w:rPr>
                <w:rFonts w:ascii="Times New Roman" w:hAnsi="Times New Roman"/>
                <w:sz w:val="13"/>
              </w:rPr>
            </w:pPr>
            <w:r>
              <w:rPr>
                <w:rFonts w:ascii="Times New Roman" w:hAnsi="Times New Roman"/>
                <w:sz w:val="13"/>
              </w:rPr>
              <w:t>67,893</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lineRule="atLeast" w:line="180" w:before="60" w:after="60"/>
              <w:ind w:left="0" w:right="0" w:hanging="0"/>
              <w:rPr>
                <w:rFonts w:ascii="Times New Roman" w:hAnsi="Times New Roman"/>
                <w:sz w:val="13"/>
              </w:rPr>
            </w:pPr>
            <w:r>
              <w:rPr>
                <w:rFonts w:ascii="Times New Roman" w:hAnsi="Times New Roman"/>
                <w:sz w:val="13"/>
              </w:rPr>
              <w:t>61,556</w:t>
            </w:r>
          </w:p>
        </w:tc>
        <w:tc>
          <w:tcPr>
            <w:tcW w:w="240" w:type="dxa"/>
            <w:tcBorders/>
            <w:shd w:fill="auto" w:val="clear"/>
            <w:vAlign w:val="bottom"/>
          </w:tcPr>
          <w:p>
            <w:pPr>
              <w:pStyle w:val="TableContents"/>
              <w:spacing w:lineRule="atLeast" w:line="180" w:before="60" w:after="60"/>
              <w:ind w:left="0" w:right="0" w:hanging="0"/>
              <w:rPr/>
            </w:pPr>
            <w:r>
              <w:rPr/>
              <w:t> </w:t>
            </w:r>
          </w:p>
        </w:tc>
        <w:tc>
          <w:tcPr>
            <w:tcW w:w="845" w:type="dxa"/>
            <w:gridSpan w:val="2"/>
            <w:tcBorders>
              <w:bottom w:val="double" w:sz="6" w:space="0" w:color="000000"/>
            </w:tcBorders>
            <w:shd w:fill="auto" w:val="clear"/>
            <w:tcMar>
              <w:bottom w:w="28" w:type="dxa"/>
            </w:tcMar>
            <w:vAlign w:val="bottom"/>
          </w:tcPr>
          <w:p>
            <w:pPr>
              <w:pStyle w:val="TableContents"/>
              <w:spacing w:lineRule="atLeast" w:line="180" w:before="60" w:after="60"/>
              <w:ind w:left="0" w:right="0" w:hanging="0"/>
              <w:rPr>
                <w:rFonts w:ascii="Times New Roman" w:hAnsi="Times New Roman"/>
                <w:sz w:val="13"/>
              </w:rPr>
            </w:pPr>
            <w:r>
              <w:rPr>
                <w:rFonts w:ascii="Times New Roman" w:hAnsi="Times New Roman"/>
                <w:sz w:val="13"/>
              </w:rPr>
              <w:t>67,706</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lineRule="atLeast" w:line="180" w:before="60" w:after="60"/>
              <w:ind w:left="0" w:right="0" w:hanging="0"/>
              <w:rPr>
                <w:rFonts w:ascii="Times New Roman" w:hAnsi="Times New Roman"/>
                <w:sz w:val="13"/>
              </w:rPr>
            </w:pPr>
            <w:r>
              <w:rPr>
                <w:rFonts w:ascii="Times New Roman" w:hAnsi="Times New Roman"/>
                <w:sz w:val="13"/>
              </w:rPr>
              <w:t>59,985</w:t>
            </w:r>
          </w:p>
        </w:tc>
        <w:tc>
          <w:tcPr>
            <w:tcW w:w="65" w:type="dxa"/>
            <w:tcBorders/>
            <w:shd w:fill="auto" w:val="clear"/>
            <w:vAlign w:val="bottom"/>
          </w:tcPr>
          <w:p>
            <w:pPr>
              <w:pStyle w:val="TableContents"/>
              <w:spacing w:lineRule="atLeast" w:line="180" w:before="60" w:after="60"/>
              <w:ind w:left="0" w:right="0" w:hanging="0"/>
              <w:rPr/>
            </w:pPr>
            <w:r>
              <w:rPr/>
              <w:t> </w:t>
            </w:r>
          </w:p>
        </w:tc>
      </w:tr>
      <w:tr>
        <w:trPr/>
        <w:tc>
          <w:tcPr>
            <w:tcW w:w="4995" w:type="dxa"/>
            <w:tcBorders/>
            <w:shd w:fill="CCEEFF" w:val="clear"/>
          </w:tcPr>
          <w:p>
            <w:pPr>
              <w:pStyle w:val="TableContents"/>
              <w:spacing w:lineRule="atLeast" w:line="180" w:before="60" w:after="60"/>
              <w:ind w:left="0" w:right="0" w:hanging="0"/>
              <w:rPr>
                <w:rFonts w:ascii="Times New Roman" w:hAnsi="Times New Roman"/>
                <w:b/>
                <w:sz w:val="13"/>
              </w:rPr>
            </w:pPr>
            <w:r>
              <w:rPr>
                <w:rFonts w:ascii="Times New Roman" w:hAnsi="Times New Roman"/>
                <w:b/>
                <w:sz w:val="13"/>
              </w:rPr>
              <w:t>DILUTED WEIGHTED AVERAGE UNITS OUTSTANDING</w:t>
            </w:r>
          </w:p>
        </w:tc>
        <w:tc>
          <w:tcPr>
            <w:tcW w:w="240" w:type="dxa"/>
            <w:tcBorders/>
            <w:shd w:fill="CCEEFF" w:val="clear"/>
            <w:vAlign w:val="bottom"/>
          </w:tcPr>
          <w:p>
            <w:pPr>
              <w:pStyle w:val="TableContents"/>
              <w:spacing w:lineRule="atLeast" w:line="180" w:before="60" w:after="6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60" w:after="60"/>
              <w:ind w:left="0" w:right="0" w:hanging="0"/>
              <w:rPr>
                <w:rFonts w:ascii="Times New Roman" w:hAnsi="Times New Roman"/>
                <w:sz w:val="13"/>
              </w:rPr>
            </w:pPr>
            <w:r>
              <w:rPr>
                <w:rFonts w:ascii="Times New Roman" w:hAnsi="Times New Roman"/>
                <w:sz w:val="13"/>
              </w:rPr>
              <w:t>69,274</w:t>
            </w:r>
          </w:p>
        </w:tc>
        <w:tc>
          <w:tcPr>
            <w:tcW w:w="240" w:type="dxa"/>
            <w:tcBorders/>
            <w:shd w:fill="CCEEFF" w:val="clear"/>
            <w:vAlign w:val="bottom"/>
          </w:tcPr>
          <w:p>
            <w:pPr>
              <w:pStyle w:val="TableContents"/>
              <w:spacing w:lineRule="atLeast" w:line="180" w:before="60" w:after="6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60" w:after="60"/>
              <w:ind w:left="0" w:right="0" w:hanging="0"/>
              <w:rPr>
                <w:rFonts w:ascii="Times New Roman" w:hAnsi="Times New Roman"/>
                <w:sz w:val="13"/>
              </w:rPr>
            </w:pPr>
            <w:r>
              <w:rPr>
                <w:rFonts w:ascii="Times New Roman" w:hAnsi="Times New Roman"/>
                <w:sz w:val="13"/>
              </w:rPr>
              <w:t>61,556</w:t>
            </w:r>
          </w:p>
        </w:tc>
        <w:tc>
          <w:tcPr>
            <w:tcW w:w="240" w:type="dxa"/>
            <w:tcBorders/>
            <w:shd w:fill="CCEEFF" w:val="clear"/>
            <w:vAlign w:val="bottom"/>
          </w:tcPr>
          <w:p>
            <w:pPr>
              <w:pStyle w:val="TableContents"/>
              <w:spacing w:lineRule="atLeast" w:line="180" w:before="60" w:after="6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lineRule="atLeast" w:line="180" w:before="60" w:after="60"/>
              <w:ind w:left="0" w:right="0" w:hanging="0"/>
              <w:rPr>
                <w:rFonts w:ascii="Times New Roman" w:hAnsi="Times New Roman"/>
                <w:sz w:val="13"/>
              </w:rPr>
            </w:pPr>
            <w:r>
              <w:rPr>
                <w:rFonts w:ascii="Times New Roman" w:hAnsi="Times New Roman"/>
                <w:sz w:val="13"/>
              </w:rPr>
              <w:t>68,719</w:t>
            </w:r>
          </w:p>
        </w:tc>
        <w:tc>
          <w:tcPr>
            <w:tcW w:w="240" w:type="dxa"/>
            <w:tcBorders/>
            <w:shd w:fill="CCEEFF" w:val="clear"/>
            <w:vAlign w:val="bottom"/>
          </w:tcPr>
          <w:p>
            <w:pPr>
              <w:pStyle w:val="TableContents"/>
              <w:spacing w:lineRule="atLeast" w:line="180" w:before="60" w:after="6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60" w:after="60"/>
              <w:ind w:left="0" w:right="0" w:hanging="0"/>
              <w:rPr>
                <w:rFonts w:ascii="Times New Roman" w:hAnsi="Times New Roman"/>
                <w:sz w:val="13"/>
              </w:rPr>
            </w:pPr>
            <w:r>
              <w:rPr>
                <w:rFonts w:ascii="Times New Roman" w:hAnsi="Times New Roman"/>
                <w:sz w:val="13"/>
              </w:rPr>
              <w:t>59,985</w:t>
            </w:r>
          </w:p>
        </w:tc>
        <w:tc>
          <w:tcPr>
            <w:tcW w:w="65" w:type="dxa"/>
            <w:tcBorders/>
            <w:shd w:fill="CCEEFF" w:val="clear"/>
            <w:vAlign w:val="bottom"/>
          </w:tcPr>
          <w:p>
            <w:pPr>
              <w:pStyle w:val="TableContents"/>
              <w:spacing w:lineRule="atLeast" w:line="180" w:before="60" w:after="60"/>
              <w:ind w:left="0" w:right="0" w:hanging="0"/>
              <w:rPr/>
            </w:pPr>
            <w:r>
              <w:rPr/>
              <w:t> </w:t>
            </w:r>
          </w:p>
        </w:tc>
      </w:tr>
      <w:tr>
        <w:trPr/>
        <w:tc>
          <w:tcPr>
            <w:tcW w:w="4995" w:type="dxa"/>
            <w:tcBorders/>
            <w:shd w:fill="auto" w:val="clear"/>
          </w:tcPr>
          <w:p>
            <w:pPr>
              <w:pStyle w:val="TableContents"/>
              <w:spacing w:lineRule="atLeast" w:line="180" w:before="60" w:after="60"/>
              <w:ind w:left="0" w:right="0" w:hanging="0"/>
              <w:rPr/>
            </w:pPr>
            <w:r>
              <w:rPr>
                <w:rFonts w:ascii="Times New Roman" w:hAnsi="Times New Roman"/>
                <w:b/>
                <w:sz w:val="13"/>
              </w:rPr>
              <w:t>OPERATING DATA</w:t>
            </w:r>
            <w:r>
              <w:rPr/>
              <w:t xml:space="preserve"> </w:t>
            </w:r>
            <w:r>
              <w:rPr>
                <w:sz w:val="13"/>
              </w:rPr>
              <w:t>(in thousands)</w:t>
            </w:r>
            <w:r>
              <w:rPr>
                <w:sz w:val="8"/>
              </w:rPr>
              <w:t>(1)</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845" w:type="dxa"/>
            <w:gridSpan w:val="2"/>
            <w:tcBorders/>
            <w:shd w:fill="auto" w:val="clear"/>
            <w:vAlign w:val="bottom"/>
          </w:tcPr>
          <w:p>
            <w:pPr>
              <w:pStyle w:val="TableContents"/>
              <w:spacing w:lineRule="atLeast" w:line="180" w:before="60" w:after="60"/>
              <w:ind w:left="0" w:right="0" w:hanging="0"/>
              <w:rPr/>
            </w:pPr>
            <w:r>
              <w:rPr/>
              <w:t> </w:t>
            </w:r>
          </w:p>
        </w:tc>
        <w:tc>
          <w:tcPr>
            <w:tcW w:w="240" w:type="dxa"/>
            <w:tcBorders/>
            <w:shd w:fill="auto" w:val="clear"/>
            <w:vAlign w:val="bottom"/>
          </w:tcPr>
          <w:p>
            <w:pPr>
              <w:pStyle w:val="TableContents"/>
              <w:spacing w:lineRule="atLeast" w:line="180" w:before="60" w:after="60"/>
              <w:ind w:left="0" w:right="0" w:hanging="0"/>
              <w:rPr/>
            </w:pPr>
            <w:r>
              <w:rPr/>
              <w:t> </w:t>
            </w:r>
          </w:p>
        </w:tc>
        <w:tc>
          <w:tcPr>
            <w:tcW w:w="770" w:type="dxa"/>
            <w:gridSpan w:val="2"/>
            <w:tcBorders/>
            <w:shd w:fill="auto" w:val="clear"/>
            <w:vAlign w:val="bottom"/>
          </w:tcPr>
          <w:p>
            <w:pPr>
              <w:pStyle w:val="TableContents"/>
              <w:spacing w:lineRule="atLeast" w:line="180" w:before="60" w:after="60"/>
              <w:ind w:left="0" w:right="0" w:hanging="0"/>
              <w:rPr/>
            </w:pPr>
            <w:r>
              <w:rPr/>
              <w:t> </w:t>
            </w:r>
          </w:p>
        </w:tc>
        <w:tc>
          <w:tcPr>
            <w:tcW w:w="65" w:type="dxa"/>
            <w:tcBorders/>
            <w:shd w:fill="auto" w:val="clear"/>
            <w:vAlign w:val="bottom"/>
          </w:tcPr>
          <w:p>
            <w:pPr>
              <w:pStyle w:val="TableContents"/>
              <w:spacing w:lineRule="atLeast" w:line="180" w:before="60" w:after="6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b/>
                <w:sz w:val="13"/>
              </w:rPr>
            </w:pPr>
            <w:r>
              <w:rPr>
                <w:rFonts w:ascii="Times New Roman" w:hAnsi="Times New Roman"/>
                <w:b/>
                <w:sz w:val="13"/>
              </w:rPr>
              <w:t>Average Daily Volumes (barrels)</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pPr>
            <w:r>
              <w:rPr/>
              <w:t> </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bookmarkStart w:id="13" w:name="PipelineActivities_192748"/>
            <w:bookmarkEnd w:id="13"/>
            <w:r>
              <w:rPr>
                <w:rFonts w:ascii="Times New Roman" w:hAnsi="Times New Roman"/>
                <w:sz w:val="13"/>
              </w:rPr>
              <w:t>Pipeline activities:</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shd w:fill="auto" w:val="clear"/>
            <w:vAlign w:val="bottom"/>
          </w:tcPr>
          <w:p>
            <w:pPr>
              <w:pStyle w:val="TableContents"/>
              <w:spacing w:lineRule="atLeast" w:line="180" w:before="0" w:after="0"/>
              <w:ind w:left="0" w:right="0" w:hanging="0"/>
              <w:rPr/>
            </w:pPr>
            <w:r>
              <w:rPr/>
              <w:t> </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pPr>
            <w:r>
              <w:rPr/>
              <w:t> </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Tariff activities</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pPr>
            <w:r>
              <w:rPr/>
              <w:t> </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pPr>
            <w:r>
              <w:rPr/>
              <w:t> </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All American</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50</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59</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52</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57</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Basin</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283</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271</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280</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273</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Capline</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143</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169</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152</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112</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pPr>
            <w:r>
              <w:rPr>
                <w:rFonts w:ascii="Times New Roman" w:hAnsi="Times New Roman"/>
                <w:sz w:val="13"/>
              </w:rPr>
              <w:t>West Texas/New Mexico Area Systems</w:t>
            </w:r>
            <w:r>
              <w:rPr>
                <w:sz w:val="8"/>
              </w:rPr>
              <w:t>(2)</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410</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374</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406</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291</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Canada</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248</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259</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258</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shd w:fill="auto"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250</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Other</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603</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463</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548</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shd w:fill="CCEEFF" w:val="cle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302</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Pipeline margin activities</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67</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74</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71</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single" w:sz="8"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73</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Total</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1,804</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1,669</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1,767</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1,358</w:t>
            </w:r>
          </w:p>
        </w:tc>
        <w:tc>
          <w:tcPr>
            <w:tcW w:w="65" w:type="dxa"/>
            <w:tcBorders/>
            <w:shd w:fill="CCEEFF" w:val="clear"/>
            <w:vAlign w:val="bottom"/>
          </w:tcPr>
          <w:p>
            <w:pPr>
              <w:pStyle w:val="TableContents"/>
              <w:spacing w:lineRule="atLeast" w:line="180" w:before="0" w:after="0"/>
              <w:ind w:left="0" w:right="0" w:hanging="0"/>
              <w:rPr/>
            </w:pPr>
            <w:r>
              <w:rPr/>
              <w:t> </w:t>
            </w:r>
          </w:p>
        </w:tc>
      </w:tr>
      <w:tr>
        <w:trPr/>
        <w:tc>
          <w:tcPr>
            <w:tcW w:w="4995" w:type="dxa"/>
            <w:tcBorders/>
            <w:shd w:fill="auto"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Crude oil lease gathering</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628</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641</w:t>
            </w:r>
          </w:p>
        </w:tc>
        <w:tc>
          <w:tcPr>
            <w:tcW w:w="240" w:type="dxa"/>
            <w:tcBorders/>
            <w:shd w:fill="auto" w:val="clear"/>
            <w:vAlign w:val="bottom"/>
          </w:tcPr>
          <w:p>
            <w:pPr>
              <w:pStyle w:val="TableContents"/>
              <w:spacing w:lineRule="atLeast" w:line="180" w:before="0" w:after="0"/>
              <w:ind w:left="0" w:right="0" w:hanging="0"/>
              <w:rPr/>
            </w:pPr>
            <w:r>
              <w:rPr/>
              <w:t> </w:t>
            </w:r>
          </w:p>
        </w:tc>
        <w:tc>
          <w:tcPr>
            <w:tcW w:w="845" w:type="dxa"/>
            <w:gridSpan w:val="2"/>
            <w:tcBorders>
              <w:bottom w:val="double" w:sz="6"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625</w:t>
            </w:r>
          </w:p>
        </w:tc>
        <w:tc>
          <w:tcPr>
            <w:tcW w:w="240" w:type="dxa"/>
            <w:tcBorders/>
            <w:shd w:fill="auto"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auto"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550</w:t>
            </w:r>
          </w:p>
        </w:tc>
        <w:tc>
          <w:tcPr>
            <w:tcW w:w="65" w:type="dxa"/>
            <w:tcBorders/>
            <w:shd w:fill="auto" w:val="clear"/>
            <w:vAlign w:val="bottom"/>
          </w:tcPr>
          <w:p>
            <w:pPr>
              <w:pStyle w:val="TableContents"/>
              <w:spacing w:lineRule="atLeast" w:line="180" w:before="0" w:after="0"/>
              <w:ind w:left="0" w:right="0" w:hanging="0"/>
              <w:rPr/>
            </w:pPr>
            <w:r>
              <w:rPr/>
              <w:t> </w:t>
            </w:r>
          </w:p>
        </w:tc>
      </w:tr>
      <w:tr>
        <w:trPr/>
        <w:tc>
          <w:tcPr>
            <w:tcW w:w="4995" w:type="dxa"/>
            <w:tcBorders/>
            <w:shd w:fill="CCEEFF" w:val="clear"/>
          </w:tcPr>
          <w:p>
            <w:pPr>
              <w:pStyle w:val="TableContents"/>
              <w:spacing w:lineRule="atLeast" w:line="180" w:before="0" w:after="0"/>
              <w:ind w:left="0" w:right="0" w:hanging="0"/>
              <w:rPr>
                <w:rFonts w:ascii="Times New Roman" w:hAnsi="Times New Roman"/>
                <w:sz w:val="13"/>
              </w:rPr>
            </w:pPr>
            <w:r>
              <w:rPr>
                <w:rFonts w:ascii="Times New Roman" w:hAnsi="Times New Roman"/>
                <w:sz w:val="13"/>
              </w:rPr>
              <w:t>LPG sales</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26</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21</w:t>
            </w:r>
          </w:p>
        </w:tc>
        <w:tc>
          <w:tcPr>
            <w:tcW w:w="240" w:type="dxa"/>
            <w:tcBorders/>
            <w:shd w:fill="CCEEFF" w:val="clear"/>
            <w:vAlign w:val="bottom"/>
          </w:tcPr>
          <w:p>
            <w:pPr>
              <w:pStyle w:val="TableContents"/>
              <w:spacing w:lineRule="atLeast" w:line="180" w:before="0" w:after="0"/>
              <w:ind w:left="0" w:right="0" w:hanging="0"/>
              <w:rPr/>
            </w:pPr>
            <w:r>
              <w:rPr/>
              <w:t> </w:t>
            </w:r>
          </w:p>
        </w:tc>
        <w:tc>
          <w:tcPr>
            <w:tcW w:w="845" w:type="dxa"/>
            <w:gridSpan w:val="2"/>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55</w:t>
            </w:r>
          </w:p>
        </w:tc>
        <w:tc>
          <w:tcPr>
            <w:tcW w:w="240" w:type="dxa"/>
            <w:tcBorders/>
            <w:shd w:fill="CCEEFF" w:val="clear"/>
            <w:vAlign w:val="bottom"/>
          </w:tcPr>
          <w:p>
            <w:pPr>
              <w:pStyle w:val="TableContents"/>
              <w:spacing w:lineRule="atLeast" w:line="180" w:before="0" w:after="0"/>
              <w:ind w:left="0" w:right="0" w:hanging="0"/>
              <w:rPr/>
            </w:pPr>
            <w:r>
              <w:rPr/>
              <w:t> </w:t>
            </w:r>
          </w:p>
        </w:tc>
        <w:tc>
          <w:tcPr>
            <w:tcW w:w="770" w:type="dxa"/>
            <w:gridSpan w:val="2"/>
            <w:tcBorders>
              <w:bottom w:val="double" w:sz="6" w:space="0" w:color="000000"/>
            </w:tcBorders>
            <w:shd w:fill="CCEEFF" w:val="clear"/>
            <w:tcMar>
              <w:bottom w:w="28" w:type="dxa"/>
            </w:tcMar>
            <w:vAlign w:val="bottom"/>
          </w:tcPr>
          <w:p>
            <w:pPr>
              <w:pStyle w:val="TableContents"/>
              <w:spacing w:lineRule="atLeast" w:line="180" w:before="0" w:after="0"/>
              <w:ind w:left="0" w:right="0" w:hanging="0"/>
              <w:rPr>
                <w:rFonts w:ascii="Times New Roman" w:hAnsi="Times New Roman"/>
                <w:sz w:val="13"/>
              </w:rPr>
            </w:pPr>
            <w:r>
              <w:rPr>
                <w:rFonts w:ascii="Times New Roman" w:hAnsi="Times New Roman"/>
                <w:sz w:val="13"/>
              </w:rPr>
              <w:t>40</w:t>
            </w:r>
          </w:p>
        </w:tc>
        <w:tc>
          <w:tcPr>
            <w:tcW w:w="65" w:type="dxa"/>
            <w:tcBorders/>
            <w:shd w:fill="CCEEFF" w:val="clear"/>
            <w:vAlign w:val="bottom"/>
          </w:tcPr>
          <w:p>
            <w:pPr>
              <w:pStyle w:val="TableContents"/>
              <w:spacing w:lineRule="atLeast" w:line="180"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rPr>
      </w:pPr>
      <w:r>
        <w:rPr>
          <w:rFonts w:ascii="Times New Roman" w:hAnsi="Times New Roman"/>
          <w:position w:val="4"/>
          <w:sz w:val="11"/>
          <w:sz w:val="13"/>
        </w:rPr>
        <w:t>(1)</w:t>
      </w:r>
      <w:r>
        <w:rPr>
          <w:rFonts w:ascii="Times New Roman" w:hAnsi="Times New Roman"/>
        </w:rPr>
        <w:t xml:space="preserve">                 </w:t>
      </w:r>
      <w:r>
        <w:rPr>
          <w:rFonts w:ascii="Times New Roman" w:hAnsi="Times New Roman"/>
          <w:sz w:val="13"/>
        </w:rPr>
        <w:t>Volumes associated with acquisitions represent total volumes transported for the number of days we actually owned the assets divided by the number of days in the period.</w:t>
      </w:r>
    </w:p>
    <w:p>
      <w:pPr>
        <w:pStyle w:val="TextBody"/>
        <w:spacing w:before="0" w:after="120"/>
        <w:ind w:left="400" w:right="0" w:hanging="400"/>
        <w:rPr>
          <w:rFonts w:ascii="Times New Roman" w:hAnsi="Times New Roman"/>
        </w:rPr>
      </w:pPr>
      <w:r>
        <w:rPr>
          <w:rFonts w:ascii="Times New Roman" w:hAnsi="Times New Roman"/>
          <w:position w:val="4"/>
          <w:sz w:val="11"/>
          <w:sz w:val="13"/>
        </w:rPr>
        <w:t>(2)</w:t>
      </w:r>
      <w:r>
        <w:rPr>
          <w:rFonts w:ascii="Times New Roman" w:hAnsi="Times New Roman"/>
        </w:rPr>
        <w:t xml:space="preserve">                 </w:t>
      </w:r>
      <w:r>
        <w:rPr>
          <w:rFonts w:ascii="Times New Roman" w:hAnsi="Times New Roman"/>
          <w:sz w:val="13"/>
        </w:rPr>
        <w:t>The aggregate of ten systems in the West Texas/New Mexico area.</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ALL AMERICAN PIPELINE, L.P. AND SUBSIDIARIES</w:t>
        <w:br/>
        <w:t>FINANCIAL SUMMARY (unaudited) (in thousands, except per unit data) (continued)</w:t>
      </w:r>
    </w:p>
    <w:p>
      <w:pPr>
        <w:pStyle w:val="TextBody"/>
        <w:keepNext w:val="true"/>
        <w:spacing w:before="0" w:after="240"/>
        <w:ind w:left="200" w:right="0" w:hanging="200"/>
        <w:rPr>
          <w:rFonts w:ascii="Times New Roman" w:hAnsi="Times New Roman"/>
          <w:b/>
          <w:sz w:val="17"/>
        </w:rPr>
      </w:pPr>
      <w:bookmarkStart w:id="14" w:name="CondensedConsolidatedBalanceSheet_194129"/>
      <w:bookmarkEnd w:id="14"/>
      <w:r>
        <w:rPr>
          <w:rFonts w:ascii="Times New Roman" w:hAnsi="Times New Roman"/>
          <w:b/>
          <w:sz w:val="17"/>
        </w:rPr>
        <w:t>CONDENSED CONSOLIDATED BALANCE SHEET DATA</w:t>
      </w:r>
    </w:p>
    <w:tbl>
      <w:tblPr>
        <w:tblW w:w="9139" w:type="dxa"/>
        <w:jc w:val="left"/>
        <w:tblInd w:w="0" w:type="dxa"/>
        <w:tblCellMar>
          <w:top w:w="0" w:type="dxa"/>
          <w:left w:w="0" w:type="dxa"/>
          <w:bottom w:w="0" w:type="dxa"/>
          <w:right w:w="0" w:type="dxa"/>
        </w:tblCellMar>
      </w:tblPr>
      <w:tblGrid>
        <w:gridCol w:w="6600"/>
        <w:gridCol w:w="240"/>
        <w:gridCol w:w="110"/>
        <w:gridCol w:w="825"/>
        <w:gridCol w:w="240"/>
        <w:gridCol w:w="60"/>
        <w:gridCol w:w="111"/>
        <w:gridCol w:w="833"/>
        <w:gridCol w:w="60"/>
        <w:gridCol w:w="60"/>
      </w:tblGrid>
      <w:tr>
        <w:trPr/>
        <w:tc>
          <w:tcPr>
            <w:tcW w:w="660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1064"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660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1064"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40"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2,029,515</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1,101,202</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40"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1,794,051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1,727,622</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linefill in owned assets</w:t>
            </w:r>
          </w:p>
        </w:tc>
        <w:tc>
          <w:tcPr>
            <w:tcW w:w="240"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165,957</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168,352</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Inventory in third party assets</w:t>
            </w:r>
          </w:p>
        </w:tc>
        <w:tc>
          <w:tcPr>
            <w:tcW w:w="240"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61,351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59,279</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240" w:type="dxa"/>
            <w:tcBorders/>
            <w:shd w:fill="auto"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83,664</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103,956</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4,134,538</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3,160,411</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40"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2,151,042</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1,113,717</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40"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6,421</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151,753</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40"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946,733</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797,271</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40" w:type="dxa"/>
            <w:tcBorders/>
            <w:shd w:fill="auto"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30,365</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27,466</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40"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3,134,561</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2,090,207</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40" w:type="dxa"/>
            <w:tcBorders/>
            <w:shd w:fill="auto"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999,977</w:t>
            </w:r>
          </w:p>
        </w:tc>
        <w:tc>
          <w:tcPr>
            <w:tcW w:w="24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4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1,070,204</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4,134,538</w:t>
            </w:r>
          </w:p>
        </w:tc>
        <w:tc>
          <w:tcPr>
            <w:tcW w:w="24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3,160,411</w:t>
            </w:r>
          </w:p>
        </w:tc>
        <w:tc>
          <w:tcPr>
            <w:tcW w:w="60" w:type="dxa"/>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bookmarkStart w:id="15" w:name="ComputationOfBasicAndDilutedEarni_194659"/>
      <w:bookmarkEnd w:id="15"/>
      <w:r>
        <w:rPr/>
        <w:t>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COMPUTATION OF BASIC AND DILUTED EARNINGS PER LIMITED PARTNER UNIT</w:t>
      </w:r>
    </w:p>
    <w:tbl>
      <w:tblPr>
        <w:tblW w:w="9155" w:type="dxa"/>
        <w:jc w:val="left"/>
        <w:tblInd w:w="0" w:type="dxa"/>
        <w:tblCellMar>
          <w:top w:w="0" w:type="dxa"/>
          <w:left w:w="0" w:type="dxa"/>
          <w:bottom w:w="0" w:type="dxa"/>
          <w:right w:w="0" w:type="dxa"/>
        </w:tblCellMar>
      </w:tblPr>
      <w:tblGrid>
        <w:gridCol w:w="5565"/>
        <w:gridCol w:w="240"/>
        <w:gridCol w:w="95"/>
        <w:gridCol w:w="540"/>
        <w:gridCol w:w="240"/>
        <w:gridCol w:w="95"/>
        <w:gridCol w:w="540"/>
        <w:gridCol w:w="240"/>
        <w:gridCol w:w="95"/>
        <w:gridCol w:w="540"/>
        <w:gridCol w:w="240"/>
        <w:gridCol w:w="95"/>
        <w:gridCol w:w="540"/>
        <w:gridCol w:w="90"/>
      </w:tblGrid>
      <w:tr>
        <w:trPr/>
        <w:tc>
          <w:tcPr>
            <w:tcW w:w="556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51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151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br/>
              <w:t>June 30,</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56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56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Net income</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62,282</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35,677</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95,090</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63,553</w:t>
            </w:r>
          </w:p>
        </w:tc>
        <w:tc>
          <w:tcPr>
            <w:tcW w:w="90" w:type="dxa"/>
            <w:tcBorders/>
            <w:shd w:fill="CCEEFF" w:val="clear"/>
            <w:vAlign w:val="bottom"/>
          </w:tcPr>
          <w:p>
            <w:pPr>
              <w:pStyle w:val="TableContents"/>
              <w:spacing w:before="0" w:after="0"/>
              <w:ind w:left="0" w:right="0" w:hanging="0"/>
              <w:rPr/>
            </w:pPr>
            <w:r>
              <w:rPr/>
              <w:t> </w:t>
            </w:r>
          </w:p>
        </w:tc>
      </w:tr>
      <w:tr>
        <w:trPr/>
        <w:tc>
          <w:tcPr>
            <w:tcW w:w="556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Less:</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6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General partners incentive distribution paid</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(3,504</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(1,752</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(6,450</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(3,396</w:t>
            </w:r>
          </w:p>
        </w:tc>
        <w:tc>
          <w:tcPr>
            <w:tcW w:w="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56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Subtotal</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58,778</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33,925</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88,640</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60,157</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6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General partner 2% ownership</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(1,176</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(679</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(1,773</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(1,203</w:t>
            </w:r>
          </w:p>
        </w:tc>
        <w:tc>
          <w:tcPr>
            <w:tcW w:w="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56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Net income available to limited partners</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57,602</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33,247</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86,867</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58,954</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6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Pro forma additional general partners incentive distribution</w:t>
            </w:r>
            <w:r>
              <w:rPr>
                <w:rFonts w:ascii="Times New Roman" w:hAnsi="Times New Roman"/>
                <w:position w:val="5"/>
                <w:sz w:val="12"/>
                <w:sz w:val="15"/>
              </w:rPr>
              <w:t>(1)</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(6,174</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(560</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0" w:type="dxa"/>
            <w:tcBorders/>
            <w:shd w:fill="CCEEFF" w:val="clear"/>
            <w:vAlign w:val="bottom"/>
          </w:tcPr>
          <w:p>
            <w:pPr>
              <w:pStyle w:val="TableContents"/>
              <w:spacing w:lineRule="atLeast" w:line="210" w:before="0" w:after="0"/>
              <w:ind w:left="0" w:right="0" w:hanging="0"/>
              <w:rPr/>
            </w:pPr>
            <w:r>
              <w:rPr/>
              <w:t> </w:t>
            </w:r>
          </w:p>
        </w:tc>
      </w:tr>
      <w:tr>
        <w:trPr/>
        <w:tc>
          <w:tcPr>
            <w:tcW w:w="556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Numerator for basic and diluted earnings per limited partner unit</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6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Net Income available for limited partners under EITF 03-06</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51,428</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33,247</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86,307</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58,954</w:t>
            </w:r>
          </w:p>
        </w:tc>
        <w:tc>
          <w:tcPr>
            <w:tcW w:w="90" w:type="dxa"/>
            <w:tcBorders/>
            <w:shd w:fill="CCEEFF" w:val="clear"/>
            <w:vAlign w:val="bottom"/>
          </w:tcPr>
          <w:p>
            <w:pPr>
              <w:pStyle w:val="TableContents"/>
              <w:spacing w:before="0" w:after="0"/>
              <w:ind w:left="0" w:right="0" w:hanging="0"/>
              <w:rPr/>
            </w:pPr>
            <w:r>
              <w:rPr/>
              <w:t> </w:t>
            </w:r>
          </w:p>
        </w:tc>
      </w:tr>
      <w:tr>
        <w:trPr/>
        <w:tc>
          <w:tcPr>
            <w:tcW w:w="5565" w:type="dxa"/>
            <w:tcBorders/>
            <w:shd w:fill="auto" w:val="clear"/>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Denominator:</w:t>
            </w:r>
          </w:p>
        </w:tc>
        <w:tc>
          <w:tcPr>
            <w:tcW w:w="240" w:type="dxa"/>
            <w:tcBorders/>
            <w:shd w:fill="auto" w:val="clear"/>
            <w:vAlign w:val="bottom"/>
          </w:tcPr>
          <w:p>
            <w:pPr>
              <w:pStyle w:val="TableContents"/>
              <w:spacing w:lineRule="atLeast" w:line="210" w:before="120" w:after="120"/>
              <w:ind w:left="0" w:right="0" w:hanging="0"/>
              <w:rPr/>
            </w:pPr>
            <w:r>
              <w:rPr/>
              <w:t> </w:t>
            </w:r>
          </w:p>
        </w:tc>
        <w:tc>
          <w:tcPr>
            <w:tcW w:w="635" w:type="dxa"/>
            <w:gridSpan w:val="2"/>
            <w:tcBorders/>
            <w:shd w:fill="auto" w:val="clear"/>
            <w:vAlign w:val="bottom"/>
          </w:tcPr>
          <w:p>
            <w:pPr>
              <w:pStyle w:val="TableContents"/>
              <w:spacing w:lineRule="atLeast" w:line="210" w:before="120" w:after="120"/>
              <w:ind w:left="0" w:right="0" w:hanging="0"/>
              <w:rPr/>
            </w:pPr>
            <w:r>
              <w:rPr/>
              <w:t> </w:t>
            </w:r>
          </w:p>
        </w:tc>
        <w:tc>
          <w:tcPr>
            <w:tcW w:w="240" w:type="dxa"/>
            <w:tcBorders/>
            <w:shd w:fill="auto" w:val="clear"/>
            <w:vAlign w:val="bottom"/>
          </w:tcPr>
          <w:p>
            <w:pPr>
              <w:pStyle w:val="TableContents"/>
              <w:spacing w:lineRule="atLeast" w:line="210" w:before="120" w:after="120"/>
              <w:ind w:left="0" w:right="0" w:hanging="0"/>
              <w:rPr/>
            </w:pPr>
            <w:r>
              <w:rPr/>
              <w:t> </w:t>
            </w:r>
          </w:p>
        </w:tc>
        <w:tc>
          <w:tcPr>
            <w:tcW w:w="635" w:type="dxa"/>
            <w:gridSpan w:val="2"/>
            <w:tcBorders/>
            <w:shd w:fill="auto" w:val="clear"/>
            <w:vAlign w:val="bottom"/>
          </w:tcPr>
          <w:p>
            <w:pPr>
              <w:pStyle w:val="TableContents"/>
              <w:spacing w:lineRule="atLeast" w:line="210" w:before="120" w:after="120"/>
              <w:ind w:left="0" w:right="0" w:hanging="0"/>
              <w:rPr/>
            </w:pPr>
            <w:r>
              <w:rPr/>
              <w:t> </w:t>
            </w:r>
          </w:p>
        </w:tc>
        <w:tc>
          <w:tcPr>
            <w:tcW w:w="240" w:type="dxa"/>
            <w:tcBorders/>
            <w:shd w:fill="auto" w:val="clear"/>
            <w:vAlign w:val="bottom"/>
          </w:tcPr>
          <w:p>
            <w:pPr>
              <w:pStyle w:val="TableContents"/>
              <w:spacing w:lineRule="atLeast" w:line="210" w:before="120" w:after="120"/>
              <w:ind w:left="0" w:right="0" w:hanging="0"/>
              <w:rPr/>
            </w:pPr>
            <w:r>
              <w:rPr/>
              <w:t> </w:t>
            </w:r>
          </w:p>
        </w:tc>
        <w:tc>
          <w:tcPr>
            <w:tcW w:w="635" w:type="dxa"/>
            <w:gridSpan w:val="2"/>
            <w:tcBorders/>
            <w:shd w:fill="auto" w:val="clear"/>
            <w:vAlign w:val="bottom"/>
          </w:tcPr>
          <w:p>
            <w:pPr>
              <w:pStyle w:val="TableContents"/>
              <w:spacing w:lineRule="atLeast" w:line="210" w:before="120" w:after="120"/>
              <w:ind w:left="0" w:right="0" w:hanging="0"/>
              <w:rPr/>
            </w:pPr>
            <w:r>
              <w:rPr/>
              <w:t> </w:t>
            </w:r>
          </w:p>
        </w:tc>
        <w:tc>
          <w:tcPr>
            <w:tcW w:w="240" w:type="dxa"/>
            <w:tcBorders/>
            <w:shd w:fill="auto" w:val="clear"/>
            <w:vAlign w:val="bottom"/>
          </w:tcPr>
          <w:p>
            <w:pPr>
              <w:pStyle w:val="TableContents"/>
              <w:spacing w:lineRule="atLeast" w:line="210" w:before="120" w:after="120"/>
              <w:ind w:left="0" w:right="0" w:hanging="0"/>
              <w:rPr/>
            </w:pPr>
            <w:r>
              <w:rPr/>
              <w:t> </w:t>
            </w:r>
          </w:p>
        </w:tc>
        <w:tc>
          <w:tcPr>
            <w:tcW w:w="635" w:type="dxa"/>
            <w:gridSpan w:val="2"/>
            <w:tcBorders/>
            <w:shd w:fill="auto" w:val="clear"/>
            <w:vAlign w:val="bottom"/>
          </w:tcPr>
          <w:p>
            <w:pPr>
              <w:pStyle w:val="TableContents"/>
              <w:spacing w:lineRule="atLeast" w:line="210" w:before="120" w:after="120"/>
              <w:ind w:left="0" w:right="0" w:hanging="0"/>
              <w:rPr/>
            </w:pPr>
            <w:r>
              <w:rPr/>
              <w:t> </w:t>
            </w:r>
          </w:p>
        </w:tc>
        <w:tc>
          <w:tcPr>
            <w:tcW w:w="90" w:type="dxa"/>
            <w:tcBorders/>
            <w:shd w:fill="auto" w:val="clear"/>
            <w:vAlign w:val="bottom"/>
          </w:tcPr>
          <w:p>
            <w:pPr>
              <w:pStyle w:val="TableContents"/>
              <w:spacing w:lineRule="atLeast" w:line="210" w:before="120" w:after="120"/>
              <w:ind w:left="0" w:right="0" w:hanging="0"/>
              <w:rPr/>
            </w:pPr>
            <w:r>
              <w:rPr/>
              <w:t> </w:t>
            </w:r>
          </w:p>
        </w:tc>
      </w:tr>
      <w:tr>
        <w:trPr/>
        <w:tc>
          <w:tcPr>
            <w:tcW w:w="556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Denominator for basic earnings per limited partner unitweighted average number of limited partner units</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 xml:space="preserve">67,893 </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 xml:space="preserve">61,556 </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 xml:space="preserve">67,706 </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 xml:space="preserve">59,985 </w:t>
            </w:r>
          </w:p>
        </w:tc>
        <w:tc>
          <w:tcPr>
            <w:tcW w:w="90" w:type="dxa"/>
            <w:tcBorders/>
            <w:shd w:fill="CCEEFF" w:val="clear"/>
            <w:vAlign w:val="bottom"/>
          </w:tcPr>
          <w:p>
            <w:pPr>
              <w:pStyle w:val="TableContents"/>
              <w:spacing w:lineRule="atLeast" w:line="210" w:before="0" w:after="0"/>
              <w:ind w:left="0" w:right="0" w:hanging="0"/>
              <w:rPr/>
            </w:pPr>
            <w:r>
              <w:rPr/>
              <w:t> </w:t>
            </w:r>
          </w:p>
        </w:tc>
      </w:tr>
      <w:tr>
        <w:trPr/>
        <w:tc>
          <w:tcPr>
            <w:tcW w:w="556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Effect of dilutive securities:</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shd w:fill="auto" w:val="clear"/>
            <w:vAlign w:val="bottom"/>
          </w:tcPr>
          <w:p>
            <w:pPr>
              <w:pStyle w:val="TableContents"/>
              <w:spacing w:lineRule="atLeast" w:line="210" w:before="0" w:after="0"/>
              <w:ind w:left="0" w:right="0" w:hanging="0"/>
              <w:rPr/>
            </w:pPr>
            <w:r>
              <w:rPr/>
              <w:t> </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6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Weighted average 2005 LTIP units</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1,381</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1,013</w:t>
            </w:r>
          </w:p>
        </w:tc>
        <w:tc>
          <w:tcPr>
            <w:tcW w:w="240" w:type="dxa"/>
            <w:tcBorders/>
            <w:shd w:fill="CCEEFF" w:val="clear"/>
            <w:vAlign w:val="bottom"/>
          </w:tcPr>
          <w:p>
            <w:pPr>
              <w:pStyle w:val="TableContents"/>
              <w:spacing w:lineRule="atLeast" w:line="210" w:before="0" w:after="0"/>
              <w:ind w:left="0" w:right="0" w:hanging="0"/>
              <w:rPr/>
            </w:pPr>
            <w:r>
              <w:rPr/>
              <w:t> </w:t>
            </w:r>
          </w:p>
        </w:tc>
        <w:tc>
          <w:tcPr>
            <w:tcW w:w="63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0" w:type="dxa"/>
            <w:tcBorders/>
            <w:shd w:fill="CCEEFF" w:val="clear"/>
            <w:vAlign w:val="bottom"/>
          </w:tcPr>
          <w:p>
            <w:pPr>
              <w:pStyle w:val="TableContents"/>
              <w:spacing w:lineRule="atLeast" w:line="210" w:before="0" w:after="0"/>
              <w:ind w:left="0" w:right="0" w:hanging="0"/>
              <w:rPr/>
            </w:pPr>
            <w:r>
              <w:rPr/>
              <w:t> </w:t>
            </w:r>
          </w:p>
        </w:tc>
      </w:tr>
      <w:tr>
        <w:trPr/>
        <w:tc>
          <w:tcPr>
            <w:tcW w:w="556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Denominator for diluted earnings per limited partner unitweighted average number of limited partner units</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bottom w:val="double" w:sz="6"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 xml:space="preserve">69,274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bottom w:val="double" w:sz="6"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 xml:space="preserve">61,556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bottom w:val="double" w:sz="6"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 xml:space="preserve">68,719 </w:t>
            </w:r>
          </w:p>
        </w:tc>
        <w:tc>
          <w:tcPr>
            <w:tcW w:w="240" w:type="dxa"/>
            <w:tcBorders/>
            <w:shd w:fill="auto" w:val="clear"/>
            <w:vAlign w:val="bottom"/>
          </w:tcPr>
          <w:p>
            <w:pPr>
              <w:pStyle w:val="TableContents"/>
              <w:spacing w:lineRule="atLeast" w:line="210" w:before="0" w:after="0"/>
              <w:ind w:left="0" w:right="0" w:hanging="0"/>
              <w:rPr/>
            </w:pPr>
            <w:r>
              <w:rPr/>
              <w:t> </w:t>
            </w:r>
          </w:p>
        </w:tc>
        <w:tc>
          <w:tcPr>
            <w:tcW w:w="635" w:type="dxa"/>
            <w:gridSpan w:val="2"/>
            <w:tcBorders>
              <w:bottom w:val="double" w:sz="6"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 xml:space="preserve">59,985 </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6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Basic net income per limited partner unit</w:t>
            </w:r>
            <w:r>
              <w:rPr>
                <w:rFonts w:ascii="Times New Roman" w:hAnsi="Times New Roman"/>
                <w:position w:val="5"/>
                <w:sz w:val="12"/>
                <w:sz w:val="15"/>
              </w:rPr>
              <w:t>(1)</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top w:val="double" w:sz="6"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0.76</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top w:val="double" w:sz="6"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0.54</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top w:val="double" w:sz="6"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1.27</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top w:val="double" w:sz="6"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0.98</w:t>
            </w:r>
          </w:p>
        </w:tc>
        <w:tc>
          <w:tcPr>
            <w:tcW w:w="90" w:type="dxa"/>
            <w:tcBorders/>
            <w:shd w:fill="CCEEFF" w:val="clear"/>
            <w:vAlign w:val="bottom"/>
          </w:tcPr>
          <w:p>
            <w:pPr>
              <w:pStyle w:val="TableContents"/>
              <w:spacing w:before="0" w:after="0"/>
              <w:ind w:left="0" w:right="0" w:hanging="0"/>
              <w:rPr/>
            </w:pPr>
            <w:r>
              <w:rPr/>
              <w:t> </w:t>
            </w:r>
          </w:p>
        </w:tc>
      </w:tr>
      <w:tr>
        <w:trPr/>
        <w:tc>
          <w:tcPr>
            <w:tcW w:w="556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Diluted net income per limited partner unit</w:t>
            </w:r>
            <w:r>
              <w:rPr>
                <w:rFonts w:ascii="Times New Roman" w:hAnsi="Times New Roman"/>
                <w:position w:val="5"/>
                <w:sz w:val="12"/>
                <w:sz w:val="15"/>
              </w:rPr>
              <w:t>(1)</w:t>
            </w:r>
          </w:p>
        </w:tc>
        <w:tc>
          <w:tcPr>
            <w:tcW w:w="240" w:type="dxa"/>
            <w:tcBorders/>
            <w:shd w:fill="auto" w:val="clear"/>
            <w:vAlign w:val="bottom"/>
          </w:tcPr>
          <w:p>
            <w:pPr>
              <w:pStyle w:val="TableContents"/>
              <w:spacing w:lineRule="atLeast" w:line="21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0.74</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0.54</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1.26</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40"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0.98</w:t>
            </w:r>
          </w:p>
        </w:tc>
        <w:tc>
          <w:tcPr>
            <w:tcW w:w="90" w:type="dxa"/>
            <w:tcBorders/>
            <w:shd w:fill="auto"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240"/>
        <w:ind w:left="400" w:right="0" w:hanging="400"/>
        <w:rPr>
          <w:rFonts w:ascii="Times New Roman" w:hAnsi="Times New Roman"/>
        </w:rPr>
      </w:pPr>
      <w:r>
        <w:rPr>
          <w:rFonts w:ascii="Times New Roman" w:hAnsi="Times New Roman"/>
          <w:position w:val="5"/>
          <w:sz w:val="12"/>
          <w:sz w:val="15"/>
        </w:rPr>
        <w:t>(1)</w:t>
      </w:r>
      <w:r>
        <w:rPr>
          <w:rFonts w:ascii="Times New Roman" w:hAnsi="Times New Roman"/>
        </w:rPr>
        <w:t xml:space="preserve">                 </w:t>
      </w:r>
      <w:r>
        <w:rPr>
          <w:rFonts w:ascii="Times New Roman" w:hAnsi="Times New Roman"/>
          <w:sz w:val="15"/>
        </w:rPr>
        <w:t>Reflects pro forma full distribution of earnings under Emerging Issues Task Force Issue No. 03-06 (EITF 03-06). The application of EITF 03-06 negatively impacted  basic and diluted earnings per limited partner unit by approximately $0.09 and $0.01 for the second quarter and first half of 2005, respectively.</w:t>
      </w:r>
    </w:p>
    <w:p>
      <w:pPr>
        <w:pStyle w:val="TextBody"/>
        <w:spacing w:before="0" w:after="240"/>
        <w:ind w:left="400" w:right="0" w:hanging="40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ALL AMERICAN PIPELINE, L.P. AND SUBSIDIARIES</w:t>
        <w:br/>
        <w:t>FINANCIAL SUMMARY (unaudited) (in thousands, except per unit data) (continued)</w:t>
      </w:r>
    </w:p>
    <w:p>
      <w:pPr>
        <w:pStyle w:val="TextBody"/>
        <w:keepNext w:val="true"/>
        <w:spacing w:before="0" w:after="240"/>
        <w:ind w:left="200" w:right="0" w:hanging="200"/>
        <w:rPr>
          <w:rFonts w:ascii="Times New Roman" w:hAnsi="Times New Roman"/>
          <w:b/>
          <w:sz w:val="17"/>
        </w:rPr>
      </w:pPr>
      <w:bookmarkStart w:id="16" w:name="FinancialDataReconciliations_195728"/>
      <w:bookmarkEnd w:id="16"/>
      <w:r>
        <w:rPr>
          <w:rFonts w:ascii="Times New Roman" w:hAnsi="Times New Roman"/>
          <w:b/>
          <w:sz w:val="17"/>
        </w:rPr>
        <w:t>FINANCIAL DATA RECONCILIATIONS</w:t>
      </w:r>
    </w:p>
    <w:tbl>
      <w:tblPr>
        <w:tblW w:w="9185" w:type="dxa"/>
        <w:jc w:val="left"/>
        <w:tblInd w:w="0" w:type="dxa"/>
        <w:tblCellMar>
          <w:top w:w="0" w:type="dxa"/>
          <w:left w:w="0" w:type="dxa"/>
          <w:bottom w:w="0" w:type="dxa"/>
          <w:right w:w="0" w:type="dxa"/>
        </w:tblCellMar>
      </w:tblPr>
      <w:tblGrid>
        <w:gridCol w:w="5085"/>
        <w:gridCol w:w="240"/>
        <w:gridCol w:w="95"/>
        <w:gridCol w:w="690"/>
        <w:gridCol w:w="240"/>
        <w:gridCol w:w="95"/>
        <w:gridCol w:w="600"/>
        <w:gridCol w:w="240"/>
        <w:gridCol w:w="95"/>
        <w:gridCol w:w="690"/>
        <w:gridCol w:w="240"/>
        <w:gridCol w:w="95"/>
        <w:gridCol w:w="630"/>
        <w:gridCol w:w="150"/>
      </w:tblGrid>
      <w:tr>
        <w:trPr/>
        <w:tc>
          <w:tcPr>
            <w:tcW w:w="508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72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175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br/>
              <w:t>June 30,</w:t>
            </w:r>
          </w:p>
        </w:tc>
        <w:tc>
          <w:tcPr>
            <w:tcW w:w="150" w:type="dxa"/>
            <w:tcBorders/>
            <w:shd w:fill="auto" w:val="clear"/>
            <w:vAlign w:val="bottom"/>
          </w:tcPr>
          <w:p>
            <w:pPr>
              <w:pStyle w:val="TableContents"/>
              <w:spacing w:lineRule="atLeast" w:line="160" w:before="0" w:after="0"/>
              <w:ind w:left="0" w:right="0" w:hanging="0"/>
              <w:rPr/>
            </w:pPr>
            <w:r>
              <w:rPr/>
              <w:t> </w:t>
            </w:r>
          </w:p>
        </w:tc>
      </w:tr>
      <w:tr>
        <w:trPr/>
        <w:tc>
          <w:tcPr>
            <w:tcW w:w="508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72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150" w:type="dxa"/>
            <w:tcBorders/>
            <w:shd w:fill="auto" w:val="clear"/>
            <w:vAlign w:val="bottom"/>
          </w:tcPr>
          <w:p>
            <w:pPr>
              <w:pStyle w:val="TableContents"/>
              <w:spacing w:lineRule="atLeast" w:line="160" w:before="0" w:after="0"/>
              <w:ind w:left="0" w:right="0" w:hanging="0"/>
              <w:rPr/>
            </w:pPr>
            <w:r>
              <w:rPr/>
              <w:t> </w:t>
            </w:r>
          </w:p>
        </w:tc>
      </w:tr>
      <w:tr>
        <w:trPr/>
        <w:tc>
          <w:tcPr>
            <w:tcW w:w="5085" w:type="dxa"/>
            <w:tcBorders/>
            <w:shd w:fill="CCEEFF" w:val="clear"/>
          </w:tcPr>
          <w:p>
            <w:pPr>
              <w:pStyle w:val="TableContents"/>
              <w:spacing w:lineRule="atLeast" w:line="210" w:before="0" w:after="0"/>
              <w:ind w:left="0" w:right="0" w:hanging="0"/>
              <w:rPr>
                <w:rFonts w:ascii="Times New Roman" w:hAnsi="Times New Roman"/>
                <w:b/>
                <w:sz w:val="15"/>
              </w:rPr>
            </w:pPr>
            <w:r>
              <w:rPr>
                <w:rFonts w:ascii="Times New Roman" w:hAnsi="Times New Roman"/>
                <w:b/>
                <w:sz w:val="15"/>
              </w:rPr>
              <w:t>Earnings before interest, taxes, depreciation and amortization ("EBITDA")</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pPr>
            <w:r>
              <w:rPr/>
              <w:t> </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pPr>
            <w:r>
              <w:rPr/>
              <w:t> </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pPr>
            <w:r>
              <w:rPr/>
              <w:t> </w:t>
            </w:r>
          </w:p>
        </w:tc>
        <w:tc>
          <w:tcPr>
            <w:tcW w:w="240" w:type="dxa"/>
            <w:tcBorders/>
            <w:shd w:fill="CCEEFF" w:val="clear"/>
            <w:vAlign w:val="bottom"/>
          </w:tcPr>
          <w:p>
            <w:pPr>
              <w:pStyle w:val="TableContents"/>
              <w:spacing w:lineRule="atLeast" w:line="210" w:before="0" w:after="0"/>
              <w:ind w:left="0" w:right="0" w:hanging="0"/>
              <w:rPr/>
            </w:pPr>
            <w:r>
              <w:rPr/>
              <w:t> </w:t>
            </w:r>
          </w:p>
        </w:tc>
        <w:tc>
          <w:tcPr>
            <w:tcW w:w="725" w:type="dxa"/>
            <w:gridSpan w:val="2"/>
            <w:tcBorders/>
            <w:shd w:fill="CCEEFF" w:val="clear"/>
            <w:vAlign w:val="bottom"/>
          </w:tcPr>
          <w:p>
            <w:pPr>
              <w:pStyle w:val="TableContents"/>
              <w:spacing w:lineRule="atLeast" w:line="210" w:before="0" w:after="0"/>
              <w:ind w:left="0" w:right="0" w:hanging="0"/>
              <w:rPr/>
            </w:pPr>
            <w:r>
              <w:rPr/>
              <w:t> </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b/>
                <w:sz w:val="15"/>
              </w:rPr>
            </w:pPr>
            <w:r>
              <w:rPr>
                <w:rFonts w:ascii="Times New Roman" w:hAnsi="Times New Roman"/>
                <w:b/>
                <w:sz w:val="15"/>
              </w:rPr>
              <w:t>Net income reconciliation</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725" w:type="dxa"/>
            <w:gridSpan w:val="2"/>
            <w:tcBorders/>
            <w:shd w:fill="auto" w:val="clear"/>
            <w:vAlign w:val="bottom"/>
          </w:tcPr>
          <w:p>
            <w:pPr>
              <w:pStyle w:val="TableContents"/>
              <w:spacing w:lineRule="atLeast" w:line="210" w:before="0" w:after="0"/>
              <w:ind w:left="0" w:right="0" w:hanging="0"/>
              <w:rPr/>
            </w:pPr>
            <w:r>
              <w:rPr/>
              <w:t> </w:t>
            </w:r>
          </w:p>
        </w:tc>
        <w:tc>
          <w:tcPr>
            <w:tcW w:w="150" w:type="dxa"/>
            <w:tcBorders/>
            <w:shd w:fill="auto" w:val="clear"/>
            <w:vAlign w:val="bottom"/>
          </w:tcPr>
          <w:p>
            <w:pPr>
              <w:pStyle w:val="TableContents"/>
              <w:spacing w:lineRule="atLeast" w:line="210" w:before="0" w:after="0"/>
              <w:ind w:left="0" w:right="0" w:hanging="0"/>
              <w:rPr/>
            </w:pPr>
            <w:r>
              <w:rPr/>
              <w:t> </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EBITDA</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95,983</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61,642</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162,467</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3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112,170</w:t>
            </w:r>
          </w:p>
        </w:tc>
        <w:tc>
          <w:tcPr>
            <w:tcW w:w="150" w:type="dxa"/>
            <w:tcBorders/>
            <w:shd w:fill="CCEEFF" w:val="clear"/>
            <w:vAlign w:val="bottom"/>
          </w:tcPr>
          <w:p>
            <w:pPr>
              <w:pStyle w:val="TableContents"/>
              <w:spacing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Depreciation and amortization</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(19,448</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(15,998</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8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(38,566</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2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(29,118</w:t>
            </w:r>
          </w:p>
        </w:tc>
        <w:tc>
          <w:tcPr>
            <w:tcW w:w="15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Earnings before interest and taxes ("EBIT")</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76,535</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45,644</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123,901</w:t>
            </w:r>
          </w:p>
        </w:tc>
        <w:tc>
          <w:tcPr>
            <w:tcW w:w="240" w:type="dxa"/>
            <w:tcBorders/>
            <w:shd w:fill="CCEEFF" w:val="clear"/>
            <w:vAlign w:val="bottom"/>
          </w:tcPr>
          <w:p>
            <w:pPr>
              <w:pStyle w:val="TableContents"/>
              <w:spacing w:lineRule="atLeast" w:line="210" w:before="0" w:after="0"/>
              <w:ind w:left="0" w:right="0" w:hanging="0"/>
              <w:rPr/>
            </w:pPr>
            <w:r>
              <w:rPr/>
              <w:t> </w:t>
            </w:r>
          </w:p>
        </w:tc>
        <w:tc>
          <w:tcPr>
            <w:tcW w:w="72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83,052</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Interest expense</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(14,253</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(9,967</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8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(28,811</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2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(19,499</w:t>
            </w:r>
          </w:p>
        </w:tc>
        <w:tc>
          <w:tcPr>
            <w:tcW w:w="15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Net Income</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62,282</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35,677</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95,090</w:t>
            </w:r>
          </w:p>
        </w:tc>
        <w:tc>
          <w:tcPr>
            <w:tcW w:w="240" w:type="dxa"/>
            <w:tcBorders/>
            <w:shd w:fill="CCEEFF" w:val="clear"/>
            <w:vAlign w:val="bottom"/>
          </w:tcPr>
          <w:p>
            <w:pPr>
              <w:pStyle w:val="TableContents"/>
              <w:spacing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3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63,553</w:t>
            </w:r>
          </w:p>
        </w:tc>
        <w:tc>
          <w:tcPr>
            <w:tcW w:w="150" w:type="dxa"/>
            <w:tcBorders/>
            <w:shd w:fill="CCEEFF" w:val="clear"/>
            <w:vAlign w:val="bottom"/>
          </w:tcPr>
          <w:p>
            <w:pPr>
              <w:pStyle w:val="TableContents"/>
              <w:spacing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b/>
                <w:sz w:val="15"/>
              </w:rPr>
            </w:pPr>
            <w:r>
              <w:rPr>
                <w:rFonts w:ascii="Times New Roman" w:hAnsi="Times New Roman"/>
                <w:b/>
                <w:sz w:val="15"/>
              </w:rPr>
              <w:t>Cash flow from operating activities reconciliation</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725" w:type="dxa"/>
            <w:gridSpan w:val="2"/>
            <w:tcBorders/>
            <w:shd w:fill="auto" w:val="clear"/>
            <w:vAlign w:val="bottom"/>
          </w:tcPr>
          <w:p>
            <w:pPr>
              <w:pStyle w:val="TableContents"/>
              <w:spacing w:lineRule="atLeast" w:line="210" w:before="0" w:after="0"/>
              <w:ind w:left="0" w:right="0" w:hanging="0"/>
              <w:rPr/>
            </w:pPr>
            <w:r>
              <w:rPr/>
              <w:t> </w:t>
            </w:r>
          </w:p>
        </w:tc>
        <w:tc>
          <w:tcPr>
            <w:tcW w:w="150" w:type="dxa"/>
            <w:tcBorders/>
            <w:shd w:fill="auto" w:val="clear"/>
            <w:vAlign w:val="bottom"/>
          </w:tcPr>
          <w:p>
            <w:pPr>
              <w:pStyle w:val="TableContents"/>
              <w:spacing w:lineRule="atLeast" w:line="210" w:before="0" w:after="0"/>
              <w:ind w:left="0" w:right="0" w:hanging="0"/>
              <w:rPr/>
            </w:pPr>
            <w:r>
              <w:rPr/>
              <w:t> </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EBITDA</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95,983</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61,642</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162,467</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3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112,170</w:t>
            </w:r>
          </w:p>
        </w:tc>
        <w:tc>
          <w:tcPr>
            <w:tcW w:w="150" w:type="dxa"/>
            <w:tcBorders/>
            <w:shd w:fill="CCEEFF" w:val="clear"/>
            <w:vAlign w:val="bottom"/>
          </w:tcPr>
          <w:p>
            <w:pPr>
              <w:pStyle w:val="TableContents"/>
              <w:spacing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Interest expense</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(14,253</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(9,967</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(28,811</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2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(19,499</w:t>
            </w:r>
          </w:p>
        </w:tc>
        <w:tc>
          <w:tcPr>
            <w:tcW w:w="15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Net change in assets and liabilities, net of acquisitions</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(282,196</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(43,863</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(622,547</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2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47,496</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Other items to reconcile to cash flows from operating activities:</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725" w:type="dxa"/>
            <w:gridSpan w:val="2"/>
            <w:tcBorders/>
            <w:shd w:fill="auto" w:val="clear"/>
            <w:vAlign w:val="bottom"/>
          </w:tcPr>
          <w:p>
            <w:pPr>
              <w:pStyle w:val="TableContents"/>
              <w:spacing w:lineRule="atLeast" w:line="210" w:before="0" w:after="0"/>
              <w:ind w:left="0" w:right="0" w:hanging="0"/>
              <w:rPr/>
            </w:pPr>
            <w:r>
              <w:rPr/>
              <w:t> </w:t>
            </w:r>
          </w:p>
        </w:tc>
        <w:tc>
          <w:tcPr>
            <w:tcW w:w="150" w:type="dxa"/>
            <w:tcBorders/>
            <w:shd w:fill="auto" w:val="clear"/>
            <w:vAlign w:val="bottom"/>
          </w:tcPr>
          <w:p>
            <w:pPr>
              <w:pStyle w:val="TableContents"/>
              <w:spacing w:lineRule="atLeast" w:line="210" w:before="0" w:after="0"/>
              <w:ind w:left="0" w:right="0" w:hanging="0"/>
              <w:rPr/>
            </w:pPr>
            <w:r>
              <w:rPr/>
              <w:t> </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Cumulative effect of change in accounting principle</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72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3,130</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Non-cash (gain)/loss on foreign currency revaluation</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(1,462</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(983</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(918</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2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(573</w:t>
            </w:r>
          </w:p>
        </w:tc>
        <w:tc>
          <w:tcPr>
            <w:tcW w:w="15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Net cash paid for terminated swaps</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(865</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(865</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2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SFAS 133 noncash mark-to-market adjustment</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12,921</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6,943</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26,327</w:t>
            </w:r>
          </w:p>
        </w:tc>
        <w:tc>
          <w:tcPr>
            <w:tcW w:w="240" w:type="dxa"/>
            <w:tcBorders/>
            <w:shd w:fill="auto" w:val="clear"/>
            <w:vAlign w:val="bottom"/>
          </w:tcPr>
          <w:p>
            <w:pPr>
              <w:pStyle w:val="TableContents"/>
              <w:spacing w:lineRule="atLeast" w:line="210" w:before="0" w:after="0"/>
              <w:ind w:left="0" w:right="0" w:hanging="0"/>
              <w:rPr/>
            </w:pPr>
            <w:r>
              <w:rPr/>
              <w:t> </w:t>
            </w:r>
          </w:p>
        </w:tc>
        <w:tc>
          <w:tcPr>
            <w:tcW w:w="72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(556</w:t>
            </w:r>
          </w:p>
        </w:tc>
        <w:tc>
          <w:tcPr>
            <w:tcW w:w="15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LTIP charge</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7,926</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10,165</w:t>
            </w:r>
          </w:p>
        </w:tc>
        <w:tc>
          <w:tcPr>
            <w:tcW w:w="240" w:type="dxa"/>
            <w:tcBorders/>
            <w:shd w:fill="CCEEFF" w:val="clear"/>
            <w:vAlign w:val="bottom"/>
          </w:tcPr>
          <w:p>
            <w:pPr>
              <w:pStyle w:val="TableContents"/>
              <w:spacing w:lineRule="atLeast" w:line="210" w:before="0" w:after="0"/>
              <w:ind w:left="0" w:right="0" w:hanging="0"/>
              <w:rPr/>
            </w:pPr>
            <w:r>
              <w:rPr/>
              <w:t> </w:t>
            </w:r>
          </w:p>
        </w:tc>
        <w:tc>
          <w:tcPr>
            <w:tcW w:w="72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4,228</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Non-cash amortization of terminated interest rate hedging instruments</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403</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357</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790</w:t>
            </w:r>
          </w:p>
        </w:tc>
        <w:tc>
          <w:tcPr>
            <w:tcW w:w="240" w:type="dxa"/>
            <w:tcBorders/>
            <w:shd w:fill="auto" w:val="clear"/>
            <w:vAlign w:val="bottom"/>
          </w:tcPr>
          <w:p>
            <w:pPr>
              <w:pStyle w:val="TableContents"/>
              <w:spacing w:lineRule="atLeast" w:line="210" w:before="0" w:after="0"/>
              <w:ind w:left="0" w:right="0" w:hanging="0"/>
              <w:rPr/>
            </w:pPr>
            <w:r>
              <w:rPr/>
              <w:t> </w:t>
            </w:r>
          </w:p>
        </w:tc>
        <w:tc>
          <w:tcPr>
            <w:tcW w:w="72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714</w:t>
            </w:r>
          </w:p>
        </w:tc>
        <w:tc>
          <w:tcPr>
            <w:tcW w:w="150" w:type="dxa"/>
            <w:tcBorders/>
            <w:shd w:fill="auto" w:val="clear"/>
            <w:vAlign w:val="bottom"/>
          </w:tcPr>
          <w:p>
            <w:pPr>
              <w:pStyle w:val="TableContents"/>
              <w:spacing w:lineRule="atLeast" w:line="210" w:before="0" w:after="0"/>
              <w:ind w:left="0" w:right="0" w:hanging="0"/>
              <w:rPr/>
            </w:pPr>
            <w:r>
              <w:rPr/>
              <w:t> </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Net cash provided by (used in) operating activities</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(181,543</w:t>
            </w:r>
          </w:p>
        </w:tc>
        <w:tc>
          <w:tcPr>
            <w:tcW w:w="24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14,129</w:t>
            </w:r>
          </w:p>
        </w:tc>
        <w:tc>
          <w:tcPr>
            <w:tcW w:w="24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pPr>
            <w:r>
              <w:rPr/>
              <w:t> </w:t>
            </w:r>
          </w:p>
        </w:tc>
        <w:tc>
          <w:tcPr>
            <w:tcW w:w="785" w:type="dxa"/>
            <w:gridSpan w:val="2"/>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(453,392</w:t>
            </w:r>
          </w:p>
        </w:tc>
        <w:tc>
          <w:tcPr>
            <w:tcW w:w="24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725" w:type="dxa"/>
            <w:gridSpan w:val="2"/>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147,110</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b/>
                <w:sz w:val="15"/>
              </w:rPr>
            </w:pPr>
            <w:r>
              <w:rPr>
                <w:rFonts w:ascii="Times New Roman" w:hAnsi="Times New Roman"/>
                <w:b/>
                <w:sz w:val="15"/>
              </w:rPr>
              <w:t>Funds flow from operations (FFO)</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pPr>
            <w:r>
              <w:rPr/>
              <w:t> </w:t>
            </w:r>
          </w:p>
        </w:tc>
        <w:tc>
          <w:tcPr>
            <w:tcW w:w="240" w:type="dxa"/>
            <w:tcBorders/>
            <w:shd w:fill="auto" w:val="clear"/>
            <w:vAlign w:val="bottom"/>
          </w:tcPr>
          <w:p>
            <w:pPr>
              <w:pStyle w:val="TableContents"/>
              <w:spacing w:lineRule="atLeast" w:line="210" w:before="0" w:after="0"/>
              <w:ind w:left="0" w:right="0" w:hanging="0"/>
              <w:rPr/>
            </w:pPr>
            <w:r>
              <w:rPr/>
              <w:t> </w:t>
            </w:r>
          </w:p>
        </w:tc>
        <w:tc>
          <w:tcPr>
            <w:tcW w:w="725" w:type="dxa"/>
            <w:gridSpan w:val="2"/>
            <w:tcBorders/>
            <w:shd w:fill="auto" w:val="clear"/>
            <w:vAlign w:val="bottom"/>
          </w:tcPr>
          <w:p>
            <w:pPr>
              <w:pStyle w:val="TableContents"/>
              <w:spacing w:lineRule="atLeast" w:line="210" w:before="0" w:after="0"/>
              <w:ind w:left="0" w:right="0" w:hanging="0"/>
              <w:rPr/>
            </w:pPr>
            <w:r>
              <w:rPr/>
              <w:t> </w:t>
            </w:r>
          </w:p>
        </w:tc>
        <w:tc>
          <w:tcPr>
            <w:tcW w:w="150" w:type="dxa"/>
            <w:tcBorders/>
            <w:shd w:fill="auto" w:val="clear"/>
            <w:vAlign w:val="bottom"/>
          </w:tcPr>
          <w:p>
            <w:pPr>
              <w:pStyle w:val="TableContents"/>
              <w:spacing w:lineRule="atLeast" w:line="210" w:before="0" w:after="0"/>
              <w:ind w:left="0" w:right="0" w:hanging="0"/>
              <w:rPr/>
            </w:pPr>
            <w:r>
              <w:rPr/>
              <w:t> </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Net Income</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62,282</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35,677</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95,090</w:t>
            </w:r>
          </w:p>
        </w:tc>
        <w:tc>
          <w:tcPr>
            <w:tcW w:w="240" w:type="dxa"/>
            <w:tcBorders/>
            <w:shd w:fill="CCEEFF" w:val="cle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3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63,553</w:t>
            </w:r>
          </w:p>
        </w:tc>
        <w:tc>
          <w:tcPr>
            <w:tcW w:w="150" w:type="dxa"/>
            <w:tcBorders/>
            <w:shd w:fill="CCEEFF" w:val="clear"/>
            <w:vAlign w:val="bottom"/>
          </w:tcPr>
          <w:p>
            <w:pPr>
              <w:pStyle w:val="TableContents"/>
              <w:spacing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Depreciation and amortization</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19,448</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15,998</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38,566</w:t>
            </w:r>
          </w:p>
        </w:tc>
        <w:tc>
          <w:tcPr>
            <w:tcW w:w="240" w:type="dxa"/>
            <w:tcBorders/>
            <w:shd w:fill="auto" w:val="clear"/>
            <w:vAlign w:val="bottom"/>
          </w:tcPr>
          <w:p>
            <w:pPr>
              <w:pStyle w:val="TableContents"/>
              <w:spacing w:lineRule="atLeast" w:line="210" w:before="0" w:after="0"/>
              <w:ind w:left="0" w:right="0" w:hanging="0"/>
              <w:rPr/>
            </w:pPr>
            <w:r>
              <w:rPr/>
              <w:t> </w:t>
            </w:r>
          </w:p>
        </w:tc>
        <w:tc>
          <w:tcPr>
            <w:tcW w:w="72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29,118</w:t>
            </w:r>
          </w:p>
        </w:tc>
        <w:tc>
          <w:tcPr>
            <w:tcW w:w="150" w:type="dxa"/>
            <w:tcBorders/>
            <w:shd w:fill="auto" w:val="clear"/>
            <w:vAlign w:val="bottom"/>
          </w:tcPr>
          <w:p>
            <w:pPr>
              <w:pStyle w:val="TableContents"/>
              <w:spacing w:lineRule="atLeast" w:line="210" w:before="0" w:after="0"/>
              <w:ind w:left="0" w:right="0" w:hanging="0"/>
              <w:rPr/>
            </w:pPr>
            <w:r>
              <w:rPr/>
              <w:t> </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Non-cash amortization of terminated interest rate hedging instruments</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403</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357</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790</w:t>
            </w:r>
          </w:p>
        </w:tc>
        <w:tc>
          <w:tcPr>
            <w:tcW w:w="240" w:type="dxa"/>
            <w:tcBorders/>
            <w:shd w:fill="CCEEFF" w:val="clear"/>
            <w:vAlign w:val="bottom"/>
          </w:tcPr>
          <w:p>
            <w:pPr>
              <w:pStyle w:val="TableContents"/>
              <w:spacing w:lineRule="atLeast" w:line="210" w:before="0" w:after="0"/>
              <w:ind w:left="0" w:right="0" w:hanging="0"/>
              <w:rPr/>
            </w:pPr>
            <w:r>
              <w:rPr/>
              <w:t> </w:t>
            </w:r>
          </w:p>
        </w:tc>
        <w:tc>
          <w:tcPr>
            <w:tcW w:w="72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714</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FFO</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82,133</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52,032</w:t>
            </w:r>
          </w:p>
        </w:tc>
        <w:tc>
          <w:tcPr>
            <w:tcW w:w="240" w:type="dxa"/>
            <w:tcBorders/>
            <w:shd w:fill="auto" w:val="clear"/>
            <w:vAlign w:val="bottom"/>
          </w:tcPr>
          <w:p>
            <w:pPr>
              <w:pStyle w:val="TableContents"/>
              <w:spacing w:lineRule="atLeast" w:line="210" w:before="0" w:after="0"/>
              <w:ind w:left="0" w:right="0" w:hanging="0"/>
              <w:rPr/>
            </w:pPr>
            <w:r>
              <w:rPr/>
              <w:t> </w:t>
            </w:r>
          </w:p>
        </w:tc>
        <w:tc>
          <w:tcPr>
            <w:tcW w:w="78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134,446</w:t>
            </w:r>
          </w:p>
        </w:tc>
        <w:tc>
          <w:tcPr>
            <w:tcW w:w="240" w:type="dxa"/>
            <w:tcBorders/>
            <w:shd w:fill="auto" w:val="clear"/>
            <w:vAlign w:val="bottom"/>
          </w:tcPr>
          <w:p>
            <w:pPr>
              <w:pStyle w:val="TableContents"/>
              <w:spacing w:lineRule="atLeast" w:line="210" w:before="0" w:after="0"/>
              <w:ind w:left="0" w:right="0" w:hanging="0"/>
              <w:rPr/>
            </w:pPr>
            <w:r>
              <w:rPr/>
              <w:t> </w:t>
            </w:r>
          </w:p>
        </w:tc>
        <w:tc>
          <w:tcPr>
            <w:tcW w:w="72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93,385</w:t>
            </w:r>
          </w:p>
        </w:tc>
        <w:tc>
          <w:tcPr>
            <w:tcW w:w="150" w:type="dxa"/>
            <w:tcBorders/>
            <w:shd w:fill="auto" w:val="clear"/>
            <w:vAlign w:val="bottom"/>
          </w:tcPr>
          <w:p>
            <w:pPr>
              <w:pStyle w:val="TableContents"/>
              <w:spacing w:lineRule="atLeast" w:line="210" w:before="0" w:after="0"/>
              <w:ind w:left="0" w:right="0" w:hanging="0"/>
              <w:rPr/>
            </w:pPr>
            <w:r>
              <w:rPr/>
              <w:t> </w:t>
            </w:r>
          </w:p>
        </w:tc>
      </w:tr>
      <w:tr>
        <w:trPr/>
        <w:tc>
          <w:tcPr>
            <w:tcW w:w="508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Maintenance capital expenditures</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(4,065</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(1,350</w:t>
            </w:r>
          </w:p>
        </w:tc>
        <w:tc>
          <w:tcPr>
            <w:tcW w:w="240" w:type="dxa"/>
            <w:tcBorders/>
            <w:shd w:fill="CCEEFF" w:val="clear"/>
            <w:vAlign w:val="bottom"/>
          </w:tcPr>
          <w:p>
            <w:pPr>
              <w:pStyle w:val="TableContents"/>
              <w:spacing w:lineRule="atLeast" w:line="21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(8,039</w:t>
            </w:r>
          </w:p>
        </w:tc>
        <w:tc>
          <w:tcPr>
            <w:tcW w:w="240" w:type="dxa"/>
            <w:tcBorders/>
            <w:shd w:fill="CCEEFF" w:val="clear"/>
            <w:vAlign w:val="bottom"/>
          </w:tcPr>
          <w:p>
            <w:pPr>
              <w:pStyle w:val="TableContents"/>
              <w:spacing w:lineRule="atLeast" w:line="210" w:before="0" w:after="0"/>
              <w:ind w:left="0" w:right="0" w:hanging="0"/>
              <w:rPr/>
            </w:pPr>
            <w:r>
              <w:rPr/>
              <w:t> </w:t>
            </w:r>
          </w:p>
        </w:tc>
        <w:tc>
          <w:tcPr>
            <w:tcW w:w="725" w:type="dxa"/>
            <w:gridSpan w:val="2"/>
            <w:tcBorders>
              <w:bottom w:val="single" w:sz="8"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(3,100</w:t>
            </w:r>
          </w:p>
        </w:tc>
        <w:tc>
          <w:tcPr>
            <w:tcW w:w="150" w:type="dxa"/>
            <w:tcBorders/>
            <w:shd w:fill="CCEEFF" w:val="clear"/>
            <w:vAlign w:val="bottom"/>
          </w:tcPr>
          <w:p>
            <w:pPr>
              <w:pStyle w:val="TableContents"/>
              <w:spacing w:lineRule="atLeast" w:line="210" w:before="0" w:after="0"/>
              <w:ind w:left="0" w:right="0" w:hanging="0"/>
              <w:rPr/>
            </w:pPr>
            <w:r>
              <w:rPr/>
              <w:t> </w:t>
            </w:r>
          </w:p>
        </w:tc>
      </w:tr>
      <w:tr>
        <w:trPr/>
        <w:tc>
          <w:tcPr>
            <w:tcW w:w="508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FFO after maintenance capital expenditures</w:t>
            </w:r>
          </w:p>
        </w:tc>
        <w:tc>
          <w:tcPr>
            <w:tcW w:w="240" w:type="dxa"/>
            <w:tcBorders/>
            <w:shd w:fill="auto" w:val="clear"/>
            <w:vAlign w:val="bottom"/>
          </w:tcPr>
          <w:p>
            <w:pPr>
              <w:pStyle w:val="TableContents"/>
              <w:spacing w:lineRule="atLeast" w:line="210"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78,068</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50,682</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126,407</w:t>
            </w:r>
          </w:p>
        </w:tc>
        <w:tc>
          <w:tcPr>
            <w:tcW w:w="240" w:type="dxa"/>
            <w:tcBorders/>
            <w:shd w:fill="auto" w:val="clear"/>
            <w:vAlign w:val="bottom"/>
          </w:tcPr>
          <w:p>
            <w:pPr>
              <w:pStyle w:val="TableContents"/>
              <w:spacing w:before="0" w:after="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30"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90,285</w:t>
            </w:r>
          </w:p>
        </w:tc>
        <w:tc>
          <w:tcPr>
            <w:tcW w:w="15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keepNext w:val="true"/>
        <w:spacing w:before="0" w:after="240"/>
        <w:ind w:left="200" w:right="0" w:hanging="200"/>
        <w:rPr>
          <w:rFonts w:ascii="Times New Roman" w:hAnsi="Times New Roman"/>
          <w:b/>
          <w:sz w:val="17"/>
        </w:rPr>
      </w:pPr>
      <w:bookmarkStart w:id="17" w:name="FinancialMeasuresExcludingSelecte_200733"/>
      <w:bookmarkEnd w:id="17"/>
      <w:r>
        <w:rPr>
          <w:rFonts w:ascii="Times New Roman" w:hAnsi="Times New Roman"/>
          <w:b/>
          <w:sz w:val="17"/>
        </w:rPr>
        <w:t>FINANCIAL MEASURES EXCLUDING SELECTED ITEMS IMPACTING COMPARABILITY</w:t>
      </w:r>
    </w:p>
    <w:tbl>
      <w:tblPr>
        <w:tblW w:w="9155" w:type="dxa"/>
        <w:jc w:val="left"/>
        <w:tblInd w:w="0" w:type="dxa"/>
        <w:tblCellMar>
          <w:top w:w="0" w:type="dxa"/>
          <w:left w:w="0" w:type="dxa"/>
          <w:bottom w:w="0" w:type="dxa"/>
          <w:right w:w="0" w:type="dxa"/>
        </w:tblCellMar>
      </w:tblPr>
      <w:tblGrid>
        <w:gridCol w:w="5505"/>
        <w:gridCol w:w="240"/>
        <w:gridCol w:w="95"/>
        <w:gridCol w:w="600"/>
        <w:gridCol w:w="240"/>
        <w:gridCol w:w="95"/>
        <w:gridCol w:w="510"/>
        <w:gridCol w:w="240"/>
        <w:gridCol w:w="95"/>
        <w:gridCol w:w="600"/>
        <w:gridCol w:w="240"/>
        <w:gridCol w:w="95"/>
        <w:gridCol w:w="510"/>
        <w:gridCol w:w="90"/>
      </w:tblGrid>
      <w:tr>
        <w:trPr/>
        <w:tc>
          <w:tcPr>
            <w:tcW w:w="550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54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154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br/>
              <w:t>June 30,</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50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0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0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505" w:type="dxa"/>
            <w:tcBorders/>
            <w:shd w:fill="CCEEFF" w:val="clear"/>
          </w:tcPr>
          <w:p>
            <w:pPr>
              <w:pStyle w:val="TableContents"/>
              <w:spacing w:lineRule="atLeast" w:line="210" w:before="0" w:after="0"/>
              <w:ind w:left="0" w:right="0" w:hanging="0"/>
              <w:rPr>
                <w:rFonts w:ascii="Times New Roman" w:hAnsi="Times New Roman"/>
                <w:b/>
                <w:sz w:val="15"/>
              </w:rPr>
            </w:pPr>
            <w:r>
              <w:rPr>
                <w:rFonts w:ascii="Times New Roman" w:hAnsi="Times New Roman"/>
                <w:b/>
                <w:sz w:val="15"/>
              </w:rPr>
              <w:t>Selected items impacting comparability</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pPr>
            <w:r>
              <w:rPr/>
              <w:t> </w:t>
            </w:r>
          </w:p>
        </w:tc>
        <w:tc>
          <w:tcPr>
            <w:tcW w:w="240" w:type="dxa"/>
            <w:tcBorders/>
            <w:shd w:fill="CCEEFF" w:val="clear"/>
            <w:vAlign w:val="bottom"/>
          </w:tcPr>
          <w:p>
            <w:pPr>
              <w:pStyle w:val="TableContents"/>
              <w:spacing w:lineRule="atLeast" w:line="210" w:before="0" w:after="0"/>
              <w:ind w:left="0" w:right="0" w:hanging="0"/>
              <w:rPr/>
            </w:pPr>
            <w:r>
              <w:rPr/>
              <w:t> </w:t>
            </w:r>
          </w:p>
        </w:tc>
        <w:tc>
          <w:tcPr>
            <w:tcW w:w="605" w:type="dxa"/>
            <w:gridSpan w:val="2"/>
            <w:tcBorders/>
            <w:shd w:fill="CCEEFF" w:val="clear"/>
            <w:vAlign w:val="bottom"/>
          </w:tcPr>
          <w:p>
            <w:pPr>
              <w:pStyle w:val="TableContents"/>
              <w:spacing w:lineRule="atLeast" w:line="210" w:before="0" w:after="0"/>
              <w:ind w:left="0" w:right="0" w:hanging="0"/>
              <w:rPr/>
            </w:pPr>
            <w:r>
              <w:rPr/>
              <w:t> </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pPr>
            <w:r>
              <w:rPr/>
              <w:t> </w:t>
            </w:r>
          </w:p>
        </w:tc>
        <w:tc>
          <w:tcPr>
            <w:tcW w:w="240" w:type="dxa"/>
            <w:tcBorders/>
            <w:shd w:fill="CCEEFF" w:val="clear"/>
            <w:vAlign w:val="bottom"/>
          </w:tcPr>
          <w:p>
            <w:pPr>
              <w:pStyle w:val="TableContents"/>
              <w:spacing w:lineRule="atLeast" w:line="210" w:before="0" w:after="0"/>
              <w:ind w:left="0" w:right="0" w:hanging="0"/>
              <w:rPr/>
            </w:pPr>
            <w:r>
              <w:rPr/>
              <w:t> </w:t>
            </w:r>
          </w:p>
        </w:tc>
        <w:tc>
          <w:tcPr>
            <w:tcW w:w="605" w:type="dxa"/>
            <w:gridSpan w:val="2"/>
            <w:tcBorders/>
            <w:shd w:fill="CCEEFF" w:val="clear"/>
            <w:vAlign w:val="bottom"/>
          </w:tcPr>
          <w:p>
            <w:pPr>
              <w:pStyle w:val="TableContents"/>
              <w:spacing w:lineRule="atLeast" w:line="210" w:before="0" w:after="0"/>
              <w:ind w:left="0" w:right="0" w:hanging="0"/>
              <w:rPr/>
            </w:pPr>
            <w:r>
              <w:rPr/>
              <w:t> </w:t>
            </w:r>
          </w:p>
        </w:tc>
        <w:tc>
          <w:tcPr>
            <w:tcW w:w="90" w:type="dxa"/>
            <w:tcBorders/>
            <w:shd w:fill="CCEEFF" w:val="clear"/>
            <w:vAlign w:val="bottom"/>
          </w:tcPr>
          <w:p>
            <w:pPr>
              <w:pStyle w:val="TableContents"/>
              <w:spacing w:lineRule="atLeast" w:line="210" w:before="0" w:after="0"/>
              <w:ind w:left="0" w:right="0" w:hanging="0"/>
              <w:rPr/>
            </w:pPr>
            <w:r>
              <w:rPr/>
              <w:t> </w:t>
            </w:r>
          </w:p>
        </w:tc>
      </w:tr>
      <w:tr>
        <w:trPr/>
        <w:tc>
          <w:tcPr>
            <w:tcW w:w="550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Long-Term Incentive Plan (LTIP) charge</w:t>
            </w:r>
          </w:p>
        </w:tc>
        <w:tc>
          <w:tcPr>
            <w:tcW w:w="240" w:type="dxa"/>
            <w:tcBorders/>
            <w:shd w:fill="auto" w:val="clear"/>
            <w:vAlign w:val="bottom"/>
          </w:tcPr>
          <w:p>
            <w:pPr>
              <w:pStyle w:val="TableContents"/>
              <w:spacing w:lineRule="atLeast" w:line="210" w:before="0" w:after="0"/>
              <w:ind w:left="0" w:right="0" w:hanging="0"/>
              <w:rPr/>
            </w:pPr>
            <w:r>
              <w:rPr/>
              <w:t> </w:t>
            </w:r>
          </w:p>
        </w:tc>
        <w:tc>
          <w:tcPr>
            <w:tcW w:w="95" w:type="dxa"/>
            <w:tcBorders/>
            <w:shd w:fill="auto"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(7,926</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5" w:type="dxa"/>
            <w:tcBorders/>
            <w:shd w:fill="auto"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1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auto" w:val="cle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(10,165</w:t>
            </w:r>
          </w:p>
        </w:tc>
        <w:tc>
          <w:tcPr>
            <w:tcW w:w="24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5" w:type="dxa"/>
            <w:tcBorders/>
            <w:shd w:fill="auto" w:val="cle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1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(4,228</w:t>
            </w:r>
          </w:p>
        </w:tc>
        <w:tc>
          <w:tcPr>
            <w:tcW w:w="90" w:type="dxa"/>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50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Cumulative effect of change in accounting principle</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60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CCEEFF" w:val="clear"/>
            <w:vAlign w:val="bottom"/>
          </w:tcPr>
          <w:p>
            <w:pPr>
              <w:pStyle w:val="TableContents"/>
              <w:spacing w:lineRule="atLeast" w:line="210" w:before="0" w:after="0"/>
              <w:ind w:left="0" w:right="0" w:hanging="0"/>
              <w:rPr/>
            </w:pPr>
            <w:r>
              <w:rPr/>
              <w:t> </w:t>
            </w:r>
          </w:p>
        </w:tc>
        <w:tc>
          <w:tcPr>
            <w:tcW w:w="60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(3,130</w:t>
            </w:r>
          </w:p>
        </w:tc>
        <w:tc>
          <w:tcPr>
            <w:tcW w:w="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50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Gain/(Loss) on foreign currency revaluation</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1,058</w:t>
            </w:r>
          </w:p>
        </w:tc>
        <w:tc>
          <w:tcPr>
            <w:tcW w:w="240" w:type="dxa"/>
            <w:tcBorders/>
            <w:shd w:fill="auto" w:val="clear"/>
            <w:vAlign w:val="bottom"/>
          </w:tcPr>
          <w:p>
            <w:pPr>
              <w:pStyle w:val="TableContents"/>
              <w:spacing w:lineRule="atLeast" w:line="210" w:before="0" w:after="0"/>
              <w:ind w:left="0" w:right="0" w:hanging="0"/>
              <w:rPr/>
            </w:pPr>
            <w:r>
              <w:rPr/>
              <w:t> </w:t>
            </w:r>
          </w:p>
        </w:tc>
        <w:tc>
          <w:tcPr>
            <w:tcW w:w="60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983</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238</w:t>
            </w:r>
          </w:p>
        </w:tc>
        <w:tc>
          <w:tcPr>
            <w:tcW w:w="240" w:type="dxa"/>
            <w:tcBorders/>
            <w:shd w:fill="auto" w:val="clear"/>
            <w:vAlign w:val="bottom"/>
          </w:tcPr>
          <w:p>
            <w:pPr>
              <w:pStyle w:val="TableContents"/>
              <w:spacing w:lineRule="atLeast" w:line="210" w:before="0" w:after="0"/>
              <w:ind w:left="0" w:right="0" w:hanging="0"/>
              <w:rPr/>
            </w:pPr>
            <w:r>
              <w:rPr/>
              <w:t> </w:t>
            </w:r>
          </w:p>
        </w:tc>
        <w:tc>
          <w:tcPr>
            <w:tcW w:w="605" w:type="dxa"/>
            <w:gridSpan w:val="2"/>
            <w:tcBorders/>
            <w:shd w:fill="auto"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573</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0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SFAS 133 noncash mark-to-market adjustment</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(12,921</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0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(6,943</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(26,327</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0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556</w:t>
            </w:r>
          </w:p>
        </w:tc>
        <w:tc>
          <w:tcPr>
            <w:tcW w:w="90" w:type="dxa"/>
            <w:tcBorders/>
            <w:shd w:fill="CCEEFF" w:val="clear"/>
            <w:vAlign w:val="bottom"/>
          </w:tcPr>
          <w:p>
            <w:pPr>
              <w:pStyle w:val="TableContents"/>
              <w:spacing w:lineRule="atLeast" w:line="210" w:before="0" w:after="0"/>
              <w:ind w:left="0" w:right="0" w:hanging="0"/>
              <w:rPr/>
            </w:pPr>
            <w:r>
              <w:rPr/>
              <w:t> </w:t>
            </w:r>
          </w:p>
        </w:tc>
      </w:tr>
      <w:tr>
        <w:trPr/>
        <w:tc>
          <w:tcPr>
            <w:tcW w:w="550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Pro forma additional GP distribution under EITF 03-06</w:t>
            </w:r>
            <w:r>
              <w:rPr>
                <w:rFonts w:ascii="Times New Roman" w:hAnsi="Times New Roman"/>
                <w:position w:val="5"/>
                <w:sz w:val="12"/>
                <w:sz w:val="15"/>
              </w:rPr>
              <w:t>(1)</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auto" w:val="clear"/>
            <w:vAlign w:val="bottom"/>
          </w:tcPr>
          <w:p>
            <w:pPr>
              <w:pStyle w:val="TableContents"/>
              <w:spacing w:lineRule="atLeast" w:line="210" w:before="0" w:after="0"/>
              <w:ind w:left="0" w:right="0" w:hanging="0"/>
              <w:rPr/>
            </w:pPr>
            <w:r>
              <w:rPr/>
              <w:t> </w:t>
            </w:r>
          </w:p>
        </w:tc>
        <w:tc>
          <w:tcPr>
            <w:tcW w:w="60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240" w:type="dxa"/>
            <w:tcBorders/>
            <w:shd w:fill="auto" w:val="clear"/>
            <w:vAlign w:val="bottom"/>
          </w:tcPr>
          <w:p>
            <w:pPr>
              <w:pStyle w:val="TableContents"/>
              <w:spacing w:lineRule="atLeast" w:line="210" w:before="0" w:after="0"/>
              <w:ind w:left="0" w:right="0" w:hanging="0"/>
              <w:rPr/>
            </w:pPr>
            <w:r>
              <w:rPr/>
              <w:t> </w:t>
            </w:r>
          </w:p>
        </w:tc>
        <w:tc>
          <w:tcPr>
            <w:tcW w:w="60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0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Selected items impacting comparability</w:t>
            </w:r>
          </w:p>
        </w:tc>
        <w:tc>
          <w:tcPr>
            <w:tcW w:w="240" w:type="dxa"/>
            <w:tcBorders/>
            <w:shd w:fill="CCEEFF" w:val="clear"/>
            <w:vAlign w:val="bottom"/>
          </w:tcPr>
          <w:p>
            <w:pPr>
              <w:pStyle w:val="TableContents"/>
              <w:spacing w:lineRule="atLeast" w:line="210" w:before="0" w:after="0"/>
              <w:ind w:left="0" w:right="0" w:hanging="0"/>
              <w:rPr/>
            </w:pPr>
            <w:r>
              <w:rPr/>
              <w:t> </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(19,789</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0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(5,960</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9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(36,254</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605" w:type="dxa"/>
            <w:gridSpan w:val="2"/>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(6,229</w:t>
            </w:r>
          </w:p>
        </w:tc>
        <w:tc>
          <w:tcPr>
            <w:tcW w:w="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505" w:type="dxa"/>
            <w:tcBorders/>
            <w:shd w:fill="auto"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GP 2% portion of selected items impacting comparability</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396</w:t>
            </w:r>
          </w:p>
        </w:tc>
        <w:tc>
          <w:tcPr>
            <w:tcW w:w="240" w:type="dxa"/>
            <w:tcBorders/>
            <w:shd w:fill="auto" w:val="clear"/>
            <w:vAlign w:val="bottom"/>
          </w:tcPr>
          <w:p>
            <w:pPr>
              <w:pStyle w:val="TableContents"/>
              <w:spacing w:lineRule="atLeast" w:line="210" w:before="0" w:after="0"/>
              <w:ind w:left="0" w:right="0" w:hanging="0"/>
              <w:rPr/>
            </w:pPr>
            <w:r>
              <w:rPr/>
              <w:t> </w:t>
            </w:r>
          </w:p>
        </w:tc>
        <w:tc>
          <w:tcPr>
            <w:tcW w:w="60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119</w:t>
            </w:r>
          </w:p>
        </w:tc>
        <w:tc>
          <w:tcPr>
            <w:tcW w:w="240" w:type="dxa"/>
            <w:tcBorders/>
            <w:shd w:fill="auto" w:val="clear"/>
            <w:vAlign w:val="bottom"/>
          </w:tcPr>
          <w:p>
            <w:pPr>
              <w:pStyle w:val="TableContents"/>
              <w:spacing w:lineRule="atLeast" w:line="21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725</w:t>
            </w:r>
          </w:p>
        </w:tc>
        <w:tc>
          <w:tcPr>
            <w:tcW w:w="240" w:type="dxa"/>
            <w:tcBorders/>
            <w:shd w:fill="auto" w:val="clear"/>
            <w:vAlign w:val="bottom"/>
          </w:tcPr>
          <w:p>
            <w:pPr>
              <w:pStyle w:val="TableContents"/>
              <w:spacing w:lineRule="atLeast" w:line="210" w:before="0" w:after="0"/>
              <w:ind w:left="0" w:right="0" w:hanging="0"/>
              <w:rPr/>
            </w:pPr>
            <w:r>
              <w:rPr/>
              <w:t> </w:t>
            </w:r>
          </w:p>
        </w:tc>
        <w:tc>
          <w:tcPr>
            <w:tcW w:w="605" w:type="dxa"/>
            <w:gridSpan w:val="2"/>
            <w:tcBorders>
              <w:bottom w:val="single" w:sz="8" w:space="0" w:color="000000"/>
            </w:tcBorders>
            <w:shd w:fill="auto"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125</w:t>
            </w:r>
          </w:p>
        </w:tc>
        <w:tc>
          <w:tcPr>
            <w:tcW w:w="90" w:type="dxa"/>
            <w:tcBorders/>
            <w:shd w:fill="auto" w:val="clear"/>
            <w:vAlign w:val="bottom"/>
          </w:tcPr>
          <w:p>
            <w:pPr>
              <w:pStyle w:val="TableContents"/>
              <w:spacing w:lineRule="atLeast" w:line="210" w:before="0" w:after="0"/>
              <w:ind w:left="0" w:right="0" w:hanging="0"/>
              <w:rPr/>
            </w:pPr>
            <w:r>
              <w:rPr/>
              <w:t> </w:t>
            </w:r>
          </w:p>
        </w:tc>
      </w:tr>
      <w:tr>
        <w:trPr/>
        <w:tc>
          <w:tcPr>
            <w:tcW w:w="550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LP 98% portion of selected items impacting comparability</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(19,393</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1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(5,841</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(35,529</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10" w:type="dxa"/>
            <w:tcBorders>
              <w:top w:val="single" w:sz="8" w:space="0" w:color="000000"/>
              <w:bottom w:val="double" w:sz="6" w:space="0" w:color="000000"/>
            </w:tcBorders>
            <w:shd w:fill="CCEEFF" w:val="clear"/>
            <w:tcMar>
              <w:top w:w="28" w:type="dxa"/>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(6,104</w:t>
            </w:r>
          </w:p>
        </w:tc>
        <w:tc>
          <w:tcPr>
            <w:tcW w:w="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r>
        <w:trPr/>
        <w:tc>
          <w:tcPr>
            <w:tcW w:w="5505" w:type="dxa"/>
            <w:tcBorders/>
            <w:shd w:fill="auto" w:val="clear"/>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Impact to basic net income per limited partner unit</w:t>
            </w:r>
            <w:r>
              <w:rPr>
                <w:rFonts w:ascii="Times New Roman" w:hAnsi="Times New Roman"/>
                <w:position w:val="5"/>
                <w:sz w:val="12"/>
                <w:sz w:val="15"/>
              </w:rPr>
              <w:t>(1)</w:t>
            </w:r>
          </w:p>
        </w:tc>
        <w:tc>
          <w:tcPr>
            <w:tcW w:w="240" w:type="dxa"/>
            <w:tcBorders/>
            <w:shd w:fill="auto" w:val="clear"/>
            <w:vAlign w:val="bottom"/>
          </w:tcPr>
          <w:p>
            <w:pPr>
              <w:pStyle w:val="TableContents"/>
              <w:spacing w:lineRule="atLeast" w:line="210" w:before="120" w:after="120"/>
              <w:ind w:left="0" w:right="0" w:hanging="0"/>
              <w:rPr/>
            </w:pPr>
            <w:r>
              <w:rPr/>
              <w:t> </w:t>
            </w:r>
          </w:p>
        </w:tc>
        <w:tc>
          <w:tcPr>
            <w:tcW w:w="95" w:type="dxa"/>
            <w:tcBorders>
              <w:bottom w:val="double" w:sz="6" w:space="0" w:color="000000"/>
            </w:tcBorders>
            <w:shd w:fill="auto" w:val="clear"/>
            <w:tcMar>
              <w:bottom w:w="28" w:type="dxa"/>
            </w:tcMar>
            <w:vAlign w:val="bottom"/>
          </w:tcPr>
          <w:p>
            <w:pPr>
              <w:pStyle w:val="TableContents"/>
              <w:spacing w:lineRule="atLeast" w:line="210" w:before="120" w:after="120"/>
              <w:ind w:left="0" w:right="0" w:hanging="0"/>
              <w:jc w:val="left"/>
              <w:rPr>
                <w:rFonts w:ascii="Times New Roman" w:hAnsi="Times New Roman"/>
                <w:sz w:val="15"/>
              </w:rPr>
            </w:pPr>
            <w:r>
              <w:rPr>
                <w:rFonts w:ascii="Times New Roman" w:hAnsi="Times New Roman"/>
                <w:sz w:val="15"/>
              </w:rPr>
              <w:t>$</w:t>
            </w:r>
          </w:p>
        </w:tc>
        <w:tc>
          <w:tcPr>
            <w:tcW w:w="600" w:type="dxa"/>
            <w:tcBorders>
              <w:bottom w:val="double" w:sz="6" w:space="0" w:color="000000"/>
            </w:tcBorders>
            <w:shd w:fill="auto" w:val="clear"/>
            <w:tcMar>
              <w:bottom w:w="28" w:type="dxa"/>
            </w:tcMar>
            <w:vAlign w:val="bottom"/>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(0.37</w:t>
            </w:r>
          </w:p>
        </w:tc>
        <w:tc>
          <w:tcPr>
            <w:tcW w:w="240" w:type="dxa"/>
            <w:tcBorders/>
            <w:shd w:fill="auto" w:val="clear"/>
            <w:vAlign w:val="bottom"/>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auto" w:val="clear"/>
            <w:tcMar>
              <w:bottom w:w="28" w:type="dxa"/>
            </w:tcMar>
            <w:vAlign w:val="bottom"/>
          </w:tcPr>
          <w:p>
            <w:pPr>
              <w:pStyle w:val="TableContents"/>
              <w:spacing w:lineRule="atLeast" w:line="210" w:before="120" w:after="120"/>
              <w:ind w:left="0" w:right="0" w:hanging="0"/>
              <w:jc w:val="left"/>
              <w:rPr>
                <w:rFonts w:ascii="Times New Roman" w:hAnsi="Times New Roman"/>
                <w:sz w:val="15"/>
              </w:rPr>
            </w:pPr>
            <w:r>
              <w:rPr>
                <w:rFonts w:ascii="Times New Roman" w:hAnsi="Times New Roman"/>
                <w:sz w:val="15"/>
              </w:rPr>
              <w:t>$</w:t>
            </w:r>
          </w:p>
        </w:tc>
        <w:tc>
          <w:tcPr>
            <w:tcW w:w="510" w:type="dxa"/>
            <w:tcBorders>
              <w:bottom w:val="double" w:sz="6" w:space="0" w:color="000000"/>
            </w:tcBorders>
            <w:shd w:fill="auto" w:val="clear"/>
            <w:tcMar>
              <w:bottom w:w="28" w:type="dxa"/>
            </w:tcMar>
            <w:vAlign w:val="bottom"/>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(0.09</w:t>
            </w:r>
          </w:p>
        </w:tc>
        <w:tc>
          <w:tcPr>
            <w:tcW w:w="240" w:type="dxa"/>
            <w:tcBorders/>
            <w:shd w:fill="auto" w:val="clear"/>
            <w:vAlign w:val="bottom"/>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auto" w:val="clear"/>
            <w:tcMar>
              <w:bottom w:w="28" w:type="dxa"/>
            </w:tcMar>
            <w:vAlign w:val="bottom"/>
          </w:tcPr>
          <w:p>
            <w:pPr>
              <w:pStyle w:val="TableContents"/>
              <w:spacing w:lineRule="atLeast" w:line="210" w:before="120" w:after="120"/>
              <w:ind w:left="0" w:right="0" w:hanging="0"/>
              <w:jc w:val="left"/>
              <w:rPr>
                <w:rFonts w:ascii="Times New Roman" w:hAnsi="Times New Roman"/>
                <w:sz w:val="15"/>
              </w:rPr>
            </w:pPr>
            <w:r>
              <w:rPr>
                <w:rFonts w:ascii="Times New Roman" w:hAnsi="Times New Roman"/>
                <w:sz w:val="15"/>
              </w:rPr>
              <w:t>$</w:t>
            </w:r>
          </w:p>
        </w:tc>
        <w:tc>
          <w:tcPr>
            <w:tcW w:w="600" w:type="dxa"/>
            <w:tcBorders>
              <w:bottom w:val="double" w:sz="6" w:space="0" w:color="000000"/>
            </w:tcBorders>
            <w:shd w:fill="auto" w:val="clear"/>
            <w:tcMar>
              <w:bottom w:w="28" w:type="dxa"/>
            </w:tcMar>
            <w:vAlign w:val="bottom"/>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(0.54</w:t>
            </w:r>
          </w:p>
        </w:tc>
        <w:tc>
          <w:tcPr>
            <w:tcW w:w="240" w:type="dxa"/>
            <w:tcBorders/>
            <w:shd w:fill="auto" w:val="clear"/>
            <w:vAlign w:val="bottom"/>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auto" w:val="clear"/>
            <w:tcMar>
              <w:bottom w:w="28" w:type="dxa"/>
            </w:tcMar>
            <w:vAlign w:val="bottom"/>
          </w:tcPr>
          <w:p>
            <w:pPr>
              <w:pStyle w:val="TableContents"/>
              <w:spacing w:lineRule="atLeast" w:line="210" w:before="120" w:after="120"/>
              <w:ind w:left="0" w:right="0" w:hanging="0"/>
              <w:jc w:val="left"/>
              <w:rPr>
                <w:rFonts w:ascii="Times New Roman" w:hAnsi="Times New Roman"/>
                <w:sz w:val="15"/>
              </w:rPr>
            </w:pPr>
            <w:r>
              <w:rPr>
                <w:rFonts w:ascii="Times New Roman" w:hAnsi="Times New Roman"/>
                <w:sz w:val="15"/>
              </w:rPr>
              <w:t>$</w:t>
            </w:r>
          </w:p>
        </w:tc>
        <w:tc>
          <w:tcPr>
            <w:tcW w:w="510" w:type="dxa"/>
            <w:tcBorders>
              <w:bottom w:val="double" w:sz="6" w:space="0" w:color="000000"/>
            </w:tcBorders>
            <w:shd w:fill="auto" w:val="clear"/>
            <w:tcMar>
              <w:bottom w:w="28" w:type="dxa"/>
            </w:tcMar>
            <w:vAlign w:val="bottom"/>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(0.10</w:t>
            </w:r>
          </w:p>
        </w:tc>
        <w:tc>
          <w:tcPr>
            <w:tcW w:w="90" w:type="dxa"/>
            <w:tcBorders/>
            <w:shd w:fill="auto" w:val="clear"/>
            <w:vAlign w:val="bottom"/>
          </w:tcPr>
          <w:p>
            <w:pPr>
              <w:pStyle w:val="TableContents"/>
              <w:spacing w:lineRule="atLeast" w:line="210" w:before="120" w:after="120"/>
              <w:ind w:left="0" w:right="0" w:hanging="0"/>
              <w:rPr>
                <w:rFonts w:ascii="Times New Roman" w:hAnsi="Times New Roman"/>
                <w:sz w:val="15"/>
              </w:rPr>
            </w:pPr>
            <w:r>
              <w:rPr>
                <w:rFonts w:ascii="Times New Roman" w:hAnsi="Times New Roman"/>
                <w:sz w:val="15"/>
              </w:rPr>
              <w:t>)</w:t>
            </w:r>
          </w:p>
        </w:tc>
      </w:tr>
      <w:tr>
        <w:trPr/>
        <w:tc>
          <w:tcPr>
            <w:tcW w:w="5505" w:type="dxa"/>
            <w:tcBorders/>
            <w:shd w:fill="CCEEFF" w:val="clear"/>
          </w:tcPr>
          <w:p>
            <w:pPr>
              <w:pStyle w:val="TableContents"/>
              <w:spacing w:lineRule="atLeast" w:line="210" w:before="0" w:after="0"/>
              <w:ind w:left="0" w:right="0" w:hanging="0"/>
              <w:rPr>
                <w:rFonts w:ascii="Times New Roman" w:hAnsi="Times New Roman"/>
                <w:sz w:val="15"/>
              </w:rPr>
            </w:pPr>
            <w:r>
              <w:rPr>
                <w:rFonts w:ascii="Times New Roman" w:hAnsi="Times New Roman"/>
                <w:sz w:val="15"/>
              </w:rPr>
              <w:t>Impact to diluted net income per limited partner unit</w:t>
            </w:r>
            <w:r>
              <w:rPr>
                <w:rFonts w:ascii="Times New Roman" w:hAnsi="Times New Roman"/>
                <w:position w:val="5"/>
                <w:sz w:val="12"/>
                <w:sz w:val="15"/>
              </w:rPr>
              <w:t>(1)</w:t>
            </w:r>
          </w:p>
        </w:tc>
        <w:tc>
          <w:tcPr>
            <w:tcW w:w="240" w:type="dxa"/>
            <w:tcBorders/>
            <w:shd w:fill="CCEEFF" w:val="clear"/>
            <w:vAlign w:val="bottom"/>
          </w:tcPr>
          <w:p>
            <w:pPr>
              <w:pStyle w:val="TableContents"/>
              <w:spacing w:lineRule="atLeast" w:line="210" w:before="0" w:after="0"/>
              <w:ind w:left="0" w:right="0" w:hanging="0"/>
              <w:rPr/>
            </w:pPr>
            <w:r>
              <w:rPr/>
              <w:t> </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(0.37</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1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(0.09</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60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(0.52</w:t>
            </w:r>
          </w:p>
        </w:tc>
        <w:tc>
          <w:tcPr>
            <w:tcW w:w="24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c>
          <w:tcPr>
            <w:tcW w:w="95"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jc w:val="left"/>
              <w:rPr>
                <w:rFonts w:ascii="Times New Roman" w:hAnsi="Times New Roman"/>
                <w:sz w:val="15"/>
              </w:rPr>
            </w:pPr>
            <w:r>
              <w:rPr>
                <w:rFonts w:ascii="Times New Roman" w:hAnsi="Times New Roman"/>
                <w:sz w:val="15"/>
              </w:rPr>
              <w:t>$</w:t>
            </w:r>
          </w:p>
        </w:tc>
        <w:tc>
          <w:tcPr>
            <w:tcW w:w="510" w:type="dxa"/>
            <w:tcBorders>
              <w:bottom w:val="double" w:sz="6" w:space="0" w:color="000000"/>
            </w:tcBorders>
            <w:shd w:fill="CCEEFF" w:val="clear"/>
            <w:tcMar>
              <w:bottom w:w="28" w:type="dxa"/>
            </w:tcM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(0.10</w:t>
            </w:r>
          </w:p>
        </w:tc>
        <w:tc>
          <w:tcPr>
            <w:tcW w:w="90" w:type="dxa"/>
            <w:tcBorders/>
            <w:shd w:fill="CCEEFF" w:val="clear"/>
            <w:vAlign w:val="bottom"/>
          </w:tcPr>
          <w:p>
            <w:pPr>
              <w:pStyle w:val="TableContents"/>
              <w:spacing w:lineRule="atLeast" w:line="210" w:before="0" w:after="0"/>
              <w:ind w:left="0" w:right="0" w:hanging="0"/>
              <w:rPr>
                <w:rFonts w:ascii="Times New Roman" w:hAnsi="Times New Roman"/>
                <w:sz w:val="15"/>
              </w:rPr>
            </w:pPr>
            <w:r>
              <w:rPr>
                <w:rFonts w:ascii="Times New Roman" w:hAnsi="Times New Roman"/>
                <w:sz w:val="15"/>
              </w:rPr>
              <w:t>)</w:t>
            </w:r>
          </w:p>
        </w:tc>
      </w:tr>
    </w:tbl>
    <w:p>
      <w:pPr>
        <w:pStyle w:val="HorizontalLine"/>
        <w:pBdr>
          <w:bottom w:val="single" w:sz="6" w:space="0" w:color="000000"/>
        </w:pBdr>
        <w:spacing w:lineRule="atLeast" w:line="200" w:before="0" w:after="0"/>
        <w:rPr/>
      </w:pPr>
      <w:r>
        <w:rPr/>
      </w:r>
    </w:p>
    <w:p>
      <w:pPr>
        <w:pStyle w:val="TextBody"/>
        <w:spacing w:lineRule="atLeast" w:line="210" w:before="0" w:after="240"/>
        <w:ind w:left="400" w:right="0" w:hanging="400"/>
        <w:rPr>
          <w:rFonts w:ascii="Times New Roman" w:hAnsi="Times New Roman"/>
        </w:rPr>
      </w:pPr>
      <w:r>
        <w:rPr>
          <w:rFonts w:ascii="Times New Roman" w:hAnsi="Times New Roman"/>
          <w:position w:val="5"/>
          <w:sz w:val="12"/>
          <w:sz w:val="15"/>
        </w:rPr>
        <w:t>(1)</w:t>
      </w:r>
      <w:r>
        <w:rPr>
          <w:rFonts w:ascii="Times New Roman" w:hAnsi="Times New Roman"/>
        </w:rPr>
        <w:t xml:space="preserve">                 </w:t>
      </w:r>
      <w:r>
        <w:rPr>
          <w:rFonts w:ascii="Times New Roman" w:hAnsi="Times New Roman"/>
          <w:sz w:val="15"/>
        </w:rPr>
        <w:t>The application of EITF 03-06 negatively impacted  basic and diluted earnings per limited partner unit by approximately $0.09 and $0.01 for the second quarter and first half of 2005, respectively.</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ALL AMERICAN PIPELINE, L.P. AND SUBSIDIARIES</w:t>
        <w:br/>
        <w:t>FINANCIAL SUMMARY (unaudited) (in thousands, except per unit data) (continued)</w:t>
      </w:r>
    </w:p>
    <w:tbl>
      <w:tblPr>
        <w:tblW w:w="9170" w:type="dxa"/>
        <w:jc w:val="left"/>
        <w:tblInd w:w="0" w:type="dxa"/>
        <w:tblCellMar>
          <w:top w:w="0" w:type="dxa"/>
          <w:left w:w="0" w:type="dxa"/>
          <w:bottom w:w="0" w:type="dxa"/>
          <w:right w:w="0" w:type="dxa"/>
        </w:tblCellMar>
      </w:tblPr>
      <w:tblGrid>
        <w:gridCol w:w="5100"/>
        <w:gridCol w:w="240"/>
        <w:gridCol w:w="110"/>
        <w:gridCol w:w="675"/>
        <w:gridCol w:w="240"/>
        <w:gridCol w:w="110"/>
        <w:gridCol w:w="585"/>
        <w:gridCol w:w="240"/>
        <w:gridCol w:w="110"/>
        <w:gridCol w:w="675"/>
        <w:gridCol w:w="240"/>
        <w:gridCol w:w="110"/>
        <w:gridCol w:w="675"/>
        <w:gridCol w:w="60"/>
      </w:tblGrid>
      <w:tr>
        <w:trPr/>
        <w:tc>
          <w:tcPr>
            <w:tcW w:w="510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72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181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br/>
              <w:t>June 30,</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510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2004</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5100" w:type="dxa"/>
            <w:tcBorders/>
            <w:shd w:fill="CCEEFF" w:val="clear"/>
          </w:tcPr>
          <w:p>
            <w:pPr>
              <w:pStyle w:val="TableContents"/>
              <w:spacing w:lineRule="atLeast" w:line="230"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shd w:fill="CCEEFF" w:val="clear"/>
            <w:vAlign w:val="bottom"/>
          </w:tcPr>
          <w:p>
            <w:pPr>
              <w:pStyle w:val="TableContents"/>
              <w:spacing w:lineRule="atLeast" w:line="230" w:before="0" w:after="0"/>
              <w:ind w:left="0" w:right="0" w:hanging="0"/>
              <w:rPr/>
            </w:pPr>
            <w:r>
              <w:rPr/>
              <w:t> </w:t>
            </w:r>
          </w:p>
        </w:tc>
        <w:tc>
          <w:tcPr>
            <w:tcW w:w="240" w:type="dxa"/>
            <w:tcBorders/>
            <w:shd w:fill="CCEEFF" w:val="clear"/>
            <w:vAlign w:val="bottom"/>
          </w:tcPr>
          <w:p>
            <w:pPr>
              <w:pStyle w:val="TableContents"/>
              <w:spacing w:lineRule="atLeast" w:line="230" w:before="0" w:after="0"/>
              <w:ind w:left="0" w:right="0" w:hanging="0"/>
              <w:rPr/>
            </w:pPr>
            <w:r>
              <w:rPr/>
              <w:t> </w:t>
            </w:r>
          </w:p>
        </w:tc>
        <w:tc>
          <w:tcPr>
            <w:tcW w:w="695" w:type="dxa"/>
            <w:gridSpan w:val="2"/>
            <w:tcBorders/>
            <w:shd w:fill="CCEEFF" w:val="clear"/>
            <w:vAlign w:val="bottom"/>
          </w:tcPr>
          <w:p>
            <w:pPr>
              <w:pStyle w:val="TableContents"/>
              <w:spacing w:lineRule="atLeast" w:line="230" w:before="0" w:after="0"/>
              <w:ind w:left="0" w:right="0" w:hanging="0"/>
              <w:rPr/>
            </w:pPr>
            <w:r>
              <w:rPr/>
              <w:t> </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shd w:fill="CCEEFF" w:val="clear"/>
            <w:vAlign w:val="bottom"/>
          </w:tcPr>
          <w:p>
            <w:pPr>
              <w:pStyle w:val="TableContents"/>
              <w:spacing w:lineRule="atLeast" w:line="230" w:before="0" w:after="0"/>
              <w:ind w:left="0" w:right="0" w:hanging="0"/>
              <w:rPr/>
            </w:pPr>
            <w:r>
              <w:rPr/>
              <w:t> </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shd w:fill="CCEEFF" w:val="clear"/>
            <w:vAlign w:val="bottom"/>
          </w:tcPr>
          <w:p>
            <w:pPr>
              <w:pStyle w:val="TableContents"/>
              <w:spacing w:lineRule="atLeast" w:line="230" w:before="0" w:after="0"/>
              <w:ind w:left="0" w:right="0" w:hanging="0"/>
              <w:rPr/>
            </w:pPr>
            <w:r>
              <w:rPr/>
              <w:t> </w:t>
            </w:r>
          </w:p>
        </w:tc>
        <w:tc>
          <w:tcPr>
            <w:tcW w:w="60" w:type="dxa"/>
            <w:tcBorders/>
            <w:shd w:fill="CCEEFF" w:val="clear"/>
            <w:vAlign w:val="bottom"/>
          </w:tcPr>
          <w:p>
            <w:pPr>
              <w:pStyle w:val="TableContents"/>
              <w:spacing w:lineRule="atLeast" w:line="230" w:before="0" w:after="0"/>
              <w:ind w:left="0" w:right="0" w:hanging="0"/>
              <w:rPr/>
            </w:pPr>
            <w:r>
              <w:rPr/>
              <w:t> </w:t>
            </w:r>
          </w:p>
        </w:tc>
      </w:tr>
      <w:tr>
        <w:trPr/>
        <w:tc>
          <w:tcPr>
            <w:tcW w:w="5100" w:type="dxa"/>
            <w:tcBorders/>
            <w:shd w:fill="auto"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Net Income</w:t>
            </w:r>
          </w:p>
        </w:tc>
        <w:tc>
          <w:tcPr>
            <w:tcW w:w="240" w:type="dxa"/>
            <w:tcBorders/>
            <w:shd w:fill="auto" w:val="clear"/>
            <w:vAlign w:val="bottom"/>
          </w:tcPr>
          <w:p>
            <w:pPr>
              <w:pStyle w:val="TableContents"/>
              <w:spacing w:lineRule="atLeast" w:line="230" w:before="0" w:after="0"/>
              <w:ind w:left="0" w:right="0" w:hanging="0"/>
              <w:rPr/>
            </w:pPr>
            <w:r>
              <w:rPr/>
              <w:t> </w:t>
            </w:r>
          </w:p>
        </w:tc>
        <w:tc>
          <w:tcPr>
            <w:tcW w:w="110" w:type="dxa"/>
            <w:tcBorders/>
            <w:shd w:fill="auto" w:val="cle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62,282</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35,677</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95,090</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63,553</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Selected items impacting comparability</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19,789</w:t>
            </w:r>
          </w:p>
        </w:tc>
        <w:tc>
          <w:tcPr>
            <w:tcW w:w="240" w:type="dxa"/>
            <w:tcBorders/>
            <w:shd w:fill="CCEEFF" w:val="clear"/>
            <w:vAlign w:val="bottom"/>
          </w:tcPr>
          <w:p>
            <w:pPr>
              <w:pStyle w:val="TableContents"/>
              <w:spacing w:lineRule="atLeast" w:line="23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5,960</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36,254</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6,229</w:t>
            </w:r>
          </w:p>
        </w:tc>
        <w:tc>
          <w:tcPr>
            <w:tcW w:w="60" w:type="dxa"/>
            <w:tcBorders/>
            <w:shd w:fill="CCEEFF" w:val="clear"/>
            <w:vAlign w:val="bottom"/>
          </w:tcPr>
          <w:p>
            <w:pPr>
              <w:pStyle w:val="TableContents"/>
              <w:spacing w:lineRule="atLeast" w:line="230" w:before="0" w:after="0"/>
              <w:ind w:left="0" w:right="0" w:hanging="0"/>
              <w:rPr/>
            </w:pPr>
            <w:r>
              <w:rPr/>
              <w:t> </w:t>
            </w:r>
          </w:p>
        </w:tc>
      </w:tr>
      <w:tr>
        <w:trPr/>
        <w:tc>
          <w:tcPr>
            <w:tcW w:w="5100" w:type="dxa"/>
            <w:tcBorders/>
            <w:shd w:fill="auto"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Adjusted Net Income</w:t>
            </w:r>
          </w:p>
        </w:tc>
        <w:tc>
          <w:tcPr>
            <w:tcW w:w="240" w:type="dxa"/>
            <w:tcBorders/>
            <w:shd w:fill="auto" w:val="clear"/>
            <w:vAlign w:val="bottom"/>
          </w:tcPr>
          <w:p>
            <w:pPr>
              <w:pStyle w:val="TableContents"/>
              <w:spacing w:lineRule="atLeast" w:line="23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82,071</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41,637</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131,344</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69,782</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Net Income available for limited partners under EITF 03-06</w:t>
            </w:r>
            <w:r>
              <w:rPr>
                <w:rFonts w:ascii="Times New Roman" w:hAnsi="Times New Roman"/>
                <w:spacing w:val="45"/>
                <w:sz w:val="17"/>
              </w:rPr>
              <w:t> </w:t>
            </w:r>
          </w:p>
        </w:tc>
        <w:tc>
          <w:tcPr>
            <w:tcW w:w="240" w:type="dxa"/>
            <w:tcBorders/>
            <w:shd w:fill="CCEEFF" w:val="clear"/>
            <w:vAlign w:val="bottom"/>
          </w:tcPr>
          <w:p>
            <w:pPr>
              <w:pStyle w:val="TableContents"/>
              <w:spacing w:lineRule="atLeast" w:line="230" w:before="120" w:after="120"/>
              <w:ind w:left="0" w:right="0" w:hanging="0"/>
              <w:rPr/>
            </w:pPr>
            <w:r>
              <w:rPr/>
              <w:t> </w:t>
            </w:r>
          </w:p>
        </w:tc>
        <w:tc>
          <w:tcPr>
            <w:tcW w:w="110" w:type="dxa"/>
            <w:tcBorders/>
            <w:shd w:fill="CCEEFF" w:val="clear"/>
            <w:vAlign w:val="bottom"/>
          </w:tcPr>
          <w:p>
            <w:pPr>
              <w:pStyle w:val="TableContents"/>
              <w:spacing w:lineRule="atLeast" w:line="230" w:before="120" w:after="12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51,428</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30" w:before="120" w:after="120"/>
              <w:ind w:left="0" w:right="0" w:hanging="0"/>
              <w:jc w:val="left"/>
              <w:rPr>
                <w:rFonts w:ascii="Times New Roman" w:hAnsi="Times New Roman"/>
                <w:sz w:val="17"/>
              </w:rPr>
            </w:pPr>
            <w:r>
              <w:rPr>
                <w:rFonts w:ascii="Times New Roman" w:hAnsi="Times New Roman"/>
                <w:sz w:val="17"/>
              </w:rPr>
              <w:t>$</w:t>
            </w:r>
          </w:p>
        </w:tc>
        <w:tc>
          <w:tcPr>
            <w:tcW w:w="585" w:type="dxa"/>
            <w:tcBorders/>
            <w:shd w:fill="CCEEFF" w:val="clear"/>
            <w:vAlign w:val="bottom"/>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33,247</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30" w:before="120" w:after="12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86,307</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lineRule="atLeast" w:line="230" w:before="120" w:after="120"/>
              <w:ind w:left="0" w:right="0" w:hanging="0"/>
              <w:jc w:val="left"/>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58,954</w:t>
            </w:r>
          </w:p>
        </w:tc>
        <w:tc>
          <w:tcPr>
            <w:tcW w:w="60" w:type="dxa"/>
            <w:tcBorders/>
            <w:shd w:fill="CCEEFF" w:val="clear"/>
            <w:vAlign w:val="bottom"/>
          </w:tcPr>
          <w:p>
            <w:pPr>
              <w:pStyle w:val="TableContents"/>
              <w:spacing w:before="0" w:after="0"/>
              <w:ind w:left="0" w:right="0" w:hanging="0"/>
              <w:rPr/>
            </w:pPr>
            <w:r>
              <w:rPr/>
              <w:t> </w:t>
            </w:r>
          </w:p>
        </w:tc>
      </w:tr>
      <w:tr>
        <w:trPr/>
        <w:tc>
          <w:tcPr>
            <w:tcW w:w="5100" w:type="dxa"/>
            <w:tcBorders/>
            <w:shd w:fill="auto"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40" w:type="dxa"/>
            <w:tcBorders/>
            <w:shd w:fill="auto" w:val="clear"/>
            <w:vAlign w:val="bottom"/>
          </w:tcPr>
          <w:p>
            <w:pPr>
              <w:pStyle w:val="TableContents"/>
              <w:spacing w:lineRule="atLeast" w:line="230" w:before="0" w:after="0"/>
              <w:ind w:left="0" w:right="0" w:hanging="0"/>
              <w:rPr/>
            </w:pPr>
            <w:r>
              <w:rPr/>
              <w:t> </w:t>
            </w:r>
          </w:p>
        </w:tc>
        <w:tc>
          <w:tcPr>
            <w:tcW w:w="785" w:type="dxa"/>
            <w:gridSpan w:val="2"/>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19,393</w:t>
            </w:r>
          </w:p>
        </w:tc>
        <w:tc>
          <w:tcPr>
            <w:tcW w:w="240" w:type="dxa"/>
            <w:tcBorders/>
            <w:shd w:fill="auto" w:val="clear"/>
            <w:vAlign w:val="bottom"/>
          </w:tcPr>
          <w:p>
            <w:pPr>
              <w:pStyle w:val="TableContents"/>
              <w:spacing w:lineRule="atLeast" w:line="230" w:before="0" w:after="0"/>
              <w:ind w:left="0" w:right="0" w:hanging="0"/>
              <w:rPr/>
            </w:pPr>
            <w:r>
              <w:rPr/>
              <w:t> </w:t>
            </w:r>
          </w:p>
        </w:tc>
        <w:tc>
          <w:tcPr>
            <w:tcW w:w="695" w:type="dxa"/>
            <w:gridSpan w:val="2"/>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5,841</w:t>
            </w:r>
          </w:p>
        </w:tc>
        <w:tc>
          <w:tcPr>
            <w:tcW w:w="240" w:type="dxa"/>
            <w:tcBorders/>
            <w:shd w:fill="auto" w:val="clear"/>
            <w:vAlign w:val="bottom"/>
          </w:tcPr>
          <w:p>
            <w:pPr>
              <w:pStyle w:val="TableContents"/>
              <w:spacing w:lineRule="atLeast" w:line="230" w:before="0" w:after="0"/>
              <w:ind w:left="0" w:right="0" w:hanging="0"/>
              <w:rPr/>
            </w:pPr>
            <w:r>
              <w:rPr/>
              <w:t> </w:t>
            </w:r>
          </w:p>
        </w:tc>
        <w:tc>
          <w:tcPr>
            <w:tcW w:w="785" w:type="dxa"/>
            <w:gridSpan w:val="2"/>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35,529</w:t>
            </w:r>
          </w:p>
        </w:tc>
        <w:tc>
          <w:tcPr>
            <w:tcW w:w="240" w:type="dxa"/>
            <w:tcBorders/>
            <w:shd w:fill="auto" w:val="clear"/>
            <w:vAlign w:val="bottom"/>
          </w:tcPr>
          <w:p>
            <w:pPr>
              <w:pStyle w:val="TableContents"/>
              <w:spacing w:lineRule="atLeast" w:line="230" w:before="0" w:after="0"/>
              <w:ind w:left="0" w:right="0" w:hanging="0"/>
              <w:rPr/>
            </w:pPr>
            <w:r>
              <w:rPr/>
              <w:t> </w:t>
            </w:r>
          </w:p>
        </w:tc>
        <w:tc>
          <w:tcPr>
            <w:tcW w:w="785" w:type="dxa"/>
            <w:gridSpan w:val="2"/>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6,104</w:t>
            </w:r>
          </w:p>
        </w:tc>
        <w:tc>
          <w:tcPr>
            <w:tcW w:w="60" w:type="dxa"/>
            <w:tcBorders/>
            <w:shd w:fill="auto" w:val="clear"/>
            <w:vAlign w:val="bottom"/>
          </w:tcPr>
          <w:p>
            <w:pPr>
              <w:pStyle w:val="TableContents"/>
              <w:spacing w:lineRule="atLeast" w:line="230" w:before="0" w:after="0"/>
              <w:ind w:left="0" w:right="0" w:hanging="0"/>
              <w:rPr/>
            </w:pPr>
            <w:r>
              <w:rPr/>
              <w:t> </w:t>
            </w:r>
          </w:p>
        </w:tc>
      </w:tr>
      <w:tr>
        <w:trPr/>
        <w:tc>
          <w:tcPr>
            <w:tcW w:w="5100" w:type="dxa"/>
            <w:tcBorders/>
            <w:shd w:fill="CCEEFF"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Pro forma additional general partner distribution under EITF 03-06</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6,174</w:t>
            </w:r>
          </w:p>
        </w:tc>
        <w:tc>
          <w:tcPr>
            <w:tcW w:w="240" w:type="dxa"/>
            <w:tcBorders/>
            <w:shd w:fill="CCEEFF" w:val="clear"/>
            <w:vAlign w:val="bottom"/>
          </w:tcPr>
          <w:p>
            <w:pPr>
              <w:pStyle w:val="TableContents"/>
              <w:spacing w:lineRule="atLeast" w:line="23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560</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w:t>
            </w:r>
          </w:p>
        </w:tc>
        <w:tc>
          <w:tcPr>
            <w:tcW w:w="60" w:type="dxa"/>
            <w:tcBorders/>
            <w:shd w:fill="CCEEFF" w:val="clear"/>
            <w:vAlign w:val="bottom"/>
          </w:tcPr>
          <w:p>
            <w:pPr>
              <w:pStyle w:val="TableContents"/>
              <w:spacing w:lineRule="atLeast" w:line="230" w:before="0" w:after="0"/>
              <w:ind w:left="0" w:right="0" w:hanging="0"/>
              <w:rPr/>
            </w:pPr>
            <w:r>
              <w:rPr/>
              <w:t> </w:t>
            </w:r>
          </w:p>
        </w:tc>
      </w:tr>
      <w:tr>
        <w:trPr/>
        <w:tc>
          <w:tcPr>
            <w:tcW w:w="5100" w:type="dxa"/>
            <w:tcBorders/>
            <w:shd w:fill="auto"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Adjusted limited partners Net Income</w:t>
            </w:r>
          </w:p>
        </w:tc>
        <w:tc>
          <w:tcPr>
            <w:tcW w:w="240" w:type="dxa"/>
            <w:tcBorders/>
            <w:shd w:fill="auto" w:val="clear"/>
            <w:vAlign w:val="bottom"/>
          </w:tcPr>
          <w:p>
            <w:pPr>
              <w:pStyle w:val="TableContents"/>
              <w:spacing w:lineRule="atLeast" w:line="23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76,995</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39,088</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122,396</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65,058</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Adjusted Basic Net Income per limited partner unit</w:t>
            </w:r>
          </w:p>
        </w:tc>
        <w:tc>
          <w:tcPr>
            <w:tcW w:w="240" w:type="dxa"/>
            <w:tcBorders/>
            <w:shd w:fill="CCEEFF" w:val="clear"/>
            <w:vAlign w:val="bottom"/>
          </w:tcPr>
          <w:p>
            <w:pPr>
              <w:pStyle w:val="TableContents"/>
              <w:spacing w:lineRule="atLeast" w:line="230" w:before="120" w:after="12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0" w:before="120" w:after="12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1.13</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0" w:before="120" w:after="120"/>
              <w:ind w:left="0" w:right="0" w:hanging="0"/>
              <w:jc w:val="left"/>
              <w:rPr>
                <w:rFonts w:ascii="Times New Roman" w:hAnsi="Times New Roman"/>
                <w:sz w:val="17"/>
              </w:rPr>
            </w:pPr>
            <w:r>
              <w:rPr>
                <w:rFonts w:ascii="Times New Roman" w:hAnsi="Times New Roman"/>
                <w:sz w:val="17"/>
              </w:rPr>
              <w:t>$</w:t>
            </w:r>
          </w:p>
        </w:tc>
        <w:tc>
          <w:tcPr>
            <w:tcW w:w="585" w:type="dxa"/>
            <w:tcBorders>
              <w:bottom w:val="double" w:sz="6" w:space="0" w:color="000000"/>
            </w:tcBorders>
            <w:shd w:fill="CCEEFF" w:val="clear"/>
            <w:tcMar>
              <w:bottom w:w="28" w:type="dxa"/>
            </w:tcMar>
            <w:vAlign w:val="bottom"/>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0.63</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0" w:before="120" w:after="12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1.81</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lineRule="atLeast" w:line="230" w:before="120" w:after="12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lineRule="atLeast" w:line="230" w:before="120" w:after="120"/>
              <w:ind w:left="0" w:right="0" w:hanging="0"/>
              <w:rPr>
                <w:rFonts w:ascii="Times New Roman" w:hAnsi="Times New Roman"/>
                <w:sz w:val="17"/>
              </w:rPr>
            </w:pPr>
            <w:r>
              <w:rPr>
                <w:rFonts w:ascii="Times New Roman" w:hAnsi="Times New Roman"/>
                <w:sz w:val="17"/>
              </w:rPr>
              <w:t>1.08</w:t>
            </w:r>
          </w:p>
        </w:tc>
        <w:tc>
          <w:tcPr>
            <w:tcW w:w="60" w:type="dxa"/>
            <w:tcBorders/>
            <w:shd w:fill="CCEEFF" w:val="clear"/>
            <w:vAlign w:val="bottom"/>
          </w:tcPr>
          <w:p>
            <w:pPr>
              <w:pStyle w:val="TableContents"/>
              <w:spacing w:before="0" w:after="0"/>
              <w:ind w:left="0" w:right="0" w:hanging="0"/>
              <w:rPr/>
            </w:pPr>
            <w:r>
              <w:rPr/>
              <w:t> </w:t>
            </w:r>
          </w:p>
        </w:tc>
      </w:tr>
      <w:tr>
        <w:trPr/>
        <w:tc>
          <w:tcPr>
            <w:tcW w:w="5100" w:type="dxa"/>
            <w:tcBorders/>
            <w:shd w:fill="auto"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40" w:type="dxa"/>
            <w:tcBorders/>
            <w:shd w:fill="auto" w:val="clear"/>
            <w:vAlign w:val="bottom"/>
          </w:tcPr>
          <w:p>
            <w:pPr>
              <w:pStyle w:val="TableContents"/>
              <w:spacing w:lineRule="atLeast" w:line="23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1.11</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585"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0.63</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1.78</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1.08</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Basic weighted average units outstanding</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double" w:sz="6"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67,893</w:t>
            </w:r>
          </w:p>
        </w:tc>
        <w:tc>
          <w:tcPr>
            <w:tcW w:w="240" w:type="dxa"/>
            <w:tcBorders/>
            <w:shd w:fill="CCEEFF" w:val="clear"/>
            <w:vAlign w:val="bottom"/>
          </w:tcPr>
          <w:p>
            <w:pPr>
              <w:pStyle w:val="TableContents"/>
              <w:spacing w:lineRule="atLeast" w:line="230" w:before="0" w:after="0"/>
              <w:ind w:left="0" w:right="0" w:hanging="0"/>
              <w:rPr/>
            </w:pPr>
            <w:r>
              <w:rPr/>
              <w:t> </w:t>
            </w:r>
          </w:p>
        </w:tc>
        <w:tc>
          <w:tcPr>
            <w:tcW w:w="695" w:type="dxa"/>
            <w:gridSpan w:val="2"/>
            <w:tcBorders>
              <w:bottom w:val="double" w:sz="6"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61,556</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double" w:sz="6"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67,706</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double" w:sz="6"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59,985</w:t>
            </w:r>
          </w:p>
        </w:tc>
        <w:tc>
          <w:tcPr>
            <w:tcW w:w="60" w:type="dxa"/>
            <w:tcBorders/>
            <w:shd w:fill="CCEEFF" w:val="clear"/>
            <w:vAlign w:val="bottom"/>
          </w:tcPr>
          <w:p>
            <w:pPr>
              <w:pStyle w:val="TableContents"/>
              <w:spacing w:lineRule="atLeast" w:line="230" w:before="0" w:after="0"/>
              <w:ind w:left="0" w:right="0" w:hanging="0"/>
              <w:rPr/>
            </w:pPr>
            <w:r>
              <w:rPr/>
              <w:t> </w:t>
            </w:r>
          </w:p>
        </w:tc>
      </w:tr>
      <w:tr>
        <w:trPr/>
        <w:tc>
          <w:tcPr>
            <w:tcW w:w="5100" w:type="dxa"/>
            <w:tcBorders/>
            <w:shd w:fill="auto"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Diluted weighted average units outstanding</w:t>
            </w:r>
          </w:p>
        </w:tc>
        <w:tc>
          <w:tcPr>
            <w:tcW w:w="240" w:type="dxa"/>
            <w:tcBorders/>
            <w:shd w:fill="auto" w:val="clear"/>
            <w:vAlign w:val="bottom"/>
          </w:tcPr>
          <w:p>
            <w:pPr>
              <w:pStyle w:val="TableContents"/>
              <w:spacing w:lineRule="atLeast" w:line="230"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69,274</w:t>
            </w:r>
          </w:p>
        </w:tc>
        <w:tc>
          <w:tcPr>
            <w:tcW w:w="240" w:type="dxa"/>
            <w:tcBorders/>
            <w:shd w:fill="auto" w:val="clear"/>
            <w:vAlign w:val="bottom"/>
          </w:tcPr>
          <w:p>
            <w:pPr>
              <w:pStyle w:val="TableContents"/>
              <w:spacing w:lineRule="atLeast" w:line="230" w:before="0" w:after="0"/>
              <w:ind w:left="0" w:right="0" w:hanging="0"/>
              <w:rPr/>
            </w:pPr>
            <w:r>
              <w:rPr/>
              <w:t> </w:t>
            </w:r>
          </w:p>
        </w:tc>
        <w:tc>
          <w:tcPr>
            <w:tcW w:w="695" w:type="dxa"/>
            <w:gridSpan w:val="2"/>
            <w:tcBorders>
              <w:bottom w:val="double" w:sz="6" w:space="0" w:color="000000"/>
            </w:tcBorders>
            <w:shd w:fill="auto"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61,556</w:t>
            </w:r>
          </w:p>
        </w:tc>
        <w:tc>
          <w:tcPr>
            <w:tcW w:w="240" w:type="dxa"/>
            <w:tcBorders/>
            <w:shd w:fill="auto" w:val="clear"/>
            <w:vAlign w:val="bottom"/>
          </w:tcPr>
          <w:p>
            <w:pPr>
              <w:pStyle w:val="TableContents"/>
              <w:spacing w:lineRule="atLeast" w:line="230"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68,719</w:t>
            </w:r>
          </w:p>
        </w:tc>
        <w:tc>
          <w:tcPr>
            <w:tcW w:w="240" w:type="dxa"/>
            <w:tcBorders/>
            <w:shd w:fill="auto" w:val="clear"/>
            <w:vAlign w:val="bottom"/>
          </w:tcPr>
          <w:p>
            <w:pPr>
              <w:pStyle w:val="TableContents"/>
              <w:spacing w:lineRule="atLeast" w:line="230" w:before="0" w:after="0"/>
              <w:ind w:left="0" w:right="0" w:hanging="0"/>
              <w:rPr/>
            </w:pPr>
            <w:r>
              <w:rPr/>
              <w:t> </w:t>
            </w:r>
          </w:p>
        </w:tc>
        <w:tc>
          <w:tcPr>
            <w:tcW w:w="785" w:type="dxa"/>
            <w:gridSpan w:val="2"/>
            <w:tcBorders>
              <w:bottom w:val="double" w:sz="6" w:space="0" w:color="000000"/>
            </w:tcBorders>
            <w:shd w:fill="auto"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59,985</w:t>
            </w:r>
          </w:p>
        </w:tc>
        <w:tc>
          <w:tcPr>
            <w:tcW w:w="60" w:type="dxa"/>
            <w:tcBorders/>
            <w:shd w:fill="auto" w:val="clear"/>
            <w:vAlign w:val="bottom"/>
          </w:tcPr>
          <w:p>
            <w:pPr>
              <w:pStyle w:val="TableContents"/>
              <w:spacing w:lineRule="atLeast" w:line="230" w:before="0" w:after="0"/>
              <w:ind w:left="0" w:right="0" w:hanging="0"/>
              <w:rPr/>
            </w:pPr>
            <w:r>
              <w:rPr/>
              <w:t> </w:t>
            </w:r>
          </w:p>
        </w:tc>
      </w:tr>
      <w:tr>
        <w:trPr/>
        <w:tc>
          <w:tcPr>
            <w:tcW w:w="5100" w:type="dxa"/>
            <w:tcBorders/>
            <w:shd w:fill="CCEEFF" w:val="clear"/>
          </w:tcPr>
          <w:p>
            <w:pPr>
              <w:pStyle w:val="TableContents"/>
              <w:spacing w:lineRule="atLeast" w:line="230" w:before="120" w:after="120"/>
              <w:ind w:left="0" w:right="0" w:hanging="0"/>
              <w:rPr>
                <w:rFonts w:ascii="Times New Roman" w:hAnsi="Times New Roman"/>
                <w:b/>
                <w:sz w:val="17"/>
              </w:rPr>
            </w:pPr>
            <w:r>
              <w:rPr>
                <w:rFonts w:ascii="Times New Roman" w:hAnsi="Times New Roman"/>
                <w:b/>
                <w:sz w:val="17"/>
              </w:rPr>
              <w:t>EBITDA excluding selected items impacting comparability</w:t>
            </w:r>
          </w:p>
        </w:tc>
        <w:tc>
          <w:tcPr>
            <w:tcW w:w="240" w:type="dxa"/>
            <w:tcBorders/>
            <w:shd w:fill="CCEEFF" w:val="clear"/>
            <w:vAlign w:val="bottom"/>
          </w:tcPr>
          <w:p>
            <w:pPr>
              <w:pStyle w:val="TableContents"/>
              <w:spacing w:lineRule="atLeast" w:line="230" w:before="120" w:after="120"/>
              <w:ind w:left="0" w:right="0" w:hanging="0"/>
              <w:rPr/>
            </w:pPr>
            <w:r>
              <w:rPr/>
              <w:t> </w:t>
            </w:r>
          </w:p>
        </w:tc>
        <w:tc>
          <w:tcPr>
            <w:tcW w:w="785" w:type="dxa"/>
            <w:gridSpan w:val="2"/>
            <w:tcBorders/>
            <w:shd w:fill="CCEEFF" w:val="clear"/>
            <w:vAlign w:val="bottom"/>
          </w:tcPr>
          <w:p>
            <w:pPr>
              <w:pStyle w:val="TableContents"/>
              <w:spacing w:lineRule="atLeast" w:line="230" w:before="120" w:after="120"/>
              <w:ind w:left="0" w:right="0" w:hanging="0"/>
              <w:rPr/>
            </w:pPr>
            <w:r>
              <w:rPr/>
              <w:t> </w:t>
            </w:r>
          </w:p>
        </w:tc>
        <w:tc>
          <w:tcPr>
            <w:tcW w:w="240" w:type="dxa"/>
            <w:tcBorders/>
            <w:shd w:fill="CCEEFF" w:val="clear"/>
            <w:vAlign w:val="bottom"/>
          </w:tcPr>
          <w:p>
            <w:pPr>
              <w:pStyle w:val="TableContents"/>
              <w:spacing w:lineRule="atLeast" w:line="230" w:before="120" w:after="120"/>
              <w:ind w:left="0" w:right="0" w:hanging="0"/>
              <w:rPr/>
            </w:pPr>
            <w:r>
              <w:rPr/>
              <w:t> </w:t>
            </w:r>
          </w:p>
        </w:tc>
        <w:tc>
          <w:tcPr>
            <w:tcW w:w="695" w:type="dxa"/>
            <w:gridSpan w:val="2"/>
            <w:tcBorders/>
            <w:shd w:fill="CCEEFF" w:val="clear"/>
            <w:vAlign w:val="bottom"/>
          </w:tcPr>
          <w:p>
            <w:pPr>
              <w:pStyle w:val="TableContents"/>
              <w:spacing w:lineRule="atLeast" w:line="230" w:before="120" w:after="120"/>
              <w:ind w:left="0" w:right="0" w:hanging="0"/>
              <w:rPr/>
            </w:pPr>
            <w:r>
              <w:rPr/>
              <w:t> </w:t>
            </w:r>
          </w:p>
        </w:tc>
        <w:tc>
          <w:tcPr>
            <w:tcW w:w="240" w:type="dxa"/>
            <w:tcBorders/>
            <w:shd w:fill="CCEEFF" w:val="clear"/>
            <w:vAlign w:val="bottom"/>
          </w:tcPr>
          <w:p>
            <w:pPr>
              <w:pStyle w:val="TableContents"/>
              <w:spacing w:lineRule="atLeast" w:line="230" w:before="120" w:after="120"/>
              <w:ind w:left="0" w:right="0" w:hanging="0"/>
              <w:rPr/>
            </w:pPr>
            <w:r>
              <w:rPr/>
              <w:t> </w:t>
            </w:r>
          </w:p>
        </w:tc>
        <w:tc>
          <w:tcPr>
            <w:tcW w:w="785" w:type="dxa"/>
            <w:gridSpan w:val="2"/>
            <w:tcBorders/>
            <w:shd w:fill="CCEEFF" w:val="clear"/>
            <w:vAlign w:val="bottom"/>
          </w:tcPr>
          <w:p>
            <w:pPr>
              <w:pStyle w:val="TableContents"/>
              <w:spacing w:lineRule="atLeast" w:line="230" w:before="120" w:after="120"/>
              <w:ind w:left="0" w:right="0" w:hanging="0"/>
              <w:rPr/>
            </w:pPr>
            <w:r>
              <w:rPr/>
              <w:t> </w:t>
            </w:r>
          </w:p>
        </w:tc>
        <w:tc>
          <w:tcPr>
            <w:tcW w:w="240" w:type="dxa"/>
            <w:tcBorders/>
            <w:shd w:fill="CCEEFF" w:val="clear"/>
            <w:vAlign w:val="bottom"/>
          </w:tcPr>
          <w:p>
            <w:pPr>
              <w:pStyle w:val="TableContents"/>
              <w:spacing w:lineRule="atLeast" w:line="230" w:before="120" w:after="120"/>
              <w:ind w:left="0" w:right="0" w:hanging="0"/>
              <w:rPr/>
            </w:pPr>
            <w:r>
              <w:rPr/>
              <w:t> </w:t>
            </w:r>
          </w:p>
        </w:tc>
        <w:tc>
          <w:tcPr>
            <w:tcW w:w="785" w:type="dxa"/>
            <w:gridSpan w:val="2"/>
            <w:tcBorders/>
            <w:shd w:fill="CCEEFF" w:val="clear"/>
            <w:vAlign w:val="bottom"/>
          </w:tcPr>
          <w:p>
            <w:pPr>
              <w:pStyle w:val="TableContents"/>
              <w:spacing w:lineRule="atLeast" w:line="230" w:before="120" w:after="120"/>
              <w:ind w:left="0" w:right="0" w:hanging="0"/>
              <w:rPr/>
            </w:pPr>
            <w:r>
              <w:rPr/>
              <w:t> </w:t>
            </w:r>
          </w:p>
        </w:tc>
        <w:tc>
          <w:tcPr>
            <w:tcW w:w="60" w:type="dxa"/>
            <w:tcBorders/>
            <w:shd w:fill="CCEEFF" w:val="clear"/>
            <w:vAlign w:val="bottom"/>
          </w:tcPr>
          <w:p>
            <w:pPr>
              <w:pStyle w:val="TableContents"/>
              <w:spacing w:lineRule="atLeast" w:line="230" w:before="120" w:after="120"/>
              <w:ind w:left="0" w:right="0" w:hanging="0"/>
              <w:rPr/>
            </w:pPr>
            <w:r>
              <w:rPr/>
              <w:t> </w:t>
            </w:r>
          </w:p>
        </w:tc>
      </w:tr>
      <w:tr>
        <w:trPr/>
        <w:tc>
          <w:tcPr>
            <w:tcW w:w="5100" w:type="dxa"/>
            <w:tcBorders/>
            <w:shd w:fill="auto"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EBITDA</w:t>
            </w:r>
          </w:p>
        </w:tc>
        <w:tc>
          <w:tcPr>
            <w:tcW w:w="240" w:type="dxa"/>
            <w:tcBorders/>
            <w:shd w:fill="auto" w:val="clear"/>
            <w:vAlign w:val="bottom"/>
          </w:tcPr>
          <w:p>
            <w:pPr>
              <w:pStyle w:val="TableContents"/>
              <w:spacing w:lineRule="atLeast" w:line="230" w:before="0" w:after="0"/>
              <w:ind w:left="0" w:right="0" w:hanging="0"/>
              <w:rPr/>
            </w:pPr>
            <w:r>
              <w:rPr/>
              <w:t> </w:t>
            </w:r>
          </w:p>
        </w:tc>
        <w:tc>
          <w:tcPr>
            <w:tcW w:w="110" w:type="dxa"/>
            <w:tcBorders/>
            <w:shd w:fill="auto" w:val="cle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95,983</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61,642</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162,467</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112,170</w:t>
            </w:r>
          </w:p>
        </w:tc>
        <w:tc>
          <w:tcPr>
            <w:tcW w:w="6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Selected items impacting comparability</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19,789</w:t>
            </w:r>
          </w:p>
        </w:tc>
        <w:tc>
          <w:tcPr>
            <w:tcW w:w="240" w:type="dxa"/>
            <w:tcBorders/>
            <w:shd w:fill="CCEEFF" w:val="clear"/>
            <w:vAlign w:val="bottom"/>
          </w:tcPr>
          <w:p>
            <w:pPr>
              <w:pStyle w:val="TableContents"/>
              <w:spacing w:lineRule="atLeast" w:line="230" w:before="0" w:after="0"/>
              <w:ind w:left="0" w:right="0" w:hanging="0"/>
              <w:rPr/>
            </w:pPr>
            <w:r>
              <w:rPr/>
              <w:t> </w:t>
            </w:r>
          </w:p>
        </w:tc>
        <w:tc>
          <w:tcPr>
            <w:tcW w:w="69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5,960</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36,254</w:t>
            </w:r>
          </w:p>
        </w:tc>
        <w:tc>
          <w:tcPr>
            <w:tcW w:w="240" w:type="dxa"/>
            <w:tcBorders/>
            <w:shd w:fill="CCEEFF" w:val="clear"/>
            <w:vAlign w:val="bottom"/>
          </w:tcPr>
          <w:p>
            <w:pPr>
              <w:pStyle w:val="TableContents"/>
              <w:spacing w:lineRule="atLeast" w:line="230"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6,229</w:t>
            </w:r>
          </w:p>
        </w:tc>
        <w:tc>
          <w:tcPr>
            <w:tcW w:w="60" w:type="dxa"/>
            <w:tcBorders/>
            <w:shd w:fill="CCEEFF" w:val="clear"/>
            <w:vAlign w:val="bottom"/>
          </w:tcPr>
          <w:p>
            <w:pPr>
              <w:pStyle w:val="TableContents"/>
              <w:spacing w:lineRule="atLeast" w:line="230" w:before="0" w:after="0"/>
              <w:ind w:left="0" w:right="0" w:hanging="0"/>
              <w:rPr/>
            </w:pPr>
            <w:r>
              <w:rPr/>
              <w:t> </w:t>
            </w:r>
          </w:p>
        </w:tc>
      </w:tr>
      <w:tr>
        <w:trPr/>
        <w:tc>
          <w:tcPr>
            <w:tcW w:w="5100" w:type="dxa"/>
            <w:tcBorders/>
            <w:shd w:fill="auto" w:val="clear"/>
          </w:tcPr>
          <w:p>
            <w:pPr>
              <w:pStyle w:val="TableContents"/>
              <w:spacing w:lineRule="atLeast" w:line="230" w:before="0" w:after="0"/>
              <w:ind w:left="0" w:right="0" w:hanging="0"/>
              <w:rPr>
                <w:rFonts w:ascii="Times New Roman" w:hAnsi="Times New Roman"/>
                <w:sz w:val="17"/>
              </w:rPr>
            </w:pPr>
            <w:r>
              <w:rPr>
                <w:rFonts w:ascii="Times New Roman" w:hAnsi="Times New Roman"/>
                <w:sz w:val="17"/>
              </w:rPr>
              <w:t>Adjusted EBITDA</w:t>
            </w:r>
          </w:p>
        </w:tc>
        <w:tc>
          <w:tcPr>
            <w:tcW w:w="240" w:type="dxa"/>
            <w:tcBorders/>
            <w:shd w:fill="auto" w:val="clear"/>
            <w:vAlign w:val="bottom"/>
          </w:tcPr>
          <w:p>
            <w:pPr>
              <w:pStyle w:val="TableContents"/>
              <w:spacing w:lineRule="atLeast" w:line="230"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115,772</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67,602</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198,721</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lineRule="atLeast" w:line="230"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auto" w:val="clear"/>
            <w:tcMar>
              <w:top w:w="28" w:type="dxa"/>
              <w:bottom w:w="28" w:type="dxa"/>
            </w:tcMar>
            <w:vAlign w:val="bottom"/>
          </w:tcPr>
          <w:p>
            <w:pPr>
              <w:pStyle w:val="TableContents"/>
              <w:spacing w:lineRule="atLeast" w:line="230" w:before="0" w:after="0"/>
              <w:ind w:left="0" w:right="0" w:hanging="0"/>
              <w:rPr>
                <w:rFonts w:ascii="Times New Roman" w:hAnsi="Times New Roman"/>
                <w:sz w:val="17"/>
              </w:rPr>
            </w:pPr>
            <w:r>
              <w:rPr>
                <w:rFonts w:ascii="Times New Roman" w:hAnsi="Times New Roman"/>
                <w:sz w:val="17"/>
              </w:rPr>
              <w:t>118,399</w:t>
            </w:r>
          </w:p>
        </w:tc>
        <w:tc>
          <w:tcPr>
            <w:tcW w:w="60"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tbl>
      <w:tblPr>
        <w:tblW w:w="9155" w:type="dxa"/>
        <w:jc w:val="left"/>
        <w:tblInd w:w="0" w:type="dxa"/>
        <w:tblCellMar>
          <w:top w:w="0" w:type="dxa"/>
          <w:left w:w="0" w:type="dxa"/>
          <w:bottom w:w="0" w:type="dxa"/>
          <w:right w:w="0" w:type="dxa"/>
        </w:tblCellMar>
      </w:tblPr>
      <w:tblGrid>
        <w:gridCol w:w="5235"/>
        <w:gridCol w:w="240"/>
        <w:gridCol w:w="110"/>
        <w:gridCol w:w="585"/>
        <w:gridCol w:w="240"/>
        <w:gridCol w:w="110"/>
        <w:gridCol w:w="585"/>
        <w:gridCol w:w="240"/>
        <w:gridCol w:w="110"/>
        <w:gridCol w:w="585"/>
        <w:gridCol w:w="240"/>
        <w:gridCol w:w="110"/>
        <w:gridCol w:w="675"/>
        <w:gridCol w:w="90"/>
      </w:tblGrid>
      <w:tr>
        <w:trPr/>
        <w:tc>
          <w:tcPr>
            <w:tcW w:w="523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240" w:type="dxa"/>
            <w:tcBorders/>
            <w:shd w:fill="auto" w:val="clear"/>
            <w:vAlign w:val="bottom"/>
          </w:tcPr>
          <w:p>
            <w:pPr>
              <w:pStyle w:val="TableContents"/>
              <w:spacing w:lineRule="atLeast" w:line="160" w:before="0" w:after="0"/>
              <w:ind w:left="0" w:right="0" w:hanging="0"/>
              <w:rPr/>
            </w:pPr>
            <w:r>
              <w:rPr/>
              <w:t> </w:t>
            </w:r>
          </w:p>
        </w:tc>
        <w:tc>
          <w:tcPr>
            <w:tcW w:w="172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3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 2005</w:t>
            </w:r>
          </w:p>
        </w:tc>
        <w:tc>
          <w:tcPr>
            <w:tcW w:w="240" w:type="dxa"/>
            <w:tcBorders/>
            <w:shd w:fill="auto" w:val="clear"/>
            <w:vAlign w:val="bottom"/>
          </w:tcPr>
          <w:p>
            <w:pPr>
              <w:pStyle w:val="TableContents"/>
              <w:spacing w:lineRule="atLeast" w:line="160" w:before="0" w:after="0"/>
              <w:ind w:left="0" w:right="0" w:hanging="0"/>
              <w:rPr/>
            </w:pPr>
            <w:r>
              <w:rPr/>
              <w:t> </w:t>
            </w:r>
          </w:p>
        </w:tc>
        <w:tc>
          <w:tcPr>
            <w:tcW w:w="172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 2005</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3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3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2005 Segment profit excluding selected items impacting comparability</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5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41,351</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53,701</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91,438</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70,017</w:t>
            </w:r>
          </w:p>
        </w:tc>
        <w:tc>
          <w:tcPr>
            <w:tcW w:w="90" w:type="dxa"/>
            <w:tcBorders/>
            <w:shd w:fill="auto" w:val="clear"/>
            <w:vAlign w:val="bottom"/>
          </w:tcPr>
          <w:p>
            <w:pPr>
              <w:pStyle w:val="TableContents"/>
              <w:spacing w:before="0" w:after="0"/>
              <w:ind w:left="0" w:right="0" w:hanging="0"/>
              <w:rPr/>
            </w:pPr>
            <w:r>
              <w:rPr/>
              <w:t> </w:t>
            </w:r>
          </w:p>
        </w:tc>
      </w:tr>
      <w:tr>
        <w:trPr/>
        <w:tc>
          <w:tcPr>
            <w:tcW w:w="52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5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 charge</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4,402</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3,524</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5,701</w:t>
            </w:r>
          </w:p>
        </w:tc>
        <w:tc>
          <w:tcPr>
            <w:tcW w:w="240" w:type="dxa"/>
            <w:tcBorders/>
            <w:shd w:fill="auto" w:val="clear"/>
            <w:vAlign w:val="bottom"/>
          </w:tcPr>
          <w:p>
            <w:pPr>
              <w:pStyle w:val="TableContents"/>
              <w:spacing w:before="0" w:after="0"/>
              <w:ind w:left="0" w:right="0" w:hanging="0"/>
              <w:rPr/>
            </w:pPr>
            <w:r>
              <w:rPr/>
              <w:t> </w:t>
            </w:r>
          </w:p>
        </w:tc>
        <w:tc>
          <w:tcPr>
            <w:tcW w:w="78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4,464</w:t>
            </w:r>
          </w:p>
        </w:tc>
        <w:tc>
          <w:tcPr>
            <w:tcW w:w="90" w:type="dxa"/>
            <w:tcBorders/>
            <w:shd w:fill="auto" w:val="clear"/>
            <w:vAlign w:val="bottom"/>
          </w:tcPr>
          <w:p>
            <w:pPr>
              <w:pStyle w:val="TableContents"/>
              <w:spacing w:before="0" w:after="0"/>
              <w:ind w:left="0" w:right="0" w:hanging="0"/>
              <w:rPr/>
            </w:pPr>
            <w:r>
              <w:rPr/>
              <w:t> </w:t>
            </w:r>
          </w:p>
        </w:tc>
      </w:tr>
      <w:tr>
        <w:trPr/>
        <w:tc>
          <w:tcPr>
            <w:tcW w:w="52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(1,058</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78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(238</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SFAS 133 noncash mark-to-market adjustment</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12,921</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26,327</w:t>
            </w:r>
          </w:p>
        </w:tc>
        <w:tc>
          <w:tcPr>
            <w:tcW w:w="90" w:type="dxa"/>
            <w:tcBorders/>
            <w:shd w:fill="auto" w:val="clear"/>
            <w:vAlign w:val="bottom"/>
          </w:tcPr>
          <w:p>
            <w:pPr>
              <w:pStyle w:val="TableContents"/>
              <w:spacing w:before="0" w:after="0"/>
              <w:ind w:left="0" w:right="0" w:hanging="0"/>
              <w:rPr/>
            </w:pPr>
            <w:r>
              <w:rPr/>
              <w:t> </w:t>
            </w:r>
          </w:p>
        </w:tc>
      </w:tr>
      <w:tr>
        <w:trPr/>
        <w:tc>
          <w:tcPr>
            <w:tcW w:w="523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45,753</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69,088</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97,139</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100,570</w:t>
            </w:r>
          </w:p>
        </w:tc>
        <w:tc>
          <w:tcPr>
            <w:tcW w:w="9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tbl>
      <w:tblPr>
        <w:tblW w:w="9170" w:type="dxa"/>
        <w:jc w:val="left"/>
        <w:tblInd w:w="0" w:type="dxa"/>
        <w:tblCellMar>
          <w:top w:w="0" w:type="dxa"/>
          <w:left w:w="0" w:type="dxa"/>
          <w:bottom w:w="0" w:type="dxa"/>
          <w:right w:w="0" w:type="dxa"/>
        </w:tblCellMar>
      </w:tblPr>
      <w:tblGrid>
        <w:gridCol w:w="5340"/>
        <w:gridCol w:w="240"/>
        <w:gridCol w:w="110"/>
        <w:gridCol w:w="585"/>
        <w:gridCol w:w="240"/>
        <w:gridCol w:w="110"/>
        <w:gridCol w:w="585"/>
        <w:gridCol w:w="240"/>
        <w:gridCol w:w="110"/>
        <w:gridCol w:w="585"/>
        <w:gridCol w:w="240"/>
        <w:gridCol w:w="110"/>
        <w:gridCol w:w="585"/>
        <w:gridCol w:w="90"/>
      </w:tblGrid>
      <w:tr>
        <w:trPr/>
        <w:tc>
          <w:tcPr>
            <w:tcW w:w="534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34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 2004</w:t>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 2004</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34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34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2004 Segment profit excluding selected items impacting comparability</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53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47,765</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13,479</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73,266</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41,583</w:t>
            </w:r>
          </w:p>
        </w:tc>
        <w:tc>
          <w:tcPr>
            <w:tcW w:w="90" w:type="dxa"/>
            <w:tcBorders/>
            <w:shd w:fill="auto" w:val="clear"/>
            <w:vAlign w:val="bottom"/>
          </w:tcPr>
          <w:p>
            <w:pPr>
              <w:pStyle w:val="TableContents"/>
              <w:spacing w:before="0" w:after="0"/>
              <w:ind w:left="0" w:right="0" w:hanging="0"/>
              <w:rPr/>
            </w:pPr>
            <w:r>
              <w:rPr/>
              <w:t> </w:t>
            </w:r>
          </w:p>
        </w:tc>
      </w:tr>
      <w:tr>
        <w:trPr/>
        <w:tc>
          <w:tcPr>
            <w:tcW w:w="53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53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 charge</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1,800</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2,428</w:t>
            </w:r>
          </w:p>
        </w:tc>
        <w:tc>
          <w:tcPr>
            <w:tcW w:w="90" w:type="dxa"/>
            <w:tcBorders/>
            <w:shd w:fill="auto" w:val="clear"/>
            <w:vAlign w:val="bottom"/>
          </w:tcPr>
          <w:p>
            <w:pPr>
              <w:pStyle w:val="TableContents"/>
              <w:spacing w:before="0" w:after="0"/>
              <w:ind w:left="0" w:right="0" w:hanging="0"/>
              <w:rPr/>
            </w:pPr>
            <w:r>
              <w:rPr/>
              <w:t> </w:t>
            </w:r>
          </w:p>
        </w:tc>
      </w:tr>
      <w:tr>
        <w:trPr/>
        <w:tc>
          <w:tcPr>
            <w:tcW w:w="53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(983</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(573</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SFAS 133 noncash mark-to-market adjustment</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6,943</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(556</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47,765</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19,439</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75,066</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42,882</w:t>
            </w:r>
          </w:p>
        </w:tc>
        <w:tc>
          <w:tcPr>
            <w:tcW w:w="9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8615</Words>
  <CharactersWithSpaces>54972</CharactersWithSpaces>
  <Paragraphs>4592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