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PAA GP Holdings LLC</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ind w:left="7"/>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0000FF"/>
        </w:rPr>
        <w:t xml:space="preserve">PAA </w:t>
      </w:r>
      <w:r>
        <w:rPr>
          <w:rFonts w:ascii="Times New Roman" w:cs="Times New Roman" w:eastAsia="Times New Roman" w:hAnsi="Times New Roman"/>
          <w:sz w:val="21"/>
          <w:szCs w:val="21"/>
          <w:color w:val="000000"/>
        </w:rPr>
        <w:t>]</w:t>
      </w:r>
    </w:p>
    <w:p>
      <w:pPr>
        <w:spacing w:after="0" w:line="22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ind w:left="7"/>
        <w:spacing w:after="0"/>
        <w:rPr>
          <w:sz w:val="20"/>
          <w:szCs w:val="20"/>
          <w:color w:val="auto"/>
        </w:rPr>
      </w:pPr>
      <w:r>
        <w:rPr>
          <w:rFonts w:ascii="Times New Roman" w:cs="Times New Roman" w:eastAsia="Times New Roman" w:hAnsi="Times New Roman"/>
          <w:sz w:val="18"/>
          <w:szCs w:val="18"/>
          <w:color w:val="0000FF"/>
        </w:rPr>
        <w:t>09/28/2018</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2"/>
          <w:szCs w:val="12"/>
          <w:color w:val="auto"/>
        </w:rPr>
        <w:t>10% Owner</w:t>
      </w:r>
    </w:p>
    <w:p>
      <w:pPr>
        <w:spacing w:after="0" w:line="6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12" w:lineRule="exact"/>
        <w:rPr>
          <w:sz w:val="24"/>
          <w:szCs w:val="24"/>
          <w:color w:val="auto"/>
        </w:rPr>
      </w:pPr>
    </w:p>
    <w:p>
      <w:pPr>
        <w:sectPr>
          <w:pgSz w:w="11900" w:h="16838" w:orient="portrait"/>
          <w:cols w:equalWidth="0" w:num="3">
            <w:col w:w="3353" w:space="720"/>
            <w:col w:w="3727" w:space="257"/>
            <w:col w:w="3363"/>
          </w:cols>
          <w:pgMar w:left="240" w:top="220" w:right="239" w:bottom="0" w:gutter="0" w:footer="0" w:header="0"/>
          <w:type w:val="continuous"/>
        </w:sect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200" w:type="dxa"/>
            <w:vAlign w:val="bottom"/>
            <w:shd w:val="clear" w:color="auto" w:fill="9A9A9A"/>
          </w:tcPr>
          <w:p>
            <w:pPr>
              <w:spacing w:after="0"/>
              <w:rPr>
                <w:sz w:val="3"/>
                <w:szCs w:val="3"/>
                <w:color w:val="auto"/>
              </w:rPr>
            </w:pPr>
          </w:p>
        </w:tc>
        <w:tc>
          <w:tcPr>
            <w:tcW w:w="2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480" w:type="dxa"/>
            <w:vAlign w:val="bottom"/>
            <w:shd w:val="clear" w:color="auto" w:fill="9A9A9A"/>
          </w:tcPr>
          <w:p>
            <w:pPr>
              <w:spacing w:after="0"/>
              <w:rPr>
                <w:sz w:val="3"/>
                <w:szCs w:val="3"/>
                <w:color w:val="auto"/>
              </w:rPr>
            </w:pPr>
          </w:p>
        </w:tc>
        <w:tc>
          <w:tcPr>
            <w:tcW w:w="20" w:type="dxa"/>
            <w:vAlign w:val="bottom"/>
            <w:shd w:val="clear" w:color="auto" w:fill="9A9A9A"/>
          </w:tcPr>
          <w:p>
            <w:pPr>
              <w:spacing w:after="0"/>
              <w:rPr>
                <w:sz w:val="3"/>
                <w:szCs w:val="3"/>
                <w:color w:val="auto"/>
              </w:rPr>
            </w:pPr>
          </w:p>
        </w:tc>
        <w:tc>
          <w:tcPr>
            <w:tcW w:w="680" w:type="dxa"/>
            <w:vAlign w:val="bottom"/>
            <w:shd w:val="clear" w:color="auto" w:fill="9A9A9A"/>
          </w:tcPr>
          <w:p>
            <w:pPr>
              <w:spacing w:after="0"/>
              <w:rPr>
                <w:sz w:val="3"/>
                <w:szCs w:val="3"/>
                <w:color w:val="auto"/>
              </w:rPr>
            </w:pPr>
          </w:p>
        </w:tc>
        <w:tc>
          <w:tcPr>
            <w:tcW w:w="560" w:type="dxa"/>
            <w:vAlign w:val="bottom"/>
            <w:tcBorders>
              <w:right w:val="single" w:sz="8" w:color="9A9A9A"/>
            </w:tcBorders>
            <w:shd w:val="clear" w:color="auto" w:fill="9A9A9A"/>
          </w:tcPr>
          <w:p>
            <w:pPr>
              <w:spacing w:after="0"/>
              <w:rPr>
                <w:sz w:val="3"/>
                <w:szCs w:val="3"/>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900" w:type="dxa"/>
            <w:vAlign w:val="bottom"/>
            <w:gridSpan w:val="10"/>
            <w:vMerge w:val="continue"/>
          </w:tcPr>
          <w:p>
            <w:pPr>
              <w:spacing w:after="0"/>
              <w:rPr>
                <w:sz w:val="10"/>
                <w:szCs w:val="10"/>
                <w:color w:val="auto"/>
              </w:rPr>
            </w:pPr>
          </w:p>
        </w:tc>
        <w:tc>
          <w:tcPr>
            <w:tcW w:w="36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HOUSTON</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TX</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0000FF"/>
              </w:rPr>
              <w:t>X</w:t>
            </w:r>
          </w:p>
        </w:tc>
        <w:tc>
          <w:tcPr>
            <w:tcW w:w="2980" w:type="dxa"/>
            <w:vAlign w:val="bottom"/>
            <w:gridSpan w:val="5"/>
          </w:tcPr>
          <w:p>
            <w:pPr>
              <w:ind w:left="180"/>
              <w:spacing w:after="0" w:line="152"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53"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00" w:type="dxa"/>
            <w:vAlign w:val="bottom"/>
            <w:gridSpan w:val="4"/>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7520" w:type="dxa"/>
            <w:vAlign w:val="bottom"/>
            <w:tcBorders>
              <w:top w:val="single" w:sz="8" w:color="2C2C2C"/>
            </w:tcBorders>
            <w:gridSpan w:val="18"/>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vMerge w:val="continue"/>
          </w:tcPr>
          <w:p>
            <w:pPr>
              <w:spacing w:after="0"/>
              <w:rPr>
                <w:sz w:val="11"/>
                <w:szCs w:val="11"/>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9"/>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Units (Limited Partner Interests)</w:t>
            </w:r>
          </w:p>
        </w:tc>
        <w:tc>
          <w:tcPr>
            <w:tcW w:w="1100" w:type="dxa"/>
            <w:vAlign w:val="bottom"/>
            <w:gridSpan w:val="2"/>
            <w:vMerge w:val="restart"/>
          </w:tcPr>
          <w:p>
            <w:pPr>
              <w:jc w:val="right"/>
              <w:ind w:right="78"/>
              <w:spacing w:after="0"/>
              <w:rPr>
                <w:sz w:val="20"/>
                <w:szCs w:val="20"/>
                <w:color w:val="auto"/>
              </w:rPr>
            </w:pPr>
            <w:r>
              <w:rPr>
                <w:rFonts w:ascii="Times New Roman" w:cs="Times New Roman" w:eastAsia="Times New Roman" w:hAnsi="Times New Roman"/>
                <w:sz w:val="18"/>
                <w:szCs w:val="18"/>
                <w:color w:val="0000FF"/>
              </w:rPr>
              <w:t>09/28/2018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27"/>
                <w:szCs w:val="27"/>
                <w:color w:val="0000FF"/>
                <w:vertAlign w:val="subscript"/>
              </w:rPr>
              <w:t>J</w:t>
            </w:r>
            <w:r>
              <w:rPr>
                <w:rFonts w:ascii="Times New Roman" w:cs="Times New Roman" w:eastAsia="Times New Roman" w:hAnsi="Times New Roman"/>
                <w:sz w:val="11"/>
                <w:szCs w:val="11"/>
                <w:color w:val="008000"/>
              </w:rPr>
              <w:t>(1)(2)</w:t>
            </w: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183,225</w:t>
            </w: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gridSpan w:val="2"/>
            <w:vMerge w:val="restart"/>
          </w:tcPr>
          <w:p>
            <w:pPr>
              <w:jc w:val="right"/>
              <w:ind w:right="134"/>
              <w:spacing w:after="0"/>
              <w:rPr>
                <w:sz w:val="20"/>
                <w:szCs w:val="20"/>
                <w:color w:val="auto"/>
              </w:rPr>
            </w:pPr>
            <w:r>
              <w:rPr>
                <w:rFonts w:ascii="Times New Roman" w:cs="Times New Roman" w:eastAsia="Times New Roman" w:hAnsi="Times New Roman"/>
                <w:sz w:val="11"/>
                <w:szCs w:val="11"/>
                <w:color w:val="008000"/>
              </w:rPr>
              <w:t>(1)(2)</w:t>
            </w: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rPr>
              <w:t>281,040,857</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Plains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40" w:type="dxa"/>
            <w:vAlign w:val="bottom"/>
            <w:gridSpan w:val="9"/>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AAP,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L.P.</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7"/>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60" w:type="dxa"/>
            <w:vAlign w:val="bottom"/>
            <w:gridSpan w:val="14"/>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102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vMerge w:val="continue"/>
          </w:tcPr>
          <w:p>
            <w:pPr>
              <w:spacing w:after="0"/>
              <w:rPr>
                <w:sz w:val="14"/>
                <w:szCs w:val="14"/>
                <w:color w:val="auto"/>
              </w:rPr>
            </w:pPr>
          </w:p>
        </w:tc>
        <w:tc>
          <w:tcPr>
            <w:tcW w:w="102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9"/>
          </w:tcPr>
          <w:p>
            <w:pPr>
              <w:ind w:left="60"/>
              <w:spacing w:after="0" w:line="243"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6"/>
          </w:tcPr>
          <w:p>
            <w:pPr>
              <w:spacing w:after="0" w:line="230" w:lineRule="exact"/>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PAA GP Holdings LLC</w:t>
              </w:r>
            </w:hyperlink>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333 CLAY STREET, STE.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HOUSTON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TX</w:t>
            </w:r>
          </w:p>
        </w:tc>
        <w:tc>
          <w:tcPr>
            <w:tcW w:w="12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77002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tcPr>
          <w:p>
            <w:pPr>
              <w:spacing w:after="0" w:line="230" w:lineRule="exact"/>
              <w:rPr>
                <w:rFonts w:ascii="Times New Roman" w:cs="Times New Roman" w:eastAsia="Times New Roman" w:hAnsi="Times New Roman"/>
                <w:sz w:val="22"/>
                <w:szCs w:val="22"/>
                <w:color w:val="0000EE"/>
                <w:w w:val="95"/>
              </w:rPr>
            </w:pPr>
            <w:hyperlink r:id="rId14">
              <w:r>
                <w:rPr>
                  <w:rFonts w:ascii="Times New Roman" w:cs="Times New Roman" w:eastAsia="Times New Roman" w:hAnsi="Times New Roman"/>
                  <w:sz w:val="22"/>
                  <w:szCs w:val="22"/>
                  <w:color w:val="0000EE"/>
                  <w:w w:val="95"/>
                </w:rPr>
                <w:t>Plains AAP, L.P.</w:t>
              </w:r>
            </w:hyperlink>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333 CLAY STREET, SUITE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HOUSTON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TX</w:t>
            </w:r>
          </w:p>
        </w:tc>
        <w:tc>
          <w:tcPr>
            <w:tcW w:w="12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0000FF"/>
              </w:rPr>
              <w:t>77002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8"/>
          </w:tcPr>
          <w:p>
            <w:pPr>
              <w:spacing w:after="0" w:line="230" w:lineRule="exact"/>
              <w:rPr>
                <w:rFonts w:ascii="Times New Roman" w:cs="Times New Roman" w:eastAsia="Times New Roman" w:hAnsi="Times New Roman"/>
                <w:sz w:val="22"/>
                <w:szCs w:val="22"/>
                <w:color w:val="0000EE"/>
              </w:rPr>
            </w:pPr>
            <w:hyperlink r:id="rId15">
              <w:r>
                <w:rPr>
                  <w:rFonts w:ascii="Times New Roman" w:cs="Times New Roman" w:eastAsia="Times New Roman" w:hAnsi="Times New Roman"/>
                  <w:sz w:val="22"/>
                  <w:szCs w:val="22"/>
                  <w:color w:val="0000EE"/>
                </w:rPr>
                <w:t>Plains All American GP LLC</w:t>
              </w:r>
            </w:hyperlink>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ectPr>
          <w:pgSz w:w="11900" w:h="16838" w:orient="portrait"/>
          <w:cols w:equalWidth="0" w:num="1">
            <w:col w:w="11420"/>
          </w:cols>
          <w:pgMar w:left="240" w:top="220" w:right="23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6"/>
          <w:szCs w:val="16"/>
          <w:color w:val="0000FF"/>
        </w:rPr>
        <w:t>333 CLAY STREET, SUITE 1600</w:t>
      </w:r>
    </w:p>
    <w:p>
      <w:pPr>
        <w:sectPr>
          <w:pgSz w:w="11900" w:h="16838" w:orient="portrait"/>
          <w:cols w:equalWidth="0" w:num="1">
            <w:col w:w="11420"/>
          </w:cols>
          <w:pgMar w:left="240" w:top="220"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0"/>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HOUSTON</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TX</w:t>
            </w:r>
          </w:p>
        </w:tc>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77002</w:t>
            </w:r>
          </w:p>
        </w:tc>
        <w:tc>
          <w:tcPr>
            <w:tcW w:w="100" w:type="dxa"/>
            <w:vAlign w:val="bottom"/>
          </w:tcPr>
          <w:p>
            <w:pPr>
              <w:spacing w:after="0"/>
              <w:rPr>
                <w:sz w:val="20"/>
                <w:szCs w:val="20"/>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2"/>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6"/>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0"/>
        </w:trPr>
        <w:tc>
          <w:tcPr>
            <w:tcW w:w="100" w:type="dxa"/>
            <w:vAlign w:val="bottom"/>
          </w:tcPr>
          <w:p>
            <w:pPr>
              <w:spacing w:after="0"/>
              <w:rPr>
                <w:sz w:val="20"/>
                <w:szCs w:val="20"/>
                <w:color w:val="auto"/>
              </w:rPr>
            </w:pPr>
          </w:p>
        </w:tc>
        <w:tc>
          <w:tcPr>
            <w:tcW w:w="2560" w:type="dxa"/>
            <w:vAlign w:val="bottom"/>
            <w:tcBorders>
              <w:bottom w:val="single" w:sz="8" w:color="0000EE"/>
            </w:tcBorders>
            <w:gridSpan w:val="2"/>
          </w:tcPr>
          <w:p>
            <w:pPr>
              <w:spacing w:after="0" w:line="230" w:lineRule="exact"/>
              <w:rPr>
                <w:rFonts w:ascii="Times New Roman" w:cs="Times New Roman" w:eastAsia="Times New Roman" w:hAnsi="Times New Roman"/>
                <w:sz w:val="22"/>
                <w:szCs w:val="22"/>
                <w:color w:val="0000EE"/>
                <w:w w:val="97"/>
              </w:rPr>
            </w:pPr>
            <w:hyperlink r:id="rId16">
              <w:r>
                <w:rPr>
                  <w:rFonts w:ascii="Times New Roman" w:cs="Times New Roman" w:eastAsia="Times New Roman" w:hAnsi="Times New Roman"/>
                  <w:sz w:val="22"/>
                  <w:szCs w:val="22"/>
                  <w:color w:val="0000EE"/>
                  <w:w w:val="97"/>
                </w:rPr>
                <w:t>PLAINS GP HOLDINGS LP</w:t>
              </w:r>
            </w:hyperlink>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2"/>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0"/>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0"/>
        </w:trPr>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HOUSTON</w:t>
            </w:r>
          </w:p>
        </w:tc>
        <w:tc>
          <w:tcPr>
            <w:tcW w:w="140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TX</w:t>
            </w:r>
          </w:p>
        </w:tc>
        <w:tc>
          <w:tcPr>
            <w:tcW w:w="178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77002</w:t>
            </w:r>
          </w:p>
        </w:tc>
        <w:tc>
          <w:tcPr>
            <w:tcW w:w="100" w:type="dxa"/>
            <w:vAlign w:val="bottom"/>
          </w:tcPr>
          <w:p>
            <w:pPr>
              <w:spacing w:after="0"/>
              <w:rPr>
                <w:sz w:val="20"/>
                <w:szCs w:val="20"/>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2"/>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1" w:lineRule="auto"/>
        <w:tabs>
          <w:tab w:leader="none" w:pos="15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28" w:lineRule="exact"/>
        <w:rPr>
          <w:rFonts w:ascii="Times New Roman" w:cs="Times New Roman" w:eastAsia="Times New Roman" w:hAnsi="Times New Roman"/>
          <w:sz w:val="14"/>
          <w:szCs w:val="14"/>
          <w:color w:val="008000"/>
        </w:rPr>
      </w:pPr>
    </w:p>
    <w:p>
      <w:pPr>
        <w:ind w:left="20" w:right="100" w:firstLine="9"/>
        <w:spacing w:after="0" w:line="241" w:lineRule="auto"/>
        <w:tabs>
          <w:tab w:leader="none" w:pos="15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September 28, 2018, KAFU Holdings (QP), L.P. exercised the Redemption Right with respect to 183,225 AAP Class A units, resulting in the cancellation of such AAP Class A units and the distribution of 183,225 Common Units from AAP to the redeeming partners.</w:t>
      </w:r>
    </w:p>
    <w:p>
      <w:pPr>
        <w:spacing w:after="0" w:line="27" w:lineRule="exact"/>
        <w:rPr>
          <w:rFonts w:ascii="Times New Roman" w:cs="Times New Roman" w:eastAsia="Times New Roman" w:hAnsi="Times New Roman"/>
          <w:sz w:val="14"/>
          <w:szCs w:val="14"/>
          <w:color w:val="008000"/>
        </w:rPr>
      </w:pPr>
    </w:p>
    <w:p>
      <w:pPr>
        <w:ind w:left="20" w:right="160" w:firstLine="9"/>
        <w:spacing w:after="0" w:line="241" w:lineRule="auto"/>
        <w:tabs>
          <w:tab w:leader="none" w:pos="15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Ann F. Gullion, Assistant</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w w:val="95"/>
              </w:rPr>
              <w:t>09/28/2018</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7"/>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5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2020-01-12T19:32:38Z</dcterms:created>
  <dcterms:modified xsi:type="dcterms:W3CDTF">2020-01-12T19:32:38Z</dcterms:modified>
</cp:coreProperties>
</file>