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22157z424b1.htm"/>
      <w:bookmarkStart w:id="1" w:name="ksa2222157z424b1"/>
      <w:bookmarkStart w:id="2" w:name="a2222157z424b1.htm"/>
      <w:bookmarkStart w:id="3" w:name="ksa2222157z424b1"/>
      <w:bookmarkEnd w:id="2"/>
      <w:bookmarkEnd w:id="3"/>
    </w:p>
    <w:p>
      <w:pPr>
        <w:pStyle w:val="TextBody"/>
        <w:rPr/>
      </w:pPr>
      <w:r>
        <w:rPr>
          <w:sz w:val="24"/>
        </w:rPr>
        <w:t>Use these links to rapidly review the document</w:t>
        <w:br/>
      </w:r>
      <w:hyperlink w:anchor="bg76101_table_of_contents">
        <w:r>
          <w:rPr>
            <w:rStyle w:val="InternetLink"/>
            <w:sz w:val="24"/>
          </w:rPr>
          <w:t>TABLE OF CONTENTS</w:t>
        </w:r>
      </w:hyperlink>
    </w:p>
    <w:p>
      <w:pPr>
        <w:pStyle w:val="TextBody"/>
        <w:jc w:val="right"/>
        <w:rPr>
          <w:rFonts w:ascii="times" w:hAnsi="times"/>
        </w:rPr>
      </w:pPr>
      <w:bookmarkStart w:id="4" w:name="toc_aa76101_1"/>
      <w:bookmarkStart w:id="5" w:name="aa76101_filed_pursuant_to_rule__aa701424"/>
      <w:bookmarkEnd w:id="4"/>
      <w:bookmarkEnd w:id="5"/>
      <w:r>
        <w:rPr>
          <w:rFonts w:ascii="times" w:hAnsi="times"/>
          <w:sz w:val="20"/>
        </w:rPr>
        <w:br/>
      </w:r>
      <w:r>
        <w:rPr>
          <w:rFonts w:ascii="times" w:hAnsi="times"/>
          <w:b/>
          <w:sz w:val="20"/>
        </w:rPr>
        <w:t>Filed Pursuant to Rule 424(b)(1)</w:t>
        <w:br/>
        <w:t xml:space="preserve">Registration No. 333-199903 </w:t>
      </w:r>
    </w:p>
    <w:p>
      <w:pPr>
        <w:pStyle w:val="TextBody"/>
        <w:jc w:val="center"/>
        <w:rPr/>
      </w:pPr>
      <w:r>
        <w:rPr/>
        <w:t xml:space="preserve">         </w:t>
      </w:r>
      <w:r>
        <w:rPr>
          <w:rFonts w:ascii="times" w:hAnsi="times"/>
          <w:b/>
          <w:sz w:val="20"/>
        </w:rPr>
        <w:t xml:space="preserve">CALCULATION OF REGISTRATION FEE </w:t>
      </w:r>
    </w:p>
    <w:tbl>
      <w:tblPr>
        <w:tblW w:w="5000" w:type="pct"/>
        <w:jc w:val="center"/>
        <w:tblInd w:w="0" w:type="dxa"/>
        <w:tblCellMar>
          <w:top w:w="0" w:type="dxa"/>
          <w:left w:w="0" w:type="dxa"/>
          <w:bottom w:w="0" w:type="dxa"/>
          <w:right w:w="0" w:type="dxa"/>
        </w:tblCellMar>
      </w:tblPr>
      <w:tblGrid>
        <w:gridCol w:w="4334"/>
        <w:gridCol w:w="186"/>
        <w:gridCol w:w="1257"/>
        <w:gridCol w:w="186"/>
        <w:gridCol w:w="1257"/>
        <w:gridCol w:w="186"/>
        <w:gridCol w:w="1355"/>
        <w:gridCol w:w="187"/>
        <w:gridCol w:w="1257"/>
      </w:tblGrid>
      <w:tr>
        <w:trPr/>
        <w:tc>
          <w:tcPr>
            <w:tcW w:w="43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double" w:sz="6" w:space="0" w:color="000000"/>
            </w:tcBorders>
            <w:shd w:fill="auto" w:val="clear"/>
            <w:tcMar>
              <w:bottom w:w="28" w:type="dxa"/>
            </w:tcMar>
            <w:vAlign w:val="bottom"/>
          </w:tcPr>
          <w:p>
            <w:pPr>
              <w:pStyle w:val="TableContents"/>
              <w:spacing w:before="0" w:after="283"/>
              <w:ind w:left="180" w:right="0" w:hanging="180"/>
              <w:rPr/>
            </w:pPr>
            <w:r>
              <w:rPr/>
              <w:t> </w:t>
            </w:r>
          </w:p>
        </w:tc>
      </w:tr>
      <w:tr>
        <w:trPr/>
        <w:tc>
          <w:tcPr>
            <w:tcW w:w="433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Title of Securities to be Registered </w:t>
            </w:r>
          </w:p>
        </w:tc>
        <w:tc>
          <w:tcPr>
            <w:tcW w:w="186" w:type="dxa"/>
            <w:tcBorders/>
            <w:shd w:fill="auto" w:val="clear"/>
            <w:vAlign w:val="bottom"/>
          </w:tcPr>
          <w:p>
            <w:pPr>
              <w:pStyle w:val="TableHeading"/>
              <w:suppressLineNumbers/>
              <w:spacing w:before="0" w:after="283"/>
              <w:jc w:val="center"/>
              <w:rPr/>
            </w:pPr>
            <w:r>
              <w:rPr/>
              <w:t> </w:t>
            </w:r>
          </w:p>
        </w:tc>
        <w:tc>
          <w:tcPr>
            <w:tcW w:w="125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to be Registered(1) </w:t>
            </w:r>
          </w:p>
        </w:tc>
        <w:tc>
          <w:tcPr>
            <w:tcW w:w="186" w:type="dxa"/>
            <w:tcBorders/>
            <w:shd w:fill="auto" w:val="clear"/>
            <w:vAlign w:val="bottom"/>
          </w:tcPr>
          <w:p>
            <w:pPr>
              <w:pStyle w:val="TableHeading"/>
              <w:suppressLineNumbers/>
              <w:spacing w:before="0" w:after="283"/>
              <w:jc w:val="center"/>
              <w:rPr/>
            </w:pPr>
            <w:r>
              <w:rPr/>
              <w:t> </w:t>
            </w:r>
          </w:p>
        </w:tc>
        <w:tc>
          <w:tcPr>
            <w:tcW w:w="125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Offering Price Per Share </w:t>
            </w:r>
          </w:p>
        </w:tc>
        <w:tc>
          <w:tcPr>
            <w:tcW w:w="186" w:type="dxa"/>
            <w:tcBorders/>
            <w:shd w:fill="auto" w:val="clear"/>
            <w:vAlign w:val="bottom"/>
          </w:tcPr>
          <w:p>
            <w:pPr>
              <w:pStyle w:val="TableHeading"/>
              <w:suppressLineNumbers/>
              <w:spacing w:before="0" w:after="283"/>
              <w:jc w:val="center"/>
              <w:rPr/>
            </w:pPr>
            <w:r>
              <w:rPr/>
              <w:t> </w:t>
            </w:r>
          </w:p>
        </w:tc>
        <w:tc>
          <w:tcPr>
            <w:tcW w:w="135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Aggregate Offering Price </w:t>
            </w:r>
          </w:p>
        </w:tc>
        <w:tc>
          <w:tcPr>
            <w:tcW w:w="187" w:type="dxa"/>
            <w:tcBorders/>
            <w:shd w:fill="auto" w:val="clear"/>
            <w:vAlign w:val="bottom"/>
          </w:tcPr>
          <w:p>
            <w:pPr>
              <w:pStyle w:val="TableHeading"/>
              <w:suppressLineNumbers/>
              <w:spacing w:before="0" w:after="283"/>
              <w:jc w:val="center"/>
              <w:rPr/>
            </w:pPr>
            <w:r>
              <w:rPr/>
              <w:t> </w:t>
            </w:r>
          </w:p>
        </w:tc>
        <w:tc>
          <w:tcPr>
            <w:tcW w:w="125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Amount of Registration Fee(2) </w:t>
            </w:r>
          </w:p>
        </w:tc>
      </w:tr>
      <w:tr>
        <w:trPr/>
        <w:tc>
          <w:tcPr>
            <w:tcW w:w="10205" w:type="dxa"/>
            <w:gridSpan w:val="9"/>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4334" w:type="dxa"/>
            <w:tcBorders/>
            <w:shd w:fill="auto" w:val="clear"/>
            <w:vAlign w:val="bottom"/>
          </w:tcPr>
          <w:p>
            <w:pPr>
              <w:pStyle w:val="TableContents"/>
              <w:spacing w:before="0" w:after="283"/>
              <w:ind w:left="180" w:right="0" w:hanging="180"/>
              <w:rPr>
                <w:rFonts w:ascii="times" w:hAnsi="times"/>
                <w:sz w:val="20"/>
              </w:rPr>
            </w:pPr>
            <w:r>
              <w:rPr>
                <w:rFonts w:ascii="times" w:hAnsi="times"/>
                <w:sz w:val="20"/>
              </w:rPr>
              <w:t>Class A shares representing limited partner interests</w:t>
            </w:r>
          </w:p>
        </w:tc>
        <w:tc>
          <w:tcPr>
            <w:tcW w:w="18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center"/>
              <w:rPr>
                <w:rFonts w:ascii="times" w:hAnsi="times"/>
                <w:sz w:val="20"/>
              </w:rPr>
            </w:pPr>
            <w:r>
              <w:rPr>
                <w:rFonts w:ascii="times" w:hAnsi="times"/>
                <w:sz w:val="20"/>
              </w:rPr>
              <w:t>69,000,000</w:t>
            </w:r>
          </w:p>
        </w:tc>
        <w:tc>
          <w:tcPr>
            <w:tcW w:w="18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center"/>
              <w:rPr>
                <w:rFonts w:ascii="times" w:hAnsi="times"/>
                <w:sz w:val="20"/>
              </w:rPr>
            </w:pPr>
            <w:r>
              <w:rPr>
                <w:rFonts w:ascii="times" w:hAnsi="times"/>
                <w:sz w:val="20"/>
              </w:rPr>
              <w:t>$25.00</w:t>
            </w:r>
          </w:p>
        </w:tc>
        <w:tc>
          <w:tcPr>
            <w:tcW w:w="186"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283"/>
              <w:jc w:val="center"/>
              <w:rPr>
                <w:rFonts w:ascii="times" w:hAnsi="times"/>
                <w:sz w:val="20"/>
              </w:rPr>
            </w:pPr>
            <w:r>
              <w:rPr>
                <w:rFonts w:ascii="times" w:hAnsi="times"/>
                <w:sz w:val="20"/>
              </w:rPr>
              <w:t>$1,725,000,000</w:t>
            </w:r>
          </w:p>
        </w:tc>
        <w:tc>
          <w:tcPr>
            <w:tcW w:w="187"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center"/>
              <w:rPr>
                <w:rFonts w:ascii="times" w:hAnsi="times"/>
                <w:sz w:val="20"/>
              </w:rPr>
            </w:pPr>
            <w:r>
              <w:rPr>
                <w:rFonts w:ascii="times" w:hAnsi="times"/>
                <w:sz w:val="20"/>
              </w:rPr>
              <w:t>$200,445</w:t>
            </w:r>
          </w:p>
        </w:tc>
      </w:tr>
      <w:tr>
        <w:trPr/>
        <w:tc>
          <w:tcPr>
            <w:tcW w:w="10205" w:type="dxa"/>
            <w:gridSpan w:val="9"/>
            <w:tcBorders>
              <w:bottom w:val="double" w:sz="6" w:space="0" w:color="000000"/>
            </w:tcBorders>
            <w:shd w:fill="auto" w:val="clear"/>
            <w:tcMar>
              <w:bottom w:w="28" w:type="dxa"/>
            </w:tcMar>
            <w:vAlign w:val="bottom"/>
          </w:tcPr>
          <w:p>
            <w:pPr>
              <w:pStyle w:val="TableContents"/>
              <w:spacing w:before="0" w:after="283"/>
              <w:ind w:left="180" w:right="0" w:hanging="180"/>
              <w:rPr/>
            </w:pPr>
            <w:r>
              <w:rPr/>
              <w:t> </w:t>
            </w:r>
          </w:p>
        </w:tc>
      </w:tr>
    </w:tbl>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Includes Class A shares issuable upon exercise of the underwriters' option to purchase additional Class A shares.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The filing fee, calculated in accordance with Rules 456(b) and 457(r), has been transmitted to the SEC in connection with the securities offered from Registration Statement File No. 333-199903 by means of this prospectus. </w:t>
      </w:r>
    </w:p>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rPr>
          <w:rFonts w:ascii="times" w:hAnsi="times"/>
          <w:sz w:val="20"/>
        </w:rPr>
      </w:pPr>
      <w:r>
        <w:rPr>
          <w:rFonts w:ascii="times" w:hAnsi="times"/>
          <w:sz w:val="20"/>
        </w:rPr>
        <w:t xml:space="preserve">PROSPECTUS </w:t>
      </w:r>
    </w:p>
    <w:p>
      <w:pPr>
        <w:pStyle w:val="TextBody"/>
        <w:jc w:val="center"/>
        <w:rPr/>
      </w:pPr>
      <w:r>
        <w:rPr/>
        <w:drawing>
          <wp:inline distT="0" distB="0" distL="0" distR="0">
            <wp:extent cx="31242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685800"/>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60,000,000 Class A Shares</w:t>
        <w:br/>
        <w:t xml:space="preserve">Representing Limited Partner Interests </w:t>
      </w:r>
    </w:p>
    <w:p>
      <w:pPr>
        <w:pStyle w:val="TextBody"/>
        <w:rPr/>
      </w:pPr>
      <w:r>
        <w:rPr/>
        <w:t>        </w:t>
      </w:r>
      <w:r>
        <w:rPr>
          <w:rFonts w:ascii="times" w:hAnsi="times"/>
          <w:sz w:val="20"/>
        </w:rPr>
        <w:t xml:space="preserve">The selling shareholder, an affiliate of Occidental Petroleum Corporation, is selling 60,000,000 Class A shares representing limited partner interests in us in this offering. We will not receive any proceeds from the sale of the Class A shares by the selling shareholder in this offering. </w:t>
      </w:r>
    </w:p>
    <w:p>
      <w:pPr>
        <w:pStyle w:val="TextBody"/>
        <w:rPr/>
      </w:pPr>
      <w:r>
        <w:rPr/>
        <w:t>        </w:t>
      </w:r>
      <w:r>
        <w:rPr>
          <w:rFonts w:ascii="times" w:hAnsi="times"/>
          <w:sz w:val="20"/>
        </w:rPr>
        <w:t xml:space="preserve">Our Class A shares are listed on the New York Stock Exchange ("NYSE") under the symbol "PAGP." </w:t>
      </w:r>
    </w:p>
    <w:p>
      <w:pPr>
        <w:pStyle w:val="TextBody"/>
        <w:rPr/>
      </w:pPr>
      <w:r>
        <w:rPr/>
        <w:t>        </w:t>
      </w:r>
      <w:r>
        <w:rPr>
          <w:rFonts w:ascii="times" w:hAnsi="times"/>
          <w:b/>
          <w:sz w:val="20"/>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9 of this prospectus before you make an investment in our Class A shares. </w:t>
      </w:r>
    </w:p>
    <w:tbl>
      <w:tblPr>
        <w:tblW w:w="7053" w:type="dxa"/>
        <w:jc w:val="center"/>
        <w:tblInd w:w="0" w:type="dxa"/>
        <w:tblCellMar>
          <w:top w:w="0" w:type="dxa"/>
          <w:left w:w="0" w:type="dxa"/>
          <w:bottom w:w="0" w:type="dxa"/>
          <w:right w:w="0" w:type="dxa"/>
        </w:tblCellMar>
      </w:tblPr>
      <w:tblGrid>
        <w:gridCol w:w="3383"/>
        <w:gridCol w:w="180"/>
        <w:gridCol w:w="125"/>
        <w:gridCol w:w="1440"/>
        <w:gridCol w:w="180"/>
        <w:gridCol w:w="125"/>
        <w:gridCol w:w="1440"/>
        <w:gridCol w:w="180"/>
      </w:tblGrid>
      <w:tr>
        <w:trPr/>
        <w:tc>
          <w:tcPr>
            <w:tcW w:w="338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3383" w:type="dxa"/>
            <w:tcBorders/>
            <w:shd w:fill="auto" w:val="clear"/>
            <w:vAlign w:val="bottom"/>
          </w:tcPr>
          <w:p>
            <w:pPr>
              <w:pStyle w:val="TableContents"/>
              <w:spacing w:before="0" w:after="283"/>
              <w:ind w:left="200" w:right="0" w:hanging="20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6873" w:type="dxa"/>
            <w:gridSpan w:val="7"/>
            <w:tcBorders>
              <w:bottom w:val="double" w:sz="6"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383" w:type="dxa"/>
            <w:tcBorders/>
            <w:shd w:fill="auto" w:val="clear"/>
            <w:vAlign w:val="bottom"/>
          </w:tcPr>
          <w:p>
            <w:pPr>
              <w:pStyle w:val="TableHeading"/>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56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Per Class A Share</w:t>
            </w:r>
          </w:p>
        </w:tc>
        <w:tc>
          <w:tcPr>
            <w:tcW w:w="180" w:type="dxa"/>
            <w:tcBorders/>
            <w:shd w:fill="auto" w:val="clear"/>
            <w:vAlign w:val="bottom"/>
          </w:tcPr>
          <w:p>
            <w:pPr>
              <w:pStyle w:val="TableHeading"/>
              <w:suppressLineNumbers/>
              <w:spacing w:before="0" w:after="283"/>
              <w:jc w:val="center"/>
              <w:rPr/>
            </w:pPr>
            <w:r>
              <w:rPr/>
              <w:t> </w:t>
            </w:r>
          </w:p>
        </w:tc>
        <w:tc>
          <w:tcPr>
            <w:tcW w:w="1565" w:type="dxa"/>
            <w:gridSpan w:val="2"/>
            <w:tcBorders/>
            <w:shd w:fill="auto" w:val="clear"/>
            <w:vAlign w:val="bottom"/>
          </w:tcPr>
          <w:p>
            <w:pPr>
              <w:pStyle w:val="TableHeading"/>
              <w:spacing w:before="0" w:after="283"/>
              <w:jc w:val="center"/>
              <w:rPr>
                <w:rFonts w:ascii="times" w:hAnsi="times"/>
                <w:b/>
                <w:sz w:val="14"/>
              </w:rPr>
            </w:pPr>
            <w:r>
              <w:rPr>
                <w:rFonts w:ascii="times" w:hAnsi="times"/>
                <w:b/>
                <w:sz w:val="14"/>
              </w:rPr>
              <w:t>Total</w:t>
            </w:r>
          </w:p>
        </w:tc>
        <w:tc>
          <w:tcPr>
            <w:tcW w:w="180" w:type="dxa"/>
            <w:tcBorders/>
            <w:shd w:fill="auto" w:val="clear"/>
            <w:vAlign w:val="bottom"/>
          </w:tcPr>
          <w:p>
            <w:pPr>
              <w:pStyle w:val="TableHeading"/>
              <w:suppressLineNumbers/>
              <w:spacing w:before="0" w:after="283"/>
              <w:jc w:val="center"/>
              <w:rPr/>
            </w:pPr>
            <w:r>
              <w:rPr/>
              <w:t> </w:t>
            </w:r>
          </w:p>
        </w:tc>
      </w:tr>
      <w:tr>
        <w:trPr/>
        <w:tc>
          <w:tcPr>
            <w:tcW w:w="6873" w:type="dxa"/>
            <w:gridSpan w:val="7"/>
            <w:tcBorders>
              <w:bottom w:val="single" w:sz="8"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383" w:type="dxa"/>
            <w:tcBorders/>
            <w:shd w:fill="auto" w:val="clear"/>
            <w:vAlign w:val="bottom"/>
          </w:tcPr>
          <w:p>
            <w:pPr>
              <w:pStyle w:val="TableContents"/>
              <w:spacing w:before="0" w:after="283"/>
              <w:ind w:left="160" w:right="0" w:hanging="160"/>
              <w:rPr>
                <w:rFonts w:ascii="times" w:hAnsi="times"/>
                <w:sz w:val="20"/>
              </w:rPr>
            </w:pPr>
            <w:r>
              <w:rPr>
                <w:rFonts w:ascii="times" w:hAnsi="times"/>
                <w:sz w:val="20"/>
              </w:rPr>
              <w:t>Price to the public</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25.00</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1,500,000,000</w:t>
            </w:r>
          </w:p>
        </w:tc>
        <w:tc>
          <w:tcPr>
            <w:tcW w:w="180" w:type="dxa"/>
            <w:tcBorders/>
            <w:shd w:fill="auto" w:val="clear"/>
            <w:vAlign w:val="bottom"/>
          </w:tcPr>
          <w:p>
            <w:pPr>
              <w:pStyle w:val="TableContents"/>
              <w:spacing w:before="0" w:after="283"/>
              <w:rPr/>
            </w:pPr>
            <w:r>
              <w:rPr/>
              <w:t> </w:t>
            </w:r>
          </w:p>
        </w:tc>
      </w:tr>
      <w:tr>
        <w:trPr/>
        <w:tc>
          <w:tcPr>
            <w:tcW w:w="6873" w:type="dxa"/>
            <w:gridSpan w:val="7"/>
            <w:tcBorders>
              <w:bottom w:val="single" w:sz="8"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38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Underwriting discounts and commissions</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0.5625</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33,750,000</w:t>
            </w:r>
          </w:p>
        </w:tc>
        <w:tc>
          <w:tcPr>
            <w:tcW w:w="180" w:type="dxa"/>
            <w:tcBorders/>
            <w:shd w:fill="auto" w:val="clear"/>
            <w:vAlign w:val="bottom"/>
          </w:tcPr>
          <w:p>
            <w:pPr>
              <w:pStyle w:val="TableContents"/>
              <w:spacing w:before="0" w:after="283"/>
              <w:rPr/>
            </w:pPr>
            <w:r>
              <w:rPr/>
              <w:t> </w:t>
            </w:r>
          </w:p>
        </w:tc>
      </w:tr>
      <w:tr>
        <w:trPr/>
        <w:tc>
          <w:tcPr>
            <w:tcW w:w="6873" w:type="dxa"/>
            <w:gridSpan w:val="7"/>
            <w:tcBorders>
              <w:bottom w:val="single" w:sz="8" w:space="0" w:color="000000"/>
            </w:tcBorders>
            <w:shd w:fill="auto" w:val="clear"/>
            <w:tcMar>
              <w:bottom w:w="28" w:type="dxa"/>
            </w:tcM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338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Proceeds to selling shareholder</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24.4375</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440" w:type="dxa"/>
            <w:tcBorders/>
            <w:shd w:fill="auto" w:val="clear"/>
            <w:vAlign w:val="bottom"/>
          </w:tcPr>
          <w:p>
            <w:pPr>
              <w:pStyle w:val="TableContents"/>
              <w:spacing w:before="0" w:after="283"/>
              <w:jc w:val="right"/>
              <w:rPr>
                <w:rFonts w:ascii="times" w:hAnsi="times"/>
                <w:sz w:val="20"/>
              </w:rPr>
            </w:pPr>
            <w:r>
              <w:rPr>
                <w:rFonts w:ascii="times" w:hAnsi="times"/>
                <w:sz w:val="20"/>
              </w:rPr>
              <w:t>1,466,250,000</w:t>
            </w:r>
          </w:p>
        </w:tc>
        <w:tc>
          <w:tcPr>
            <w:tcW w:w="180" w:type="dxa"/>
            <w:tcBorders/>
            <w:shd w:fill="auto" w:val="clear"/>
            <w:vAlign w:val="bottom"/>
          </w:tcPr>
          <w:p>
            <w:pPr>
              <w:pStyle w:val="TableContents"/>
              <w:spacing w:before="0" w:after="283"/>
              <w:rPr/>
            </w:pPr>
            <w:r>
              <w:rPr/>
              <w:t> </w:t>
            </w:r>
          </w:p>
        </w:tc>
      </w:tr>
      <w:tr>
        <w:trPr/>
        <w:tc>
          <w:tcPr>
            <w:tcW w:w="6873" w:type="dxa"/>
            <w:gridSpan w:val="7"/>
            <w:tcBorders>
              <w:bottom w:val="double" w:sz="6" w:space="0" w:color="000000"/>
            </w:tcBorders>
            <w:shd w:fill="auto" w:val="clear"/>
            <w:tcMar>
              <w:bottom w:w="28" w:type="dxa"/>
            </w:tcMar>
            <w:vAlign w:val="bottom"/>
          </w:tcPr>
          <w:p>
            <w:pPr>
              <w:pStyle w:val="TableContents"/>
              <w:spacing w:before="0" w:after="283"/>
              <w:ind w:left="200" w:right="0" w:hanging="200"/>
              <w:rPr/>
            </w:pPr>
            <w:r>
              <w:rPr/>
              <w:t> </w:t>
            </w:r>
          </w:p>
        </w:tc>
        <w:tc>
          <w:tcPr>
            <w:tcW w:w="180" w:type="dxa"/>
            <w:tcBorders/>
            <w:shd w:fill="auto" w:val="clear"/>
            <w:vAlign w:val="bottom"/>
          </w:tcPr>
          <w:p>
            <w:pPr>
              <w:pStyle w:val="TableContents"/>
              <w:spacing w:before="0" w:after="283"/>
              <w:rPr/>
            </w:pPr>
            <w:r>
              <w:rPr/>
              <w:t> </w:t>
            </w:r>
          </w:p>
        </w:tc>
      </w:tr>
    </w:tbl>
    <w:p>
      <w:pPr>
        <w:pStyle w:val="TextBody"/>
        <w:rPr/>
      </w:pPr>
      <w:r>
        <w:rPr/>
        <w:t>        </w:t>
      </w:r>
      <w:r>
        <w:rPr>
          <w:rFonts w:ascii="times" w:hAnsi="times"/>
          <w:b/>
          <w:sz w:val="20"/>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pStyle w:val="TextBody"/>
        <w:rPr/>
      </w:pPr>
      <w:r>
        <w:rPr/>
        <w:t>        </w:t>
      </w:r>
      <w:r>
        <w:rPr>
          <w:rFonts w:ascii="times" w:hAnsi="times"/>
          <w:sz w:val="20"/>
        </w:rPr>
        <w:t xml:space="preserve">The selling shareholder has granted the underwriters a 30-day option to purchase up to 9,000,000 additional Class A shares on the same terms and conditions as set forth above. </w:t>
      </w:r>
    </w:p>
    <w:p>
      <w:pPr>
        <w:pStyle w:val="TextBody"/>
        <w:rPr/>
      </w:pPr>
      <w:r>
        <w:rPr/>
        <w:t>        </w:t>
      </w:r>
      <w:r>
        <w:rPr>
          <w:rFonts w:ascii="times" w:hAnsi="times"/>
          <w:sz w:val="20"/>
        </w:rPr>
        <w:t xml:space="preserve">We, the selling shareholder and certain of our significant shareholders and directors will be entering into lock-up agreements with the underwriters for a period of up to 90 days from the date of this prospectus. Please read "UnderwritingLock-Up Agreements." </w:t>
      </w:r>
    </w:p>
    <w:p>
      <w:pPr>
        <w:pStyle w:val="TextBody"/>
        <w:rPr/>
      </w:pPr>
      <w:r>
        <w:rPr/>
        <w:t>        </w:t>
      </w:r>
      <w:r>
        <w:rPr>
          <w:rFonts w:ascii="times" w:hAnsi="times"/>
          <w:sz w:val="20"/>
        </w:rPr>
        <w:t xml:space="preserve">The underwriters expect to deliver the Class A shares on or about November 14, 2014. </w:t>
      </w:r>
    </w:p>
    <w:p>
      <w:pPr>
        <w:pStyle w:val="HorizontalLine"/>
        <w:pBdr>
          <w:bottom w:val="single" w:sz="6" w:space="0" w:color="000000"/>
        </w:pBdr>
        <w:ind w:left="3776" w:right="3776" w:hanging="0"/>
        <w:rPr/>
      </w:pPr>
      <w:r>
        <w:rPr/>
      </w:r>
    </w:p>
    <w:p>
      <w:pPr>
        <w:pStyle w:val="TextBody"/>
        <w:rPr>
          <w:sz w:val="20"/>
        </w:rPr>
      </w:pPr>
      <w:r>
        <w:rPr>
          <w:sz w:val="20"/>
        </w:rPr>
      </w:r>
    </w:p>
    <w:p>
      <w:pPr>
        <w:pStyle w:val="TextBody"/>
        <w:jc w:val="center"/>
        <w:rPr>
          <w:rFonts w:ascii="times" w:hAnsi="times"/>
          <w:i/>
          <w:sz w:val="20"/>
        </w:rPr>
      </w:pPr>
      <w:r>
        <w:rPr>
          <w:rFonts w:ascii="times" w:hAnsi="times"/>
          <w:i/>
          <w:sz w:val="20"/>
        </w:rPr>
        <w:t xml:space="preserve">Joint Book-Running Managers </w:t>
      </w:r>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Contents"/>
              <w:spacing w:before="0" w:after="283"/>
              <w:ind w:left="200" w:right="0" w:hanging="200"/>
              <w:rPr>
                <w:rFonts w:ascii="times" w:hAnsi="times"/>
                <w:b/>
                <w:sz w:val="28"/>
              </w:rPr>
            </w:pPr>
            <w:r>
              <w:rPr>
                <w:rFonts w:ascii="times" w:hAnsi="times"/>
                <w:b/>
                <w:sz w:val="28"/>
              </w:rPr>
              <w:t>J.P. Morgan</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320" w:right="0" w:hanging="320"/>
              <w:jc w:val="right"/>
              <w:rPr>
                <w:rFonts w:ascii="times" w:hAnsi="times"/>
                <w:b/>
                <w:sz w:val="28"/>
              </w:rPr>
            </w:pPr>
            <w:r>
              <w:rPr>
                <w:rFonts w:ascii="times" w:hAnsi="times"/>
                <w:b/>
                <w:sz w:val="28"/>
              </w:rPr>
              <w:t>Citigroup</w:t>
            </w:r>
          </w:p>
        </w:tc>
      </w:tr>
    </w:tbl>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Contents"/>
              <w:spacing w:before="0" w:after="283"/>
              <w:ind w:left="200" w:right="0" w:hanging="200"/>
              <w:rPr>
                <w:rFonts w:ascii="times" w:hAnsi="times"/>
                <w:b/>
                <w:sz w:val="28"/>
              </w:rPr>
            </w:pPr>
            <w:r>
              <w:rPr>
                <w:rFonts w:ascii="times" w:hAnsi="times"/>
                <w:b/>
                <w:sz w:val="28"/>
              </w:rPr>
              <w:t>BofA Merrill Lynch</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280" w:right="0" w:hanging="280"/>
              <w:jc w:val="center"/>
              <w:rPr>
                <w:rFonts w:ascii="times" w:hAnsi="times"/>
                <w:b/>
                <w:sz w:val="28"/>
              </w:rPr>
            </w:pPr>
            <w:r>
              <w:rPr>
                <w:rFonts w:ascii="times" w:hAnsi="times"/>
                <w:b/>
                <w:sz w:val="28"/>
              </w:rPr>
              <w:t>Goldman, Sachs &amp; Co.</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280" w:right="0" w:hanging="280"/>
              <w:jc w:val="right"/>
              <w:rPr>
                <w:rFonts w:ascii="times" w:hAnsi="times"/>
                <w:b/>
                <w:sz w:val="28"/>
              </w:rPr>
            </w:pPr>
            <w:r>
              <w:rPr>
                <w:rFonts w:ascii="times" w:hAnsi="times"/>
                <w:b/>
                <w:sz w:val="28"/>
              </w:rPr>
              <w:t>Morgan Stanley</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jc w:val="center"/>
        <w:rPr>
          <w:rFonts w:ascii="times" w:hAnsi="times"/>
          <w:i/>
          <w:sz w:val="20"/>
        </w:rPr>
      </w:pPr>
      <w:r>
        <w:rPr>
          <w:rFonts w:ascii="times" w:hAnsi="times"/>
          <w:i/>
          <w:sz w:val="20"/>
        </w:rPr>
        <w:t xml:space="preserve">Co-Managers </w:t>
      </w:r>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Contents"/>
              <w:spacing w:before="0" w:after="283"/>
              <w:ind w:left="200" w:right="0" w:hanging="200"/>
              <w:rPr>
                <w:rFonts w:ascii="times" w:hAnsi="times"/>
                <w:b/>
                <w:sz w:val="24"/>
              </w:rPr>
            </w:pPr>
            <w:r>
              <w:rPr>
                <w:rFonts w:ascii="times" w:hAnsi="times"/>
                <w:b/>
                <w:sz w:val="24"/>
              </w:rPr>
              <w:t>Raymond James</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240" w:right="0" w:hanging="240"/>
              <w:jc w:val="center"/>
              <w:rPr>
                <w:rFonts w:ascii="times" w:hAnsi="times"/>
                <w:b/>
                <w:sz w:val="24"/>
              </w:rPr>
            </w:pPr>
            <w:r>
              <w:rPr>
                <w:rFonts w:ascii="times" w:hAnsi="times"/>
                <w:b/>
                <w:sz w:val="24"/>
              </w:rPr>
              <w:t>UBS Investment Bank</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240" w:right="0" w:hanging="240"/>
              <w:jc w:val="right"/>
              <w:rPr>
                <w:rFonts w:ascii="times" w:hAnsi="times"/>
                <w:b/>
                <w:sz w:val="24"/>
              </w:rPr>
            </w:pPr>
            <w:r>
              <w:rPr>
                <w:rFonts w:ascii="times" w:hAnsi="times"/>
                <w:b/>
                <w:sz w:val="24"/>
              </w:rPr>
              <w:t>Wells Fargo Securities</w:t>
            </w:r>
          </w:p>
        </w:tc>
      </w:tr>
    </w:tbl>
    <w:p>
      <w:pPr>
        <w:pStyle w:val="TextBody"/>
        <w:jc w:val="center"/>
        <w:rPr>
          <w:rFonts w:ascii="times" w:hAnsi="times"/>
          <w:sz w:val="20"/>
        </w:rPr>
      </w:pPr>
      <w:r>
        <w:rPr>
          <w:rFonts w:ascii="times" w:hAnsi="times"/>
          <w:sz w:val="20"/>
        </w:rPr>
        <w:t xml:space="preserve">Prospectus dated November 10, 2014 </w:t>
      </w:r>
    </w:p>
    <w:p>
      <w:pPr>
        <w:pStyle w:val="HorizontalLine"/>
        <w:pBdr>
          <w:bottom w:val="single" w:sz="20" w:space="0" w:color="808080"/>
        </w:pBdr>
        <w:rPr/>
      </w:pPr>
      <w:r>
        <w:rPr/>
      </w:r>
      <w:r>
        <w:br w:type="page"/>
      </w:r>
    </w:p>
    <w:p>
      <w:pPr>
        <w:pStyle w:val="TextBody"/>
        <w:rPr/>
      </w:pPr>
      <w:hyperlink w:anchor="bg76101a_main_toc">
        <w:bookmarkStart w:id="6" w:name="page_bg76101_1_1"/>
        <w:bookmarkEnd w:id="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 w:name="bg76101_table_of_contents"/>
      <w:bookmarkStart w:id="8" w:name="BG76101A_main_toc"/>
      <w:bookmarkEnd w:id="7"/>
      <w:bookmarkEnd w:id="8"/>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9" w:name="BG76101_TOC"/>
      <w:bookmarkStart w:id="10" w:name="BG76101_TOC"/>
      <w:bookmarkEnd w:id="10"/>
    </w:p>
    <w:tbl>
      <w:tblPr>
        <w:tblW w:w="5000" w:type="pct"/>
        <w:jc w:val="center"/>
        <w:tblInd w:w="0" w:type="dxa"/>
        <w:tblCellMar>
          <w:top w:w="0" w:type="dxa"/>
          <w:left w:w="0" w:type="dxa"/>
          <w:bottom w:w="0" w:type="dxa"/>
          <w:right w:w="0" w:type="dxa"/>
        </w:tblCellMar>
      </w:tblPr>
      <w:tblGrid>
        <w:gridCol w:w="8832"/>
        <w:gridCol w:w="294"/>
        <w:gridCol w:w="172"/>
        <w:gridCol w:w="612"/>
        <w:gridCol w:w="295"/>
      </w:tblGrid>
      <w:tr>
        <w:trPr/>
        <w:tc>
          <w:tcPr>
            <w:tcW w:w="883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8832" w:type="dxa"/>
            <w:tcBorders/>
            <w:shd w:fill="auto" w:val="clear"/>
            <w:vAlign w:val="bottom"/>
          </w:tcPr>
          <w:p>
            <w:pPr>
              <w:pStyle w:val="TableHeading"/>
              <w:spacing w:before="0" w:after="283"/>
              <w:jc w:val="left"/>
              <w:rPr/>
            </w:pPr>
            <w:r>
              <w:rPr/>
              <w:t> </w:t>
            </w:r>
          </w:p>
        </w:tc>
        <w:tc>
          <w:tcPr>
            <w:tcW w:w="294"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295" w:type="dxa"/>
            <w:tcBorders/>
            <w:shd w:fill="auto" w:val="clear"/>
            <w:vAlign w:val="bottom"/>
          </w:tcPr>
          <w:p>
            <w:pPr>
              <w:pStyle w:val="TableHeading"/>
              <w:suppressLineNumbers/>
              <w:spacing w:before="0" w:after="283"/>
              <w:jc w:val="center"/>
              <w:rPr/>
            </w:pPr>
            <w:r>
              <w:rPr/>
              <w:t> </w:t>
            </w:r>
          </w:p>
        </w:tc>
      </w:tr>
      <w:tr>
        <w:trPr/>
        <w:tc>
          <w:tcPr>
            <w:tcW w:w="8832" w:type="dxa"/>
            <w:tcBorders/>
            <w:shd w:fill="auto" w:val="clear"/>
          </w:tcPr>
          <w:p>
            <w:pPr>
              <w:pStyle w:val="TableContents"/>
              <w:spacing w:before="0" w:after="283"/>
              <w:ind w:left="200" w:right="0" w:hanging="200"/>
              <w:rPr/>
            </w:pPr>
            <w:hyperlink w:anchor="bi76101_guide_to_reading_this_prospectus">
              <w:r>
                <w:rPr>
                  <w:rStyle w:val="InternetLink"/>
                  <w:rFonts w:ascii="times" w:hAnsi="times"/>
                  <w:sz w:val="20"/>
                </w:rPr>
                <w:t>Guide to Reading This Prospectus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guide_to_reading_this_prospectus">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bi76101_where_you_can_find_more_information">
              <w:r>
                <w:rPr>
                  <w:rStyle w:val="InternetLink"/>
                  <w:rFonts w:ascii="times" w:hAnsi="times"/>
                  <w:sz w:val="20"/>
                </w:rPr>
                <w:t>Where You Can Find More Information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where_you_can_find_more_information">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bi76101_forward-looking_statements">
              <w:r>
                <w:rPr>
                  <w:rStyle w:val="InternetLink"/>
                  <w:rFonts w:ascii="times" w:hAnsi="times"/>
                  <w:sz w:val="20"/>
                </w:rPr>
                <w:t>Forward-Looking Statements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forward-looking_statements">
              <w:r>
                <w:rPr>
                  <w:rStyle w:val="InternetLink"/>
                  <w:rFonts w:ascii="times" w:hAnsi="times"/>
                  <w:sz w:val="20"/>
                </w:rPr>
                <w:t>iii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76101_summary">
              <w:r>
                <w:rPr>
                  <w:rStyle w:val="InternetLink"/>
                  <w:rFonts w:ascii="times" w:hAnsi="times"/>
                  <w:sz w:val="20"/>
                </w:rPr>
                <w:t>Summary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76101_summary">
              <w:r>
                <w:rPr>
                  <w:rStyle w:val="InternetLink"/>
                  <w:rFonts w:ascii="times" w:hAnsi="times"/>
                  <w:sz w:val="20"/>
                </w:rPr>
                <w:t>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risk_factors">
              <w:r>
                <w:rPr>
                  <w:rStyle w:val="InternetLink"/>
                  <w:rFonts w:ascii="times" w:hAnsi="times"/>
                  <w:sz w:val="20"/>
                </w:rPr>
                <w:t>Risk Factors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risk_factors">
              <w:r>
                <w:rPr>
                  <w:rStyle w:val="InternetLink"/>
                  <w:rFonts w:ascii="times" w:hAnsi="times"/>
                  <w:sz w:val="20"/>
                </w:rPr>
                <w:t>9</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use_of_proceeds">
              <w:r>
                <w:rPr>
                  <w:rStyle w:val="InternetLink"/>
                  <w:rFonts w:ascii="times" w:hAnsi="times"/>
                  <w:sz w:val="20"/>
                </w:rPr>
                <w:t>Use of Proceeds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use_of_proceeds">
              <w:r>
                <w:rPr>
                  <w:rStyle w:val="InternetLink"/>
                  <w:rFonts w:ascii="times" w:hAnsi="times"/>
                  <w:sz w:val="20"/>
                </w:rPr>
                <w:t>10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price_range_of_class_a_shares_and_distributions">
              <w:r>
                <w:rPr>
                  <w:rStyle w:val="InternetLink"/>
                  <w:rFonts w:ascii="times" w:hAnsi="times"/>
                  <w:sz w:val="20"/>
                </w:rPr>
                <w:t>Price Range of Class A Shares and Distributions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price_range_of_class_a_shares_and_distributions">
              <w:r>
                <w:rPr>
                  <w:rStyle w:val="InternetLink"/>
                  <w:rFonts w:ascii="times" w:hAnsi="times"/>
                  <w:sz w:val="20"/>
                </w:rPr>
                <w:t>11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c76101_our_cash_distribution_policy">
              <w:r>
                <w:rPr>
                  <w:rStyle w:val="InternetLink"/>
                  <w:rFonts w:ascii="times" w:hAnsi="times"/>
                  <w:sz w:val="20"/>
                </w:rPr>
                <w:t>Our Cash Distribution Policy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c76101_our_cash_distribution_policy">
              <w:r>
                <w:rPr>
                  <w:rStyle w:val="InternetLink"/>
                  <w:rFonts w:ascii="times" w:hAnsi="times"/>
                  <w:sz w:val="20"/>
                </w:rPr>
                <w:t>12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c76101_the_partnership_agreement">
              <w:r>
                <w:rPr>
                  <w:rStyle w:val="InternetLink"/>
                  <w:rFonts w:ascii="times" w:hAnsi="times"/>
                  <w:sz w:val="20"/>
                </w:rPr>
                <w:t>The Partnership Agreement</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c76101_the_partnership_agreement">
              <w:r>
                <w:rPr>
                  <w:rStyle w:val="InternetLink"/>
                  <w:rFonts w:ascii="times" w:hAnsi="times"/>
                  <w:sz w:val="20"/>
                </w:rPr>
                <w:t>14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g76101_description_of_our_shares">
              <w:r>
                <w:rPr>
                  <w:rStyle w:val="InternetLink"/>
                  <w:rFonts w:ascii="times" w:hAnsi="times"/>
                  <w:sz w:val="20"/>
                </w:rPr>
                <w:t>Description of Our Shares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g76101_description_of_our_shares">
              <w:r>
                <w:rPr>
                  <w:rStyle w:val="InternetLink"/>
                  <w:rFonts w:ascii="times" w:hAnsi="times"/>
                  <w:sz w:val="20"/>
                </w:rPr>
                <w:t>27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g76101_material_u.s._federal_income_tax_consequences">
              <w:r>
                <w:rPr>
                  <w:rStyle w:val="InternetLink"/>
                  <w:rFonts w:ascii="times" w:hAnsi="times"/>
                  <w:sz w:val="20"/>
                </w:rPr>
                <w:t>Material U.S. Federal Income Tax Consequences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g76101_material_u.s._federal_income_tax_consequences">
              <w:r>
                <w:rPr>
                  <w:rStyle w:val="InternetLink"/>
                  <w:rFonts w:ascii="times" w:hAnsi="times"/>
                  <w:sz w:val="20"/>
                </w:rPr>
                <w:t>29</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investment_in_plains_gp_holdin__inv02443">
              <w:r>
                <w:rPr>
                  <w:rStyle w:val="InternetLink"/>
                  <w:rFonts w:ascii="times" w:hAnsi="times"/>
                  <w:sz w:val="20"/>
                </w:rPr>
                <w:t>Investment in Plains GP Holdings, L.P. by Employee Benefit Plans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investment_in_plains_gp_holdin__inv02443">
              <w:r>
                <w:rPr>
                  <w:rStyle w:val="InternetLink"/>
                  <w:rFonts w:ascii="times" w:hAnsi="times"/>
                  <w:sz w:val="20"/>
                </w:rPr>
                <w:t>35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selling_shareholder">
              <w:r>
                <w:rPr>
                  <w:rStyle w:val="InternetLink"/>
                  <w:rFonts w:ascii="times" w:hAnsi="times"/>
                  <w:sz w:val="20"/>
                </w:rPr>
                <w:t>Selling Shareholder</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selling_shareholder">
              <w:r>
                <w:rPr>
                  <w:rStyle w:val="InternetLink"/>
                  <w:rFonts w:ascii="times" w:hAnsi="times"/>
                  <w:sz w:val="20"/>
                </w:rPr>
                <w:t>37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underwriting">
              <w:r>
                <w:rPr>
                  <w:rStyle w:val="InternetLink"/>
                  <w:rFonts w:ascii="times" w:hAnsi="times"/>
                  <w:sz w:val="20"/>
                </w:rPr>
                <w:t>Underwriting</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underwriting">
              <w:r>
                <w:rPr>
                  <w:rStyle w:val="InternetLink"/>
                  <w:rFonts w:ascii="times" w:hAnsi="times"/>
                  <w:sz w:val="20"/>
                </w:rPr>
                <w:t>38</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k76101_legal_matters">
              <w:r>
                <w:rPr>
                  <w:rStyle w:val="InternetLink"/>
                  <w:rFonts w:ascii="times" w:hAnsi="times"/>
                  <w:sz w:val="20"/>
                </w:rPr>
                <w:t>Legal Matters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k76101_legal_matters">
              <w:r>
                <w:rPr>
                  <w:rStyle w:val="InternetLink"/>
                  <w:rFonts w:ascii="times" w:hAnsi="times"/>
                  <w:sz w:val="20"/>
                </w:rPr>
                <w:t>45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k76101_experts">
              <w:r>
                <w:rPr>
                  <w:rStyle w:val="InternetLink"/>
                  <w:rFonts w:ascii="times" w:hAnsi="times"/>
                  <w:sz w:val="20"/>
                </w:rPr>
                <w:t>Experts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k76101_experts">
              <w:r>
                <w:rPr>
                  <w:rStyle w:val="InternetLink"/>
                  <w:rFonts w:ascii="times" w:hAnsi="times"/>
                  <w:sz w:val="20"/>
                </w:rPr>
                <w:t>45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ha76101_appendix_a">
              <w:r>
                <w:rPr>
                  <w:rStyle w:val="InternetLink"/>
                  <w:rFonts w:ascii="times" w:hAnsi="times"/>
                  <w:sz w:val="20"/>
                </w:rPr>
                <w:t>Appendix A Glossary of Selected Terms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ha76101_appendix_a">
              <w:r>
                <w:rPr>
                  <w:rStyle w:val="InternetLink"/>
                  <w:rFonts w:ascii="times" w:hAnsi="times"/>
                  <w:sz w:val="20"/>
                </w:rPr>
                <w:t>A-1</w:t>
              </w:r>
            </w:hyperlink>
          </w:p>
        </w:tc>
        <w:tc>
          <w:tcPr>
            <w:tcW w:w="295" w:type="dxa"/>
            <w:tcBorders/>
            <w:shd w:fill="auto" w:val="clear"/>
            <w:vAlign w:val="bottom"/>
          </w:tcPr>
          <w:p>
            <w:pPr>
              <w:pStyle w:val="TableContents"/>
              <w:spacing w:before="0" w:after="283"/>
              <w:rPr/>
            </w:pPr>
            <w:r>
              <w:rPr/>
              <w:t> </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rPr/>
      </w:pPr>
      <w:r>
        <w:rPr/>
        <w:t>        </w:t>
      </w:r>
      <w:r>
        <w:rPr>
          <w:rFonts w:ascii="times" w:hAnsi="times"/>
          <w:b/>
          <w:sz w:val="20"/>
        </w:rPr>
        <w:t>You should rely only on the information contained in or incorporated by reference into this prospectus. We, the selling shareholder and the underwriters have not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pStyle w:val="TextBody"/>
        <w:rPr/>
      </w:pPr>
      <w:r>
        <w:rPr/>
        <w:t>        </w:t>
      </w:r>
      <w:r>
        <w:rPr>
          <w:rFonts w:ascii="times" w:hAnsi="times"/>
          <w:sz w:val="20"/>
        </w:rPr>
        <w:t xml:space="preserve">The information in this prospectus is not complete. You should review carefully all of the detailed information appearing in this prospectus, any free writing prospectus relating to this offering and the documents we have incorporated by reference before making any investment decision. </w:t>
      </w:r>
    </w:p>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76101a_main_toc">
        <w:bookmarkStart w:id="11" w:name="page_bi76101_1_2"/>
        <w:bookmarkEnd w:id="1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2" w:name="toc_bi76101_1"/>
      <w:bookmarkStart w:id="13" w:name="bi76101_guide_to_reading_this_prospectus"/>
      <w:bookmarkEnd w:id="12"/>
      <w:bookmarkEnd w:id="13"/>
      <w:r>
        <w:rPr>
          <w:rFonts w:ascii="times" w:hAnsi="times"/>
          <w:sz w:val="20"/>
        </w:rPr>
        <w:br/>
      </w:r>
      <w:r>
        <w:rPr>
          <w:rFonts w:ascii="times" w:hAnsi="times"/>
          <w:b/>
          <w:sz w:val="20"/>
        </w:rPr>
        <w:t xml:space="preserve">GUIDE TO READING THIS PROSPECTUS </w:t>
      </w:r>
    </w:p>
    <w:p>
      <w:pPr>
        <w:pStyle w:val="TextBody"/>
        <w:rPr/>
      </w:pPr>
      <w:r>
        <w:rPr/>
        <w:t>        </w:t>
      </w:r>
      <w:r>
        <w:rPr>
          <w:rFonts w:ascii="times" w:hAnsi="times"/>
          <w:sz w:val="20"/>
        </w:rPr>
        <w:t>The following information should help you understand some of the conventions used in this prospectus. All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 "us," "the Partnership" or "Plains GP Holdings, L.P." refer to Plains GP Holdings, L.P., the registrant itself, or to Plains GP Holdings, L.P. and our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refer to Plains All American Pipeline, L.P. (NYSE: PAA), individually, or to Plains All American Pipeline, L.P. and its operating subsidiaries collectively, as the context requires;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refer to PAA GP LLC,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 refer to Plains AAP, L.P., which owns a 100% membership interest in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refer to Plains All American GP LLC, the general partner of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PAA GP Holdings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"partnership agreement" refer to the Amended and Restated Agreement of Limited Partnership of Plains GP Holdings,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"Registration Rights Agreement" refer to the Shareholder and Registration Rights Agreement entered into with the Legacy Owners in connection with our initial public offering (our "IPO");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"affiliates" of our general partner do not include the Legacy Owners, other than PAA Management, L.P.;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"Legacy Owners" refer to owners of AAP immediately prior to our IPO, including the selling shareholder. </w:t>
      </w:r>
    </w:p>
    <w:p>
      <w:pPr>
        <w:pStyle w:val="TextBody"/>
        <w:jc w:val="center"/>
        <w:rPr>
          <w:rFonts w:ascii="times" w:hAnsi="times"/>
        </w:rPr>
      </w:pPr>
      <w:bookmarkStart w:id="14" w:name="toc_bi76101_2"/>
      <w:bookmarkStart w:id="15" w:name="bi76101_where_you_can_find_more_informat"/>
      <w:bookmarkEnd w:id="14"/>
      <w:bookmarkEnd w:id="15"/>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w:t>
      </w:r>
    </w:p>
    <w:p>
      <w:pPr>
        <w:pStyle w:val="TextBody"/>
        <w:rPr/>
      </w:pPr>
      <w:r>
        <w:rPr/>
        <w:t>        </w:t>
      </w:r>
      <w:r>
        <w:rPr>
          <w:rFonts w:ascii="times" w:hAnsi="times"/>
          <w:sz w:val="20"/>
        </w:rPr>
        <w:t>We incorporate by reference the documents listed below and any future filings we make with the SEC under Section 13(a), 13(c), 14 or 15(d) of the Securities Exchange Act of 1934, as amended (the "Exchange Act") (excluding any information furnished pursuant to Item 2.02 or 7.01 on any Current Report on Form 8-K) until the offering under this registration statement is completed: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Annual Report on Form 10-K for the year ended December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Quarterly Reports on Form 10-Q for the quarterly periods ended March 31, 2014, June 30, 2014 and September 30,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Current Reports on Form 8-K filed on January 10, 2014, January 28, 2014, April 29, 2014, September 11, 2014, September 25, 2014 and November 6, 2014; and </w:t>
      </w:r>
    </w:p>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76101a_main_toc">
        <w:bookmarkStart w:id="16" w:name="page_bi76101_1_3"/>
        <w:bookmarkEnd w:id="1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description of our Class A shares contained in our Registration Statement on Form 8-A, filed on October 15, 2013, and any subsequent amendment or report filed for the purpose of updating such description. </w:t>
      </w:r>
    </w:p>
    <w:p>
      <w:pPr>
        <w:pStyle w:val="TextBody"/>
        <w:rPr/>
      </w:pPr>
      <w:r>
        <w:rPr/>
        <w:t>        </w:t>
      </w:r>
      <w:r>
        <w:rPr>
          <w:rFonts w:ascii="times" w:hAnsi="times"/>
          <w:sz w:val="20"/>
        </w:rPr>
        <w:t xml:space="preserve">You may request a copy of any document incorporated by reference in this prospectus and any exhibit specifically incorporated by reference in those documents, at no cost, by writing or telephoning us at the following address or phone number: </w:t>
      </w:r>
    </w:p>
    <w:p>
      <w:pPr>
        <w:pStyle w:val="TextBody"/>
        <w:jc w:val="center"/>
        <w:rPr>
          <w:rFonts w:ascii="times" w:hAnsi="times"/>
          <w:sz w:val="20"/>
        </w:rPr>
      </w:pPr>
      <w:r>
        <w:rPr>
          <w:rFonts w:ascii="times" w:hAnsi="times"/>
          <w:sz w:val="20"/>
        </w:rPr>
        <w:t>Plains GP Holdings, L.P.</w:t>
        <w:br/>
        <w:t>Investor Relations</w:t>
        <w:br/>
        <w:t>333 Clay Street, Suite 1600</w:t>
        <w:br/>
        <w:t>Houston, Texas 77002</w:t>
        <w:br/>
        <w:t xml:space="preserve">(713) 646-4100 </w:t>
      </w:r>
    </w:p>
    <w:p>
      <w:pPr>
        <w:pStyle w:val="TextBody"/>
        <w:rPr/>
      </w:pPr>
      <w:r>
        <w:rPr/>
        <w:t>        </w:t>
      </w:r>
      <w:r>
        <w:rPr>
          <w:rFonts w:ascii="times" w:hAnsi="times"/>
          <w:sz w:val="20"/>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w:hAnsi="times"/>
          <w:i/>
          <w:sz w:val="20"/>
        </w:rPr>
        <w:t>www.sec.gov</w:t>
      </w:r>
      <w:r>
        <w:rPr>
          <w:rFonts w:ascii="times" w:hAnsi="times"/>
          <w:sz w:val="20"/>
        </w:rPr>
        <w:t xml:space="preserve">. </w:t>
      </w:r>
    </w:p>
    <w:p>
      <w:pPr>
        <w:pStyle w:val="TextBody"/>
        <w:rPr/>
      </w:pPr>
      <w:r>
        <w:rPr/>
        <w:t>        </w:t>
      </w:r>
      <w:r>
        <w:rPr>
          <w:rFonts w:ascii="times" w:hAnsi="times"/>
          <w:sz w:val="20"/>
        </w:rPr>
        <w:t xml:space="preserve">We also make available free of charge on our website at </w:t>
      </w:r>
      <w:r>
        <w:rPr>
          <w:rFonts w:ascii="times" w:hAnsi="times"/>
          <w:i/>
          <w:sz w:val="20"/>
        </w:rPr>
        <w:t>ir.paagp.com</w:t>
      </w:r>
      <w:r>
        <w:rPr>
          <w:rFonts w:ascii="times" w:hAnsi="times"/>
        </w:rPr>
        <w:t xml:space="preserve"> </w:t>
      </w:r>
      <w:r>
        <w:rPr>
          <w:rFonts w:ascii="times" w:hAnsi="times"/>
          <w:sz w:val="20"/>
        </w:rPr>
        <w:t xml:space="preserve">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jc w:val="center"/>
        <w:rPr>
          <w:rFonts w:ascii="times" w:hAnsi="times"/>
        </w:rPr>
      </w:pPr>
      <w:bookmarkStart w:id="17" w:name="toc_bi76101_3"/>
      <w:bookmarkStart w:id="18" w:name="bi76101_forward-looking_statements"/>
      <w:bookmarkEnd w:id="17"/>
      <w:bookmarkEnd w:id="18"/>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pay distributions to our Class A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expected receipt of, and amounts of, distributions from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76101a_main_toc">
        <w:bookmarkStart w:id="19" w:name="page_bi76101_1_4"/>
        <w:bookmarkEnd w:id="1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our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including the impact of extreme weather events or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our cost of capital or limit our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our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our counterparties, including financial institutions and trading companies with which we do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our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our risk management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our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its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our facilities, including our ability to satisfy our contractual obligations to our customers at our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p>
      <w:pPr>
        <w:pStyle w:val="TextBody"/>
        <w:rPr/>
      </w:pPr>
      <w:r>
        <w:rPr/>
        <w:t>        </w:t>
      </w:r>
      <w:r>
        <w:rPr>
          <w:rFonts w:ascii="times" w:hAnsi="times"/>
          <w:sz w:val="20"/>
        </w:rPr>
        <w:t xml:space="preserve">Other factors described or incorporated by reference herein, as well as factors that are unknown or unpredictable, could also have a material adverse effect on future results. Please read "Risk Factors" beginning on page 9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76101a_main_toc">
        <w:bookmarkStart w:id="20" w:name="page_ca76101_1_1"/>
        <w:bookmarkEnd w:id="20"/>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21" w:name="toc_ca76101_1"/>
      <w:bookmarkStart w:id="22" w:name="ca76101_summary"/>
      <w:bookmarkEnd w:id="21"/>
      <w:bookmarkEnd w:id="22"/>
      <w:r>
        <w:rPr>
          <w:rFonts w:ascii="times" w:hAnsi="times"/>
          <w:sz w:val="20"/>
          <w:bdr w:val="single" w:sz="8" w:space="12" w:color="000000"/>
        </w:rPr>
        <w:br/>
      </w:r>
      <w:r>
        <w:rPr>
          <w:rFonts w:ascii="times" w:hAnsi="times"/>
          <w:b/>
          <w:sz w:val="20"/>
          <w:bdr w:val="single" w:sz="8" w:space="12" w:color="000000"/>
        </w:rPr>
        <w:t xml:space="preserve">SUMMARY </w:t>
      </w:r>
    </w:p>
    <w:p>
      <w:pPr>
        <w:pStyle w:val="TextBody"/>
        <w:ind w:left="0" w:right="0" w:firstLine="240"/>
        <w:rPr>
          <w:bdr w:val="single" w:sz="8" w:space="12" w:color="000000"/>
        </w:rPr>
      </w:pPr>
      <w:r>
        <w:rPr>
          <w:bdr w:val="single" w:sz="8" w:space="12" w:color="000000"/>
        </w:rPr>
        <w:t>        </w:t>
      </w:r>
      <w:r>
        <w:rPr>
          <w:rFonts w:ascii="times" w:hAnsi="times"/>
          <w:i/>
          <w:sz w:val="20"/>
          <w:bdr w:val="single" w:sz="8" w:space="12" w:color="000000"/>
        </w:rPr>
        <w:t>This summary highlights information included or incorporated by reference in this prospectus. You should read carefully the entire prospectus, the documents incorporated by reference herein and the other documents to which we refer for a more complete understanding of this offering. Furthermore, you should carefully read "Risk Factors" and "Forward-Looking Statements" for more information about important risks that you should consider before making a decision to purchase Class A shares in this offering. We include a glossary of some of the terms used in this prospectus as Appendix A.</w:t>
      </w:r>
    </w:p>
    <w:p>
      <w:pPr>
        <w:pStyle w:val="TextBody"/>
        <w:ind w:left="0" w:right="0" w:firstLine="240"/>
        <w:jc w:val="center"/>
        <w:rPr>
          <w:rFonts w:ascii="times" w:hAnsi="times"/>
          <w:bdr w:val="single" w:sz="8" w:space="12" w:color="000000"/>
        </w:rPr>
      </w:pPr>
      <w:bookmarkStart w:id="23" w:name="toc_ca76101_2"/>
      <w:bookmarkStart w:id="24" w:name="ca76101_plains_gp_holdings,_l.p."/>
      <w:bookmarkEnd w:id="23"/>
      <w:bookmarkEnd w:id="24"/>
      <w:r>
        <w:rPr>
          <w:rFonts w:ascii="times" w:hAnsi="times"/>
          <w:sz w:val="20"/>
          <w:bdr w:val="single" w:sz="8" w:space="12" w:color="000000"/>
        </w:rPr>
        <w:br/>
      </w:r>
      <w:r>
        <w:rPr>
          <w:rFonts w:ascii="times" w:hAnsi="times"/>
          <w:b/>
          <w:sz w:val="20"/>
          <w:bdr w:val="single" w:sz="8" w:space="12" w:color="000000"/>
        </w:rPr>
        <w:t xml:space="preserve">Plains GP Holdings,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are a Delaware limited partnership formed in July 2013 that has elected to be treated as a corporation for U.S. federal income tax purposes. As of September 30, 2014, our only cash-generating assets consisted of 136,046,637 Class A Units in AAP, which we refer to as AAP units, which represent a 22.4% limited partner interest in AAP (20.9% economic interest including the dilutive effect of the AAP management units). AAP currently owns all of the incentive distribution rights ("IDRs") and an indirect 2% general partner interest in PAA.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Our Business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As of September 30, 2014, our only cash-generating assets consisted of 136,046,637 Class A Units in AAP, which represented a 22.4% limited partner interest in AAP (20.9% economic interest including the dilutive effect of the AAP management units). Unless we directly acquire and hold assets or businesses in the future, our cash flows will be generated solely from the cash distributions we receive from AAP. AAP does not own any common units in PAA and currently receives all of its cash flows from distributions on its direct ownership of PAA's IDRs and its indirect ownership of PAA's 2% general partner interest. AAP's ownership of both of these interests entitles it to receive, without duplication:</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 of all cash distributed in a quarter until $0.2250 has been distributed in respect of each common unit of PAA for that quarter;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15% of all cash distributed in a quarter after $0.2250 has been distributed in respect of each common unit of PAA for that quarter;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25% of all cash distributed in a quarter after $0.2475 has been distributed in respect of each common unit of PAA for that quarter;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76101a_main_toc">
        <w:bookmarkStart w:id="25" w:name="page_ca76101_1_2"/>
        <w:bookmarkEnd w:id="2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50% of all cash distributed in a quarter after $0.3375 has been distributed in respect of each common unit of PAA for that quarter.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Such amounts do not take into account temporary and permanent reductions in IDR payments that are currently in place in connection with past PAA acquisition activities or that may be implemented with respect to future activities. 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future growth in distributions we receive from AAP will not result from an increase in the percentage participation rate associated with the IDRs.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a result of our ownership of an interest in PAA's IDRs through our ownership interest in AAP, we are positioned to grow our distributions disproportionately relative to the growth rate of PAA's common unit distributions. Distributions by PAA to AAP will grow at a multiple of the underlying rate of growth of PAA's distributions. 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Our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financial strategy is designed to be complementary with PAA's financial and business strategies. Because our only cash-generating assets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September 30, 2014, AAP had $531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PAA's consolidated credit profile, as such equity issuances are typically used to pay down existing debt or fund PAA's growth through acquisitions or organic growth opportunities. We would expect to fund direct acquisitions made by us, if any, with a combination of debt and equity. </w:t>
      </w:r>
    </w:p>
    <w:p>
      <w:pPr>
        <w:pStyle w:val="TextBody"/>
        <w:ind w:left="0" w:right="0" w:firstLine="240"/>
        <w:jc w:val="center"/>
        <w:rPr>
          <w:rFonts w:ascii="times" w:hAnsi="times"/>
          <w:bdr w:val="single" w:sz="8" w:space="12" w:color="000000"/>
        </w:rPr>
      </w:pPr>
      <w:bookmarkStart w:id="26" w:name="toc_ca76101_3"/>
      <w:bookmarkStart w:id="27" w:name="ca76101_plains_all_american_pipeline,_l."/>
      <w:bookmarkEnd w:id="26"/>
      <w:bookmarkEnd w:id="27"/>
      <w:r>
        <w:rPr>
          <w:rFonts w:ascii="times" w:hAnsi="times"/>
          <w:sz w:val="20"/>
          <w:bdr w:val="single" w:sz="8" w:space="12" w:color="000000"/>
        </w:rPr>
        <w:br/>
      </w:r>
      <w:r>
        <w:rPr>
          <w:rFonts w:ascii="times" w:hAnsi="times"/>
          <w:b/>
          <w:sz w:val="20"/>
          <w:bdr w:val="single" w:sz="8" w:space="12" w:color="000000"/>
        </w:rPr>
        <w:t xml:space="preserve">Plains All American Pipeline, L.P.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Assets and Operating Activities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currently have no separate operating activities apart from those of PAA, which are managed through three operating segments: (i) Transportation, (ii) Facilities, and (iii) Supply and Logistics. Following is a description of the activities and assets for each business segment as of December 31, 2013: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Transportation Segment.</w:t>
      </w:r>
      <w:r>
        <w:rPr>
          <w:rFonts w:ascii="times" w:hAnsi="times"/>
          <w:bdr w:val="single" w:sz="8" w:space="12" w:color="000000"/>
        </w:rPr>
        <w:t>    </w:t>
      </w:r>
      <w:r>
        <w:rPr>
          <w:rFonts w:ascii="times" w:hAnsi="times"/>
          <w:sz w:val="20"/>
          <w:bdr w:val="single" w:sz="8" w:space="12" w:color="000000"/>
        </w:rPr>
        <w:t>Our transportation segment operations generally consist of fee-based activities associated with transporting crude oil and NGL on pipelines, gathering systems, trucks and barges. We generate revenue through a combination of tariffs, third-party leases of pipeline capacity and other transportation fees. As of December 31, 2013, we employed a variety of owned or, to a much lesser extent, leased long-term physical assets throughout the United States and Canada in this segment,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16,900 miles of active crude oil, NGL pipelines and gathering systems;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76101a_main_toc">
        <w:bookmarkStart w:id="28" w:name="page_ca76101_1_3"/>
        <w:bookmarkEnd w:id="2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24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744 trailers (primarily in Canada);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130 transport and storage barges and 62 transport tugs through our interest in Settoon Towing, LLC ("Settoon Towing").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also include in this segment our equity earnings from our investments in Settoon Towing and the White Cliffs, Butte, Frontier and Eagle Ford pipeline systems, in which we own noncontrolling interests.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Facilities Segment.</w:t>
      </w:r>
      <w:r>
        <w:rPr>
          <w:rFonts w:ascii="times" w:hAnsi="times"/>
          <w:bdr w:val="single" w:sz="8" w:space="12" w:color="000000"/>
        </w:rPr>
        <w:t>    </w:t>
      </w:r>
      <w:r>
        <w:rPr>
          <w:rFonts w:ascii="times" w:hAnsi="times"/>
          <w:sz w:val="20"/>
          <w:bdr w:val="single" w:sz="8" w:space="12" w:color="000000"/>
        </w:rPr>
        <w:t>Our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We generate revenue through a combination of month-to-month and multi-year leases and processing arrangements. As of December 31, 2013, we owned, operated or employed a variety of long-term physical assets throughout the United States and Canada in this segment, including: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74 million barrels of crude oil and refined products storage capacity primarily at our terminalling and storage locations;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23 million barrels of NGL storage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97 billion cubic feet ("Bcf") of natural gas storage working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17 Bcf of owned base gas;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11 natural gas processing plants located throughout Canada and the Gulf Coast area of the United States;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condensate stabilization facility located in the Eagle Ford area of South Texas with an aggregate processing capacity of approximately 80,000 barrels per day;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24 crude oil and NGL rail terminals located throughout the United States and Canada;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1,250 miles of active pipelines that support our facilities assets, consisting primarily of NGL and natural gas pipelines.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Supply and Logistics Segment.</w:t>
      </w:r>
      <w:r>
        <w:rPr>
          <w:rFonts w:ascii="times" w:hAnsi="times"/>
          <w:bdr w:val="single" w:sz="8" w:space="12" w:color="000000"/>
        </w:rPr>
        <w:t>    </w:t>
      </w:r>
      <w:r>
        <w:rPr>
          <w:rFonts w:ascii="times" w:hAnsi="times"/>
          <w:sz w:val="20"/>
          <w:bdr w:val="single" w:sz="8" w:space="12" w:color="000000"/>
        </w:rPr>
        <w:t>Our supply and logistics segment operations generally consist of the following merchant-related activities: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NGL from producers, refiners, processors and other marketers;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resale or exchange of crude oil and NGL at various points along the distribution chain to refiners or other resellers to maximize profits;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76101a_main_toc">
        <w:bookmarkStart w:id="29" w:name="page_ca76101_1_4"/>
        <w:bookmarkEnd w:id="2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transportation of crude oil and NGL on trucks, barges, railcars, pipelines and ocean-going vessels from various delivery points, market hub locations or directly to end users such as refineries, processors and fractionation facilities.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addition to substantial working inventories associated with its merchant activities, as of December 31, 2013, the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12 million barrels of crude oil and NGL linefill in pipelines owned by us;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4 million barrels of crude oil and NGL linefill in pipelines owned by third parties and other long-term inventory;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843 trucks and 982 trailers;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7,400 crude oil and NGL railcars.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Business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We believe PAA's successful execution of this strategy will enable it to generate sustainable earnings and cash flow. PAA intends to manage and grow its business by: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commercially optimizing its existing assets and realizing cost efficiencies through operational improvements;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developing and implementing internal growth projects that (i) address evolving crude oil and NGL needs in the midstream transportation and infrastructure sector and (ii) are well positioned to benefit from long-term industry trends and opportunities;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selectively pursuing strategic and accretive acquisitions that complement its existing asset base and distribution capabilities;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capitalizing on anticipated intermediate to long-term opportunities for natural gas storage services in North America by owning and operating high-quality natural gas storage facilities and providing its current and future customers reliable, competitive and flexible natural gas storage and related services.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76101a_main_toc">
        <w:bookmarkStart w:id="30" w:name="page_ca76101_1_5"/>
        <w:bookmarkEnd w:id="30"/>
        <w:r>
          <w:rPr>
            <w:rStyle w:val="InternetLink"/>
            <w:rFonts w:ascii="times" w:hAnsi="times"/>
            <w:sz w:val="20"/>
          </w:rPr>
          <w:t>Table of Contents</w:t>
        </w:r>
      </w:hyperlink>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Competitive Strengths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the following competitive strengths position PAA to successfully execute its principal business strategy: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many of PAA's transportation segment and facilities segment assets are strategically located and operationally flexible;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possesses specialized crude oil market knowledge;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PAA's supply and logistics activities typically generate a base level of margin with the opportunity to realize incremental margins;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the evaluation, integration and engineering skill sets and the financial flexibility to continue to pursue acquisition and expansion opportunities;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an experienced management team whose interests are aligned with those of its unitholders.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long-term debt-to-total capitalization ratio of approximately 45% to 50%;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total debt-to-total capitalization ratio of approximately 60%;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adjusted EBITDA-to-interest coverage multiple of approximately 3.3x or better.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and IntercontinentalExchange margin requirements. In certain market conditions, these routine short-term debt levels may increase significantly above baseline levels.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order for PAA to maintain its targeted credit profile and achieve growth through internal growth projects and acquisitions,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capital expansion projects to adjusted EBITDA.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76101a_main_toc">
        <w:bookmarkStart w:id="31" w:name="page_ca76101_1_6"/>
        <w:bookmarkEnd w:id="31"/>
        <w:r>
          <w:rPr>
            <w:rStyle w:val="InternetLink"/>
            <w:rFonts w:ascii="times" w:hAnsi="times"/>
            <w:sz w:val="20"/>
          </w:rPr>
          <w:t>Table of Contents</w:t>
        </w:r>
      </w:hyperlink>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Recent Developments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Our Distribution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8, 2014, we announced that we will pay a quarterly cash distribution of $0.19075 per Class A share ($0.7630 on an annualized basis) on November 14, 2014 to holders of record on October 31, 2014. Purchasers in this offering will not be entitled to receive the distribution payable on November 14, 2014.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PAA Distribution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8, 2014, PAA announced that it will pay a quarterly cash distribution of $0.6600 per PAA common unit ($2.64 on an annualized basis) on November 14, 2014 to holders of record on October 31, 2014.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Acquisition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of November 5, 2014, PAA entered into a definitive purchase and sale agreement with an affiliate of Occidental Petroleum Corporation ("Occidental") that provides for PAA's purchase of Occidental's 50% interest in BridgeTex Pipeline Company LLC ("BridgeTex") for $1.075 billion. BridgeTex owns a 300,000 barrel-per-day crude oil pipeline ("BridgeTex Pipeline") that extends from Colorado City in West Texas to Houston, with a southern leg from Houston to Texas City (the "Texas City Leg"). The remaining 50% interest in BridgeTex is owned by Magellan Midstream Partners, L.P. ("MMP"), which is also the operator of the BridgeTex Pipeline. Contemporaneous with the purchase by PAA of Occidental's 50% interest in BridgeTex, BridgeTex has agreed to sell the Texas City Leg to MMP, and MMP has agreed to enter into a long term capacity lease with BridgeTex pursuant to which shippers on the BridgeTex Pipeline will have access to capacity on the Texas City Leg.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addition to customary closing conditions and the contemporaneous consummation of the sale of the Texas City Leg and execution of the capacity lease, PAA's acquisition of Occidental's 50% interest in BridgeTex is subject to the completion by us, prior to December 31, 2014, of this offering. In order to facilitate the offering and the overall transaction, (i) the board of directors of our general partner has agreed to an early release of the 15-month lock-up arrangement that was originally imposed on certain of our shareholders, including the selling shareholder, in connection with our initial public offering in October 2013, and (ii) certain affiliates of Kayne Anderson Investment Management, Inc., the Energy &amp; Minerals Group and PAA Management, L.P. have agreed to waive their participation rights in this offering, and (iii) the selling shareholder, certain affiliates of Kayne Anderson Investment Management, Inc., The Energy &amp; Minerals Group and PAA Management, L.P. have agreed to refrain from selling any of their respective interests in us for a period of up to 90 days following this offering. If the offering is not completed prior to December 31, 2014, both Occidental and PAA have the right to terminate the purchase and sale agreement.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Principal Executive Offices and Internet Address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principal executive offices are located at 333 Clay Street, Suite 1600, Houston, TX 77002 and our telephone number is (713) 646-4100. Our website is located at </w:t>
      </w:r>
      <w:r>
        <w:rPr>
          <w:rFonts w:ascii="times" w:hAnsi="times"/>
          <w:i/>
          <w:sz w:val="20"/>
          <w:bdr w:val="single" w:sz="8" w:space="12" w:color="000000"/>
        </w:rPr>
        <w:t>www.plainsallamerican.com</w:t>
      </w:r>
      <w:r>
        <w:rPr>
          <w:rFonts w:ascii="times" w:hAnsi="times"/>
          <w:sz w:val="20"/>
          <w:bdr w:val="single" w:sz="8" w:space="12" w:color="000000"/>
        </w:rPr>
        <w:t xml:space="preserve">.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Risk Factors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An investment in our Class A shares involves a high degree of risk. For more information about these and other risks, please read "Risk Factors" beginning on page 9 of this prospectus. You should consider carefully these risk factors together with all of the other information included in, or incorporated by reference into, this prospectus before you invest in our Class A shares.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76101a_main_toc">
        <w:bookmarkStart w:id="32" w:name="page_cc76101_1_7"/>
        <w:bookmarkEnd w:id="32"/>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33" w:name="toc_cc76101_1"/>
      <w:bookmarkStart w:id="34" w:name="cc76101_the_offering"/>
      <w:bookmarkEnd w:id="33"/>
      <w:bookmarkEnd w:id="34"/>
      <w:r>
        <w:rPr>
          <w:rFonts w:ascii="times" w:hAnsi="times"/>
          <w:sz w:val="20"/>
          <w:bdr w:val="single" w:sz="8" w:space="12" w:color="000000"/>
        </w:rPr>
        <w:br/>
      </w:r>
      <w:r>
        <w:rPr>
          <w:rFonts w:ascii="times" w:hAnsi="times"/>
          <w:b/>
          <w:sz w:val="20"/>
          <w:bdr w:val="single" w:sz="8" w:space="12" w:color="000000"/>
        </w:rPr>
        <w:t xml:space="preserve">The Offering </w:t>
      </w:r>
    </w:p>
    <w:tbl>
      <w:tblPr>
        <w:tblW w:w="5000" w:type="pct"/>
        <w:jc w:val="center"/>
        <w:tblInd w:w="0" w:type="dxa"/>
        <w:tblCellMar>
          <w:top w:w="0" w:type="dxa"/>
          <w:left w:w="0" w:type="dxa"/>
          <w:bottom w:w="0" w:type="dxa"/>
          <w:right w:w="0" w:type="dxa"/>
        </w:tblCellMar>
      </w:tblPr>
      <w:tblGrid>
        <w:gridCol w:w="2848"/>
        <w:gridCol w:w="83"/>
        <w:gridCol w:w="7274"/>
      </w:tblGrid>
      <w:tr>
        <w:trPr/>
        <w:tc>
          <w:tcPr>
            <w:tcW w:w="2848"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274" w:type="dxa"/>
            <w:tcBorders/>
            <w:shd w:fill="auto" w:val="clear"/>
            <w:vAlign w:val="center"/>
          </w:tcPr>
          <w:p>
            <w:pPr>
              <w:pStyle w:val="TableContents"/>
              <w:spacing w:before="0" w:after="283"/>
              <w:rPr>
                <w:sz w:val="4"/>
                <w:szCs w:val="4"/>
              </w:rPr>
            </w:pPr>
            <w:r>
              <w:rPr>
                <w:sz w:val="4"/>
                <w:szCs w:val="4"/>
              </w:rPr>
            </w:r>
          </w:p>
        </w:tc>
      </w:tr>
      <w:tr>
        <w:trPr/>
        <w:tc>
          <w:tcPr>
            <w:tcW w:w="2848" w:type="dxa"/>
            <w:tcBorders/>
            <w:shd w:fill="auto" w:val="clear"/>
          </w:tcPr>
          <w:p>
            <w:pPr>
              <w:pStyle w:val="TableContents"/>
              <w:spacing w:before="0" w:after="283"/>
              <w:ind w:left="200" w:right="0" w:hanging="200"/>
              <w:rPr>
                <w:rFonts w:ascii="times" w:hAnsi="times"/>
                <w:sz w:val="20"/>
              </w:rPr>
            </w:pPr>
            <w:r>
              <w:rPr>
                <w:rFonts w:ascii="times" w:hAnsi="times"/>
                <w:sz w:val="20"/>
              </w:rPr>
              <w:t>Class A shares offered by the selling shareholder</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0" w:after="283"/>
              <w:rPr>
                <w:rFonts w:ascii="times" w:hAnsi="times"/>
                <w:sz w:val="20"/>
              </w:rPr>
            </w:pPr>
            <w:r>
              <w:rPr>
                <w:rFonts w:ascii="times" w:hAnsi="times"/>
                <w:sz w:val="20"/>
              </w:rPr>
              <w:t>60,000,000 Class A shares (69,000,000 Class A shares if the underwriters exercise in full their option to purchase additional Class A shares from the selling shareholder).</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Class A shares outstanding after this offering</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196,046,637 Class A shares (205,046,637 Class A shares if the underwriters exercise in full their option to purchase additional Class A shares from the selling shareholder). If all outstanding Class B shares and AAP units held by the Legacy Owners were exchanged for newly issued Class A shares on a one-for-one basis, 606,029,773 Class A shares would be outstanding.</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Class B shares outstanding after this offering</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409,983,136 Class B shares (400,983,136 Class B shares if the underwriters exercise in full their option to purchase additional Class A shares from the selling shareholder), or one Class B share for each AAP unit held by the Legacy Owners immediately following this offering.</w:t>
            </w:r>
          </w:p>
        </w:tc>
      </w:tr>
      <w:tr>
        <w:trPr/>
        <w:tc>
          <w:tcPr>
            <w:tcW w:w="2848" w:type="dxa"/>
            <w:tcBorders/>
            <w:shd w:fill="auto" w:val="clear"/>
          </w:tcPr>
          <w:p>
            <w:pPr>
              <w:pStyle w:val="TableContents"/>
              <w:spacing w:before="0" w:after="283"/>
              <w:ind w:left="200" w:right="0" w:hanging="200"/>
              <w:rPr>
                <w:sz w:val="4"/>
                <w:szCs w:val="4"/>
              </w:rPr>
            </w:pPr>
            <w:r>
              <w:rPr>
                <w:sz w:val="4"/>
                <w:szCs w:val="4"/>
              </w:rPr>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The Class A shares offered hereby will be acquired by the selling shareholder immediately prior to the completion of this offering upon exercise by the selling shareholder of the Exchange Right for an equivalent number of Class B shares, AAP units and general partner units, which were acquired by the selling shareholder in connection with our IPO in October 2013. See "Selling Shareholder."</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Use of proceeds</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We will not receive any proceeds from the sale of Class A shares by the selling shareholder in this offering. See "Use of Proceeds."</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Listing and trading symbol</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Our Class A shares are traded on the New York Stock Exchange under the symbol "PAGP."</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Cash Distributions</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Our partnership agreement requires us to distribute all of our available cash quarterly, less cash reserves established by our general partner and payment of fees and expenses. Please read "Our Cash Distribution Policy."</w:t>
            </w:r>
          </w:p>
        </w:tc>
      </w:tr>
      <w:tr>
        <w:trPr/>
        <w:tc>
          <w:tcPr>
            <w:tcW w:w="2848" w:type="dxa"/>
            <w:tcBorders/>
            <w:shd w:fill="auto" w:val="clear"/>
          </w:tcPr>
          <w:p>
            <w:pPr>
              <w:pStyle w:val="TableContents"/>
              <w:spacing w:before="0" w:after="283"/>
              <w:ind w:left="200" w:right="0" w:hanging="200"/>
              <w:rPr>
                <w:sz w:val="4"/>
                <w:szCs w:val="4"/>
              </w:rPr>
            </w:pPr>
            <w:r>
              <w:rPr>
                <w:sz w:val="4"/>
                <w:szCs w:val="4"/>
              </w:rPr>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On October 8, 2014, we announced that we will pay a quarterly cash distribution of $0.19075 per Class A share ($0.7630 on an annualized basis) on November 14, 2014 to holders of record on October 31, 2014. Purchasers in this offering will not be entitled to receive the distribution payable on November 14, 2014.</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76101a_main_toc">
        <w:bookmarkStart w:id="35" w:name="page_cc76101_1_8"/>
        <w:bookmarkEnd w:id="3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109"/>
        <w:gridCol w:w="66"/>
        <w:gridCol w:w="9030"/>
      </w:tblGrid>
      <w:tr>
        <w:trPr/>
        <w:tc>
          <w:tcPr>
            <w:tcW w:w="110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9030" w:type="dxa"/>
            <w:tcBorders/>
            <w:shd w:fill="auto" w:val="clear"/>
            <w:vAlign w:val="center"/>
          </w:tcPr>
          <w:p>
            <w:pPr>
              <w:pStyle w:val="TableContents"/>
              <w:spacing w:before="0" w:after="283"/>
              <w:rPr>
                <w:sz w:val="4"/>
                <w:szCs w:val="4"/>
              </w:rPr>
            </w:pPr>
            <w:r>
              <w:rPr>
                <w:sz w:val="4"/>
                <w:szCs w:val="4"/>
              </w:rPr>
            </w:r>
          </w:p>
        </w:tc>
      </w:tr>
      <w:tr>
        <w:trPr/>
        <w:tc>
          <w:tcPr>
            <w:tcW w:w="1109" w:type="dxa"/>
            <w:tcBorders/>
            <w:shd w:fill="auto" w:val="clear"/>
          </w:tcPr>
          <w:p>
            <w:pPr>
              <w:pStyle w:val="TableContents"/>
              <w:spacing w:before="0" w:after="283"/>
              <w:ind w:left="200" w:right="0" w:hanging="200"/>
              <w:rPr>
                <w:rFonts w:ascii="times" w:hAnsi="times"/>
                <w:sz w:val="20"/>
              </w:rPr>
            </w:pPr>
            <w:r>
              <w:rPr>
                <w:rFonts w:ascii="times" w:hAnsi="times"/>
                <w:sz w:val="20"/>
              </w:rPr>
              <w:t>Material Tax Consequences</w:t>
            </w:r>
          </w:p>
        </w:tc>
        <w:tc>
          <w:tcPr>
            <w:tcW w:w="66" w:type="dxa"/>
            <w:tcBorders/>
            <w:shd w:fill="auto" w:val="clear"/>
          </w:tcPr>
          <w:p>
            <w:pPr>
              <w:pStyle w:val="TableContents"/>
              <w:spacing w:before="0" w:after="283"/>
              <w:rPr/>
            </w:pPr>
            <w:r>
              <w:rPr/>
              <w:t> </w:t>
            </w:r>
          </w:p>
        </w:tc>
        <w:tc>
          <w:tcPr>
            <w:tcW w:w="9030" w:type="dxa"/>
            <w:tcBorders/>
            <w:shd w:fill="auto" w:val="clear"/>
            <w:vAlign w:val="bottom"/>
          </w:tcPr>
          <w:p>
            <w:pPr>
              <w:pStyle w:val="TableContents"/>
              <w:spacing w:before="0" w:after="283"/>
              <w:ind w:left="0" w:right="0" w:hanging="0"/>
              <w:rPr>
                <w:rFonts w:ascii="times" w:hAnsi="times"/>
                <w:sz w:val="20"/>
              </w:rPr>
            </w:pPr>
            <w:r>
              <w:rPr>
                <w:rFonts w:ascii="times" w:hAnsi="times"/>
                <w:sz w:val="20"/>
              </w:rPr>
              <w:t>Although we are a limited partnership, we have elected to be treated as a corporation for U.S. federal income tax purposes. As a result, we are subject to tax as a corporation and distributions on our Class A shares are treated as distributions on corporate stock for U.S. federal income tax purposes. No Schedule K-1s will be issued with respect to the Class A shares, but instead holders of Class A shares will receive a Form 1099 from us with respect to distributions received on the Class A shares. Distributions with respect to our Class A shares will constitute dividends to the extent paid from our current or accumulated earnings and profits (as determined under U.S. federal income tax principles). To the extent that the amount of a distribution with respect to our Class A shares exceeds our current and accumulated earnings and profits, and thus does not constitute a dividend, such distribution will be treated first as a tax-free return of capital that will reduce your tax basis in your Class A shares, and thereafter as capital gain. Because both AAP and PAA have made elections permitted by Section 754 of the Internal Revenue Code, our acquisition of AAP units in connection with our IPO and in connection with exchanges by the Legacy Owners and their permitted transferees of their AAP units and Class B shares for Class A shares since the IPO, including exchanges in connection with this offering, have resulted and will result in tax deductions that we anticipate will offset a substantial portion of our taxable income for an extended period of time. In addition, in the future, as the Legacy Owners exchange their AAP units and Class B shares in us for our Class A shares, we expect to benefit from additional tax deductions resulting from those exchanges, the amount of which will vary depending on the value of the Class A shares at the time of the exchange.</w:t>
            </w:r>
          </w:p>
        </w:tc>
      </w:tr>
      <w:tr>
        <w:trPr/>
        <w:tc>
          <w:tcPr>
            <w:tcW w:w="1109" w:type="dxa"/>
            <w:tcBorders/>
            <w:shd w:fill="auto" w:val="clear"/>
          </w:tcPr>
          <w:p>
            <w:pPr>
              <w:pStyle w:val="TableContents"/>
              <w:spacing w:before="0" w:after="283"/>
              <w:ind w:left="200" w:right="0" w:hanging="200"/>
              <w:rPr>
                <w:sz w:val="4"/>
                <w:szCs w:val="4"/>
              </w:rPr>
            </w:pPr>
            <w:r>
              <w:rPr>
                <w:sz w:val="4"/>
                <w:szCs w:val="4"/>
              </w:rPr>
            </w:r>
          </w:p>
        </w:tc>
        <w:tc>
          <w:tcPr>
            <w:tcW w:w="66" w:type="dxa"/>
            <w:tcBorders/>
            <w:shd w:fill="auto" w:val="clear"/>
          </w:tcPr>
          <w:p>
            <w:pPr>
              <w:pStyle w:val="TableContents"/>
              <w:spacing w:before="0" w:after="283"/>
              <w:rPr/>
            </w:pPr>
            <w:r>
              <w:rPr/>
              <w:t> </w:t>
            </w:r>
          </w:p>
        </w:tc>
        <w:tc>
          <w:tcPr>
            <w:tcW w:w="903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We estimate that for an extended period of time following the closing of this offering, which we estimate will include, at a minimum, each of the periods ending December 31, 2014, 2015, 2016 and 2017, we will not have sufficient earnings and profits for any distributions on our Class A shares to qualify as dividends for U.S. federal income tax purposes.</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76101a_main_toc">
        <w:bookmarkStart w:id="36" w:name="page_da76101_1_9"/>
        <w:bookmarkEnd w:id="3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7" w:name="toc_da76101_1"/>
      <w:bookmarkStart w:id="38" w:name="da76101_risk_factors"/>
      <w:bookmarkEnd w:id="37"/>
      <w:bookmarkEnd w:id="38"/>
      <w:r>
        <w:rPr>
          <w:rFonts w:ascii="times" w:hAnsi="times"/>
          <w:sz w:val="20"/>
        </w:rPr>
        <w:br/>
      </w:r>
      <w:r>
        <w:rPr>
          <w:rFonts w:ascii="times" w:hAnsi="times"/>
          <w:b/>
          <w:sz w:val="20"/>
        </w:rPr>
        <w:t xml:space="preserve">RISK FACTORS </w:t>
      </w:r>
    </w:p>
    <w:p>
      <w:pPr>
        <w:pStyle w:val="TextBody"/>
        <w:rPr/>
      </w:pPr>
      <w:r>
        <w:rPr/>
        <w:t>        </w:t>
      </w:r>
      <w:r>
        <w:rPr>
          <w:rFonts w:ascii="times" w:hAnsi="times"/>
          <w:sz w:val="20"/>
        </w:rPr>
        <w:t xml:space="preserve">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76101a_main_toc">
        <w:bookmarkStart w:id="39" w:name="page_da76101_1_10"/>
        <w:bookmarkEnd w:id="39"/>
        <w:r>
          <w:rPr>
            <w:rStyle w:val="InternetLink"/>
            <w:rFonts w:ascii="times" w:hAnsi="times"/>
            <w:sz w:val="20"/>
          </w:rPr>
          <w:t>Table of Contents</w:t>
        </w:r>
      </w:hyperlink>
    </w:p>
    <w:p>
      <w:pPr>
        <w:pStyle w:val="TextBody"/>
        <w:jc w:val="center"/>
        <w:rPr>
          <w:rFonts w:ascii="times" w:hAnsi="times"/>
        </w:rPr>
      </w:pPr>
      <w:bookmarkStart w:id="40" w:name="toc_da76101_2"/>
      <w:bookmarkStart w:id="41" w:name="da76101_use_of_proceeds"/>
      <w:bookmarkEnd w:id="40"/>
      <w:bookmarkEnd w:id="41"/>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We will not receive any of the proceeds from the sale of Class A shares by the selling shareholder. We will cause AAP to pay certain expenses, other than underwriting discounts and commissions, associated with the sale of Class A shares by the selling shareholder.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76101a_main_toc">
        <w:bookmarkStart w:id="42" w:name="page_da76101_1_11"/>
        <w:bookmarkEnd w:id="42"/>
        <w:r>
          <w:rPr>
            <w:rStyle w:val="InternetLink"/>
            <w:rFonts w:ascii="times" w:hAnsi="times"/>
            <w:sz w:val="20"/>
          </w:rPr>
          <w:t>Table of Contents</w:t>
        </w:r>
      </w:hyperlink>
    </w:p>
    <w:p>
      <w:pPr>
        <w:pStyle w:val="TextBody"/>
        <w:jc w:val="center"/>
        <w:rPr>
          <w:rFonts w:ascii="times" w:hAnsi="times"/>
        </w:rPr>
      </w:pPr>
      <w:bookmarkStart w:id="43" w:name="toc_da76101_3"/>
      <w:bookmarkStart w:id="44" w:name="da76101_price_range_of_class_a_shares_an"/>
      <w:bookmarkEnd w:id="43"/>
      <w:bookmarkEnd w:id="44"/>
      <w:r>
        <w:rPr>
          <w:rFonts w:ascii="times" w:hAnsi="times"/>
          <w:sz w:val="20"/>
        </w:rPr>
        <w:br/>
      </w:r>
      <w:r>
        <w:rPr>
          <w:rFonts w:ascii="times" w:hAnsi="times"/>
          <w:b/>
          <w:sz w:val="20"/>
        </w:rPr>
        <w:t xml:space="preserve">PRICE RANGE OF CLASS A SHARES AND DISTRIBUTIONS </w:t>
      </w:r>
    </w:p>
    <w:p>
      <w:pPr>
        <w:pStyle w:val="TextBody"/>
        <w:rPr/>
      </w:pPr>
      <w:r>
        <w:rPr/>
        <w:t>        </w:t>
      </w:r>
      <w:r>
        <w:rPr>
          <w:rFonts w:ascii="times" w:hAnsi="times"/>
          <w:sz w:val="20"/>
        </w:rPr>
        <w:t xml:space="preserve">As of November 10, 2014, we had 136,046,637 Class A shares outstanding, held by approximately 32,000 shareholders, including Class A shares held in street name. Our Class A shares are traded on the NYSE under the symbol "PAGP." </w:t>
      </w:r>
    </w:p>
    <w:p>
      <w:pPr>
        <w:pStyle w:val="TextBody"/>
        <w:rPr/>
      </w:pPr>
      <w:r>
        <w:rPr/>
        <w:t>        </w:t>
      </w:r>
      <w:r>
        <w:rPr>
          <w:rFonts w:ascii="times" w:hAnsi="times"/>
          <w:sz w:val="20"/>
        </w:rPr>
        <w:t xml:space="preserve">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November 10, 2014 was $25.10 per Class A share. </w:t>
      </w:r>
    </w:p>
    <w:tbl>
      <w:tblPr>
        <w:tblW w:w="5000" w:type="pct"/>
        <w:jc w:val="center"/>
        <w:tblInd w:w="0" w:type="dxa"/>
        <w:tblCellMar>
          <w:top w:w="0" w:type="dxa"/>
          <w:left w:w="0" w:type="dxa"/>
          <w:bottom w:w="0" w:type="dxa"/>
          <w:right w:w="0" w:type="dxa"/>
        </w:tblCellMar>
      </w:tblPr>
      <w:tblGrid>
        <w:gridCol w:w="5231"/>
        <w:gridCol w:w="257"/>
        <w:gridCol w:w="178"/>
        <w:gridCol w:w="835"/>
        <w:gridCol w:w="257"/>
        <w:gridCol w:w="178"/>
        <w:gridCol w:w="835"/>
        <w:gridCol w:w="257"/>
        <w:gridCol w:w="178"/>
        <w:gridCol w:w="1735"/>
        <w:gridCol w:w="264"/>
      </w:tblGrid>
      <w:tr>
        <w:trPr/>
        <w:tc>
          <w:tcPr>
            <w:tcW w:w="523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5231" w:type="dxa"/>
            <w:tcBorders/>
            <w:shd w:fill="auto" w:val="clear"/>
            <w:vAlign w:val="bottom"/>
          </w:tcPr>
          <w:p>
            <w:pPr>
              <w:pStyle w:val="TableHeading"/>
              <w:spacing w:before="0" w:after="283"/>
              <w:jc w:val="left"/>
              <w:rPr/>
            </w:pPr>
            <w:r>
              <w:rPr/>
              <w:t> </w:t>
            </w:r>
          </w:p>
        </w:tc>
        <w:tc>
          <w:tcPr>
            <w:tcW w:w="257" w:type="dxa"/>
            <w:vMerge w:val="restart"/>
            <w:tcBorders/>
            <w:shd w:fill="auto" w:val="clear"/>
            <w:vAlign w:val="bottom"/>
          </w:tcPr>
          <w:p>
            <w:pPr>
              <w:pStyle w:val="TableHeading"/>
              <w:suppressLineNumbers/>
              <w:spacing w:before="0" w:after="283"/>
              <w:jc w:val="center"/>
              <w:rPr/>
            </w:pPr>
            <w:r>
              <w:rPr/>
              <w:t> </w:t>
            </w:r>
          </w:p>
        </w:tc>
        <w:tc>
          <w:tcPr>
            <w:tcW w:w="2283"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w:t>
              <w:br/>
              <w:t xml:space="preserve">Price Range </w:t>
            </w:r>
          </w:p>
        </w:tc>
        <w:tc>
          <w:tcPr>
            <w:tcW w:w="257" w:type="dxa"/>
            <w:tcBorders/>
            <w:shd w:fill="auto" w:val="clear"/>
            <w:vAlign w:val="bottom"/>
          </w:tcPr>
          <w:p>
            <w:pPr>
              <w:pStyle w:val="TableHeading"/>
              <w:suppressLineNumbers/>
              <w:spacing w:before="0" w:after="283"/>
              <w:jc w:val="center"/>
              <w:rPr/>
            </w:pPr>
            <w:r>
              <w:rPr/>
              <w:t> </w:t>
            </w:r>
          </w:p>
        </w:tc>
        <w:tc>
          <w:tcPr>
            <w:tcW w:w="1913" w:type="dxa"/>
            <w:gridSpan w:val="2"/>
            <w:tcBorders/>
            <w:shd w:fill="auto" w:val="clear"/>
            <w:vAlign w:val="bottom"/>
          </w:tcPr>
          <w:p>
            <w:pPr>
              <w:pStyle w:val="TableHeading"/>
              <w:spacing w:before="0" w:after="283"/>
              <w:jc w:val="left"/>
              <w:rPr/>
            </w:pPr>
            <w:r>
              <w:rPr/>
              <w:t> </w:t>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auto" w:val="clear"/>
            <w:vAlign w:val="bottom"/>
          </w:tcPr>
          <w:p>
            <w:pPr>
              <w:pStyle w:val="TableHeading"/>
              <w:spacing w:before="0" w:after="283"/>
              <w:jc w:val="left"/>
              <w:rPr/>
            </w:pPr>
            <w:r>
              <w:rPr/>
              <w:t> </w:t>
            </w:r>
          </w:p>
        </w:tc>
        <w:tc>
          <w:tcPr>
            <w:tcW w:w="257" w:type="dxa"/>
            <w:vMerge w:val="continue"/>
            <w:tcBorders/>
            <w:shd w:fill="auto" w:val="clear"/>
            <w:vAlign w:val="bottom"/>
          </w:tcPr>
          <w:p>
            <w:pPr>
              <w:pStyle w:val="Normal"/>
              <w:rPr/>
            </w:pPr>
            <w:r>
              <w:rPr/>
            </w:r>
          </w:p>
        </w:tc>
        <w:tc>
          <w:tcPr>
            <w:tcW w:w="2283" w:type="dxa"/>
            <w:gridSpan w:val="5"/>
            <w:vMerge w:val="continue"/>
            <w:tcBorders>
              <w:bottom w:val="single" w:sz="8" w:space="0" w:color="000000"/>
            </w:tcBorders>
            <w:shd w:fill="auto" w:val="clear"/>
            <w:tcMar>
              <w:bottom w:w="28" w:type="dxa"/>
            </w:tcMar>
            <w:vAlign w:val="bottom"/>
          </w:tcPr>
          <w:p>
            <w:pPr>
              <w:pStyle w:val="Normal"/>
              <w:rPr/>
            </w:pPr>
            <w:r>
              <w:rPr/>
            </w:r>
          </w:p>
        </w:tc>
        <w:tc>
          <w:tcPr>
            <w:tcW w:w="257" w:type="dxa"/>
            <w:vMerge w:val="restart"/>
            <w:tcBorders/>
            <w:shd w:fill="auto" w:val="clear"/>
            <w:vAlign w:val="bottom"/>
          </w:tcPr>
          <w:p>
            <w:pPr>
              <w:pStyle w:val="TableHeading"/>
              <w:suppressLineNumbers/>
              <w:spacing w:before="0" w:after="283"/>
              <w:jc w:val="center"/>
              <w:rPr/>
            </w:pPr>
            <w:r>
              <w:rPr/>
              <w:t> </w:t>
            </w:r>
          </w:p>
        </w:tc>
        <w:tc>
          <w:tcPr>
            <w:tcW w:w="1913"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Distributions per</w:t>
              <w:br/>
              <w:t xml:space="preserve">Class A Share(1) </w:t>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auto" w:val="clear"/>
            <w:vAlign w:val="bottom"/>
          </w:tcPr>
          <w:p>
            <w:pPr>
              <w:pStyle w:val="TableHeading"/>
              <w:spacing w:before="0" w:after="283"/>
              <w:jc w:val="left"/>
              <w:rPr/>
            </w:pPr>
            <w:r>
              <w:rPr/>
              <w:t> </w:t>
            </w:r>
          </w:p>
        </w:tc>
        <w:tc>
          <w:tcPr>
            <w:tcW w:w="257" w:type="dxa"/>
            <w:tcBorders/>
            <w:shd w:fill="auto" w:val="clear"/>
            <w:vAlign w:val="bottom"/>
          </w:tcPr>
          <w:p>
            <w:pPr>
              <w:pStyle w:val="TableHeading"/>
              <w:suppressLineNumber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257" w:type="dxa"/>
            <w:tcBorders/>
            <w:shd w:fill="auto" w:val="clear"/>
            <w:vAlign w:val="bottom"/>
          </w:tcPr>
          <w:p>
            <w:pPr>
              <w:pStyle w:val="TableHeading"/>
              <w:suppressLineNumber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257" w:type="dxa"/>
            <w:vMerge w:val="continue"/>
            <w:tcBorders/>
            <w:shd w:fill="auto" w:val="clear"/>
            <w:vAlign w:val="bottom"/>
          </w:tcPr>
          <w:p>
            <w:pPr>
              <w:pStyle w:val="Normal"/>
              <w:rPr/>
            </w:pPr>
            <w:r>
              <w:rPr/>
            </w:r>
          </w:p>
        </w:tc>
        <w:tc>
          <w:tcPr>
            <w:tcW w:w="1913" w:type="dxa"/>
            <w:gridSpan w:val="2"/>
            <w:vMerge w:val="continue"/>
            <w:tcBorders>
              <w:bottom w:val="single" w:sz="8" w:space="0" w:color="000000"/>
            </w:tcBorders>
            <w:shd w:fill="auto" w:val="clear"/>
            <w:tcMar>
              <w:bottom w:w="28" w:type="dxa"/>
            </w:tcMar>
            <w:vAlign w:val="bottom"/>
          </w:tcPr>
          <w:p>
            <w:pPr>
              <w:pStyle w:val="Normal"/>
              <w:rPr/>
            </w:pPr>
            <w:r>
              <w:rPr/>
            </w:r>
          </w:p>
        </w:tc>
        <w:tc>
          <w:tcPr>
            <w:tcW w:w="264" w:type="dxa"/>
            <w:tcBorders/>
            <w:shd w:fill="auto" w:val="clear"/>
            <w:vAlign w:val="bottom"/>
          </w:tcPr>
          <w:p>
            <w:pPr>
              <w:pStyle w:val="TableHeading"/>
              <w:suppressLineNumbers/>
              <w:spacing w:before="0" w:after="283"/>
              <w:jc w:val="center"/>
              <w:rPr/>
            </w:pPr>
            <w:r>
              <w:rPr/>
              <w:t> </w:t>
            </w:r>
          </w:p>
        </w:tc>
      </w:tr>
      <w:tr>
        <w:trPr/>
        <w:tc>
          <w:tcPr>
            <w:tcW w:w="52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Fourth Quarter(2)</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27.04</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21.50</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0.12505</w:t>
            </w:r>
          </w:p>
        </w:tc>
        <w:tc>
          <w:tcPr>
            <w:tcW w:w="264" w:type="dxa"/>
            <w:tcBorders/>
            <w:shd w:fill="FFFFFF" w:val="clear"/>
            <w:vAlign w:val="bottom"/>
          </w:tcPr>
          <w:p>
            <w:pPr>
              <w:pStyle w:val="TableContents"/>
              <w:spacing w:before="0" w:after="283"/>
              <w:rPr/>
            </w:pPr>
            <w:r>
              <w:rPr/>
              <w:t> </w:t>
            </w:r>
          </w:p>
        </w:tc>
      </w:tr>
      <w:tr>
        <w:trPr/>
        <w:tc>
          <w:tcPr>
            <w:tcW w:w="5231"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2014</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29.00</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24.38</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0.17055</w:t>
            </w:r>
          </w:p>
        </w:tc>
        <w:tc>
          <w:tcPr>
            <w:tcW w:w="264" w:type="dxa"/>
            <w:tcBorders/>
            <w:shd w:fill="FFFFFF" w:val="clear"/>
            <w:vAlign w:val="bottom"/>
          </w:tcPr>
          <w:p>
            <w:pPr>
              <w:pStyle w:val="TableContents"/>
              <w:spacing w:before="0" w:after="283"/>
              <w:rPr/>
            </w:pPr>
            <w:r>
              <w:rPr/>
              <w:t> </w:t>
            </w:r>
          </w:p>
        </w:tc>
      </w:tr>
      <w:tr>
        <w:trPr/>
        <w:tc>
          <w:tcPr>
            <w:tcW w:w="52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32.58</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27.00</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rFonts w:ascii="times" w:hAnsi="times"/>
                <w:sz w:val="20"/>
              </w:rPr>
            </w:pPr>
            <w:r>
              <w:rPr>
                <w:rFonts w:ascii="times" w:hAnsi="times"/>
                <w:sz w:val="20"/>
              </w:rPr>
              <w:t>0.18340</w:t>
            </w:r>
          </w:p>
        </w:tc>
        <w:tc>
          <w:tcPr>
            <w:tcW w:w="264" w:type="dxa"/>
            <w:tcBorders/>
            <w:shd w:fill="CCEEFF" w:val="clear"/>
            <w:vAlign w:val="bottom"/>
          </w:tcPr>
          <w:p>
            <w:pPr>
              <w:pStyle w:val="TableContents"/>
              <w:spacing w:before="0" w:after="283"/>
              <w:rPr/>
            </w:pPr>
            <w:r>
              <w:rPr/>
              <w:t> </w:t>
            </w:r>
          </w:p>
        </w:tc>
      </w:tr>
      <w:tr>
        <w:trPr/>
        <w:tc>
          <w:tcPr>
            <w:tcW w:w="5231"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32.26</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28.48</w:t>
            </w:r>
          </w:p>
        </w:tc>
        <w:tc>
          <w:tcPr>
            <w:tcW w:w="25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jc w:val="right"/>
              <w:rPr>
                <w:rFonts w:ascii="times" w:hAnsi="times"/>
                <w:sz w:val="20"/>
              </w:rPr>
            </w:pPr>
            <w:r>
              <w:rPr>
                <w:rFonts w:ascii="times" w:hAnsi="times"/>
                <w:sz w:val="20"/>
              </w:rPr>
              <w:t>0.19075</w:t>
            </w:r>
          </w:p>
        </w:tc>
        <w:tc>
          <w:tcPr>
            <w:tcW w:w="264" w:type="dxa"/>
            <w:tcBorders/>
            <w:shd w:fill="FFFFFF" w:val="clear"/>
            <w:vAlign w:val="bottom"/>
          </w:tcPr>
          <w:p>
            <w:pPr>
              <w:pStyle w:val="TableContents"/>
              <w:spacing w:before="0" w:after="283"/>
              <w:rPr>
                <w:rFonts w:ascii="times" w:hAnsi="times"/>
                <w:sz w:val="20"/>
              </w:rPr>
            </w:pPr>
            <w:r>
              <w:rPr>
                <w:rFonts w:ascii="times" w:hAnsi="times"/>
                <w:sz w:val="20"/>
              </w:rPr>
              <w:t>(3)</w:t>
            </w:r>
          </w:p>
        </w:tc>
      </w:tr>
      <w:tr>
        <w:trPr/>
        <w:tc>
          <w:tcPr>
            <w:tcW w:w="5231"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 (through November 10, 2014)</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30.75</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23.53</w:t>
            </w:r>
          </w:p>
        </w:tc>
        <w:tc>
          <w:tcPr>
            <w:tcW w:w="25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rPr>
                <w:rFonts w:ascii="times" w:hAnsi="times"/>
                <w:sz w:val="20"/>
              </w:rPr>
            </w:pPr>
            <w:r>
              <w:rPr>
                <w:rFonts w:ascii="times" w:hAnsi="times"/>
                <w:sz w:val="20"/>
              </w:rPr>
              <w:t>(4)</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attributable to the quarter and paid within 55 days after the quarter end.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the trading period from October 16, 2013, the day our common units began trading on the NYSE, through December 31, 2013. We closed our initial public offering on October 21, 2013 and, therefore, made a prorated cash distribution for the fourth quarter of 2013.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Cash distributions in respect of the third quarter of 2014 will be paid on November 14, 2014. Purchasers in this offering will not be entitled to receive the distribution payable on November 14, 2014.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Cash distributions in respect of the fourth quarter of 2014 have not been declared or paid.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76101a_main_toc">
        <w:bookmarkStart w:id="45" w:name="page_dc76101_1_12"/>
        <w:bookmarkEnd w:id="4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6" w:name="toc_dc76101_1"/>
      <w:bookmarkStart w:id="47" w:name="dc76101_our_cash_distribution_policy"/>
      <w:bookmarkEnd w:id="46"/>
      <w:bookmarkEnd w:id="47"/>
      <w:r>
        <w:rPr>
          <w:rFonts w:ascii="times" w:hAnsi="times"/>
          <w:sz w:val="20"/>
        </w:rPr>
        <w:br/>
      </w:r>
      <w:r>
        <w:rPr>
          <w:rFonts w:ascii="times" w:hAnsi="times"/>
          <w:b/>
          <w:sz w:val="20"/>
        </w:rPr>
        <w:t xml:space="preserve">OUR CASH DISTRIBUTION POLICY </w:t>
      </w:r>
    </w:p>
    <w:p>
      <w:pPr>
        <w:pStyle w:val="TextBody"/>
        <w:rPr>
          <w:rFonts w:ascii="times" w:hAnsi="times"/>
          <w:b/>
          <w:sz w:val="20"/>
        </w:rPr>
      </w:pPr>
      <w:r>
        <w:rPr>
          <w:rFonts w:ascii="times" w:hAnsi="times"/>
          <w:b/>
          <w:sz w:val="20"/>
        </w:rPr>
        <w:t xml:space="preserve">Our Cash Distribution Policy </w:t>
      </w:r>
    </w:p>
    <w:p>
      <w:pPr>
        <w:pStyle w:val="TextBody"/>
        <w:rPr/>
      </w:pPr>
      <w:r>
        <w:rPr/>
        <w:t>        </w:t>
      </w:r>
      <w:r>
        <w:rPr>
          <w:rFonts w:ascii="times" w:hAnsi="times"/>
          <w:sz w:val="20"/>
        </w:rPr>
        <w:t xml:space="preserve">Our partnership agreement requires that, within 55 days after the end of each quarter, we distribute all of our available cash to Class A shareholders of record on the applicable record date. </w:t>
      </w:r>
    </w:p>
    <w:p>
      <w:pPr>
        <w:pStyle w:val="TextBody"/>
        <w:rPr/>
      </w:pPr>
      <w:r>
        <w:rPr/>
        <w:t>        </w:t>
      </w:r>
      <w:r>
        <w:rPr>
          <w:rFonts w:ascii="times" w:hAnsi="times"/>
          <w:sz w:val="20"/>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future distributions to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our business, including with respect to the matters described under "The Partnership Agreement." </w:t>
      </w:r>
    </w:p>
    <w:p>
      <w:pPr>
        <w:pStyle w:val="TextBody"/>
        <w:rPr/>
      </w:pPr>
      <w:r>
        <w:rPr/>
        <w:t>        </w:t>
      </w:r>
      <w:r>
        <w:rPr>
          <w:rFonts w:ascii="times" w:hAnsi="times"/>
          <w:sz w:val="20"/>
        </w:rPr>
        <w:t xml:space="preserve">Our available cash also includes cash on hand resulting from borrowings made after the end of the quarter. </w:t>
      </w:r>
    </w:p>
    <w:p>
      <w:pPr>
        <w:pStyle w:val="TextBody"/>
        <w:rPr>
          <w:rFonts w:ascii="times" w:hAnsi="times"/>
          <w:b/>
          <w:sz w:val="20"/>
        </w:rPr>
      </w:pPr>
      <w:r>
        <w:rPr>
          <w:rFonts w:ascii="times" w:hAnsi="times"/>
          <w:b/>
          <w:sz w:val="20"/>
        </w:rPr>
        <w:t xml:space="preserve">Our Sources of Available Cash </w:t>
      </w:r>
    </w:p>
    <w:p>
      <w:pPr>
        <w:pStyle w:val="TextBody"/>
        <w:rPr/>
      </w:pPr>
      <w:r>
        <w:rPr/>
        <w:t>        </w:t>
      </w:r>
      <w:r>
        <w:rPr>
          <w:rFonts w:ascii="times" w:hAnsi="times"/>
          <w:sz w:val="20"/>
        </w:rPr>
        <w:t xml:space="preserve">As of September 30, 2014, our only cash-generating assets consisted of our indirect partnership interests in PAA through our 22.4% limited partnership interest in AAP. AAP currently receives all of its cash flows from its direct ownership of all of PAA's incentive distribution rights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w:t>
      </w:r>
    </w:p>
    <w:p>
      <w:pPr>
        <w:pStyle w:val="TextBody"/>
        <w:rPr/>
      </w:pPr>
      <w:r>
        <w:rPr/>
        <w:t>        </w:t>
      </w:r>
      <w:r>
        <w:rPr>
          <w:rFonts w:ascii="times" w:hAnsi="times"/>
          <w:sz w:val="20"/>
        </w:rPr>
        <w:t>In addition, the actual amount of cash that PAA and AAP will have available for distribution will depend on other factors, some of which are beyond PAA's or our control,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revenue PAA and AAP are able to generate from their respective businesses;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capital expenditures PAA or AAP makes;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and AAP's operating, maintenance and general and administrative expenses or related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acquisitions,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debt service requirements and other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working capital needs;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76101a_main_toc">
        <w:bookmarkStart w:id="48" w:name="page_dc76101_1_13"/>
        <w:bookmarkEnd w:id="4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PAA's or AAP's debt agreements and any future debt agreements;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ability to borrow under their respective revolving credit agreements to make distributions;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if any, of cash reserves established by each of PAA GP and our general partner, in their sole discretion, for the proper conduct of PAA's and our business. </w:t>
      </w:r>
    </w:p>
    <w:p>
      <w:pPr>
        <w:pStyle w:val="TextBody"/>
        <w:rPr>
          <w:rFonts w:ascii="times" w:hAnsi="times"/>
          <w:b/>
          <w:sz w:val="20"/>
        </w:rPr>
      </w:pPr>
      <w:r>
        <w:rPr>
          <w:rFonts w:ascii="times" w:hAnsi="times"/>
          <w:b/>
          <w:sz w:val="20"/>
        </w:rPr>
        <w:t xml:space="preserve">General Partner Interest </w:t>
      </w:r>
    </w:p>
    <w:p>
      <w:pPr>
        <w:pStyle w:val="TextBody"/>
        <w:rPr/>
      </w:pPr>
      <w:r>
        <w:rPr/>
        <w:t>        </w:t>
      </w:r>
      <w:r>
        <w:rPr>
          <w:rFonts w:ascii="times" w:hAnsi="times"/>
          <w:sz w:val="20"/>
        </w:rPr>
        <w:t xml:space="preserve">Our general partner owns a non-economic general partner interest in us, which does not entitle it to receive cash distributions. </w:t>
      </w:r>
    </w:p>
    <w:p>
      <w:pPr>
        <w:pStyle w:val="TextBody"/>
        <w:rPr>
          <w:rFonts w:ascii="times" w:hAnsi="times"/>
          <w:b/>
          <w:sz w:val="20"/>
        </w:rPr>
      </w:pPr>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76101a_main_toc">
        <w:bookmarkStart w:id="49" w:name="page_dc76101_1_14"/>
        <w:bookmarkEnd w:id="49"/>
        <w:r>
          <w:rPr>
            <w:rStyle w:val="InternetLink"/>
            <w:rFonts w:ascii="times" w:hAnsi="times"/>
            <w:sz w:val="20"/>
          </w:rPr>
          <w:t>Table of Contents</w:t>
        </w:r>
      </w:hyperlink>
    </w:p>
    <w:p>
      <w:pPr>
        <w:pStyle w:val="TextBody"/>
        <w:jc w:val="center"/>
        <w:rPr>
          <w:rFonts w:ascii="times" w:hAnsi="times"/>
        </w:rPr>
      </w:pPr>
      <w:bookmarkStart w:id="50" w:name="toc_dc76101_2"/>
      <w:bookmarkStart w:id="51" w:name="dc76101_the_partnership_agreement"/>
      <w:bookmarkEnd w:id="50"/>
      <w:bookmarkEnd w:id="51"/>
      <w:r>
        <w:rPr>
          <w:rFonts w:ascii="times" w:hAnsi="times"/>
          <w:sz w:val="20"/>
        </w:rPr>
        <w:br/>
      </w:r>
      <w:r>
        <w:rPr>
          <w:rFonts w:ascii="times" w:hAnsi="times"/>
          <w:b/>
          <w:sz w:val="20"/>
        </w:rPr>
        <w:t xml:space="preserve">THE PARTNERSHIP AGREEMENT </w:t>
      </w:r>
    </w:p>
    <w:p>
      <w:pPr>
        <w:pStyle w:val="TextBody"/>
        <w:rPr/>
      </w:pPr>
      <w:r>
        <w:rPr/>
        <w:t>        </w:t>
      </w:r>
      <w:r>
        <w:rPr>
          <w:rFonts w:ascii="times" w:hAnsi="times"/>
          <w:sz w:val="20"/>
        </w:rPr>
        <w:t>The following is a summary of the material provisions of our partnership agreement. We summarize the following provisions of our partnership agreement elsewhere in this prospectus: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distributions of available cash, please read "Our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rights of holders of Class A shares, please read "Description of Our Shares";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allocations of taxable income and taxable loss, please read "Material U.S. Federal Income Tax Consequences." </w:t>
      </w:r>
    </w:p>
    <w:p>
      <w:pPr>
        <w:pStyle w:val="TextBody"/>
        <w:rPr>
          <w:rFonts w:ascii="times" w:hAnsi="times"/>
          <w:b/>
          <w:sz w:val="20"/>
        </w:rPr>
      </w:pPr>
      <w:r>
        <w:rPr>
          <w:rFonts w:ascii="times" w:hAnsi="times"/>
          <w:b/>
          <w:sz w:val="20"/>
        </w:rPr>
        <w:t xml:space="preserve">Organization and Duration </w:t>
      </w:r>
    </w:p>
    <w:p>
      <w:pPr>
        <w:pStyle w:val="TextBody"/>
        <w:rPr/>
      </w:pPr>
      <w:r>
        <w:rPr/>
        <w:t>        </w:t>
      </w:r>
      <w:r>
        <w:rPr>
          <w:rFonts w:ascii="times" w:hAnsi="times"/>
          <w:sz w:val="20"/>
        </w:rPr>
        <w:t xml:space="preserve">We were formed in July 2013 and have a perpetual existence. </w:t>
      </w:r>
    </w:p>
    <w:p>
      <w:pPr>
        <w:pStyle w:val="TextBody"/>
        <w:rPr>
          <w:rFonts w:ascii="times" w:hAnsi="times"/>
          <w:b/>
          <w:sz w:val="20"/>
        </w:rPr>
      </w:pPr>
      <w:r>
        <w:rPr>
          <w:rFonts w:ascii="times" w:hAnsi="times"/>
          <w:b/>
          <w:sz w:val="20"/>
        </w:rPr>
        <w:t xml:space="preserve">Purpose </w:t>
      </w:r>
    </w:p>
    <w:p>
      <w:pPr>
        <w:pStyle w:val="TextBody"/>
        <w:rPr/>
      </w:pPr>
      <w:r>
        <w:rPr/>
        <w:t>        </w:t>
      </w:r>
      <w:r>
        <w:rPr>
          <w:rFonts w:ascii="times" w:hAnsi="times"/>
          <w:sz w:val="20"/>
        </w:rPr>
        <w:t xml:space="preserve">Under our partnership agreement, we are permitted to engage, directly or indirectly, in any business activity that is approved by our general partner and that lawfully may be conducted by a limited partnership organized under Delaware law. </w:t>
      </w:r>
    </w:p>
    <w:p>
      <w:pPr>
        <w:pStyle w:val="TextBody"/>
        <w:rPr/>
      </w:pPr>
      <w:r>
        <w:rPr/>
        <w:t>        </w:t>
      </w:r>
      <w:r>
        <w:rPr>
          <w:rFonts w:ascii="times" w:hAnsi="times"/>
          <w:sz w:val="20"/>
        </w:rPr>
        <w:t>Although our general partner has the ability to cause us, our affiliates and our subsidiaries to engage in activities other than the indirect ownership of partnership interests (including incentive distribution rights)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making of expenditures and the incurrence of debt and other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acquisition, disposition, mortgage, pledge, encumbrance, hypothecation or exchange of any or all of our assets or the merger or other combination of us with or into another person;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negotiation, execution and performance of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distribution of our cash;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sale or other acquisition or disposition of our partnership securities or the issuance of partnership securities or options or other rights relating thereto;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in connection with our participation and management of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to waive, reduce, limit or modify PAA's IDRs. </w:t>
      </w:r>
    </w:p>
    <w:p>
      <w:pPr>
        <w:pStyle w:val="TextBody"/>
        <w:rPr>
          <w:rFonts w:ascii="times" w:hAnsi="times"/>
          <w:b/>
          <w:sz w:val="20"/>
        </w:rPr>
      </w:pPr>
      <w:r>
        <w:rPr>
          <w:rFonts w:ascii="times" w:hAnsi="times"/>
          <w:b/>
          <w:sz w:val="20"/>
        </w:rPr>
        <w:t xml:space="preserve">Capital Contributions </w:t>
      </w:r>
    </w:p>
    <w:p>
      <w:pPr>
        <w:pStyle w:val="TextBody"/>
        <w:rPr/>
      </w:pPr>
      <w:r>
        <w:rPr/>
        <w:t>        </w:t>
      </w:r>
      <w:r>
        <w:rPr>
          <w:rFonts w:ascii="times" w:hAnsi="times"/>
          <w:sz w:val="20"/>
        </w:rPr>
        <w:t xml:space="preserve">Our shareholders are not obligated to make additional capital contributions, except as described below under "Limited Liability." </w:t>
      </w:r>
    </w:p>
    <w:p>
      <w:pPr>
        <w:pStyle w:val="TextBody"/>
        <w:rPr>
          <w:rFonts w:ascii="times" w:hAnsi="times"/>
          <w:b/>
          <w:sz w:val="20"/>
        </w:rPr>
      </w:pPr>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Delaware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76101a_main_toc">
        <w:bookmarkStart w:id="52" w:name="page_dc76101_1_15"/>
        <w:bookmarkEnd w:id="52"/>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obligations or liabilities among shareholders or of shareholders to us, or the rights or powers of, or restrictions on, the shareholders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Delaware Revised Uniform Limited Partnership Act (the "Delaware 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w:t>
      </w:r>
    </w:p>
    <w:p>
      <w:pPr>
        <w:pStyle w:val="TextBody"/>
        <w:rPr>
          <w:rFonts w:ascii="times" w:hAnsi="times"/>
          <w:b/>
          <w:sz w:val="20"/>
        </w:rPr>
      </w:pPr>
      <w:r>
        <w:rPr>
          <w:rFonts w:ascii="times" w:hAnsi="times"/>
          <w:b/>
          <w:sz w:val="20"/>
        </w:rPr>
        <w:t xml:space="preserve">Limited Liability </w:t>
      </w:r>
    </w:p>
    <w:p>
      <w:pPr>
        <w:pStyle w:val="TextBody"/>
        <w:rPr/>
      </w:pPr>
      <w:r>
        <w:rPr/>
        <w:t>        </w:t>
      </w:r>
      <w:r>
        <w:rPr>
          <w:rFonts w:ascii="times" w:hAnsi="times"/>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 </w:t>
      </w:r>
    </w:p>
    <w:p>
      <w:pPr>
        <w:pStyle w:val="TextBody"/>
        <w:rPr/>
      </w:pPr>
      <w:r>
        <w:rPr/>
        <w:t>        </w:t>
      </w:r>
      <w:r>
        <w:rPr>
          <w:rFonts w:ascii="times" w:hAnsi="times"/>
          <w:sz w:val="20"/>
        </w:rPr>
        <w:t xml:space="preserve">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76101a_main_toc">
        <w:bookmarkStart w:id="53" w:name="page_dc76101_1_16"/>
        <w:bookmarkEnd w:id="5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 </w:t>
      </w:r>
    </w:p>
    <w:p>
      <w:pPr>
        <w:pStyle w:val="TextBody"/>
        <w:rPr/>
      </w:pPr>
      <w:r>
        <w:rPr/>
        <w:t>        </w:t>
      </w:r>
      <w:r>
        <w:rPr>
          <w:rFonts w:ascii="times" w:hAnsi="times"/>
          <w:sz w:val="20"/>
        </w:rPr>
        <w:t xml:space="preserve">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 </w:t>
      </w:r>
    </w:p>
    <w:p>
      <w:pPr>
        <w:pStyle w:val="TextBody"/>
        <w:rPr>
          <w:rFonts w:ascii="times" w:hAnsi="times"/>
          <w:b/>
          <w:sz w:val="20"/>
        </w:rPr>
      </w:pPr>
      <w:r>
        <w:rPr>
          <w:rFonts w:ascii="times" w:hAnsi="times"/>
          <w:b/>
          <w:sz w:val="20"/>
        </w:rPr>
        <w:t xml:space="preserve">Limited Voting Rights </w:t>
      </w:r>
    </w:p>
    <w:p>
      <w:pPr>
        <w:pStyle w:val="TextBody"/>
        <w:rPr/>
      </w:pPr>
      <w:r>
        <w:rPr/>
        <w:t>        </w:t>
      </w:r>
      <w:r>
        <w:rPr>
          <w:rFonts w:ascii="times" w:hAnsi="times"/>
          <w:sz w:val="20"/>
        </w:rPr>
        <w:t xml:space="preserve">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 </w:t>
      </w:r>
    </w:p>
    <w:p>
      <w:pPr>
        <w:pStyle w:val="TextBody"/>
        <w:rPr/>
      </w:pPr>
      <w:r>
        <w:rPr/>
        <w:t>        </w:t>
      </w:r>
      <w:r>
        <w:rPr>
          <w:rFonts w:ascii="times" w:hAnsi="times"/>
          <w:sz w:val="20"/>
        </w:rPr>
        <w:t xml:space="preserve">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76101a_main_toc">
        <w:bookmarkStart w:id="54" w:name="page_dc76101_1_17"/>
        <w:bookmarkEnd w:id="5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duty or obligation whatsoever to us or the shareholders, including any duty to act in good faith or in the best interests of us or the shareholders. </w:t>
      </w:r>
    </w:p>
    <w:tbl>
      <w:tblPr>
        <w:tblW w:w="5000" w:type="pct"/>
        <w:jc w:val="center"/>
        <w:tblInd w:w="0" w:type="dxa"/>
        <w:tblCellMar>
          <w:top w:w="0" w:type="dxa"/>
          <w:left w:w="0" w:type="dxa"/>
          <w:bottom w:w="0" w:type="dxa"/>
          <w:right w:w="0" w:type="dxa"/>
        </w:tblCellMar>
      </w:tblPr>
      <w:tblGrid>
        <w:gridCol w:w="1612"/>
        <w:gridCol w:w="91"/>
        <w:gridCol w:w="8502"/>
      </w:tblGrid>
      <w:tr>
        <w:trPr/>
        <w:tc>
          <w:tcPr>
            <w:tcW w:w="161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02" w:type="dxa"/>
            <w:tcBorders/>
            <w:shd w:fill="auto" w:val="clear"/>
            <w:vAlign w:val="center"/>
          </w:tcPr>
          <w:p>
            <w:pPr>
              <w:pStyle w:val="TableContents"/>
              <w:spacing w:before="0" w:after="283"/>
              <w:rPr>
                <w:sz w:val="4"/>
                <w:szCs w:val="4"/>
              </w:rPr>
            </w:pPr>
            <w:r>
              <w:rPr>
                <w:sz w:val="4"/>
                <w:szCs w:val="4"/>
              </w:rPr>
            </w:r>
          </w:p>
        </w:tc>
      </w:tr>
      <w:tr>
        <w:trPr/>
        <w:tc>
          <w:tcPr>
            <w:tcW w:w="1612" w:type="dxa"/>
            <w:tcBorders/>
            <w:shd w:fill="auto" w:val="clear"/>
          </w:tcPr>
          <w:p>
            <w:pPr>
              <w:pStyle w:val="TableContents"/>
              <w:spacing w:before="0" w:after="283"/>
              <w:ind w:left="200" w:right="0" w:hanging="200"/>
              <w:rPr>
                <w:rFonts w:ascii="times" w:hAnsi="times"/>
                <w:sz w:val="20"/>
              </w:rPr>
            </w:pPr>
            <w:r>
              <w:rPr>
                <w:rFonts w:ascii="times" w:hAnsi="times"/>
                <w:sz w:val="20"/>
              </w:rPr>
              <w:t>Issuance of additional shares (or other partnership securities)</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0" w:after="283"/>
              <w:rPr>
                <w:rFonts w:ascii="times" w:hAnsi="times"/>
                <w:sz w:val="20"/>
              </w:rPr>
            </w:pPr>
            <w:r>
              <w:rPr>
                <w:rFonts w:ascii="times" w:hAnsi="times"/>
                <w:sz w:val="20"/>
              </w:rPr>
              <w:t>No approval right.</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Amendment of our partnership agreement</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in certain circumstances. Please read "Merger, Sale or Other Disposition of Assets."</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Dissolution</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Reconstitution upon dissolution</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"Withdrawal or Removal of the General Partner."</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Please read "Withdrawal or Removal of the General Partner."</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Transfer of the general partner interest</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"Transfer of General Partner Interest."</w:t>
            </w:r>
          </w:p>
        </w:tc>
      </w:tr>
    </w:tbl>
    <w:p>
      <w:pPr>
        <w:pStyle w:val="TextBody"/>
        <w:rPr>
          <w:rFonts w:ascii="times" w:hAnsi="times"/>
          <w:b/>
          <w:sz w:val="20"/>
        </w:rPr>
      </w:pPr>
      <w:r>
        <w:rPr>
          <w:rFonts w:ascii="times" w:hAnsi="times"/>
          <w:b/>
          <w:sz w:val="20"/>
        </w:rPr>
        <w:t xml:space="preserve">Transfer of Ownership Interests in Our General Partner </w:t>
      </w:r>
    </w:p>
    <w:p>
      <w:pPr>
        <w:pStyle w:val="TextBody"/>
        <w:rPr/>
      </w:pPr>
      <w:r>
        <w:rPr/>
        <w:t>        </w:t>
      </w:r>
      <w:r>
        <w:rPr>
          <w:rFonts w:ascii="times" w:hAnsi="times"/>
          <w:sz w:val="20"/>
        </w:rPr>
        <w:t xml:space="preserve">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 </w:t>
      </w:r>
    </w:p>
    <w:p>
      <w:pPr>
        <w:pStyle w:val="TextBody"/>
        <w:rPr/>
      </w:pPr>
      <w:r>
        <w:rPr/>
        <w:t>        </w:t>
      </w:r>
      <w:r>
        <w:rPr>
          <w:rFonts w:ascii="times" w:hAnsi="times"/>
          <w:sz w:val="20"/>
        </w:rPr>
        <w:t xml:space="preserve">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 </w:t>
      </w:r>
    </w:p>
    <w:p>
      <w:pPr>
        <w:pStyle w:val="TextBody"/>
        <w:rPr>
          <w:rFonts w:ascii="times" w:hAnsi="times"/>
          <w:b/>
          <w:sz w:val="20"/>
        </w:rPr>
      </w:pP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 </w:t>
      </w:r>
    </w:p>
    <w:p>
      <w:pPr>
        <w:pStyle w:val="TextBody"/>
        <w:rPr/>
      </w:pPr>
      <w:r>
        <w:rPr/>
        <w:t>        </w:t>
      </w:r>
      <w:r>
        <w:rPr>
          <w:rFonts w:ascii="times" w:hAnsi="times"/>
          <w:sz w:val="20"/>
        </w:rPr>
        <w:t xml:space="preserve">It is possible that we will fund acquisitions through the issuance of additional shares or other equity securities. Holders of any additional shares we issue will be entitled to share equally with the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76101a_main_toc">
        <w:bookmarkStart w:id="55" w:name="page_dc76101_1_18"/>
        <w:bookmarkEnd w:id="5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then-existing shareholders in our cash distributions. In addition, the issuance of additional partnership interests may dilute the value of the interests of the then-existing holders of shares in our net assets. </w:t>
      </w:r>
    </w:p>
    <w:p>
      <w:pPr>
        <w:pStyle w:val="TextBody"/>
        <w:rPr/>
      </w:pPr>
      <w:r>
        <w:rPr/>
        <w:t>        </w:t>
      </w:r>
      <w:r>
        <w:rPr>
          <w:rFonts w:ascii="times" w:hAnsi="times"/>
          <w:sz w:val="20"/>
        </w:rPr>
        <w:t xml:space="preserve">In accordance with Delaware law and the provisions of our partnership agreement, we may also issue additional partnership interests that have special voting rights to which the Class A shares and Class B shares are not entitled. </w:t>
      </w:r>
    </w:p>
    <w:p>
      <w:pPr>
        <w:pStyle w:val="TextBody"/>
        <w:rPr>
          <w:rFonts w:ascii="times" w:hAnsi="times"/>
          <w:b/>
          <w:sz w:val="20"/>
        </w:rPr>
      </w:pPr>
      <w:r>
        <w:rPr>
          <w:rFonts w:ascii="times" w:hAnsi="times"/>
          <w:b/>
          <w:sz w:val="20"/>
        </w:rPr>
        <w:t xml:space="preserve">Amendments to Our Partnership Agreement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 </w:t>
      </w:r>
    </w:p>
    <w:p>
      <w:pPr>
        <w:pStyle w:val="TextBody"/>
        <w:rPr>
          <w:rFonts w:ascii="times" w:hAnsi="times"/>
          <w:b/>
          <w:i/>
          <w:sz w:val="20"/>
        </w:rPr>
      </w:pPr>
      <w:r>
        <w:rPr>
          <w:rFonts w:ascii="times" w:hAnsi="times"/>
          <w:b/>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any shareholder without its consent, unless approved by at least a majority of the type or class of shareholder interests so affected;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 </w:t>
      </w:r>
    </w:p>
    <w:p>
      <w:pPr>
        <w:pStyle w:val="TextBody"/>
        <w:rPr/>
      </w:pPr>
      <w:r>
        <w:rPr/>
        <w:t>        </w:t>
      </w:r>
      <w:r>
        <w:rPr>
          <w:rFonts w:ascii="times" w:hAnsi="times"/>
          <w:sz w:val="20"/>
        </w:rPr>
        <w:t xml:space="preserve">The provision of our partnership agreement preventing amendments having the effects described in clauses (1) or (2) above can be amended upon the approval of the holders of at least 90% of the outstanding shares. </w:t>
      </w:r>
    </w:p>
    <w:p>
      <w:pPr>
        <w:pStyle w:val="TextBody"/>
        <w:rPr>
          <w:rFonts w:ascii="times" w:hAnsi="times"/>
          <w:b/>
          <w:i/>
          <w:sz w:val="20"/>
        </w:rPr>
      </w:pPr>
      <w:r>
        <w:rPr>
          <w:rFonts w:ascii="times" w:hAnsi="times"/>
          <w:b/>
          <w:i/>
          <w:sz w:val="20"/>
        </w:rPr>
        <w:t xml:space="preserve">No Shareholder Approval </w:t>
      </w:r>
    </w:p>
    <w:p>
      <w:pPr>
        <w:pStyle w:val="TextBody"/>
        <w:rPr/>
      </w:pPr>
      <w:r>
        <w:rPr/>
        <w:t>        </w:t>
      </w:r>
      <w:r>
        <w:rPr>
          <w:rFonts w:ascii="times" w:hAnsi="times"/>
          <w:sz w:val="20"/>
        </w:rPr>
        <w:t xml:space="preserve">Our general partner may generally make amendments to our partnership agreement without the approval of any shareholder or assignee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change in our name, the location of our principal place of business, our registered agent or its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76101a_main_toc">
        <w:bookmarkStart w:id="56" w:name="page_dc76101_1_19"/>
        <w:bookmarkEnd w:id="5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authorization of additional partnership securities or rights to acquire partnership securities;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expressly permitted in our partnership agreement to be made by our general partner acting alone;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formation by us, or our investment in, any corporation, partnership or other entity, as otherwise permitted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 </w:t>
      </w:r>
    </w:p>
    <w:p>
      <w:pPr>
        <w:pStyle w:val="ListHeading"/>
        <w:numPr>
          <w:ilvl w:val="0"/>
          <w:numId w:val="0"/>
        </w:numPr>
        <w:spacing w:before="0" w:after="0"/>
        <w:ind w:left="707" w:right="0" w:hanging="0"/>
        <w:rPr>
          <w:rFonts w:ascii="times" w:hAnsi="times"/>
          <w:sz w:val="20"/>
        </w:rPr>
      </w:pPr>
      <w:r>
        <w:rPr>
          <w:rFonts w:ascii="times" w:hAnsi="times"/>
          <w:sz w:val="20"/>
        </w:rPr>
        <w:t>(12)</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(11) above. </w:t>
      </w:r>
    </w:p>
    <w:p>
      <w:pPr>
        <w:pStyle w:val="TextBody"/>
        <w:rPr/>
      </w:pPr>
      <w:r>
        <w:rPr/>
        <w:t>        </w:t>
      </w:r>
      <w:r>
        <w:rPr>
          <w:rFonts w:ascii="times" w:hAnsi="times"/>
          <w:sz w:val="20"/>
        </w:rPr>
        <w:t xml:space="preserve">In addition, our general partner may make amendments to our partnership agreement without the approval of any shareholder or assignee if those amendments, in the discretion of our general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our shareholders (or any particular class of holders of partnership interests)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our shares or to comply with any rule, regulation, guideline or requirement of any securities exchange on which our shares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general partner relating to splits or combinations of shares under the provisions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implement certain governance procedures following the trigger date, including the staggering of our board of directors and the public election of directors; or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of the statements contained in this prospectus and in the provisions of our partnership agreement or as are otherwise contemplated by our partnership agreement. </w:t>
      </w:r>
    </w:p>
    <w:p>
      <w:pPr>
        <w:pStyle w:val="TextBody"/>
        <w:rPr>
          <w:rFonts w:ascii="times" w:hAnsi="times"/>
          <w:b/>
          <w:i/>
          <w:sz w:val="20"/>
        </w:rPr>
      </w:pPr>
      <w:r>
        <w:rPr>
          <w:rFonts w:ascii="times" w:hAnsi="times"/>
          <w:b/>
          <w:i/>
          <w:sz w:val="20"/>
        </w:rPr>
        <w:t xml:space="preserve">Opinion of Counsel and Shareholder Approval </w:t>
      </w:r>
    </w:p>
    <w:p>
      <w:pPr>
        <w:pStyle w:val="TextBody"/>
        <w:rPr/>
      </w:pPr>
      <w:r>
        <w:rPr/>
        <w:t>        </w:t>
      </w:r>
      <w:r>
        <w:rPr>
          <w:rFonts w:ascii="times" w:hAnsi="times"/>
          <w:sz w:val="20"/>
        </w:rPr>
        <w:t xml:space="preserve">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76101a_main_toc">
        <w:bookmarkStart w:id="57" w:name="page_dc76101_1_20"/>
        <w:bookmarkEnd w:id="5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opinion where required, the approval of 90% of the outstanding shares is required for an amendment to become effective. </w:t>
      </w:r>
    </w:p>
    <w:p>
      <w:pPr>
        <w:pStyle w:val="TextBody"/>
        <w:rPr/>
      </w:pPr>
      <w:r>
        <w:rPr/>
        <w:t>        </w:t>
      </w:r>
      <w:r>
        <w:rPr>
          <w:rFonts w:ascii="times" w:hAnsi="times"/>
          <w:sz w:val="20"/>
        </w:rPr>
        <w:t xml:space="preserve">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 </w:t>
      </w:r>
    </w:p>
    <w:p>
      <w:pPr>
        <w:pStyle w:val="TextBody"/>
        <w:rPr>
          <w:rFonts w:ascii="times" w:hAnsi="times"/>
          <w:b/>
          <w:sz w:val="20"/>
        </w:rPr>
      </w:pPr>
      <w:r>
        <w:rPr>
          <w:rFonts w:ascii="times" w:hAnsi="times"/>
          <w:b/>
          <w:sz w:val="20"/>
        </w:rPr>
        <w:t xml:space="preserve">Merger, Sale or Other Disposition of Assets </w:t>
      </w:r>
    </w:p>
    <w:p>
      <w:pPr>
        <w:pStyle w:val="TextBody"/>
        <w:rPr/>
      </w:pPr>
      <w:r>
        <w:rPr/>
        <w:t>        </w:t>
      </w:r>
      <w:r>
        <w:rPr>
          <w:rFonts w:ascii="times" w:hAnsi="times"/>
          <w:sz w:val="20"/>
        </w:rPr>
        <w:t xml:space="preserve">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w:t>
      </w:r>
    </w:p>
    <w:p>
      <w:pPr>
        <w:pStyle w:val="TextBody"/>
        <w:rPr/>
      </w:pPr>
      <w:r>
        <w:rPr/>
        <w:t>        </w:t>
      </w:r>
      <w:r>
        <w:rPr>
          <w:rFonts w:ascii="times" w:hAnsi="times"/>
          <w:sz w:val="20"/>
        </w:rPr>
        <w:t xml:space="preserve">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 </w:t>
      </w:r>
    </w:p>
    <w:p>
      <w:pPr>
        <w:pStyle w:val="TextBody"/>
        <w:rPr/>
      </w:pPr>
      <w:r>
        <w:rPr/>
        <w:t>        </w:t>
      </w:r>
      <w:r>
        <w:rPr>
          <w:rFonts w:ascii="times" w:hAnsi="times"/>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 </w:t>
      </w:r>
    </w:p>
    <w:p>
      <w:pPr>
        <w:pStyle w:val="TextBody"/>
        <w:rPr>
          <w:rFonts w:ascii="times" w:hAnsi="times"/>
          <w:b/>
          <w:sz w:val="20"/>
        </w:rPr>
      </w:pPr>
      <w:r>
        <w:rPr>
          <w:rFonts w:ascii="times" w:hAnsi="times"/>
          <w:b/>
          <w:sz w:val="20"/>
        </w:rPr>
        <w:t xml:space="preserve">Termination or Dissolution </w:t>
      </w:r>
    </w:p>
    <w:p>
      <w:pPr>
        <w:pStyle w:val="TextBody"/>
        <w:rPr/>
      </w:pPr>
      <w:r>
        <w:rPr/>
        <w:t>        </w:t>
      </w:r>
      <w:r>
        <w:rPr>
          <w:rFonts w:ascii="times" w:hAnsi="times"/>
          <w:sz w:val="20"/>
        </w:rPr>
        <w:t xml:space="preserve">We will continue as a limited partnership until terminated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to dissolve us, if approved by a majority of our outstanding shares;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being no holders of partnership interests, unless we are continued without dissolution in accordance with applicable Delaware law;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76101a_main_toc">
        <w:bookmarkStart w:id="58" w:name="page_dc76101_1_21"/>
        <w:bookmarkEnd w:id="58"/>
        <w:r>
          <w:rPr>
            <w:rStyle w:val="InternetLink"/>
            <w:rFonts w:ascii="times" w:hAnsi="times"/>
            <w:sz w:val="20"/>
          </w:rPr>
          <w:t>Table of Contents</w:t>
        </w:r>
      </w:hyperlink>
    </w:p>
    <w:p>
      <w:pPr>
        <w:pStyle w:val="TextBody"/>
        <w:rPr/>
      </w:pPr>
      <w:r>
        <w:rPr/>
        <w:t>        </w:t>
      </w:r>
      <w:r>
        <w:rPr>
          <w:rFonts w:ascii="times" w:hAnsi="times"/>
          <w:sz w:val="20"/>
        </w:rPr>
        <w:t xml:space="preserve">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 </w:t>
      </w:r>
    </w:p>
    <w:p>
      <w:pPr>
        <w:pStyle w:val="TextBody"/>
        <w:rPr>
          <w:rFonts w:ascii="times" w:hAnsi="times"/>
          <w:b/>
          <w:sz w:val="20"/>
        </w:rPr>
      </w:pPr>
      <w:r>
        <w:rPr>
          <w:rFonts w:ascii="times" w:hAnsi="times"/>
          <w:b/>
          <w:sz w:val="20"/>
        </w:rPr>
        <w:t xml:space="preserve">Liquidation and Distribution of Proceeds </w:t>
      </w:r>
    </w:p>
    <w:p>
      <w:pPr>
        <w:pStyle w:val="TextBody"/>
        <w:rPr/>
      </w:pPr>
      <w:r>
        <w:rPr/>
        <w:t>        </w:t>
      </w:r>
      <w:r>
        <w:rPr>
          <w:rFonts w:ascii="times" w:hAnsi="times"/>
          <w:sz w:val="20"/>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towards the payment of all of our creditors and the settlement of or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then</w:t>
      </w:r>
      <w:r>
        <w:rPr>
          <w:rFonts w:ascii="times" w:hAnsi="times"/>
          <w:sz w:val="20"/>
        </w:rPr>
        <w:t xml:space="preserve">, to all partners in accordance with the positive balance in the respective capital accounts. </w:t>
      </w:r>
    </w:p>
    <w:p>
      <w:pPr>
        <w:pStyle w:val="TextBody"/>
        <w:rPr/>
      </w:pPr>
      <w:r>
        <w:rPr/>
        <w:t>        </w:t>
      </w:r>
      <w:r>
        <w:rPr>
          <w:rFonts w:ascii="times" w:hAnsi="times"/>
          <w:sz w:val="20"/>
        </w:rPr>
        <w:t xml:space="preserve">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 </w:t>
      </w:r>
    </w:p>
    <w:p>
      <w:pPr>
        <w:pStyle w:val="TextBody"/>
        <w:rPr>
          <w:rFonts w:ascii="times" w:hAnsi="times"/>
          <w:b/>
          <w:sz w:val="20"/>
        </w:rPr>
      </w:pPr>
      <w:r>
        <w:rPr>
          <w:rFonts w:ascii="times" w:hAnsi="times"/>
          <w:b/>
          <w:sz w:val="20"/>
        </w:rPr>
        <w:t xml:space="preserve">Withdrawal or Removal of the General Partner </w:t>
      </w:r>
    </w:p>
    <w:p>
      <w:pPr>
        <w:pStyle w:val="TextBody"/>
        <w:rPr/>
      </w:pPr>
      <w:r>
        <w:rPr/>
        <w:t>        </w:t>
      </w:r>
      <w:r>
        <w:rPr>
          <w:rFonts w:ascii="times" w:hAnsi="times"/>
          <w:sz w:val="20"/>
        </w:rPr>
        <w:t xml:space="preserve">Our general partner may withdraw as general partner in compliance with our partnership agreement after giving 90 days' written notice to our shareholders, and that withdrawal will not constitute a violation of our partnership agreement. </w:t>
      </w:r>
    </w:p>
    <w:p>
      <w:pPr>
        <w:pStyle w:val="TextBody"/>
        <w:rPr/>
      </w:pPr>
      <w:r>
        <w:rPr/>
        <w:t>        </w:t>
      </w:r>
      <w:r>
        <w:rPr>
          <w:rFonts w:ascii="times" w:hAnsi="times"/>
          <w:sz w:val="20"/>
        </w:rPr>
        <w:t xml:space="preserve">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of our outstanding shares by any person or group would give such persons the practical ability to prevent our general partner's removal. The Legacy Owners currently own substantially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and will continue to do so following the completion of this offering.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 </w:t>
      </w:r>
    </w:p>
    <w:p>
      <w:pPr>
        <w:pStyle w:val="TextBody"/>
        <w:rPr>
          <w:rFonts w:ascii="times" w:hAnsi="times"/>
          <w:b/>
          <w:sz w:val="20"/>
        </w:rPr>
      </w:pPr>
      <w:r>
        <w:rPr>
          <w:rFonts w:ascii="times" w:hAnsi="times"/>
          <w:b/>
          <w:sz w:val="20"/>
        </w:rPr>
        <w:t xml:space="preserve">Transfer of General Partner Interest </w:t>
      </w:r>
    </w:p>
    <w:p>
      <w:pPr>
        <w:pStyle w:val="TextBody"/>
        <w:rPr/>
      </w:pPr>
      <w:r>
        <w:rPr/>
        <w:t>        </w:t>
      </w:r>
      <w:r>
        <w:rPr>
          <w:rFonts w:ascii="times" w:hAnsi="times"/>
          <w:sz w:val="20"/>
        </w:rPr>
        <w:t xml:space="preserve">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76101a_main_toc">
        <w:bookmarkStart w:id="59" w:name="page_de76101_1_22"/>
        <w:bookmarkEnd w:id="59"/>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Change of Management Provision </w:t>
      </w:r>
    </w:p>
    <w:p>
      <w:pPr>
        <w:pStyle w:val="TextBody"/>
        <w:rPr/>
      </w:pPr>
      <w:r>
        <w:rPr/>
        <w:t>        </w:t>
      </w:r>
      <w:r>
        <w:rPr>
          <w:rFonts w:ascii="times" w:hAnsi="times"/>
          <w:sz w:val="20"/>
        </w:rPr>
        <w:t xml:space="preserve">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 </w:t>
      </w:r>
    </w:p>
    <w:p>
      <w:pPr>
        <w:pStyle w:val="TextBody"/>
        <w:rPr>
          <w:rFonts w:ascii="times" w:hAnsi="times"/>
          <w:b/>
          <w:sz w:val="20"/>
        </w:rPr>
      </w:pPr>
      <w:r>
        <w:rPr>
          <w:rFonts w:ascii="times" w:hAnsi="times"/>
          <w:b/>
          <w:sz w:val="20"/>
        </w:rPr>
        <w:t xml:space="preserve">Limited Call Right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 </w:t>
      </w:r>
    </w:p>
    <w:p>
      <w:pPr>
        <w:pStyle w:val="TextBody"/>
        <w:rPr/>
      </w:pPr>
      <w:r>
        <w:rPr/>
        <w:t>        </w:t>
      </w:r>
      <w:r>
        <w:rPr>
          <w:rFonts w:ascii="times" w:hAnsi="times"/>
          <w:sz w:val="20"/>
        </w:rPr>
        <w:t xml:space="preserve">Upon completion of this offering, the Legacy Owners will own 67.7% of the Class A shares and Class B shares on a combined basis. </w:t>
      </w:r>
    </w:p>
    <w:p>
      <w:pPr>
        <w:pStyle w:val="TextBody"/>
        <w:rPr/>
      </w:pPr>
      <w:r>
        <w:rPr/>
        <w:t>        </w:t>
      </w:r>
      <w:r>
        <w:rPr>
          <w:rFonts w:ascii="times" w:hAnsi="times"/>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 </w:t>
      </w:r>
    </w:p>
    <w:p>
      <w:pPr>
        <w:pStyle w:val="TextBody"/>
        <w:rPr>
          <w:rFonts w:ascii="times" w:hAnsi="times"/>
          <w:b/>
          <w:sz w:val="20"/>
        </w:rPr>
      </w:pPr>
      <w:r>
        <w:rPr>
          <w:rFonts w:ascii="times" w:hAnsi="times"/>
          <w:b/>
          <w:sz w:val="20"/>
        </w:rPr>
        <w:t xml:space="preserve">Meetings; Voting </w:t>
      </w:r>
    </w:p>
    <w:p>
      <w:pPr>
        <w:pStyle w:val="TextBody"/>
        <w:rPr/>
      </w:pPr>
      <w:r>
        <w:rPr/>
        <w:t>        </w:t>
      </w:r>
      <w:r>
        <w:rPr>
          <w:rFonts w:ascii="times" w:hAnsi="times"/>
          <w:sz w:val="20"/>
        </w:rPr>
        <w:t xml:space="preserve">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 </w:t>
      </w:r>
    </w:p>
    <w:p>
      <w:pPr>
        <w:pStyle w:val="TextBody"/>
        <w:rPr/>
      </w:pPr>
      <w:r>
        <w:rPr/>
        <w:t>        </w:t>
      </w:r>
      <w:r>
        <w:rPr>
          <w:rFonts w:ascii="times" w:hAnsi="times"/>
          <w:sz w:val="20"/>
        </w:rPr>
        <w:t xml:space="preserve">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76101a_main_toc">
        <w:bookmarkStart w:id="60" w:name="page_de76101_1_23"/>
        <w:bookmarkEnd w:id="60"/>
        <w:r>
          <w:rPr>
            <w:rStyle w:val="InternetLink"/>
            <w:rFonts w:ascii="times" w:hAnsi="times"/>
            <w:sz w:val="20"/>
          </w:rPr>
          <w:t>Table of Contents</w:t>
        </w:r>
      </w:hyperlink>
    </w:p>
    <w:p>
      <w:pPr>
        <w:pStyle w:val="TextBody"/>
        <w:rPr/>
      </w:pPr>
      <w:r>
        <w:rPr/>
        <w:t>        </w:t>
      </w:r>
      <w:r>
        <w:rPr>
          <w:rFonts w:ascii="times" w:hAnsi="times"/>
          <w:sz w:val="20"/>
        </w:rPr>
        <w:t xml:space="preserve">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shares under our partnership agreement will be delivered to the record holder by us or by the transfer agent. </w:t>
      </w:r>
    </w:p>
    <w:p>
      <w:pPr>
        <w:pStyle w:val="TextBody"/>
        <w:rPr>
          <w:rFonts w:ascii="times" w:hAnsi="times"/>
          <w:b/>
          <w:sz w:val="20"/>
        </w:rPr>
      </w:pPr>
      <w:r>
        <w:rPr>
          <w:rFonts w:ascii="times" w:hAnsi="times"/>
          <w:b/>
          <w:sz w:val="20"/>
        </w:rPr>
        <w:t xml:space="preserve">Public Election of Directors Following Trigger Date </w:t>
      </w:r>
    </w:p>
    <w:p>
      <w:pPr>
        <w:pStyle w:val="TextBody"/>
        <w:rPr/>
      </w:pPr>
      <w:r>
        <w:rPr/>
        <w:t>        </w:t>
      </w:r>
      <w:r>
        <w:rPr>
          <w:rFonts w:ascii="times" w:hAnsi="times"/>
          <w:sz w:val="20"/>
        </w:rPr>
        <w:t xml:space="preserve">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Upon completion of this offering, the Legacy Owners will own a 63.0% overall direct and indirect economic interest in AAP.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 </w:t>
      </w:r>
    </w:p>
    <w:p>
      <w:pPr>
        <w:pStyle w:val="TextBody"/>
        <w:rPr/>
      </w:pPr>
      <w:r>
        <w:rPr/>
        <w:t>        </w:t>
      </w:r>
      <w:r>
        <w:rPr>
          <w:rFonts w:ascii="times" w:hAnsi="times"/>
          <w:sz w:val="20"/>
        </w:rPr>
        <w:t xml:space="preserve">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 </w:t>
      </w:r>
    </w:p>
    <w:p>
      <w:pPr>
        <w:pStyle w:val="TextBody"/>
        <w:rPr/>
      </w:pPr>
      <w:r>
        <w:rPr/>
        <w:t>        </w:t>
      </w:r>
      <w:r>
        <w:rPr>
          <w:rFonts w:ascii="times" w:hAnsi="times"/>
          <w:sz w:val="20"/>
        </w:rPr>
        <w:t xml:space="preserve">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76101a_main_toc">
        <w:bookmarkStart w:id="61" w:name="page_de76101_1_24"/>
        <w:bookmarkEnd w:id="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case of our first annual meeting, such date as shall be set by our general partner) and comply with certain other requirements set forth in our amended and restated partnership agreement. </w:t>
      </w:r>
    </w:p>
    <w:p>
      <w:pPr>
        <w:pStyle w:val="TextBody"/>
        <w:rPr/>
      </w:pPr>
      <w:r>
        <w:rPr/>
        <w:t>        </w:t>
      </w:r>
      <w:r>
        <w:rPr>
          <w:rFonts w:ascii="times" w:hAnsi="times"/>
          <w:sz w:val="20"/>
        </w:rPr>
        <w:t xml:space="preserve">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 </w:t>
      </w:r>
    </w:p>
    <w:p>
      <w:pPr>
        <w:pStyle w:val="TextBody"/>
        <w:rPr/>
      </w:pPr>
      <w:r>
        <w:rPr/>
        <w:t>        </w:t>
      </w:r>
      <w:r>
        <w:rPr>
          <w:rFonts w:ascii="times" w:hAnsi="times"/>
          <w:sz w:val="20"/>
        </w:rPr>
        <w:t xml:space="preserve">The elected directors will be elected by a plurality of the votes cast, and the designating parties will be entitled to vote in any election of elected directors. </w:t>
      </w:r>
    </w:p>
    <w:p>
      <w:pPr>
        <w:pStyle w:val="TextBody"/>
        <w:rPr/>
      </w:pPr>
      <w:r>
        <w:rPr/>
        <w:t>        </w:t>
      </w:r>
      <w:r>
        <w:rPr>
          <w:rFonts w:ascii="times" w:hAnsi="times"/>
          <w:sz w:val="20"/>
        </w:rPr>
        <w:t xml:space="preserve">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 </w:t>
      </w:r>
    </w:p>
    <w:p>
      <w:pPr>
        <w:pStyle w:val="TextBody"/>
        <w:rPr/>
      </w:pPr>
      <w:r>
        <w:rPr/>
        <w:t>        </w:t>
      </w:r>
      <w:r>
        <w:rPr>
          <w:rFonts w:ascii="times" w:hAnsi="times"/>
          <w:sz w:val="20"/>
        </w:rPr>
        <w:t xml:space="preserve">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 </w:t>
      </w:r>
    </w:p>
    <w:p>
      <w:pPr>
        <w:pStyle w:val="TextBody"/>
        <w:rPr/>
      </w:pPr>
      <w:r>
        <w:rPr/>
        <w:t>        </w:t>
      </w:r>
      <w:r>
        <w:rPr>
          <w:rFonts w:ascii="times" w:hAnsi="times"/>
          <w:sz w:val="20"/>
        </w:rPr>
        <w:t xml:space="preserve">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w:t>
      </w:r>
    </w:p>
    <w:p>
      <w:pPr>
        <w:pStyle w:val="TextBody"/>
        <w:rPr>
          <w:rFonts w:ascii="times" w:hAnsi="times"/>
          <w:b/>
          <w:sz w:val="20"/>
        </w:rPr>
      </w:pPr>
      <w:r>
        <w:rPr>
          <w:rFonts w:ascii="times" w:hAnsi="times"/>
          <w:b/>
          <w:sz w:val="20"/>
        </w:rPr>
        <w:t xml:space="preserve">Status as Limited Partner </w:t>
      </w:r>
    </w:p>
    <w:p>
      <w:pPr>
        <w:pStyle w:val="TextBody"/>
        <w:rPr/>
      </w:pPr>
      <w:r>
        <w:rPr/>
        <w:t>        </w:t>
      </w:r>
      <w:r>
        <w:rPr>
          <w:rFonts w:ascii="times" w:hAnsi="times"/>
          <w:sz w:val="20"/>
        </w:rPr>
        <w:t xml:space="preserve">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 </w:t>
      </w:r>
    </w:p>
    <w:p>
      <w:pPr>
        <w:pStyle w:val="TextBody"/>
        <w:rPr>
          <w:rFonts w:ascii="times" w:hAnsi="times"/>
          <w:b/>
          <w:sz w:val="20"/>
        </w:rPr>
      </w:pPr>
      <w:r>
        <w:rPr>
          <w:rFonts w:ascii="times" w:hAnsi="times"/>
          <w:b/>
          <w:sz w:val="20"/>
        </w:rPr>
        <w:t xml:space="preserve">Non-Citizen Assignees; Redemption </w:t>
      </w:r>
    </w:p>
    <w:p>
      <w:pPr>
        <w:pStyle w:val="TextBody"/>
        <w:rPr/>
      </w:pPr>
      <w:r>
        <w:rPr/>
        <w:t>        </w:t>
      </w:r>
      <w:r>
        <w:rPr>
          <w:rFonts w:ascii="times" w:hAnsi="times"/>
          <w:sz w:val="20"/>
        </w:rPr>
        <w:t xml:space="preserve">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76101a_main_toc">
        <w:bookmarkStart w:id="62" w:name="page_de76101_1_25"/>
        <w:bookmarkEnd w:id="6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Under our partnership agreement, in most circumstances, we will indemnify the following persons, to the fullest extent permitted by law, from and against all losses, claims, damages or similar events: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our general partner or any departing general partner or any affiliate of our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general partner. </w:t>
      </w:r>
    </w:p>
    <w:p>
      <w:pPr>
        <w:pStyle w:val="TextBody"/>
        <w:rPr/>
      </w:pPr>
      <w:r>
        <w:rPr/>
        <w:t>        </w:t>
      </w:r>
      <w:r>
        <w:rPr>
          <w:rFonts w:ascii="times" w:hAnsi="times"/>
          <w:sz w:val="20"/>
        </w:rPr>
        <w:t xml:space="preserve">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 </w:t>
      </w:r>
    </w:p>
    <w:p>
      <w:pPr>
        <w:pStyle w:val="TextBody"/>
        <w:rPr>
          <w:rFonts w:ascii="times" w:hAnsi="times"/>
          <w:b/>
          <w:sz w:val="20"/>
        </w:rPr>
      </w:pPr>
      <w:r>
        <w:rPr>
          <w:rFonts w:ascii="times" w:hAnsi="times"/>
          <w:b/>
          <w:sz w:val="20"/>
        </w:rPr>
        <w:t xml:space="preserve">Reimbursement of Expenses </w:t>
      </w:r>
    </w:p>
    <w:p>
      <w:pPr>
        <w:pStyle w:val="TextBody"/>
        <w:rPr/>
      </w:pPr>
      <w:r>
        <w:rPr/>
        <w:t>        </w:t>
      </w:r>
      <w:r>
        <w:rPr>
          <w:rFonts w:ascii="times" w:hAnsi="times"/>
          <w:sz w:val="20"/>
        </w:rPr>
        <w:t xml:space="preserve">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76101a_main_toc">
        <w:bookmarkStart w:id="63" w:name="page_de76101_1_26"/>
        <w:bookmarkEnd w:id="63"/>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 </w:t>
      </w:r>
    </w:p>
    <w:p>
      <w:pPr>
        <w:pStyle w:val="TextBody"/>
        <w:rPr/>
      </w:pPr>
      <w:r>
        <w:rPr/>
        <w:t>        </w:t>
      </w:r>
      <w:r>
        <w:rPr>
          <w:rFonts w:ascii="times" w:hAnsi="times"/>
          <w:sz w:val="20"/>
        </w:rPr>
        <w:t xml:space="preserve">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t>
      </w:r>
    </w:p>
    <w:p>
      <w:pPr>
        <w:pStyle w:val="TextBody"/>
        <w:rPr>
          <w:rFonts w:ascii="times" w:hAnsi="times"/>
          <w:b/>
          <w:sz w:val="20"/>
        </w:rPr>
      </w:pPr>
      <w:r>
        <w:rPr>
          <w:rFonts w:ascii="times" w:hAnsi="times"/>
          <w:b/>
          <w:sz w:val="20"/>
        </w:rPr>
        <w:t xml:space="preserve">Right to Inspect Our Books and Records </w:t>
      </w:r>
    </w:p>
    <w:p>
      <w:pPr>
        <w:pStyle w:val="TextBody"/>
        <w:rPr/>
      </w:pPr>
      <w:r>
        <w:rPr/>
        <w:t>        </w:t>
      </w:r>
      <w:r>
        <w:rPr>
          <w:rFonts w:ascii="times" w:hAnsi="times"/>
          <w:sz w:val="20"/>
        </w:rPr>
        <w:t>Our partnership agreement provides that a limited partner can, for a purpose reasonably related to his interest as a limited partner, upon reasonable written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record holder;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our partnership agreement, our certificate of limited partnership of the partnership, related amendments and powers of attorney under which they have been executed. </w:t>
      </w:r>
    </w:p>
    <w:p>
      <w:pPr>
        <w:pStyle w:val="TextBody"/>
        <w:rPr/>
      </w:pPr>
      <w:r>
        <w:rPr/>
        <w:t>        </w:t>
      </w:r>
      <w:r>
        <w:rPr>
          <w:rFonts w:ascii="times" w:hAnsi="times"/>
          <w:sz w:val="20"/>
        </w:rPr>
        <w:t xml:space="preserve">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 </w:t>
      </w:r>
    </w:p>
    <w:p>
      <w:pPr>
        <w:pStyle w:val="TextBody"/>
        <w:rPr/>
      </w:pPr>
      <w:r>
        <w:rPr/>
        <w:t>        </w:t>
      </w:r>
      <w:r>
        <w:rPr>
          <w:rFonts w:ascii="times" w:hAnsi="times"/>
          <w:sz w:val="20"/>
        </w:rPr>
        <w:t xml:space="preserve">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76101a_main_toc">
        <w:bookmarkStart w:id="64" w:name="page_dg76101_1_27"/>
        <w:bookmarkEnd w:id="6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5" w:name="toc_dg76101_1"/>
      <w:bookmarkStart w:id="66" w:name="dg76101_description_of_our_shares"/>
      <w:bookmarkEnd w:id="65"/>
      <w:bookmarkEnd w:id="66"/>
      <w:r>
        <w:rPr>
          <w:rFonts w:ascii="times" w:hAnsi="times"/>
          <w:sz w:val="20"/>
        </w:rPr>
        <w:br/>
      </w:r>
      <w:r>
        <w:rPr>
          <w:rFonts w:ascii="times" w:hAnsi="times"/>
          <w:b/>
          <w:sz w:val="20"/>
        </w:rPr>
        <w:t xml:space="preserve">DESCRIPTION OF OUR SHARES </w:t>
      </w:r>
    </w:p>
    <w:p>
      <w:pPr>
        <w:pStyle w:val="TextBody"/>
        <w:rPr>
          <w:rFonts w:ascii="times" w:hAnsi="times"/>
          <w:b/>
          <w:sz w:val="20"/>
        </w:rPr>
      </w:pPr>
      <w:r>
        <w:rPr>
          <w:rFonts w:ascii="times" w:hAnsi="times"/>
          <w:b/>
          <w:sz w:val="20"/>
        </w:rPr>
        <w:t xml:space="preserve">Our Share Structure </w:t>
      </w:r>
    </w:p>
    <w:p>
      <w:pPr>
        <w:pStyle w:val="TextBody"/>
        <w:rPr/>
      </w:pPr>
      <w:r>
        <w:rPr/>
        <w:t>        </w:t>
      </w:r>
      <w:r>
        <w:rPr>
          <w:rFonts w:ascii="times" w:hAnsi="times"/>
          <w:sz w:val="20"/>
        </w:rPr>
        <w:t xml:space="preserve">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 </w:t>
      </w:r>
    </w:p>
    <w:p>
      <w:pPr>
        <w:pStyle w:val="TextBody"/>
        <w:rPr/>
      </w:pPr>
      <w:r>
        <w:rPr/>
        <w:t>        </w:t>
      </w:r>
      <w:r>
        <w:rPr>
          <w:rFonts w:ascii="times" w:hAnsi="times"/>
          <w:sz w:val="20"/>
        </w:rPr>
        <w:t xml:space="preserve">Our Class A shares are listed on the NYSE under the symbol "PAGP"; we do not intend to list the Class B shares on any stock exchange. All of our Class B shares are owned by the Legacy Owners or their permitted transferees. </w:t>
      </w:r>
    </w:p>
    <w:p>
      <w:pPr>
        <w:pStyle w:val="TextBody"/>
        <w:rPr>
          <w:rFonts w:ascii="times" w:hAnsi="times"/>
          <w:b/>
          <w:sz w:val="20"/>
        </w:rPr>
      </w:pPr>
      <w:r>
        <w:rPr>
          <w:rFonts w:ascii="times" w:hAnsi="times"/>
          <w:b/>
          <w:sz w:val="20"/>
        </w:rPr>
        <w:t xml:space="preserve">Exchange Right </w:t>
      </w:r>
    </w:p>
    <w:p>
      <w:pPr>
        <w:pStyle w:val="TextBody"/>
        <w:rPr/>
      </w:pPr>
      <w:r>
        <w:rPr/>
        <w:t>        </w:t>
      </w:r>
      <w:r>
        <w:rPr>
          <w:rFonts w:ascii="times" w:hAnsi="times"/>
          <w:sz w:val="20"/>
        </w:rPr>
        <w:t xml:space="preserve">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t>
      </w:r>
    </w:p>
    <w:p>
      <w:pPr>
        <w:pStyle w:val="TextBody"/>
        <w:rPr/>
      </w:pPr>
      <w:r>
        <w:rPr/>
        <w:t>        </w:t>
      </w:r>
      <w:r>
        <w:rPr>
          <w:rFonts w:ascii="times" w:hAnsi="times"/>
          <w:sz w:val="20"/>
        </w:rPr>
        <w:t xml:space="preserve">For purposes of any transfer or exchange of AAP units owned by the Legacy Owners,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convert his or her AAP management units into AAP units and a like number of Class B shares based on a conversion ratio calculated in accordance with the AAP limited partnership agreement (which conversion ratio will not be more than one-to-one and is expected to be approximately 0.925 AAP units for each AAP management unit as of the date of the distribution that will be paid with respect to the third quarter of 2014).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w:t>
      </w:r>
    </w:p>
    <w:p>
      <w:pPr>
        <w:pStyle w:val="TextBody"/>
        <w:rPr/>
      </w:pPr>
      <w:r>
        <w:rPr/>
        <w:t>        </w:t>
      </w:r>
      <w:r>
        <w:rPr>
          <w:rFonts w:ascii="times" w:hAnsi="times"/>
          <w:sz w:val="20"/>
        </w:rPr>
        <w:t xml:space="preserve">The above mechanisms are subject to customary conversion rate adjustments for equity splits, equity dividends and reclassifications. </w:t>
      </w:r>
    </w:p>
    <w:p>
      <w:pPr>
        <w:pStyle w:val="TextBody"/>
        <w:rPr>
          <w:rFonts w:ascii="times" w:hAnsi="times"/>
          <w:b/>
          <w:sz w:val="20"/>
        </w:rPr>
      </w:pPr>
      <w:r>
        <w:rPr>
          <w:rFonts w:ascii="times" w:hAnsi="times"/>
          <w:b/>
          <w:sz w:val="20"/>
        </w:rPr>
        <w:t xml:space="preserve">Transfer of Class A Shares and Class B shares </w:t>
      </w:r>
    </w:p>
    <w:p>
      <w:pPr>
        <w:pStyle w:val="TextBody"/>
        <w:rPr/>
      </w:pPr>
      <w:r>
        <w:rPr/>
        <w:t>        </w:t>
      </w:r>
      <w:r>
        <w:rPr>
          <w:rFonts w:ascii="times" w:hAnsi="times"/>
          <w:sz w:val="20"/>
        </w:rPr>
        <w:t>By transfer of our Class A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76101a_main_toc">
        <w:bookmarkStart w:id="67" w:name="page_dg76101_1_28"/>
        <w:bookmarkEnd w:id="6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w:t>
      </w:r>
    </w:p>
    <w:p>
      <w:pPr>
        <w:pStyle w:val="TextBody"/>
        <w:rPr/>
      </w:pPr>
      <w:r>
        <w:rPr/>
        <w:t>        </w:t>
      </w:r>
      <w:r>
        <w:rPr>
          <w:rFonts w:ascii="times" w:hAnsi="times"/>
          <w:sz w:val="20"/>
        </w:rPr>
        <w:t xml:space="preserve">A transferee will become a substituted limited partner for the transferred shares automatically upon the recording of the transfer on our books and records. Our general partner will cause any transfers to be recorded on our books and records no less frequently than quarterly. </w:t>
      </w:r>
    </w:p>
    <w:p>
      <w:pPr>
        <w:pStyle w:val="TextBody"/>
        <w:rPr/>
      </w:pPr>
      <w:r>
        <w:rPr/>
        <w:t>        </w:t>
      </w:r>
      <w:r>
        <w:rPr>
          <w:rFonts w:ascii="times" w:hAnsi="times"/>
          <w:sz w:val="20"/>
        </w:rPr>
        <w:t xml:space="preserve">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 </w:t>
      </w:r>
    </w:p>
    <w:p>
      <w:pPr>
        <w:pStyle w:val="TextBody"/>
        <w:rPr/>
      </w:pPr>
      <w:r>
        <w:rPr/>
        <w:t>        </w:t>
      </w:r>
      <w:r>
        <w:rPr>
          <w:rFonts w:ascii="times" w:hAnsi="times"/>
          <w:sz w:val="20"/>
        </w:rPr>
        <w:t xml:space="preserve">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 </w:t>
      </w:r>
    </w:p>
    <w:p>
      <w:pPr>
        <w:pStyle w:val="TextBody"/>
        <w:rPr/>
      </w:pPr>
      <w:r>
        <w:rPr/>
        <w:t>        </w:t>
      </w:r>
      <w:r>
        <w:rPr>
          <w:rFonts w:ascii="times" w:hAnsi="times"/>
          <w:sz w:val="20"/>
        </w:rPr>
        <w:t xml:space="preserve">For purposes of any transfer or exchange of AAP units and our Class B shares, the AAP partnership agreement, our general partner's limited liability company agreement and our partnership agreement will contain provisions linking each AAP unit with one of our Class B shares and a general partner unit. Please read "Exchange Right" above. </w:t>
      </w:r>
    </w:p>
    <w:p>
      <w:pPr>
        <w:pStyle w:val="TextBody"/>
        <w:rPr>
          <w:rFonts w:ascii="times" w:hAnsi="times"/>
          <w:b/>
          <w:sz w:val="20"/>
        </w:rPr>
      </w:pPr>
      <w:r>
        <w:rPr>
          <w:rFonts w:ascii="times" w:hAnsi="times"/>
          <w:b/>
          <w:sz w:val="20"/>
        </w:rPr>
        <w:t xml:space="preserve">Transfer Agent and Registrar </w:t>
      </w:r>
    </w:p>
    <w:p>
      <w:pPr>
        <w:pStyle w:val="TextBody"/>
        <w:rPr>
          <w:rFonts w:ascii="times" w:hAnsi="times"/>
          <w:b/>
          <w:i/>
          <w:sz w:val="20"/>
        </w:rPr>
      </w:pPr>
      <w:r>
        <w:rPr>
          <w:rFonts w:ascii="times" w:hAnsi="times"/>
          <w:b/>
          <w:i/>
          <w:sz w:val="20"/>
        </w:rPr>
        <w:t xml:space="preserve">Duties </w:t>
      </w:r>
    </w:p>
    <w:p>
      <w:pPr>
        <w:pStyle w:val="TextBody"/>
        <w:rPr/>
      </w:pPr>
      <w:r>
        <w:rPr/>
        <w:t>        </w:t>
      </w:r>
      <w:r>
        <w:rPr>
          <w:rFonts w:ascii="times" w:hAnsi="times"/>
          <w:sz w:val="20"/>
        </w:rPr>
        <w:t>American Stock Transfer and Trust Company serves as registrar and transfer agent for our Class A shares. We will pay all fees charged by the transfer agent for transfers of our shares except the following fees that will be paid by shareholders: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share;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pPr>
      <w:r>
        <w:rPr/>
        <w:t>        </w:t>
      </w:r>
      <w:r>
        <w:rPr>
          <w:rFonts w:ascii="times" w:hAnsi="times"/>
          <w:sz w:val="20"/>
        </w:rPr>
        <w:t xml:space="preserve">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rPr>
          <w:rFonts w:ascii="times" w:hAnsi="times"/>
          <w:b/>
          <w:sz w:val="20"/>
        </w:rPr>
      </w:pPr>
      <w:r>
        <w:rPr>
          <w:rFonts w:ascii="times" w:hAnsi="times"/>
          <w:b/>
          <w:sz w:val="20"/>
        </w:rPr>
        <w:t xml:space="preserve">Resignation or Removal </w:t>
      </w:r>
    </w:p>
    <w:p>
      <w:pPr>
        <w:pStyle w:val="TextBody"/>
        <w:rPr/>
      </w:pPr>
      <w:r>
        <w:rPr/>
        <w:t>        </w:t>
      </w:r>
      <w:r>
        <w:rPr>
          <w:rFonts w:ascii="times" w:hAnsi="times"/>
          <w:sz w:val="20"/>
        </w:rPr>
        <w:t xml:space="preserve">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76101a_main_toc">
        <w:bookmarkStart w:id="68" w:name="page_dg76101_1_29"/>
        <w:bookmarkEnd w:id="68"/>
        <w:r>
          <w:rPr>
            <w:rStyle w:val="InternetLink"/>
            <w:rFonts w:ascii="times" w:hAnsi="times"/>
            <w:sz w:val="20"/>
          </w:rPr>
          <w:t>Table of Contents</w:t>
        </w:r>
      </w:hyperlink>
    </w:p>
    <w:p>
      <w:pPr>
        <w:pStyle w:val="TextBody"/>
        <w:jc w:val="center"/>
        <w:rPr>
          <w:rFonts w:ascii="times" w:hAnsi="times"/>
        </w:rPr>
      </w:pPr>
      <w:bookmarkStart w:id="69" w:name="toc_dg76101_2"/>
      <w:bookmarkStart w:id="70" w:name="dg76101_material_u.s._federal_income_tax"/>
      <w:bookmarkEnd w:id="69"/>
      <w:bookmarkEnd w:id="70"/>
      <w:r>
        <w:rPr>
          <w:rFonts w:ascii="times" w:hAnsi="times"/>
          <w:sz w:val="20"/>
        </w:rPr>
        <w:br/>
      </w:r>
      <w:r>
        <w:rPr>
          <w:rFonts w:ascii="times" w:hAnsi="times"/>
          <w:b/>
          <w:sz w:val="20"/>
        </w:rPr>
        <w:t xml:space="preserve">MATERIAL U.S. FEDERAL INCOME TAX CONSEQUENCES </w:t>
      </w:r>
    </w:p>
    <w:p>
      <w:pPr>
        <w:pStyle w:val="TextBody"/>
        <w:rPr/>
      </w:pPr>
      <w:r>
        <w:rPr/>
        <w:t>        </w:t>
      </w:r>
      <w:r>
        <w:rPr>
          <w:rFonts w:ascii="times" w:hAnsi="times"/>
          <w:sz w:val="20"/>
        </w:rPr>
        <w:t xml:space="preserve">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 </w:t>
      </w:r>
    </w:p>
    <w:p>
      <w:pPr>
        <w:pStyle w:val="TextBody"/>
        <w:rPr/>
      </w:pPr>
      <w:r>
        <w:rPr/>
        <w:t>        </w:t>
      </w:r>
      <w:r>
        <w:rPr>
          <w:rFonts w:ascii="times" w:hAnsi="times"/>
          <w:sz w:val="20"/>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banks, insurance companies or other financial institutions;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tax-exempt or governmental organizations;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dealers in securities or foreign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traders in securities that use the mark-to-market method of accounting for U.S.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"controlled foreign corporations," "passive foreign investment companies" and corporations that accumulate earnings to avoid U.S. federal income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subject to the alternative minimum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partnerships or other pass-through entities for U.S. federal income tax purposes or holders of interests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or are deemed to sell our Class A shares under the constructive sale provisions of the Code;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acquired our Class A shares through the exercise of employee stock options or otherwise as compensation or through a tax-qualified retirement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former citizens or long-term residents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real estate investment trusts or regulated investment companies;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part of a straddle, appreciated financial position, synthetic security, hedge, conversion transaction or other integrated investment or risk reduction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in excess of 5% of our Class A shares. </w:t>
      </w:r>
    </w:p>
    <w:p>
      <w:pPr>
        <w:pStyle w:val="TextBody"/>
        <w:rPr/>
      </w:pPr>
      <w:r>
        <w:rPr/>
        <w:t>        </w:t>
      </w:r>
      <w:r>
        <w:rPr>
          <w:rFonts w:ascii="times" w:hAnsi="times"/>
          <w:sz w:val="20"/>
        </w:rPr>
        <w:t xml:space="preserve">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76101a_main_toc">
        <w:bookmarkStart w:id="71" w:name="page_dg76101_1_30"/>
        <w:bookmarkEnd w:id="71"/>
        <w:r>
          <w:rPr>
            <w:rStyle w:val="InternetLink"/>
            <w:rFonts w:ascii="times" w:hAnsi="times"/>
            <w:sz w:val="20"/>
          </w:rPr>
          <w:t>Table of Contents</w:t>
        </w:r>
      </w:hyperlink>
    </w:p>
    <w:p>
      <w:pPr>
        <w:pStyle w:val="TextBody"/>
        <w:rPr/>
      </w:pPr>
      <w:r>
        <w:rPr/>
        <w:t>        </w:t>
      </w:r>
      <w:r>
        <w:rPr>
          <w:rFonts w:ascii="times" w:hAnsi="times"/>
          <w:b/>
          <w:sz w:val="20"/>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pStyle w:val="TextBody"/>
        <w:rPr>
          <w:rFonts w:ascii="times" w:hAnsi="times"/>
          <w:b/>
          <w:sz w:val="20"/>
        </w:rPr>
      </w:pPr>
      <w:r>
        <w:rPr>
          <w:rFonts w:ascii="times" w:hAnsi="times"/>
          <w:b/>
          <w:sz w:val="20"/>
        </w:rPr>
        <w:t xml:space="preserve">Corporate Status </w:t>
      </w:r>
    </w:p>
    <w:p>
      <w:pPr>
        <w:pStyle w:val="TextBody"/>
        <w:rPr/>
      </w:pPr>
      <w:r>
        <w:rPr/>
        <w:t>        </w:t>
      </w:r>
      <w:r>
        <w:rPr>
          <w:rFonts w:ascii="times" w:hAnsi="times"/>
          <w:sz w:val="20"/>
        </w:rPr>
        <w:t xml:space="preserve">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 </w:t>
      </w:r>
    </w:p>
    <w:p>
      <w:pPr>
        <w:pStyle w:val="TextBody"/>
        <w:rPr>
          <w:rFonts w:ascii="times" w:hAnsi="times"/>
          <w:b/>
          <w:sz w:val="20"/>
        </w:rPr>
      </w:pPr>
      <w:r>
        <w:rPr>
          <w:rFonts w:ascii="times" w:hAnsi="times"/>
          <w:b/>
          <w:sz w:val="20"/>
        </w:rPr>
        <w:t xml:space="preserve">Consequences to U.S. Holders </w:t>
      </w:r>
    </w:p>
    <w:p>
      <w:pPr>
        <w:pStyle w:val="TextBody"/>
        <w:rPr/>
      </w:pPr>
      <w:r>
        <w:rPr/>
        <w:t>        </w:t>
      </w:r>
      <w:r>
        <w:rPr>
          <w:rFonts w:ascii="times" w:hAnsi="times"/>
          <w:sz w:val="20"/>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individual citizen or resident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or other entity taxable as a corporation for U.S. federal income tax purposes, that was created or organized in or under the laws of the United States, any state thereof or the District of Columbia;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estate whose income is subject to U.S. federal income tax regardless of its source;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 </w:t>
      </w:r>
    </w:p>
    <w:p>
      <w:pPr>
        <w:pStyle w:val="TextBody"/>
        <w:rPr/>
      </w:pPr>
      <w:r>
        <w:rPr/>
        <w:t>        </w:t>
      </w:r>
      <w:r>
        <w:rPr>
          <w:rFonts w:ascii="times" w:hAnsi="times"/>
          <w:sz w:val="20"/>
        </w:rPr>
        <w:t xml:space="preserve">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including exchanges in connection with this offering, have resulted and will result in basis adjustments with respect to our interest in the assets of AAP (and indirectly in PAA). Such adjustments have resulted and will result in depreciation and amortization deductions that we anticipate will offset a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76101a_main_toc">
        <w:bookmarkStart w:id="72" w:name="page_dg76101_1_31"/>
        <w:bookmarkEnd w:id="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substantial portion of our taxable income for an extended period of time. In 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 </w:t>
      </w:r>
    </w:p>
    <w:p>
      <w:pPr>
        <w:pStyle w:val="TextBody"/>
        <w:rPr/>
      </w:pPr>
      <w:r>
        <w:rPr/>
        <w:t>        </w:t>
      </w:r>
      <w:r>
        <w:rPr>
          <w:rFonts w:ascii="times" w:hAnsi="times"/>
          <w:sz w:val="20"/>
        </w:rPr>
        <w:t xml:space="preserve">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 </w:t>
      </w:r>
    </w:p>
    <w:p>
      <w:pPr>
        <w:pStyle w:val="TextBody"/>
        <w:rPr/>
      </w:pPr>
      <w:r>
        <w:rPr/>
        <w:t>        </w:t>
      </w:r>
      <w:r>
        <w:rPr>
          <w:rFonts w:ascii="times" w:hAnsi="times"/>
          <w:b/>
          <w:sz w:val="20"/>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pStyle w:val="TextBody"/>
        <w:rPr>
          <w:rFonts w:ascii="times" w:hAnsi="times"/>
          <w:b/>
          <w:i/>
          <w:sz w:val="20"/>
        </w:rPr>
      </w:pPr>
      <w:r>
        <w:rPr>
          <w:rFonts w:ascii="times" w:hAnsi="times"/>
          <w:b/>
          <w:i/>
          <w:sz w:val="20"/>
        </w:rPr>
        <w:t xml:space="preserve">Gain on Disposition of Class A Shares </w:t>
      </w:r>
    </w:p>
    <w:p>
      <w:pPr>
        <w:pStyle w:val="TextBody"/>
        <w:rPr/>
      </w:pPr>
      <w:r>
        <w:rPr/>
        <w:t>        </w:t>
      </w:r>
      <w:r>
        <w:rPr>
          <w:rFonts w:ascii="times" w:hAnsi="times"/>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 </w:t>
      </w:r>
    </w:p>
    <w:p>
      <w:pPr>
        <w:pStyle w:val="TextBody"/>
        <w:rPr>
          <w:rFonts w:ascii="times" w:hAnsi="times"/>
          <w:b/>
          <w:i/>
          <w:sz w:val="20"/>
        </w:rPr>
      </w:pPr>
      <w:r>
        <w:rPr>
          <w:rFonts w:ascii="times" w:hAnsi="times"/>
          <w:b/>
          <w:i/>
          <w:sz w:val="20"/>
        </w:rPr>
        <w:t xml:space="preserve">Backup Withholding and Information Reporting </w:t>
      </w:r>
    </w:p>
    <w:p>
      <w:pPr>
        <w:pStyle w:val="TextBody"/>
        <w:rPr/>
      </w:pPr>
      <w:r>
        <w:rPr/>
        <w:t>        </w:t>
      </w:r>
      <w:r>
        <w:rPr>
          <w:rFonts w:ascii="times" w:hAnsi="times"/>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rPr/>
      </w:pPr>
      <w:r>
        <w:rPr/>
        <w:t>        </w:t>
      </w:r>
      <w:r>
        <w:rPr>
          <w:rFonts w:ascii="times" w:hAnsi="times"/>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rPr>
          <w:rFonts w:ascii="times" w:hAnsi="times"/>
          <w:b/>
          <w:i/>
          <w:sz w:val="20"/>
        </w:rPr>
      </w:pPr>
      <w:r>
        <w:rPr>
          <w:rFonts w:ascii="times" w:hAnsi="times"/>
          <w:b/>
          <w:i/>
          <w:sz w:val="20"/>
        </w:rPr>
        <w:t xml:space="preserve">3.8% Tax On Unearned Income </w:t>
      </w:r>
    </w:p>
    <w:p>
      <w:pPr>
        <w:pStyle w:val="TextBody"/>
        <w:rPr/>
      </w:pPr>
      <w:r>
        <w:rPr/>
        <w:t>        </w:t>
      </w:r>
      <w:r>
        <w:rPr>
          <w:rFonts w:ascii="times" w:hAnsi="times"/>
          <w:sz w:val="20"/>
        </w:rPr>
        <w:t xml:space="preserve">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76101a_main_toc">
        <w:bookmarkStart w:id="73" w:name="page_dg76101_1_32"/>
        <w:bookmarkEnd w:id="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lesser of (i) "net investment income," or (ii) the excess of "modified adjusted gross income" over $200,000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 </w:t>
      </w:r>
    </w:p>
    <w:p>
      <w:pPr>
        <w:pStyle w:val="TextBody"/>
        <w:rPr>
          <w:rFonts w:ascii="times" w:hAnsi="times"/>
          <w:b/>
          <w:sz w:val="20"/>
        </w:rPr>
      </w:pPr>
      <w:r>
        <w:rPr>
          <w:rFonts w:ascii="times" w:hAnsi="times"/>
          <w:b/>
          <w:sz w:val="20"/>
        </w:rPr>
        <w:t xml:space="preserve">Consequences to Non-U.S. Holders </w:t>
      </w:r>
    </w:p>
    <w:p>
      <w:pPr>
        <w:pStyle w:val="TextBody"/>
        <w:rPr/>
      </w:pPr>
      <w:r>
        <w:rPr/>
        <w:t>        </w:t>
      </w:r>
      <w:r>
        <w:rPr>
          <w:rFonts w:ascii="times" w:hAnsi="times"/>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 </w:t>
      </w:r>
    </w:p>
    <w:p>
      <w:pPr>
        <w:pStyle w:val="TextBody"/>
        <w:rPr/>
      </w:pPr>
      <w:r>
        <w:rPr/>
        <w:t>        </w:t>
      </w:r>
      <w:r>
        <w:rPr>
          <w:rFonts w:ascii="times" w:hAnsi="times"/>
          <w:b/>
          <w:sz w:val="20"/>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pStyle w:val="TextBody"/>
        <w:rPr/>
      </w:pPr>
      <w:r>
        <w:rPr/>
        <w:t>        </w:t>
      </w:r>
      <w:r>
        <w:rPr>
          <w:rFonts w:ascii="times" w:hAnsi="times"/>
          <w:sz w:val="20"/>
        </w:rPr>
        <w:t xml:space="preserve">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76101a_main_toc">
        <w:bookmarkStart w:id="74" w:name="page_dg76101_1_33"/>
        <w:bookmarkEnd w:id="74"/>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Gain on Disposition of Class A Shares </w:t>
      </w:r>
    </w:p>
    <w:p>
      <w:pPr>
        <w:pStyle w:val="TextBody"/>
        <w:rPr/>
      </w:pPr>
      <w:r>
        <w:rPr/>
        <w:t>        </w:t>
      </w:r>
      <w:r>
        <w:rPr>
          <w:rFonts w:ascii="times" w:hAnsi="times"/>
          <w:sz w:val="20"/>
        </w:rPr>
        <w:t>A non-U.S. holder generally will not be subject to U.S. federal income tax on any gain realized upon the sale or other disposition of our Class A shares unless: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non-U.S. holder is an individual who is present in the United States for a period or periods aggregating 183 days or more during the calendar year in which the sale or disposition occurs and certain other conditions are met;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gain is effectively connected with a trade or business conducted by the non-U.S. holder in the United States (and, if required by an applicable tax treaty, is attributable to a permanent establishment maintained by the non-U.S. holder in the United States);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Class A shares constitute a U.S. real property interest by reason of our status as a USRPHC for U.S. federal income tax purposes. </w:t>
      </w:r>
    </w:p>
    <w:p>
      <w:pPr>
        <w:pStyle w:val="TextBody"/>
        <w:rPr/>
      </w:pPr>
      <w:r>
        <w:rPr/>
        <w:t>        </w:t>
      </w:r>
      <w:r>
        <w:rPr>
          <w:rFonts w:ascii="times" w:hAnsi="times"/>
          <w:sz w:val="20"/>
        </w:rPr>
        <w:t xml:space="preserve">A non-U.S. holder described in the first bullet point above will be subject to tax at a rate of 30% (or such lower rate as may be specified by an applicable tax treaty) on the amount of such gain (which may be offset by U.S. source capital losses). </w:t>
      </w:r>
    </w:p>
    <w:p>
      <w:pPr>
        <w:pStyle w:val="TextBody"/>
        <w:rPr/>
      </w:pPr>
      <w:r>
        <w:rPr/>
        <w:t>        </w:t>
      </w:r>
      <w:r>
        <w:rPr>
          <w:rFonts w:ascii="times" w:hAnsi="times"/>
          <w:sz w:val="20"/>
        </w:rPr>
        <w:t xml:space="preserve">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 </w:t>
      </w:r>
    </w:p>
    <w:p>
      <w:pPr>
        <w:pStyle w:val="TextBody"/>
        <w:rPr/>
      </w:pPr>
      <w:r>
        <w:rPr/>
        <w:t>        </w:t>
      </w:r>
      <w:r>
        <w:rPr>
          <w:rFonts w:ascii="times" w:hAnsi="times"/>
          <w:sz w:val="20"/>
        </w:rPr>
        <w:t xml:space="preserve">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 </w:t>
      </w:r>
    </w:p>
    <w:p>
      <w:pPr>
        <w:pStyle w:val="TextBody"/>
        <w:rPr>
          <w:rFonts w:ascii="times" w:hAnsi="times"/>
          <w:b/>
          <w:i/>
          <w:sz w:val="20"/>
        </w:rPr>
      </w:pPr>
      <w:r>
        <w:rPr>
          <w:rFonts w:ascii="times" w:hAnsi="times"/>
          <w:b/>
          <w:i/>
          <w:sz w:val="20"/>
        </w:rPr>
        <w:t xml:space="preserve">U.S. Federal Estate Tax </w:t>
      </w:r>
    </w:p>
    <w:p>
      <w:pPr>
        <w:pStyle w:val="TextBody"/>
        <w:rPr/>
      </w:pPr>
      <w:r>
        <w:rPr/>
        <w:t>        </w:t>
      </w:r>
      <w:r>
        <w:rPr>
          <w:rFonts w:ascii="times" w:hAnsi="times"/>
          <w:sz w:val="20"/>
        </w:rPr>
        <w:t xml:space="preserve">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 </w:t>
      </w:r>
    </w:p>
    <w:p>
      <w:pPr>
        <w:pStyle w:val="TextBody"/>
        <w:rPr>
          <w:rFonts w:ascii="times" w:hAnsi="times"/>
          <w:b/>
          <w:i/>
          <w:sz w:val="20"/>
        </w:rPr>
      </w:pPr>
      <w:r>
        <w:rPr>
          <w:rFonts w:ascii="times" w:hAnsi="times"/>
          <w:b/>
          <w:i/>
          <w:sz w:val="20"/>
        </w:rPr>
        <w:t xml:space="preserve">Backup Withholding and Information Reporting </w:t>
      </w:r>
    </w:p>
    <w:p>
      <w:pPr>
        <w:pStyle w:val="TextBody"/>
        <w:rPr/>
      </w:pPr>
      <w:r>
        <w:rPr/>
        <w:t>        </w:t>
      </w:r>
      <w:r>
        <w:rPr>
          <w:rFonts w:ascii="times" w:hAnsi="times"/>
          <w:sz w:val="20"/>
        </w:rPr>
        <w:t xml:space="preserve">Generally, we must report annually to the IRS and to each non-U.S. holder the amount of dividends paid to such holder, the name and address of the recipient, and the amount, if any, of tax withheld with respect to those dividends. These information reporting requirements apply even if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76101a_main_toc">
        <w:bookmarkStart w:id="75" w:name="page_dg76101_1_34"/>
        <w:bookmarkEnd w:id="7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withholding was not required. Pursuant to tax treaties or other agreements, the IRS may make such reports available to tax authorities in the recipient's country of residence. </w:t>
      </w:r>
    </w:p>
    <w:p>
      <w:pPr>
        <w:pStyle w:val="TextBody"/>
        <w:rPr/>
      </w:pPr>
      <w:r>
        <w:rPr/>
        <w:t>        </w:t>
      </w:r>
      <w:r>
        <w:rPr>
          <w:rFonts w:ascii="times" w:hAnsi="times"/>
          <w:sz w:val="20"/>
        </w:rPr>
        <w:t xml:space="preserve">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 </w:t>
      </w:r>
    </w:p>
    <w:p>
      <w:pPr>
        <w:pStyle w:val="TextBody"/>
        <w:rPr/>
      </w:pPr>
      <w:r>
        <w:rPr/>
        <w:t>        </w:t>
      </w:r>
      <w:r>
        <w:rPr>
          <w:rFonts w:ascii="times" w:hAnsi="times"/>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rPr/>
      </w:pPr>
      <w:r>
        <w:rPr/>
        <w:t>        </w:t>
      </w:r>
      <w:r>
        <w:rPr>
          <w:rFonts w:ascii="times" w:hAnsi="times"/>
          <w:sz w:val="20"/>
        </w:rPr>
        <w:t xml:space="preserve">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 </w:t>
      </w:r>
    </w:p>
    <w:p>
      <w:pPr>
        <w:pStyle w:val="TextBody"/>
        <w:rPr>
          <w:rFonts w:ascii="times" w:hAnsi="times"/>
          <w:b/>
          <w:sz w:val="20"/>
        </w:rPr>
      </w:pPr>
      <w:r>
        <w:rPr>
          <w:rFonts w:ascii="times" w:hAnsi="times"/>
          <w:b/>
          <w:sz w:val="20"/>
        </w:rPr>
        <w:t xml:space="preserve">Additional Withholding Requirements </w:t>
      </w:r>
    </w:p>
    <w:p>
      <w:pPr>
        <w:pStyle w:val="TextBody"/>
        <w:rPr/>
      </w:pPr>
      <w:r>
        <w:rPr/>
        <w:t>        </w:t>
      </w:r>
      <w:r>
        <w:rPr>
          <w:rFonts w:ascii="times" w:hAnsi="times"/>
          <w:sz w:val="20"/>
        </w:rPr>
        <w:t xml:space="preserve">Sections 1471 through 1474 of the Code and the Treasury regulations and administrative guidance issued thereunder impose a 30% withholding tax on any dividends paid on our Class A shares on or after July 1, 2014, and on the gross proceeds from a disposition of our Class A shares paid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identifying each direct and indirect substantial United States owner of the entity; or (iii) the foreign financial institution or non-financial foreign entity otherwise qualifies for an exemption from these rules. Foreign financial institutions located in jurisdictions that have an intergovernmental agreement with the United States governing these rules may be subject to different rules. Under certain circumstances, a holder might be eligible for refunds or credits of such taxes. </w:t>
      </w:r>
    </w:p>
    <w:p>
      <w:pPr>
        <w:pStyle w:val="TextBody"/>
        <w:rPr/>
      </w:pPr>
      <w:r>
        <w:rPr/>
        <w:t>        </w:t>
      </w:r>
      <w:r>
        <w:rPr>
          <w:rFonts w:ascii="times" w:hAnsi="times"/>
          <w:b/>
          <w:sz w:val="20"/>
        </w:rPr>
        <w:t xml:space="preserve">Prospective purchasers of our Class A shares are urged to consult their own tax advisors with respect to the tax consequences of these withholding provisions. </w:t>
      </w:r>
    </w:p>
    <w:p>
      <w:pPr>
        <w:pStyle w:val="TextBody"/>
        <w:rPr/>
      </w:pPr>
      <w:r>
        <w:rPr/>
        <w:t>        </w:t>
      </w:r>
      <w:r>
        <w:rPr>
          <w:rFonts w:ascii="times" w:hAnsi="times"/>
          <w:b/>
          <w:sz w:val="20"/>
        </w:rPr>
        <w:t xml:space="preserve">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76101a_main_toc">
        <w:bookmarkStart w:id="76" w:name="page_di76101_1_35"/>
        <w:bookmarkEnd w:id="7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7" w:name="toc_di76101_1"/>
      <w:bookmarkStart w:id="78" w:name="di76101_investment_in_plains_gp_holdin__"/>
      <w:bookmarkEnd w:id="77"/>
      <w:bookmarkEnd w:id="78"/>
      <w:r>
        <w:rPr>
          <w:rFonts w:ascii="times" w:hAnsi="times"/>
          <w:sz w:val="20"/>
        </w:rPr>
        <w:br/>
      </w:r>
      <w:r>
        <w:rPr>
          <w:rFonts w:ascii="times" w:hAnsi="times"/>
          <w:b/>
          <w:sz w:val="20"/>
        </w:rPr>
        <w:t xml:space="preserve">INVESTMENT IN PLAINS GP HOLDINGS, L.P. BY EMPLOYEE BENEFIT PLANS </w:t>
      </w:r>
    </w:p>
    <w:p>
      <w:pPr>
        <w:pStyle w:val="TextBody"/>
        <w:rPr/>
      </w:pPr>
      <w:r>
        <w:rPr/>
        <w:t>        </w:t>
      </w:r>
      <w:r>
        <w:rPr>
          <w:rFonts w:ascii="times" w:hAnsi="times"/>
          <w:sz w:val="20"/>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Internal Revenue Code and provisions under any federal, state, local, non-U.S. or other laws or regulations that are similar to such provisions of ERISA or the Internal Revenue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is prudent under Section 404(a)(1)(B) of ERISA and any applicable Similar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in making the investment, the plan will satisfy the diversification requirements of Section 404(a)(1)(C) of ERISA and any applicable Similar Law;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will result in recognition of unrelated business taxable income by the plan and, if so, the potential after-tax investment return. </w:t>
      </w:r>
    </w:p>
    <w:p>
      <w:pPr>
        <w:pStyle w:val="TextBody"/>
        <w:rPr/>
      </w:pPr>
      <w:r>
        <w:rPr/>
        <w:t>        </w:t>
      </w:r>
      <w:r>
        <w:rPr>
          <w:rFonts w:ascii="times" w:hAnsi="times"/>
          <w:sz w:val="20"/>
        </w:rPr>
        <w:t xml:space="preserve">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 </w:t>
      </w:r>
    </w:p>
    <w:p>
      <w:pPr>
        <w:pStyle w:val="TextBody"/>
        <w:rPr/>
      </w:pPr>
      <w:r>
        <w:rPr/>
        <w:t>        </w:t>
      </w:r>
      <w:r>
        <w:rPr>
          <w:rFonts w:ascii="times" w:hAnsi="times"/>
          <w:sz w:val="20"/>
        </w:rPr>
        <w:t xml:space="preserve">Section 406 of ERISA and Section 4975 of the Internal Revenue Code prohibit employee benefit plans, and IRAs that are not considered part of an employee benefit plan, from engaging in specified transactions involving "plan assets" with parties that are "parties in interest" under ERISA or "disqualified persons" under the Internal Revenue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 </w:t>
      </w:r>
    </w:p>
    <w:p>
      <w:pPr>
        <w:pStyle w:val="TextBody"/>
        <w:rPr/>
      </w:pPr>
      <w:r>
        <w:rPr/>
        <w:t>        </w:t>
      </w:r>
      <w:r>
        <w:rPr>
          <w:rFonts w:ascii="times" w:hAnsi="times"/>
          <w:sz w:val="20"/>
        </w:rPr>
        <w:t xml:space="preserve">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Internal Revenue Code. </w:t>
      </w:r>
    </w:p>
    <w:p>
      <w:pPr>
        <w:pStyle w:val="TextBody"/>
        <w:rPr/>
      </w:pPr>
      <w:r>
        <w:rPr/>
        <w:t>        </w:t>
      </w:r>
      <w:r>
        <w:rPr>
          <w:rFonts w:ascii="times" w:hAnsi="times"/>
          <w:sz w:val="20"/>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entity is an "operating company"; i.e., it is primarily engaged in the production or sale of a product or service other than the investment of capital either directly or through a majority owned subsidiary or subsidiaries;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significant investment by benefit plan investors, which is defined to mean that less than 25% of the value of each class of equity interest, disregarding some interests held by our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76101a_main_toc">
        <w:bookmarkStart w:id="79" w:name="page_di76101_1_36"/>
        <w:bookmarkEnd w:id="79"/>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general partner, its affiliates, and some other persons, is held by (1) employee benefit plans subject to the fiduciary responsibility provisions of ERISA, (2) plans to which the prohibited transaction rules of Section 4975 of the Internal Revenue Code apply, and (3) entities whose underlying assets include plan assets by reason of a plan's investment in such entity. </w:t>
      </w:r>
    </w:p>
    <w:p>
      <w:pPr>
        <w:pStyle w:val="TextBody"/>
        <w:rPr/>
      </w:pPr>
      <w:r>
        <w:rPr/>
        <w:t>        </w:t>
      </w:r>
      <w:r>
        <w:rPr>
          <w:rFonts w:ascii="times" w:hAnsi="times"/>
          <w:sz w:val="20"/>
        </w:rPr>
        <w:t xml:space="preserve">Plan fiduciaries contemplating a purchase of Class A shares should consult with their own counsel regarding the consequences under ERISA, the Internal Revenue Code and other Similar Laws in light of the serious penalties imposed on persons who engage in prohibited transactions or other violations.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76101a_main_toc">
        <w:bookmarkStart w:id="80" w:name="page_di76101_1_37"/>
        <w:bookmarkEnd w:id="80"/>
        <w:r>
          <w:rPr>
            <w:rStyle w:val="InternetLink"/>
            <w:rFonts w:ascii="times" w:hAnsi="times"/>
            <w:sz w:val="20"/>
          </w:rPr>
          <w:t>Table of Contents</w:t>
        </w:r>
      </w:hyperlink>
    </w:p>
    <w:p>
      <w:pPr>
        <w:pStyle w:val="TextBody"/>
        <w:jc w:val="center"/>
        <w:rPr>
          <w:rFonts w:ascii="times" w:hAnsi="times"/>
        </w:rPr>
      </w:pPr>
      <w:bookmarkStart w:id="81" w:name="toc_di76101_2"/>
      <w:bookmarkStart w:id="82" w:name="di76101_selling_shareholder"/>
      <w:bookmarkEnd w:id="81"/>
      <w:bookmarkEnd w:id="82"/>
      <w:r>
        <w:rPr>
          <w:rFonts w:ascii="times" w:hAnsi="times"/>
          <w:sz w:val="20"/>
        </w:rPr>
        <w:br/>
      </w:r>
      <w:r>
        <w:rPr>
          <w:rFonts w:ascii="times" w:hAnsi="times"/>
          <w:b/>
          <w:sz w:val="20"/>
        </w:rPr>
        <w:t xml:space="preserve">SELLING SHAREHOLDER </w:t>
      </w:r>
    </w:p>
    <w:p>
      <w:pPr>
        <w:pStyle w:val="TextBody"/>
        <w:rPr/>
      </w:pPr>
      <w:r>
        <w:rPr/>
        <w:t>        </w:t>
      </w:r>
      <w:r>
        <w:rPr>
          <w:rFonts w:ascii="times" w:hAnsi="times"/>
          <w:sz w:val="20"/>
        </w:rPr>
        <w:t xml:space="preserve">This prospectus covers the offering by the selling shareholder of 60,000,000 Class A shares. The Class A shares offered hereby will be acquired by the selling shareholder immediately prior to the completion of this offering upon exercise by the selling shareholder of the Exchange Right for an equivalent number of Class B shares, AAP units and general partner units, which were acquired by the selling shareholder in connection with our IPO in October 2013. The issuance of the Class A shares to the selling shareholder in connection with exercise of the Exchange Right and the initial issuance of the Class B shares (and related AAP units and general partner units) were exempt from the registration requirements of the Securities Act of 1933, as amended (the "Securities Act"). We are registering the offering by the selling shareholder of the Class A shares described below pursuant to the provisions of the Registration Rights Agreement. The board of directors of our general partner has agreed to an early release of the 15-month lock-up arrangement that was originally imposed on certain of our shareholders, including the selling shareholder, in connection with our IPO in October 2013. </w:t>
      </w:r>
    </w:p>
    <w:p>
      <w:pPr>
        <w:pStyle w:val="TextBody"/>
        <w:rPr/>
      </w:pPr>
      <w:r>
        <w:rPr/>
        <w:t>        </w:t>
      </w:r>
      <w:r>
        <w:rPr>
          <w:rFonts w:ascii="times" w:hAnsi="times"/>
          <w:sz w:val="20"/>
        </w:rPr>
        <w:t xml:space="preserve">The selling shareholder owns a significant equity position in us. As of November 5, 2014, the selling shareholder owned 148,830,161 of the Class A shares and Class B shares on a combined basis. Further, the selling shareholder is entitled to appoint one member of the board of directors of our general partner pursuant to our general partner's limited liability company agreement. </w:t>
      </w:r>
    </w:p>
    <w:p>
      <w:pPr>
        <w:pStyle w:val="TextBody"/>
        <w:rPr/>
      </w:pPr>
      <w:r>
        <w:rPr/>
        <w:t>        </w:t>
      </w:r>
      <w:r>
        <w:rPr>
          <w:rFonts w:ascii="times" w:hAnsi="times"/>
          <w:sz w:val="20"/>
        </w:rPr>
        <w:t xml:space="preserve">The following table sets forth information relating to the selling shareholder as of November 5, 2014 based on information supplied to us by the selling shareholder on or prior to that date. We have not sought to verify such information. Information concerning the selling shareholder may change over time; if necessary, we will supplement this prospectus accordingly. The selling shareholder is not a broker-dealer registered under Section 15 of the Exchange Act or an affiliate of a broker-dealer registered under Section 15 of the Exchange Act. The selling shareholder may be deemed under federal securities laws to be an underwriter with respect to the Class A shares it may sell in connection with this offering. The selling shareholder may hold or acquire at any time Class A shares in addition to those offered by this prospectus and may have acquired additional Class A shares since the date on which the information reflected herein was provided to us. In addition, the selling shareholder may have sold, transferred or otherwise disposed of some or all of its Class A shares since the date on which the information reflected herein was provided to us and may in the future sell, transfer or otherwise dispose of some or all of its Class A shares in private placement transactions exempt from or not subject to the registration requirements of the Securities Act. </w:t>
      </w:r>
    </w:p>
    <w:tbl>
      <w:tblPr>
        <w:tblW w:w="5000" w:type="pct"/>
        <w:jc w:val="center"/>
        <w:tblInd w:w="0" w:type="dxa"/>
        <w:tblCellMar>
          <w:top w:w="0" w:type="dxa"/>
          <w:left w:w="0" w:type="dxa"/>
          <w:bottom w:w="0" w:type="dxa"/>
          <w:right w:w="0" w:type="dxa"/>
        </w:tblCellMar>
      </w:tblPr>
      <w:tblGrid>
        <w:gridCol w:w="2968"/>
        <w:gridCol w:w="157"/>
        <w:gridCol w:w="84"/>
        <w:gridCol w:w="1067"/>
        <w:gridCol w:w="157"/>
        <w:gridCol w:w="84"/>
        <w:gridCol w:w="1055"/>
        <w:gridCol w:w="157"/>
        <w:gridCol w:w="90"/>
        <w:gridCol w:w="1131"/>
        <w:gridCol w:w="185"/>
        <w:gridCol w:w="84"/>
        <w:gridCol w:w="1200"/>
        <w:gridCol w:w="157"/>
        <w:gridCol w:w="90"/>
        <w:gridCol w:w="1349"/>
        <w:gridCol w:w="190"/>
      </w:tblGrid>
      <w:tr>
        <w:trPr/>
        <w:tc>
          <w:tcPr>
            <w:tcW w:w="296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96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Selling Shareholder </w:t>
            </w:r>
          </w:p>
        </w:tc>
        <w:tc>
          <w:tcPr>
            <w:tcW w:w="157" w:type="dxa"/>
            <w:tcBorders/>
            <w:shd w:fill="auto" w:val="clear"/>
            <w:vAlign w:val="bottom"/>
          </w:tcPr>
          <w:p>
            <w:pPr>
              <w:pStyle w:val="TableHeading"/>
              <w:suppressLineNumbers/>
              <w:spacing w:before="0" w:after="283"/>
              <w:jc w:val="center"/>
              <w:rPr/>
            </w:pPr>
            <w:r>
              <w:rPr/>
              <w:t> </w:t>
            </w:r>
          </w:p>
        </w:tc>
        <w:tc>
          <w:tcPr>
            <w:tcW w:w="11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Beneficially</w:t>
              <w:br/>
              <w:t>Owned Prior to</w:t>
              <w:br/>
              <w:t xml:space="preserve">the Offering(1) </w:t>
            </w:r>
          </w:p>
        </w:tc>
        <w:tc>
          <w:tcPr>
            <w:tcW w:w="157"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Offered</w:t>
              <w:br/>
              <w:t xml:space="preserve">Hereby(2) </w:t>
            </w:r>
          </w:p>
        </w:tc>
        <w:tc>
          <w:tcPr>
            <w:tcW w:w="157" w:type="dxa"/>
            <w:tcBorders/>
            <w:shd w:fill="auto" w:val="clear"/>
            <w:vAlign w:val="bottom"/>
          </w:tcPr>
          <w:p>
            <w:pPr>
              <w:pStyle w:val="TableHeading"/>
              <w:suppressLineNumbers/>
              <w:spacing w:before="0" w:after="283"/>
              <w:jc w:val="center"/>
              <w:rPr/>
            </w:pPr>
            <w:r>
              <w:rPr/>
              <w:t> </w:t>
            </w:r>
          </w:p>
        </w:tc>
        <w:tc>
          <w:tcPr>
            <w:tcW w:w="122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A Shares to</w:t>
              <w:br/>
              <w:t>be Beneficially</w:t>
              <w:br/>
              <w:t>Owned After</w:t>
              <w:br/>
              <w:t xml:space="preserve">Offering </w:t>
            </w:r>
          </w:p>
        </w:tc>
        <w:tc>
          <w:tcPr>
            <w:tcW w:w="185" w:type="dxa"/>
            <w:tcBorders/>
            <w:shd w:fill="auto" w:val="clear"/>
            <w:vAlign w:val="bottom"/>
          </w:tcPr>
          <w:p>
            <w:pPr>
              <w:pStyle w:val="TableHeading"/>
              <w:suppressLineNumbers/>
              <w:spacing w:before="0" w:after="283"/>
              <w:jc w:val="center"/>
              <w:rPr/>
            </w:pPr>
            <w:r>
              <w:rPr/>
              <w:t> </w:t>
            </w:r>
          </w:p>
        </w:tc>
        <w:tc>
          <w:tcPr>
            <w:tcW w:w="12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B Shares to</w:t>
              <w:br/>
              <w:t>be Beneficially</w:t>
              <w:br/>
              <w:t>Owned After</w:t>
              <w:br/>
              <w:t xml:space="preserve">Offering </w:t>
            </w:r>
          </w:p>
        </w:tc>
        <w:tc>
          <w:tcPr>
            <w:tcW w:w="157" w:type="dxa"/>
            <w:tcBorders/>
            <w:shd w:fill="auto" w:val="clear"/>
            <w:vAlign w:val="bottom"/>
          </w:tcPr>
          <w:p>
            <w:pPr>
              <w:pStyle w:val="TableHeading"/>
              <w:suppressLineNumbers/>
              <w:spacing w:before="0" w:after="283"/>
              <w:jc w:val="center"/>
              <w:rPr/>
            </w:pPr>
            <w:r>
              <w:rPr/>
              <w:t> </w:t>
            </w:r>
          </w:p>
        </w:tc>
        <w:tc>
          <w:tcPr>
            <w:tcW w:w="1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 Class B</w:t>
              <w:br/>
              <w:t>Shares to be</w:t>
              <w:br/>
              <w:t>Beneficially Owned</w:t>
              <w:br/>
              <w:t xml:space="preserve">After Offering </w:t>
            </w:r>
          </w:p>
        </w:tc>
        <w:tc>
          <w:tcPr>
            <w:tcW w:w="190" w:type="dxa"/>
            <w:tcBorders/>
            <w:shd w:fill="auto" w:val="clear"/>
            <w:vAlign w:val="bottom"/>
          </w:tcPr>
          <w:p>
            <w:pPr>
              <w:pStyle w:val="TableHeading"/>
              <w:suppressLineNumbers/>
              <w:spacing w:before="0" w:after="283"/>
              <w:jc w:val="center"/>
              <w:rPr/>
            </w:pPr>
            <w:r>
              <w:rPr/>
              <w:t> </w:t>
            </w:r>
          </w:p>
        </w:tc>
      </w:tr>
      <w:tr>
        <w:trPr/>
        <w:tc>
          <w:tcPr>
            <w:tcW w:w="2968"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Oxy Holding Company (Pipeline), Inc.(3)</w:t>
            </w:r>
          </w:p>
        </w:tc>
        <w:tc>
          <w:tcPr>
            <w:tcW w:w="15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w:hAnsi="times"/>
                <w:sz w:val="20"/>
              </w:rPr>
            </w:pPr>
            <w:r>
              <w:rPr>
                <w:rFonts w:ascii="times" w:hAnsi="times"/>
                <w:sz w:val="20"/>
              </w:rPr>
              <w:t>60,000,000</w:t>
            </w:r>
          </w:p>
        </w:tc>
        <w:tc>
          <w:tcPr>
            <w:tcW w:w="15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60,000,000</w:t>
            </w:r>
          </w:p>
        </w:tc>
        <w:tc>
          <w:tcPr>
            <w:tcW w:w="15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w:hAnsi="times"/>
                <w:sz w:val="20"/>
              </w:rPr>
            </w:pPr>
            <w:r>
              <w:rPr>
                <w:rFonts w:ascii="times" w:hAnsi="times"/>
                <w:sz w:val="20"/>
              </w:rPr>
              <w:t>88,830,161</w:t>
            </w:r>
          </w:p>
        </w:tc>
        <w:tc>
          <w:tcPr>
            <w:tcW w:w="15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w:hAnsi="times"/>
                <w:sz w:val="20"/>
              </w:rPr>
            </w:pPr>
            <w:r>
              <w:rPr>
                <w:rFonts w:ascii="times" w:hAnsi="times"/>
                <w:sz w:val="20"/>
              </w:rPr>
              <w:t>21.7</w:t>
            </w:r>
          </w:p>
        </w:tc>
        <w:tc>
          <w:tcPr>
            <w:tcW w:w="190"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Assumes the exchange of an equivalent number of Class B shares, AAP units and general partner units for Class A shares to be sold in this offering.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Assumes no exercise of the underwriters' option to purchase up to 9,000,000 additional Class A shares. If exercised, the selling shareholder would exchange an equivalent number of Class B shares, AAP units and general partner units for such additional Class A shares.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76101a_main_toc">
        <w:bookmarkStart w:id="83" w:name="page_di76101_1_38"/>
        <w:bookmarkEnd w:id="83"/>
        <w:r>
          <w:rPr>
            <w:rStyle w:val="InternetLink"/>
            <w:rFonts w:ascii="times" w:hAnsi="times"/>
            <w:sz w:val="20"/>
          </w:rPr>
          <w:t>Table of Contents</w:t>
        </w:r>
      </w:hyperlink>
    </w:p>
    <w:p>
      <w:pPr>
        <w:pStyle w:val="TextBody"/>
        <w:jc w:val="center"/>
        <w:rPr>
          <w:rFonts w:ascii="times" w:hAnsi="times"/>
        </w:rPr>
      </w:pPr>
      <w:bookmarkStart w:id="84" w:name="toc_di76101_3"/>
      <w:bookmarkStart w:id="85" w:name="di76101_underwriting"/>
      <w:bookmarkEnd w:id="84"/>
      <w:bookmarkEnd w:id="85"/>
      <w:r>
        <w:rPr>
          <w:rFonts w:ascii="times" w:hAnsi="times"/>
          <w:sz w:val="20"/>
        </w:rPr>
        <w:br/>
      </w:r>
      <w:r>
        <w:rPr>
          <w:rFonts w:ascii="times" w:hAnsi="times"/>
          <w:b/>
          <w:sz w:val="20"/>
        </w:rPr>
        <w:t xml:space="preserve">UNDERWRITING </w:t>
      </w:r>
    </w:p>
    <w:p>
      <w:pPr>
        <w:pStyle w:val="TextBody"/>
        <w:rPr/>
      </w:pPr>
      <w:r>
        <w:rPr/>
        <w:t>        </w:t>
      </w:r>
      <w:r>
        <w:rPr>
          <w:rFonts w:ascii="times" w:hAnsi="times"/>
          <w:sz w:val="20"/>
        </w:rPr>
        <w:t xml:space="preserve">J.P. Morgan Securities LLC and Citigroup Global Markets Inc. are acting as joint book-running managers of the underwritten offering and representatives of the underwriters named below. Subject to the terms and conditions stated in the underwriting agreement dated the date of this prospectus, each underwriter named below has agreed to purchase from the selling shareholder, and the selling shareholder has agreed to sell to that underwriter, the number of common units set forth opposite the underwriter's name. </w:t>
      </w:r>
    </w:p>
    <w:tbl>
      <w:tblPr>
        <w:tblW w:w="5000" w:type="pct"/>
        <w:jc w:val="center"/>
        <w:tblInd w:w="0" w:type="dxa"/>
        <w:tblCellMar>
          <w:top w:w="0" w:type="dxa"/>
          <w:left w:w="0" w:type="dxa"/>
          <w:bottom w:w="0" w:type="dxa"/>
          <w:right w:w="0" w:type="dxa"/>
        </w:tblCellMar>
      </w:tblPr>
      <w:tblGrid>
        <w:gridCol w:w="6862"/>
        <w:gridCol w:w="397"/>
        <w:gridCol w:w="232"/>
        <w:gridCol w:w="2316"/>
        <w:gridCol w:w="398"/>
      </w:tblGrid>
      <w:tr>
        <w:trPr/>
        <w:tc>
          <w:tcPr>
            <w:tcW w:w="686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r>
      <w:tr>
        <w:trPr/>
        <w:tc>
          <w:tcPr>
            <w:tcW w:w="6862"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Underwriters </w:t>
            </w:r>
          </w:p>
        </w:tc>
        <w:tc>
          <w:tcPr>
            <w:tcW w:w="397" w:type="dxa"/>
            <w:tcBorders/>
            <w:shd w:fill="auto" w:val="clear"/>
            <w:vAlign w:val="bottom"/>
          </w:tcPr>
          <w:p>
            <w:pPr>
              <w:pStyle w:val="TableHeading"/>
              <w:suppressLineNumbers/>
              <w:spacing w:before="0" w:after="283"/>
              <w:jc w:val="center"/>
              <w:rPr/>
            </w:pPr>
            <w:r>
              <w:rPr/>
              <w:t> </w:t>
            </w:r>
          </w:p>
        </w:tc>
        <w:tc>
          <w:tcPr>
            <w:tcW w:w="25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Class A shares </w:t>
            </w:r>
          </w:p>
        </w:tc>
        <w:tc>
          <w:tcPr>
            <w:tcW w:w="398" w:type="dxa"/>
            <w:tcBorders/>
            <w:shd w:fill="auto" w:val="clear"/>
            <w:vAlign w:val="bottom"/>
          </w:tcPr>
          <w:p>
            <w:pPr>
              <w:pStyle w:val="TableHeading"/>
              <w:suppressLineNumbers/>
              <w:spacing w:before="0" w:after="283"/>
              <w:jc w:val="center"/>
              <w:rPr/>
            </w:pPr>
            <w:r>
              <w:rPr/>
              <w:t> </w:t>
            </w:r>
          </w:p>
        </w:tc>
      </w:tr>
      <w:tr>
        <w:trPr/>
        <w:tc>
          <w:tcPr>
            <w:tcW w:w="6862" w:type="dxa"/>
            <w:tcBorders/>
            <w:shd w:fill="CCEEFF" w:val="clear"/>
            <w:vAlign w:val="bottom"/>
          </w:tcPr>
          <w:p>
            <w:pPr>
              <w:pStyle w:val="TableContents"/>
              <w:spacing w:before="0" w:after="283"/>
              <w:rPr>
                <w:rFonts w:ascii="times" w:hAnsi="times"/>
                <w:sz w:val="20"/>
              </w:rPr>
            </w:pPr>
            <w:r>
              <w:rPr>
                <w:rFonts w:ascii="times" w:hAnsi="times"/>
                <w:sz w:val="20"/>
              </w:rPr>
              <w:t>J.P. Morgan Securities LLC</w:t>
            </w:r>
          </w:p>
        </w:tc>
        <w:tc>
          <w:tcPr>
            <w:tcW w:w="39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316" w:type="dxa"/>
            <w:tcBorders/>
            <w:shd w:fill="CCEEFF" w:val="clear"/>
            <w:vAlign w:val="bottom"/>
          </w:tcPr>
          <w:p>
            <w:pPr>
              <w:pStyle w:val="TableContents"/>
              <w:spacing w:before="0" w:after="283"/>
              <w:jc w:val="right"/>
              <w:rPr>
                <w:rFonts w:ascii="times" w:hAnsi="times"/>
                <w:sz w:val="20"/>
              </w:rPr>
            </w:pPr>
            <w:r>
              <w:rPr>
                <w:rFonts w:ascii="times" w:hAnsi="times"/>
                <w:sz w:val="20"/>
              </w:rPr>
              <w:t>15,000,000</w:t>
            </w:r>
          </w:p>
        </w:tc>
        <w:tc>
          <w:tcPr>
            <w:tcW w:w="398" w:type="dxa"/>
            <w:tcBorders/>
            <w:shd w:fill="CCEE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rFonts w:ascii="times" w:hAnsi="times"/>
                <w:sz w:val="20"/>
              </w:rPr>
            </w:pPr>
            <w:r>
              <w:rPr>
                <w:rFonts w:ascii="times" w:hAnsi="times"/>
                <w:sz w:val="20"/>
              </w:rPr>
              <w:t>Citigroup Global Markets Inc. </w:t>
            </w:r>
          </w:p>
        </w:tc>
        <w:tc>
          <w:tcPr>
            <w:tcW w:w="39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2316" w:type="dxa"/>
            <w:tcBorders/>
            <w:shd w:fill="FFFFFF" w:val="clear"/>
            <w:vAlign w:val="bottom"/>
          </w:tcPr>
          <w:p>
            <w:pPr>
              <w:pStyle w:val="TableContents"/>
              <w:spacing w:before="0" w:after="283"/>
              <w:jc w:val="right"/>
              <w:rPr>
                <w:rFonts w:ascii="times" w:hAnsi="times"/>
                <w:sz w:val="20"/>
              </w:rPr>
            </w:pPr>
            <w:r>
              <w:rPr>
                <w:rFonts w:ascii="times" w:hAnsi="times"/>
                <w:sz w:val="20"/>
              </w:rPr>
              <w:t>15,000,000</w:t>
            </w:r>
          </w:p>
        </w:tc>
        <w:tc>
          <w:tcPr>
            <w:tcW w:w="398" w:type="dxa"/>
            <w:tcBorders/>
            <w:shd w:fill="FFFFFF" w:val="clear"/>
            <w:vAlign w:val="bottom"/>
          </w:tcPr>
          <w:p>
            <w:pPr>
              <w:pStyle w:val="TableContents"/>
              <w:spacing w:before="0" w:after="283"/>
              <w:rPr/>
            </w:pPr>
            <w:r>
              <w:rPr/>
              <w:t> </w:t>
            </w:r>
          </w:p>
        </w:tc>
      </w:tr>
      <w:tr>
        <w:trPr/>
        <w:tc>
          <w:tcPr>
            <w:tcW w:w="6862" w:type="dxa"/>
            <w:tcBorders/>
            <w:shd w:fill="CCEEFF" w:val="clear"/>
            <w:vAlign w:val="bottom"/>
          </w:tcPr>
          <w:p>
            <w:pPr>
              <w:pStyle w:val="TableContents"/>
              <w:spacing w:before="0" w:after="283"/>
              <w:rPr>
                <w:rFonts w:ascii="times" w:hAnsi="times"/>
                <w:sz w:val="20"/>
              </w:rPr>
            </w:pPr>
            <w:r>
              <w:rPr>
                <w:rFonts w:ascii="times" w:hAnsi="times"/>
                <w:sz w:val="20"/>
              </w:rPr>
              <w:t>Merrill Lynch, Pierce, Fenner &amp; Smith</w:t>
              <w:br/>
              <w:t>                      Incorporated</w:t>
            </w:r>
          </w:p>
        </w:tc>
        <w:tc>
          <w:tcPr>
            <w:tcW w:w="39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316" w:type="dxa"/>
            <w:tcBorders/>
            <w:shd w:fill="CCEEFF" w:val="clear"/>
            <w:vAlign w:val="bottom"/>
          </w:tcPr>
          <w:p>
            <w:pPr>
              <w:pStyle w:val="TableContents"/>
              <w:spacing w:before="0" w:after="283"/>
              <w:jc w:val="right"/>
              <w:rPr>
                <w:rFonts w:ascii="times" w:hAnsi="times"/>
                <w:sz w:val="20"/>
              </w:rPr>
            </w:pPr>
            <w:r>
              <w:rPr>
                <w:rFonts w:ascii="times" w:hAnsi="times"/>
                <w:sz w:val="20"/>
              </w:rPr>
              <w:t>7,500,000</w:t>
            </w:r>
          </w:p>
        </w:tc>
        <w:tc>
          <w:tcPr>
            <w:tcW w:w="398" w:type="dxa"/>
            <w:tcBorders/>
            <w:shd w:fill="CCEE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rFonts w:ascii="times" w:hAnsi="times"/>
                <w:sz w:val="20"/>
              </w:rPr>
            </w:pPr>
            <w:r>
              <w:rPr>
                <w:rFonts w:ascii="times" w:hAnsi="times"/>
                <w:sz w:val="20"/>
              </w:rPr>
              <w:t>Goldman, Sachs &amp; Co. </w:t>
            </w:r>
          </w:p>
        </w:tc>
        <w:tc>
          <w:tcPr>
            <w:tcW w:w="39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2316" w:type="dxa"/>
            <w:tcBorders/>
            <w:shd w:fill="FFFFFF" w:val="clear"/>
            <w:vAlign w:val="bottom"/>
          </w:tcPr>
          <w:p>
            <w:pPr>
              <w:pStyle w:val="TableContents"/>
              <w:spacing w:before="0" w:after="283"/>
              <w:jc w:val="right"/>
              <w:rPr>
                <w:rFonts w:ascii="times" w:hAnsi="times"/>
                <w:sz w:val="20"/>
              </w:rPr>
            </w:pPr>
            <w:r>
              <w:rPr>
                <w:rFonts w:ascii="times" w:hAnsi="times"/>
                <w:sz w:val="20"/>
              </w:rPr>
              <w:t>7,500,000</w:t>
            </w:r>
          </w:p>
        </w:tc>
        <w:tc>
          <w:tcPr>
            <w:tcW w:w="398" w:type="dxa"/>
            <w:tcBorders/>
            <w:shd w:fill="FFFFFF" w:val="clear"/>
            <w:vAlign w:val="bottom"/>
          </w:tcPr>
          <w:p>
            <w:pPr>
              <w:pStyle w:val="TableContents"/>
              <w:spacing w:before="0" w:after="283"/>
              <w:rPr/>
            </w:pPr>
            <w:r>
              <w:rPr/>
              <w:t> </w:t>
            </w:r>
          </w:p>
        </w:tc>
      </w:tr>
      <w:tr>
        <w:trPr/>
        <w:tc>
          <w:tcPr>
            <w:tcW w:w="6862" w:type="dxa"/>
            <w:tcBorders/>
            <w:shd w:fill="CCEEFF" w:val="clear"/>
            <w:vAlign w:val="bottom"/>
          </w:tcPr>
          <w:p>
            <w:pPr>
              <w:pStyle w:val="TableContents"/>
              <w:spacing w:before="0" w:after="283"/>
              <w:rPr>
                <w:rFonts w:ascii="times" w:hAnsi="times"/>
                <w:sz w:val="20"/>
              </w:rPr>
            </w:pPr>
            <w:r>
              <w:rPr>
                <w:rFonts w:ascii="times" w:hAnsi="times"/>
                <w:sz w:val="20"/>
              </w:rPr>
              <w:t>Morgan Stanley &amp; Co. LLC</w:t>
            </w:r>
          </w:p>
        </w:tc>
        <w:tc>
          <w:tcPr>
            <w:tcW w:w="39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316" w:type="dxa"/>
            <w:tcBorders/>
            <w:shd w:fill="CCEEFF" w:val="clear"/>
            <w:vAlign w:val="bottom"/>
          </w:tcPr>
          <w:p>
            <w:pPr>
              <w:pStyle w:val="TableContents"/>
              <w:spacing w:before="0" w:after="283"/>
              <w:jc w:val="right"/>
              <w:rPr>
                <w:rFonts w:ascii="times" w:hAnsi="times"/>
                <w:sz w:val="20"/>
              </w:rPr>
            </w:pPr>
            <w:r>
              <w:rPr>
                <w:rFonts w:ascii="times" w:hAnsi="times"/>
                <w:sz w:val="20"/>
              </w:rPr>
              <w:t>7,500,000</w:t>
            </w:r>
          </w:p>
        </w:tc>
        <w:tc>
          <w:tcPr>
            <w:tcW w:w="398" w:type="dxa"/>
            <w:tcBorders/>
            <w:shd w:fill="CCEE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rFonts w:ascii="times" w:hAnsi="times"/>
                <w:sz w:val="20"/>
              </w:rPr>
            </w:pPr>
            <w:r>
              <w:rPr>
                <w:rFonts w:ascii="times" w:hAnsi="times"/>
                <w:sz w:val="20"/>
              </w:rPr>
              <w:t>Raymond James &amp; Associates, Inc. </w:t>
            </w:r>
          </w:p>
        </w:tc>
        <w:tc>
          <w:tcPr>
            <w:tcW w:w="39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2316" w:type="dxa"/>
            <w:tcBorders/>
            <w:shd w:fill="FFFFFF" w:val="clear"/>
            <w:vAlign w:val="bottom"/>
          </w:tcPr>
          <w:p>
            <w:pPr>
              <w:pStyle w:val="TableContents"/>
              <w:spacing w:before="0" w:after="283"/>
              <w:jc w:val="right"/>
              <w:rPr>
                <w:rFonts w:ascii="times" w:hAnsi="times"/>
                <w:sz w:val="20"/>
              </w:rPr>
            </w:pPr>
            <w:r>
              <w:rPr>
                <w:rFonts w:ascii="times" w:hAnsi="times"/>
                <w:sz w:val="20"/>
              </w:rPr>
              <w:t>2,500,000</w:t>
            </w:r>
          </w:p>
        </w:tc>
        <w:tc>
          <w:tcPr>
            <w:tcW w:w="398" w:type="dxa"/>
            <w:tcBorders/>
            <w:shd w:fill="FFFFFF" w:val="clear"/>
            <w:vAlign w:val="bottom"/>
          </w:tcPr>
          <w:p>
            <w:pPr>
              <w:pStyle w:val="TableContents"/>
              <w:spacing w:before="0" w:after="283"/>
              <w:rPr/>
            </w:pPr>
            <w:r>
              <w:rPr/>
              <w:t> </w:t>
            </w:r>
          </w:p>
        </w:tc>
      </w:tr>
      <w:tr>
        <w:trPr/>
        <w:tc>
          <w:tcPr>
            <w:tcW w:w="6862" w:type="dxa"/>
            <w:tcBorders/>
            <w:shd w:fill="CCEEFF" w:val="clear"/>
            <w:vAlign w:val="bottom"/>
          </w:tcPr>
          <w:p>
            <w:pPr>
              <w:pStyle w:val="TableContents"/>
              <w:spacing w:before="0" w:after="283"/>
              <w:rPr>
                <w:rFonts w:ascii="times" w:hAnsi="times"/>
                <w:sz w:val="20"/>
              </w:rPr>
            </w:pPr>
            <w:r>
              <w:rPr>
                <w:rFonts w:ascii="times" w:hAnsi="times"/>
                <w:sz w:val="20"/>
              </w:rPr>
              <w:t>UBS Securities LLC</w:t>
            </w:r>
          </w:p>
        </w:tc>
        <w:tc>
          <w:tcPr>
            <w:tcW w:w="39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316" w:type="dxa"/>
            <w:tcBorders/>
            <w:shd w:fill="CCEEFF" w:val="clear"/>
            <w:vAlign w:val="bottom"/>
          </w:tcPr>
          <w:p>
            <w:pPr>
              <w:pStyle w:val="TableContents"/>
              <w:spacing w:before="0" w:after="283"/>
              <w:jc w:val="right"/>
              <w:rPr>
                <w:rFonts w:ascii="times" w:hAnsi="times"/>
                <w:sz w:val="20"/>
              </w:rPr>
            </w:pPr>
            <w:r>
              <w:rPr>
                <w:rFonts w:ascii="times" w:hAnsi="times"/>
                <w:sz w:val="20"/>
              </w:rPr>
              <w:t>2,500,000</w:t>
            </w:r>
          </w:p>
        </w:tc>
        <w:tc>
          <w:tcPr>
            <w:tcW w:w="398" w:type="dxa"/>
            <w:tcBorders/>
            <w:shd w:fill="CCEE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rFonts w:ascii="times" w:hAnsi="times"/>
                <w:sz w:val="20"/>
              </w:rPr>
            </w:pPr>
            <w:r>
              <w:rPr>
                <w:rFonts w:ascii="times" w:hAnsi="times"/>
                <w:sz w:val="20"/>
              </w:rPr>
              <w:t>Wells Fargo Securities, LLC</w:t>
            </w:r>
          </w:p>
        </w:tc>
        <w:tc>
          <w:tcPr>
            <w:tcW w:w="397"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rPr/>
            </w:pPr>
            <w:r>
              <w:rPr/>
              <w:t> </w:t>
            </w:r>
          </w:p>
        </w:tc>
        <w:tc>
          <w:tcPr>
            <w:tcW w:w="2316" w:type="dxa"/>
            <w:tcBorders/>
            <w:shd w:fill="FFFFFF" w:val="clear"/>
            <w:vAlign w:val="bottom"/>
          </w:tcPr>
          <w:p>
            <w:pPr>
              <w:pStyle w:val="TableContents"/>
              <w:spacing w:before="0" w:after="283"/>
              <w:jc w:val="right"/>
              <w:rPr>
                <w:rFonts w:ascii="times" w:hAnsi="times"/>
                <w:sz w:val="20"/>
              </w:rPr>
            </w:pPr>
            <w:r>
              <w:rPr>
                <w:rFonts w:ascii="times" w:hAnsi="times"/>
                <w:sz w:val="20"/>
              </w:rPr>
              <w:t>2,500,000</w:t>
            </w:r>
          </w:p>
        </w:tc>
        <w:tc>
          <w:tcPr>
            <w:tcW w:w="398" w:type="dxa"/>
            <w:tcBorders/>
            <w:shd w:fill="FFFF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rPr/>
            </w:pPr>
            <w:r>
              <w:rPr/>
              <w:t> </w:t>
            </w:r>
          </w:p>
        </w:tc>
        <w:tc>
          <w:tcPr>
            <w:tcW w:w="254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398" w:type="dxa"/>
            <w:tcBorders/>
            <w:shd w:fill="FFFF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lineRule="atLeast" w:line="141" w:before="0" w:after="283"/>
              <w:rPr/>
            </w:pPr>
            <w:r>
              <w:rPr/>
              <w:t>​</w:t>
            </w:r>
          </w:p>
        </w:tc>
        <w:tc>
          <w:tcPr>
            <w:tcW w:w="397" w:type="dxa"/>
            <w:tcBorders/>
            <w:shd w:fill="FFFFFF" w:val="clear"/>
            <w:vAlign w:val="bottom"/>
          </w:tcPr>
          <w:p>
            <w:pPr>
              <w:pStyle w:val="TableContents"/>
              <w:spacing w:lineRule="atLeast" w:line="141" w:before="0" w:after="283"/>
              <w:rPr/>
            </w:pPr>
            <w:r>
              <w:rPr/>
              <w:t>​</w:t>
            </w:r>
          </w:p>
        </w:tc>
        <w:tc>
          <w:tcPr>
            <w:tcW w:w="232" w:type="dxa"/>
            <w:tcBorders/>
            <w:shd w:fill="FFFFFF" w:val="clear"/>
            <w:vAlign w:val="bottom"/>
          </w:tcPr>
          <w:p>
            <w:pPr>
              <w:pStyle w:val="TableContents"/>
              <w:spacing w:lineRule="atLeast" w:line="141" w:before="0" w:after="283"/>
              <w:rPr/>
            </w:pPr>
            <w:r>
              <w:rPr/>
              <w:t>​</w:t>
            </w:r>
          </w:p>
        </w:tc>
        <w:tc>
          <w:tcPr>
            <w:tcW w:w="2316" w:type="dxa"/>
            <w:tcBorders/>
            <w:shd w:fill="FFFFFF" w:val="clear"/>
            <w:vAlign w:val="bottom"/>
          </w:tcPr>
          <w:p>
            <w:pPr>
              <w:pStyle w:val="TableContents"/>
              <w:spacing w:lineRule="atLeast" w:line="141" w:before="0" w:after="283"/>
              <w:jc w:val="right"/>
              <w:rPr/>
            </w:pPr>
            <w:r>
              <w:rPr/>
              <w:t>​</w:t>
            </w:r>
          </w:p>
        </w:tc>
        <w:tc>
          <w:tcPr>
            <w:tcW w:w="398" w:type="dxa"/>
            <w:tcBorders/>
            <w:shd w:fill="FFFFFF" w:val="clear"/>
            <w:vAlign w:val="bottom"/>
          </w:tcPr>
          <w:p>
            <w:pPr>
              <w:pStyle w:val="TableContents"/>
              <w:spacing w:lineRule="atLeast" w:line="141" w:before="0" w:after="283"/>
              <w:rPr/>
            </w:pPr>
            <w:r>
              <w:rPr/>
              <w:t xml:space="preserve">​ </w:t>
            </w:r>
          </w:p>
        </w:tc>
      </w:tr>
      <w:tr>
        <w:trPr/>
        <w:tc>
          <w:tcPr>
            <w:tcW w:w="6862" w:type="dxa"/>
            <w:tcBorders/>
            <w:shd w:fill="CCEEFF" w:val="clear"/>
            <w:vAlign w:val="bottom"/>
          </w:tcPr>
          <w:p>
            <w:pPr>
              <w:pStyle w:val="TableContents"/>
              <w:spacing w:before="0" w:after="283"/>
              <w:rPr>
                <w:rFonts w:ascii="times" w:hAnsi="times"/>
                <w:sz w:val="20"/>
              </w:rPr>
            </w:pPr>
            <w:r>
              <w:rPr>
                <w:rFonts w:ascii="times" w:hAnsi="times"/>
                <w:sz w:val="20"/>
              </w:rPr>
              <w:t>Total</w:t>
            </w:r>
          </w:p>
        </w:tc>
        <w:tc>
          <w:tcPr>
            <w:tcW w:w="397"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2316" w:type="dxa"/>
            <w:tcBorders/>
            <w:shd w:fill="CCEEFF" w:val="clear"/>
            <w:vAlign w:val="bottom"/>
          </w:tcPr>
          <w:p>
            <w:pPr>
              <w:pStyle w:val="TableContents"/>
              <w:spacing w:before="0" w:after="283"/>
              <w:jc w:val="right"/>
              <w:rPr>
                <w:rFonts w:ascii="times" w:hAnsi="times"/>
                <w:sz w:val="20"/>
              </w:rPr>
            </w:pPr>
            <w:r>
              <w:rPr>
                <w:rFonts w:ascii="times" w:hAnsi="times"/>
                <w:sz w:val="20"/>
              </w:rPr>
              <w:t>60,000,000</w:t>
            </w:r>
          </w:p>
        </w:tc>
        <w:tc>
          <w:tcPr>
            <w:tcW w:w="398" w:type="dxa"/>
            <w:tcBorders/>
            <w:shd w:fill="CCEE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rPr/>
            </w:pPr>
            <w:r>
              <w:rPr/>
              <w:t> </w:t>
            </w:r>
          </w:p>
        </w:tc>
        <w:tc>
          <w:tcPr>
            <w:tcW w:w="254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398" w:type="dxa"/>
            <w:tcBorders/>
            <w:shd w:fill="FFFFFF" w:val="clear"/>
            <w:vAlign w:val="bottom"/>
          </w:tcPr>
          <w:p>
            <w:pPr>
              <w:pStyle w:val="TableContents"/>
              <w:spacing w:before="0" w:after="283"/>
              <w:rPr/>
            </w:pPr>
            <w:r>
              <w:rPr/>
              <w:t> </w:t>
            </w:r>
          </w:p>
        </w:tc>
      </w:tr>
      <w:tr>
        <w:trPr/>
        <w:tc>
          <w:tcPr>
            <w:tcW w:w="6862" w:type="dxa"/>
            <w:tcBorders/>
            <w:shd w:fill="FFFFFF" w:val="clear"/>
            <w:vAlign w:val="bottom"/>
          </w:tcPr>
          <w:p>
            <w:pPr>
              <w:pStyle w:val="TableContents"/>
              <w:spacing w:lineRule="atLeast" w:line="141" w:before="0" w:after="283"/>
              <w:rPr/>
            </w:pPr>
            <w:r>
              <w:rPr/>
              <w:t>​</w:t>
            </w:r>
          </w:p>
        </w:tc>
        <w:tc>
          <w:tcPr>
            <w:tcW w:w="397" w:type="dxa"/>
            <w:tcBorders/>
            <w:shd w:fill="FFFFFF" w:val="clear"/>
            <w:vAlign w:val="bottom"/>
          </w:tcPr>
          <w:p>
            <w:pPr>
              <w:pStyle w:val="TableContents"/>
              <w:spacing w:lineRule="atLeast" w:line="141" w:before="0" w:after="283"/>
              <w:rPr/>
            </w:pPr>
            <w:r>
              <w:rPr/>
              <w:t>​</w:t>
            </w:r>
          </w:p>
        </w:tc>
        <w:tc>
          <w:tcPr>
            <w:tcW w:w="232" w:type="dxa"/>
            <w:tcBorders/>
            <w:shd w:fill="FFFFFF" w:val="clear"/>
            <w:vAlign w:val="bottom"/>
          </w:tcPr>
          <w:p>
            <w:pPr>
              <w:pStyle w:val="TableContents"/>
              <w:spacing w:lineRule="atLeast" w:line="141" w:before="0" w:after="283"/>
              <w:rPr/>
            </w:pPr>
            <w:r>
              <w:rPr/>
              <w:t>​</w:t>
            </w:r>
          </w:p>
        </w:tc>
        <w:tc>
          <w:tcPr>
            <w:tcW w:w="2316" w:type="dxa"/>
            <w:tcBorders/>
            <w:shd w:fill="FFFFFF" w:val="clear"/>
            <w:vAlign w:val="bottom"/>
          </w:tcPr>
          <w:p>
            <w:pPr>
              <w:pStyle w:val="TableContents"/>
              <w:spacing w:lineRule="atLeast" w:line="141" w:before="0" w:after="283"/>
              <w:jc w:val="right"/>
              <w:rPr/>
            </w:pPr>
            <w:r>
              <w:rPr/>
              <w:t>​</w:t>
            </w:r>
          </w:p>
        </w:tc>
        <w:tc>
          <w:tcPr>
            <w:tcW w:w="398" w:type="dxa"/>
            <w:tcBorders/>
            <w:shd w:fill="FFFFFF" w:val="clear"/>
            <w:vAlign w:val="bottom"/>
          </w:tcPr>
          <w:p>
            <w:pPr>
              <w:pStyle w:val="TableContents"/>
              <w:spacing w:lineRule="atLeast" w:line="141" w:before="0" w:after="283"/>
              <w:rPr/>
            </w:pPr>
            <w:r>
              <w:rPr/>
              <w:t xml:space="preserve">​ </w:t>
            </w:r>
          </w:p>
        </w:tc>
      </w:tr>
      <w:tr>
        <w:trPr/>
        <w:tc>
          <w:tcPr>
            <w:tcW w:w="6862" w:type="dxa"/>
            <w:tcBorders/>
            <w:shd w:fill="FFFFFF" w:val="clear"/>
            <w:vAlign w:val="bottom"/>
          </w:tcPr>
          <w:p>
            <w:pPr>
              <w:pStyle w:val="TableContents"/>
              <w:spacing w:lineRule="atLeast" w:line="141" w:before="0" w:after="283"/>
              <w:rPr/>
            </w:pPr>
            <w:r>
              <w:rPr/>
              <w:t>​</w:t>
            </w:r>
          </w:p>
        </w:tc>
        <w:tc>
          <w:tcPr>
            <w:tcW w:w="397" w:type="dxa"/>
            <w:tcBorders/>
            <w:shd w:fill="FFFFFF" w:val="clear"/>
            <w:vAlign w:val="bottom"/>
          </w:tcPr>
          <w:p>
            <w:pPr>
              <w:pStyle w:val="TableContents"/>
              <w:spacing w:lineRule="atLeast" w:line="141" w:before="0" w:after="283"/>
              <w:rPr/>
            </w:pPr>
            <w:r>
              <w:rPr/>
              <w:t>​</w:t>
            </w:r>
          </w:p>
        </w:tc>
        <w:tc>
          <w:tcPr>
            <w:tcW w:w="232" w:type="dxa"/>
            <w:tcBorders/>
            <w:shd w:fill="FFFFFF" w:val="clear"/>
            <w:vAlign w:val="bottom"/>
          </w:tcPr>
          <w:p>
            <w:pPr>
              <w:pStyle w:val="TableContents"/>
              <w:spacing w:lineRule="atLeast" w:line="141" w:before="0" w:after="283"/>
              <w:rPr/>
            </w:pPr>
            <w:r>
              <w:rPr/>
              <w:t>​</w:t>
            </w:r>
          </w:p>
        </w:tc>
        <w:tc>
          <w:tcPr>
            <w:tcW w:w="2316" w:type="dxa"/>
            <w:tcBorders/>
            <w:shd w:fill="FFFFFF" w:val="clear"/>
            <w:vAlign w:val="bottom"/>
          </w:tcPr>
          <w:p>
            <w:pPr>
              <w:pStyle w:val="TableContents"/>
              <w:spacing w:lineRule="atLeast" w:line="141" w:before="0" w:after="283"/>
              <w:jc w:val="right"/>
              <w:rPr/>
            </w:pPr>
            <w:r>
              <w:rPr/>
              <w:t>​</w:t>
            </w:r>
          </w:p>
        </w:tc>
        <w:tc>
          <w:tcPr>
            <w:tcW w:w="398" w:type="dxa"/>
            <w:tcBorders/>
            <w:shd w:fill="FFFFFF" w:val="clear"/>
            <w:vAlign w:val="bottom"/>
          </w:tcPr>
          <w:p>
            <w:pPr>
              <w:pStyle w:val="TableContents"/>
              <w:spacing w:lineRule="atLeast" w:line="141" w:before="0" w:after="283"/>
              <w:rPr/>
            </w:pPr>
            <w:r>
              <w:rPr/>
              <w:t xml:space="preserve">​ </w:t>
            </w:r>
          </w:p>
        </w:tc>
      </w:tr>
      <w:tr>
        <w:trPr/>
        <w:tc>
          <w:tcPr>
            <w:tcW w:w="6862" w:type="dxa"/>
            <w:tcBorders/>
            <w:shd w:fill="FFFFFF" w:val="clear"/>
            <w:vAlign w:val="bottom"/>
          </w:tcPr>
          <w:p>
            <w:pPr>
              <w:pStyle w:val="TableContents"/>
              <w:spacing w:before="0" w:after="283"/>
              <w:rPr/>
            </w:pPr>
            <w:r>
              <w:rPr/>
              <w:t> </w:t>
            </w:r>
          </w:p>
        </w:tc>
        <w:tc>
          <w:tcPr>
            <w:tcW w:w="397" w:type="dxa"/>
            <w:tcBorders/>
            <w:shd w:fill="FFFFFF" w:val="clear"/>
            <w:vAlign w:val="bottom"/>
          </w:tcPr>
          <w:p>
            <w:pPr>
              <w:pStyle w:val="TableContents"/>
              <w:spacing w:before="0" w:after="283"/>
              <w:rPr/>
            </w:pPr>
            <w:r>
              <w:rPr/>
              <w:t> </w:t>
            </w:r>
          </w:p>
        </w:tc>
        <w:tc>
          <w:tcPr>
            <w:tcW w:w="254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398"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The underwriting agreement provides that the obligations of the underwriters to purchase the Class A shares included in this offering are subject to approval of legal matters by counsel and to other conditions. The underwriters are obligated to purchase all of the Class A shares (other than those covered by their option to purchase additional Class A shares described below) if they purchase any of the Class A shares. </w:t>
      </w:r>
    </w:p>
    <w:p>
      <w:pPr>
        <w:pStyle w:val="TextBody"/>
        <w:rPr>
          <w:rFonts w:ascii="times" w:hAnsi="times"/>
          <w:b/>
          <w:sz w:val="20"/>
        </w:rPr>
      </w:pPr>
      <w:r>
        <w:rPr>
          <w:rFonts w:ascii="times" w:hAnsi="times"/>
          <w:b/>
          <w:sz w:val="20"/>
        </w:rPr>
        <w:t xml:space="preserve">Commissions and Expenses </w:t>
      </w:r>
    </w:p>
    <w:p>
      <w:pPr>
        <w:pStyle w:val="TextBody"/>
        <w:rPr/>
      </w:pPr>
      <w:r>
        <w:rPr/>
        <w:t>        </w:t>
      </w:r>
      <w:r>
        <w:rPr>
          <w:rFonts w:ascii="times" w:hAnsi="times"/>
          <w:sz w:val="20"/>
        </w:rPr>
        <w:t xml:space="preserve">The following table summarizes the underwriting discount the selling shareholder will pay to the underwriters. These amounts are shown assuming both no exercise and full exercise of the underwriters' option to purchase additional Class A shares. </w:t>
      </w:r>
    </w:p>
    <w:tbl>
      <w:tblPr>
        <w:tblW w:w="5000" w:type="pct"/>
        <w:jc w:val="center"/>
        <w:tblInd w:w="0" w:type="dxa"/>
        <w:tblCellMar>
          <w:top w:w="0" w:type="dxa"/>
          <w:left w:w="0" w:type="dxa"/>
          <w:bottom w:w="0" w:type="dxa"/>
          <w:right w:w="0" w:type="dxa"/>
        </w:tblCellMar>
      </w:tblPr>
      <w:tblGrid>
        <w:gridCol w:w="2115"/>
        <w:gridCol w:w="514"/>
        <w:gridCol w:w="358"/>
        <w:gridCol w:w="2915"/>
        <w:gridCol w:w="515"/>
        <w:gridCol w:w="357"/>
        <w:gridCol w:w="2916"/>
        <w:gridCol w:w="515"/>
      </w:tblGrid>
      <w:tr>
        <w:trPr/>
        <w:tc>
          <w:tcPr>
            <w:tcW w:w="211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91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r>
      <w:tr>
        <w:trPr/>
        <w:tc>
          <w:tcPr>
            <w:tcW w:w="2115" w:type="dxa"/>
            <w:tcBorders/>
            <w:shd w:fill="auto" w:val="clear"/>
            <w:vAlign w:val="bottom"/>
          </w:tcPr>
          <w:p>
            <w:pPr>
              <w:pStyle w:val="TableHeading"/>
              <w:spacing w:before="0" w:after="283"/>
              <w:jc w:val="left"/>
              <w:rPr/>
            </w:pPr>
            <w:r>
              <w:rPr/>
              <w:t> </w:t>
            </w:r>
          </w:p>
        </w:tc>
        <w:tc>
          <w:tcPr>
            <w:tcW w:w="514" w:type="dxa"/>
            <w:tcBorders/>
            <w:shd w:fill="auto" w:val="clear"/>
            <w:vAlign w:val="bottom"/>
          </w:tcPr>
          <w:p>
            <w:pPr>
              <w:pStyle w:val="TableHeading"/>
              <w:suppressLineNumbers/>
              <w:spacing w:before="0" w:after="283"/>
              <w:jc w:val="center"/>
              <w:rPr/>
            </w:pPr>
            <w:r>
              <w:rPr/>
              <w:t> </w:t>
            </w:r>
          </w:p>
        </w:tc>
        <w:tc>
          <w:tcPr>
            <w:tcW w:w="7061"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Paid by the Selling</w:t>
              <w:br/>
              <w:t xml:space="preserve">Shareholder </w:t>
            </w:r>
          </w:p>
        </w:tc>
        <w:tc>
          <w:tcPr>
            <w:tcW w:w="515" w:type="dxa"/>
            <w:tcBorders/>
            <w:shd w:fill="auto" w:val="clear"/>
            <w:vAlign w:val="bottom"/>
          </w:tcPr>
          <w:p>
            <w:pPr>
              <w:pStyle w:val="TableHeading"/>
              <w:suppressLineNumbers/>
              <w:spacing w:before="0" w:after="283"/>
              <w:jc w:val="center"/>
              <w:rPr/>
            </w:pPr>
            <w:r>
              <w:rPr/>
              <w:t> </w:t>
            </w:r>
          </w:p>
        </w:tc>
      </w:tr>
      <w:tr>
        <w:trPr/>
        <w:tc>
          <w:tcPr>
            <w:tcW w:w="2115" w:type="dxa"/>
            <w:tcBorders/>
            <w:shd w:fill="auto" w:val="clear"/>
            <w:vAlign w:val="bottom"/>
          </w:tcPr>
          <w:p>
            <w:pPr>
              <w:pStyle w:val="TableHeading"/>
              <w:spacing w:before="0" w:after="283"/>
              <w:jc w:val="left"/>
              <w:rPr/>
            </w:pPr>
            <w:r>
              <w:rPr/>
              <w:t> </w:t>
            </w:r>
          </w:p>
        </w:tc>
        <w:tc>
          <w:tcPr>
            <w:tcW w:w="514" w:type="dxa"/>
            <w:tcBorders/>
            <w:shd w:fill="auto" w:val="clear"/>
            <w:vAlign w:val="bottom"/>
          </w:tcPr>
          <w:p>
            <w:pPr>
              <w:pStyle w:val="TableHeading"/>
              <w:suppressLineNumbers/>
              <w:spacing w:before="0" w:after="283"/>
              <w:jc w:val="center"/>
              <w:rPr/>
            </w:pPr>
            <w:r>
              <w:rPr/>
              <w:t> </w:t>
            </w:r>
          </w:p>
        </w:tc>
        <w:tc>
          <w:tcPr>
            <w:tcW w:w="32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 Exercise </w:t>
            </w:r>
          </w:p>
        </w:tc>
        <w:tc>
          <w:tcPr>
            <w:tcW w:w="515" w:type="dxa"/>
            <w:tcBorders/>
            <w:shd w:fill="auto" w:val="clear"/>
            <w:vAlign w:val="bottom"/>
          </w:tcPr>
          <w:p>
            <w:pPr>
              <w:pStyle w:val="TableHeading"/>
              <w:suppressLineNumbers/>
              <w:spacing w:before="0" w:after="283"/>
              <w:jc w:val="center"/>
              <w:rPr/>
            </w:pPr>
            <w:r>
              <w:rPr/>
              <w:t> </w:t>
            </w:r>
          </w:p>
        </w:tc>
        <w:tc>
          <w:tcPr>
            <w:tcW w:w="327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Full Exercise </w:t>
            </w:r>
          </w:p>
        </w:tc>
        <w:tc>
          <w:tcPr>
            <w:tcW w:w="515" w:type="dxa"/>
            <w:tcBorders/>
            <w:shd w:fill="auto" w:val="clear"/>
            <w:vAlign w:val="bottom"/>
          </w:tcPr>
          <w:p>
            <w:pPr>
              <w:pStyle w:val="TableHeading"/>
              <w:suppressLineNumbers/>
              <w:spacing w:before="0" w:after="283"/>
              <w:jc w:val="center"/>
              <w:rPr/>
            </w:pPr>
            <w:r>
              <w:rPr/>
              <w:t> </w:t>
            </w:r>
          </w:p>
        </w:tc>
      </w:tr>
      <w:tr>
        <w:trPr/>
        <w:tc>
          <w:tcPr>
            <w:tcW w:w="211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Per share</w:t>
            </w:r>
          </w:p>
        </w:tc>
        <w:tc>
          <w:tcPr>
            <w:tcW w:w="514"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915" w:type="dxa"/>
            <w:tcBorders/>
            <w:shd w:fill="CCEEFF" w:val="clear"/>
            <w:vAlign w:val="bottom"/>
          </w:tcPr>
          <w:p>
            <w:pPr>
              <w:pStyle w:val="TableContents"/>
              <w:spacing w:before="0" w:after="283"/>
              <w:jc w:val="right"/>
              <w:rPr>
                <w:rFonts w:ascii="times" w:hAnsi="times"/>
                <w:sz w:val="20"/>
              </w:rPr>
            </w:pPr>
            <w:r>
              <w:rPr>
                <w:rFonts w:ascii="times" w:hAnsi="times"/>
                <w:sz w:val="20"/>
              </w:rPr>
              <w:t>0.5625</w:t>
            </w:r>
          </w:p>
        </w:tc>
        <w:tc>
          <w:tcPr>
            <w:tcW w:w="515"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916" w:type="dxa"/>
            <w:tcBorders/>
            <w:shd w:fill="CCEEFF" w:val="clear"/>
            <w:vAlign w:val="bottom"/>
          </w:tcPr>
          <w:p>
            <w:pPr>
              <w:pStyle w:val="TableContents"/>
              <w:spacing w:before="0" w:after="283"/>
              <w:jc w:val="right"/>
              <w:rPr>
                <w:rFonts w:ascii="times" w:hAnsi="times"/>
                <w:sz w:val="20"/>
              </w:rPr>
            </w:pPr>
            <w:r>
              <w:rPr>
                <w:rFonts w:ascii="times" w:hAnsi="times"/>
                <w:sz w:val="20"/>
              </w:rPr>
              <w:t>0.5625</w:t>
            </w:r>
          </w:p>
        </w:tc>
        <w:tc>
          <w:tcPr>
            <w:tcW w:w="515" w:type="dxa"/>
            <w:tcBorders/>
            <w:shd w:fill="CCEEFF" w:val="clear"/>
            <w:vAlign w:val="bottom"/>
          </w:tcPr>
          <w:p>
            <w:pPr>
              <w:pStyle w:val="TableContents"/>
              <w:spacing w:before="0" w:after="283"/>
              <w:rPr/>
            </w:pPr>
            <w:r>
              <w:rPr/>
              <w:t> </w:t>
            </w:r>
          </w:p>
        </w:tc>
      </w:tr>
      <w:tr>
        <w:trPr/>
        <w:tc>
          <w:tcPr>
            <w:tcW w:w="2115" w:type="dxa"/>
            <w:tcBorders/>
            <w:shd w:fill="FFFFFF" w:val="clear"/>
            <w:vAlign w:val="bottom"/>
          </w:tcPr>
          <w:p>
            <w:pPr>
              <w:pStyle w:val="TableContents"/>
              <w:spacing w:before="0" w:after="283"/>
              <w:rPr/>
            </w:pPr>
            <w:r>
              <w:rPr/>
              <w:t> </w:t>
            </w:r>
          </w:p>
        </w:tc>
        <w:tc>
          <w:tcPr>
            <w:tcW w:w="514"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r>
      <w:tr>
        <w:trPr/>
        <w:tc>
          <w:tcPr>
            <w:tcW w:w="2115" w:type="dxa"/>
            <w:tcBorders/>
            <w:shd w:fill="FFFFFF" w:val="clear"/>
            <w:vAlign w:val="bottom"/>
          </w:tcPr>
          <w:p>
            <w:pPr>
              <w:pStyle w:val="TableContents"/>
              <w:spacing w:lineRule="atLeast" w:line="141" w:before="0" w:after="283"/>
              <w:rPr/>
            </w:pPr>
            <w:r>
              <w:rPr/>
              <w:t>​</w:t>
            </w:r>
          </w:p>
        </w:tc>
        <w:tc>
          <w:tcPr>
            <w:tcW w:w="514" w:type="dxa"/>
            <w:tcBorders/>
            <w:shd w:fill="FFFFFF" w:val="clear"/>
            <w:vAlign w:val="bottom"/>
          </w:tcPr>
          <w:p>
            <w:pPr>
              <w:pStyle w:val="TableContents"/>
              <w:spacing w:lineRule="atLeast" w:line="141" w:before="0" w:after="283"/>
              <w:rPr/>
            </w:pPr>
            <w:r>
              <w:rPr/>
              <w:t>​</w:t>
            </w:r>
          </w:p>
        </w:tc>
        <w:tc>
          <w:tcPr>
            <w:tcW w:w="358" w:type="dxa"/>
            <w:tcBorders/>
            <w:shd w:fill="FFFFFF" w:val="clear"/>
            <w:vAlign w:val="bottom"/>
          </w:tcPr>
          <w:p>
            <w:pPr>
              <w:pStyle w:val="TableContents"/>
              <w:spacing w:lineRule="atLeast" w:line="141" w:before="0" w:after="283"/>
              <w:rPr/>
            </w:pPr>
            <w:r>
              <w:rPr/>
              <w:t>​</w:t>
            </w:r>
          </w:p>
        </w:tc>
        <w:tc>
          <w:tcPr>
            <w:tcW w:w="2915"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w:t>
            </w:r>
          </w:p>
        </w:tc>
        <w:tc>
          <w:tcPr>
            <w:tcW w:w="357" w:type="dxa"/>
            <w:tcBorders/>
            <w:shd w:fill="FFFFFF" w:val="clear"/>
            <w:vAlign w:val="bottom"/>
          </w:tcPr>
          <w:p>
            <w:pPr>
              <w:pStyle w:val="TableContents"/>
              <w:spacing w:lineRule="atLeast" w:line="141" w:before="0" w:after="283"/>
              <w:rPr/>
            </w:pPr>
            <w:r>
              <w:rPr/>
              <w:t>​</w:t>
            </w:r>
          </w:p>
        </w:tc>
        <w:tc>
          <w:tcPr>
            <w:tcW w:w="2916"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 xml:space="preserve">​ </w:t>
            </w:r>
          </w:p>
        </w:tc>
      </w:tr>
      <w:tr>
        <w:trPr/>
        <w:tc>
          <w:tcPr>
            <w:tcW w:w="211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514" w:type="dxa"/>
            <w:tcBorders/>
            <w:shd w:fill="FFFFFF" w:val="clear"/>
            <w:vAlign w:val="bottom"/>
          </w:tcPr>
          <w:p>
            <w:pPr>
              <w:pStyle w:val="TableContents"/>
              <w:spacing w:before="0" w:after="283"/>
              <w:rPr/>
            </w:pPr>
            <w:r>
              <w:rPr/>
              <w:t> </w:t>
            </w:r>
          </w:p>
        </w:tc>
        <w:tc>
          <w:tcPr>
            <w:tcW w:w="35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915" w:type="dxa"/>
            <w:tcBorders/>
            <w:shd w:fill="FFFFFF" w:val="clear"/>
            <w:vAlign w:val="bottom"/>
          </w:tcPr>
          <w:p>
            <w:pPr>
              <w:pStyle w:val="TableContents"/>
              <w:spacing w:before="0" w:after="283"/>
              <w:jc w:val="right"/>
              <w:rPr>
                <w:rFonts w:ascii="times" w:hAnsi="times"/>
                <w:sz w:val="20"/>
              </w:rPr>
            </w:pPr>
            <w:r>
              <w:rPr>
                <w:rFonts w:ascii="times" w:hAnsi="times"/>
                <w:sz w:val="20"/>
              </w:rPr>
              <w:t>33,750,000</w:t>
            </w:r>
          </w:p>
        </w:tc>
        <w:tc>
          <w:tcPr>
            <w:tcW w:w="515"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916" w:type="dxa"/>
            <w:tcBorders/>
            <w:shd w:fill="FFFFFF" w:val="clear"/>
            <w:vAlign w:val="bottom"/>
          </w:tcPr>
          <w:p>
            <w:pPr>
              <w:pStyle w:val="TableContents"/>
              <w:spacing w:before="0" w:after="283"/>
              <w:jc w:val="right"/>
              <w:rPr>
                <w:rFonts w:ascii="times" w:hAnsi="times"/>
                <w:sz w:val="20"/>
              </w:rPr>
            </w:pPr>
            <w:r>
              <w:rPr>
                <w:rFonts w:ascii="times" w:hAnsi="times"/>
                <w:sz w:val="20"/>
              </w:rPr>
              <w:t>38,812,500</w:t>
            </w:r>
          </w:p>
        </w:tc>
        <w:tc>
          <w:tcPr>
            <w:tcW w:w="515" w:type="dxa"/>
            <w:tcBorders/>
            <w:shd w:fill="FFFFFF" w:val="clear"/>
            <w:vAlign w:val="bottom"/>
          </w:tcPr>
          <w:p>
            <w:pPr>
              <w:pStyle w:val="TableContents"/>
              <w:spacing w:before="0" w:after="283"/>
              <w:rPr/>
            </w:pPr>
            <w:r>
              <w:rPr/>
              <w:t> </w:t>
            </w:r>
          </w:p>
        </w:tc>
      </w:tr>
      <w:tr>
        <w:trPr/>
        <w:tc>
          <w:tcPr>
            <w:tcW w:w="2115" w:type="dxa"/>
            <w:tcBorders/>
            <w:shd w:fill="FFFFFF" w:val="clear"/>
            <w:vAlign w:val="bottom"/>
          </w:tcPr>
          <w:p>
            <w:pPr>
              <w:pStyle w:val="TableContents"/>
              <w:spacing w:before="0" w:after="283"/>
              <w:rPr/>
            </w:pPr>
            <w:r>
              <w:rPr/>
              <w:t> </w:t>
            </w:r>
          </w:p>
        </w:tc>
        <w:tc>
          <w:tcPr>
            <w:tcW w:w="514"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r>
      <w:tr>
        <w:trPr/>
        <w:tc>
          <w:tcPr>
            <w:tcW w:w="2115" w:type="dxa"/>
            <w:tcBorders/>
            <w:shd w:fill="FFFFFF" w:val="clear"/>
            <w:vAlign w:val="bottom"/>
          </w:tcPr>
          <w:p>
            <w:pPr>
              <w:pStyle w:val="TableContents"/>
              <w:spacing w:lineRule="atLeast" w:line="141" w:before="0" w:after="283"/>
              <w:rPr/>
            </w:pPr>
            <w:r>
              <w:rPr/>
              <w:t>​</w:t>
            </w:r>
          </w:p>
        </w:tc>
        <w:tc>
          <w:tcPr>
            <w:tcW w:w="514" w:type="dxa"/>
            <w:tcBorders/>
            <w:shd w:fill="FFFFFF" w:val="clear"/>
            <w:vAlign w:val="bottom"/>
          </w:tcPr>
          <w:p>
            <w:pPr>
              <w:pStyle w:val="TableContents"/>
              <w:spacing w:lineRule="atLeast" w:line="141" w:before="0" w:after="283"/>
              <w:rPr/>
            </w:pPr>
            <w:r>
              <w:rPr/>
              <w:t>​</w:t>
            </w:r>
          </w:p>
        </w:tc>
        <w:tc>
          <w:tcPr>
            <w:tcW w:w="358" w:type="dxa"/>
            <w:tcBorders/>
            <w:shd w:fill="FFFFFF" w:val="clear"/>
            <w:vAlign w:val="bottom"/>
          </w:tcPr>
          <w:p>
            <w:pPr>
              <w:pStyle w:val="TableContents"/>
              <w:spacing w:lineRule="atLeast" w:line="141" w:before="0" w:after="283"/>
              <w:rPr/>
            </w:pPr>
            <w:r>
              <w:rPr/>
              <w:t>​</w:t>
            </w:r>
          </w:p>
        </w:tc>
        <w:tc>
          <w:tcPr>
            <w:tcW w:w="2915"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w:t>
            </w:r>
          </w:p>
        </w:tc>
        <w:tc>
          <w:tcPr>
            <w:tcW w:w="357" w:type="dxa"/>
            <w:tcBorders/>
            <w:shd w:fill="FFFFFF" w:val="clear"/>
            <w:vAlign w:val="bottom"/>
          </w:tcPr>
          <w:p>
            <w:pPr>
              <w:pStyle w:val="TableContents"/>
              <w:spacing w:lineRule="atLeast" w:line="141" w:before="0" w:after="283"/>
              <w:rPr/>
            </w:pPr>
            <w:r>
              <w:rPr/>
              <w:t>​</w:t>
            </w:r>
          </w:p>
        </w:tc>
        <w:tc>
          <w:tcPr>
            <w:tcW w:w="2916"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 xml:space="preserve">​ </w:t>
            </w:r>
          </w:p>
        </w:tc>
      </w:tr>
      <w:tr>
        <w:trPr/>
        <w:tc>
          <w:tcPr>
            <w:tcW w:w="2115" w:type="dxa"/>
            <w:tcBorders/>
            <w:shd w:fill="FFFFFF" w:val="clear"/>
            <w:vAlign w:val="bottom"/>
          </w:tcPr>
          <w:p>
            <w:pPr>
              <w:pStyle w:val="TableContents"/>
              <w:spacing w:lineRule="atLeast" w:line="141" w:before="0" w:after="283"/>
              <w:rPr/>
            </w:pPr>
            <w:r>
              <w:rPr/>
              <w:t>​</w:t>
            </w:r>
          </w:p>
        </w:tc>
        <w:tc>
          <w:tcPr>
            <w:tcW w:w="514" w:type="dxa"/>
            <w:tcBorders/>
            <w:shd w:fill="FFFFFF" w:val="clear"/>
            <w:vAlign w:val="bottom"/>
          </w:tcPr>
          <w:p>
            <w:pPr>
              <w:pStyle w:val="TableContents"/>
              <w:spacing w:lineRule="atLeast" w:line="141" w:before="0" w:after="283"/>
              <w:rPr/>
            </w:pPr>
            <w:r>
              <w:rPr/>
              <w:t>​</w:t>
            </w:r>
          </w:p>
        </w:tc>
        <w:tc>
          <w:tcPr>
            <w:tcW w:w="358" w:type="dxa"/>
            <w:tcBorders/>
            <w:shd w:fill="FFFFFF" w:val="clear"/>
            <w:vAlign w:val="bottom"/>
          </w:tcPr>
          <w:p>
            <w:pPr>
              <w:pStyle w:val="TableContents"/>
              <w:spacing w:lineRule="atLeast" w:line="141" w:before="0" w:after="283"/>
              <w:rPr/>
            </w:pPr>
            <w:r>
              <w:rPr/>
              <w:t>​</w:t>
            </w:r>
          </w:p>
        </w:tc>
        <w:tc>
          <w:tcPr>
            <w:tcW w:w="2915"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w:t>
            </w:r>
          </w:p>
        </w:tc>
        <w:tc>
          <w:tcPr>
            <w:tcW w:w="357" w:type="dxa"/>
            <w:tcBorders/>
            <w:shd w:fill="FFFFFF" w:val="clear"/>
            <w:vAlign w:val="bottom"/>
          </w:tcPr>
          <w:p>
            <w:pPr>
              <w:pStyle w:val="TableContents"/>
              <w:spacing w:lineRule="atLeast" w:line="141" w:before="0" w:after="283"/>
              <w:rPr/>
            </w:pPr>
            <w:r>
              <w:rPr/>
              <w:t>​</w:t>
            </w:r>
          </w:p>
        </w:tc>
        <w:tc>
          <w:tcPr>
            <w:tcW w:w="2916" w:type="dxa"/>
            <w:tcBorders/>
            <w:shd w:fill="FFFFFF" w:val="clear"/>
            <w:vAlign w:val="bottom"/>
          </w:tcPr>
          <w:p>
            <w:pPr>
              <w:pStyle w:val="TableContents"/>
              <w:spacing w:lineRule="atLeast" w:line="141" w:before="0" w:after="283"/>
              <w:jc w:val="right"/>
              <w:rPr/>
            </w:pPr>
            <w:r>
              <w:rPr/>
              <w:t>​</w:t>
            </w:r>
          </w:p>
        </w:tc>
        <w:tc>
          <w:tcPr>
            <w:tcW w:w="515" w:type="dxa"/>
            <w:tcBorders/>
            <w:shd w:fill="FFFFFF" w:val="clear"/>
            <w:vAlign w:val="bottom"/>
          </w:tcPr>
          <w:p>
            <w:pPr>
              <w:pStyle w:val="TableContents"/>
              <w:spacing w:lineRule="atLeast" w:line="141" w:before="0" w:after="283"/>
              <w:rPr/>
            </w:pPr>
            <w:r>
              <w:rPr/>
              <w:t xml:space="preserve">​ </w:t>
            </w:r>
          </w:p>
        </w:tc>
      </w:tr>
      <w:tr>
        <w:trPr/>
        <w:tc>
          <w:tcPr>
            <w:tcW w:w="2115" w:type="dxa"/>
            <w:tcBorders/>
            <w:shd w:fill="FFFFFF" w:val="clear"/>
            <w:vAlign w:val="bottom"/>
          </w:tcPr>
          <w:p>
            <w:pPr>
              <w:pStyle w:val="TableContents"/>
              <w:spacing w:before="0" w:after="283"/>
              <w:rPr/>
            </w:pPr>
            <w:r>
              <w:rPr/>
              <w:t> </w:t>
            </w:r>
          </w:p>
        </w:tc>
        <w:tc>
          <w:tcPr>
            <w:tcW w:w="514"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c>
          <w:tcPr>
            <w:tcW w:w="3273"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15"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The underwriters propose to offer some of the Class A shares directly to the public at the public offering price set forth on the cover page of this prospectus and some of the Class A shares to dealers at the public offering price less a concession not to exceed $0.3375 per Class A share. If all of the Class A shares are not sold at the initial offering price, the underwriters may change the public offering price and the other selling terms. </w:t>
      </w:r>
    </w:p>
    <w:p>
      <w:pPr>
        <w:pStyle w:val="TextBody"/>
        <w:rPr/>
      </w:pPr>
      <w:r>
        <w:rPr/>
        <w:t>        </w:t>
      </w:r>
      <w:r>
        <w:rPr>
          <w:rFonts w:ascii="times" w:hAnsi="times"/>
          <w:sz w:val="20"/>
        </w:rPr>
        <w:t xml:space="preserve">We will cause AAP to pay expenses incurred by the selling shareholder in connection with this offering, other than the underwriting discounts and commissions. The expenses of this offering that are payable by us are estimated to be approximately $800,000.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76101a_main_toc">
        <w:bookmarkStart w:id="86" w:name="page_di76101_1_39"/>
        <w:bookmarkEnd w:id="86"/>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Option to Purchase Additional Shares </w:t>
      </w:r>
    </w:p>
    <w:p>
      <w:pPr>
        <w:pStyle w:val="TextBody"/>
        <w:rPr/>
      </w:pPr>
      <w:r>
        <w:rPr/>
        <w:t>        </w:t>
      </w:r>
      <w:r>
        <w:rPr>
          <w:rFonts w:ascii="times" w:hAnsi="times"/>
          <w:sz w:val="20"/>
        </w:rPr>
        <w:t xml:space="preserve">The selling shareholder has granted the underwriters an option exercisable for 30 days after the date of this prospectus, to purchase, from time to time, in whole or in part, up to an aggregate of 9,000,000 Class A shares from the selling shareholder at the public offering price less the underwriting discount. To the extent that the option is exercised, each underwriter will be obligated, subject to certain conditions, to purchase its pro rata portion of these additional shares based on the underwriter's underwriting commitment in this offering as indicated in the table at the beginning of this "Underwriting" section. </w:t>
      </w:r>
    </w:p>
    <w:p>
      <w:pPr>
        <w:pStyle w:val="TextBody"/>
        <w:rPr>
          <w:rFonts w:ascii="times" w:hAnsi="times"/>
          <w:b/>
          <w:sz w:val="20"/>
        </w:rPr>
      </w:pPr>
      <w:r>
        <w:rPr>
          <w:rFonts w:ascii="times" w:hAnsi="times"/>
          <w:b/>
          <w:sz w:val="20"/>
        </w:rPr>
        <w:t xml:space="preserve">Lock-Up Agreements </w:t>
      </w:r>
    </w:p>
    <w:p>
      <w:pPr>
        <w:pStyle w:val="TextBody"/>
        <w:rPr/>
      </w:pPr>
      <w:r>
        <w:rPr/>
        <w:t>        </w:t>
      </w:r>
      <w:r>
        <w:rPr>
          <w:rFonts w:ascii="times" w:hAnsi="times"/>
          <w:sz w:val="20"/>
        </w:rPr>
        <w:t xml:space="preserve">We, certain of the Legacy Owners, the selling shareholder and certain of our directors have agreed that, without the prior written consent of J.P. Morgan Securities LLC, we and they will not directly or indirectly, (1) offer for sale, sell, pledge, or otherwise dispose of (or enter into any transaction or device that is designed to, or could be expected to, result in the disposition by any person at any time in the future of) any of our Class A shares (including, without limitation, Class A shares that may be deemed to be beneficially owned by us or them in accordance with the rules and regulations of the SEC and Class A shares that may be issued upon exercise of any options or warrants), (2) enter into any swap or other derivatives transaction that transfers to another, in whole or in part, any of the economic consequences of ownership of the Class A shares, (3) make any demand for or exercise any right or file or cause to be filed a registration statement, including any amendments thereto, with respect to the registration of any Class A shares or securities convertible, exercisable or exchangeable into Class A shares or any of our other securities (other than a resale shelf registration statement on Form S-3 pursuant to the Registration Rights Agreement), or (4) publicly disclose the intention to do any of the foregoing for a period of 90 days after the date of this prospectus in the case of the selling shareholder, certain affiliates of Kayne Anderson Investment Management, Inc., the Energy &amp; Minerals Group and PAA Management, L.P., and 45 days after the date of this prospectus in the case of certain of the other Legacy Owners and certain of our directors. The foregoing lock-up arrangements do not apply to, among other things, private transfers of AAP units and our Class B shares, although any transferee of such AAP units and Class B shares will be subject to the foregoing lock-up arrangements, and certain charitable contributions.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 xml:space="preserve">We and the selling shareholder have agreed to indemnify the underwriters against certain liabilities, including liabilities under the Securities Act, and to contribute to payments that the underwriters may be required to make for these liabilities. </w:t>
      </w:r>
    </w:p>
    <w:p>
      <w:pPr>
        <w:pStyle w:val="TextBody"/>
        <w:rPr>
          <w:rFonts w:ascii="times" w:hAnsi="times"/>
          <w:b/>
          <w:sz w:val="20"/>
        </w:rPr>
      </w:pPr>
      <w:r>
        <w:rPr>
          <w:rFonts w:ascii="times" w:hAnsi="times"/>
          <w:b/>
          <w:sz w:val="20"/>
        </w:rPr>
        <w:t xml:space="preserve">Stabilization, Short Positions and Penalty Bids </w:t>
      </w:r>
    </w:p>
    <w:p>
      <w:pPr>
        <w:pStyle w:val="TextBody"/>
        <w:rPr/>
      </w:pPr>
      <w:r>
        <w:rPr/>
        <w:t>        </w:t>
      </w:r>
      <w:r>
        <w:rPr>
          <w:rFonts w:ascii="times" w:hAnsi="times"/>
          <w:sz w:val="20"/>
        </w:rPr>
        <w:t>The representatives may engage in stabilizing transactions, short sales and purchases to cover positions created by short sales, and penalty bids or purchases for the purpose of pegging, fixing or maintaining the price of the Class A shares, in accordance with Regulation M under the Exchange Act: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Stabilizing transactions permit bids to purchase the underlying security so long as the stabilizing bids do not exceed a specified maximum.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position involves a sale by the underwriters of Class A shares in excess of the number of Class A shares the underwriters are obligated to purchase in the offering, which creates the syndicate short position. This short position may be either a covered short position or a naked short position. In a covered short position, the number of Class A shares involved in the sales made by the underwriters in excess of the number of Class A shares they are obligated to purchase is not greater than the number of Class A shares that they may purchase by exercising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76101a_main_toc">
        <w:bookmarkStart w:id="87" w:name="page_di76101_1_40"/>
        <w:bookmarkEnd w:id="87"/>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their option to purchase additional Class A shares. In a naked short position, the number of Class A shares involved is greater than the number of Class A shares in their option to purchase additional Class A shares. The underwriters may close out any short position by either exercising their option to purchase additional Class A shares and/or purchasing Class A shares in the open market. In determining the source of Class A shares to close out the short position, the underwriters will consider, among other things, the price of Class A shares available for purchase in the open market as compared to the price at which they may purchase Class A shares through their option to purchase additional Class A shares. A naked short position is more likely to be created if the underwriters are concerned that there could be downward pressure on the price of the Class A shares in the open market after pricing that could adversely affect investors who purchase in the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Syndicate covering transactions involve purchases of the Class A shares in the open market after the distribution has been completed in order to cover syndicate short positions.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Penalty bids permit the representatives to reclaim a selling concession from a syndicate member when the Class A shares originally sold by the syndicate member are purchased in a stabilizing or syndicate covering transaction to cover syndicate short positions. </w:t>
      </w:r>
    </w:p>
    <w:p>
      <w:pPr>
        <w:pStyle w:val="TextBody"/>
        <w:rPr/>
      </w:pPr>
      <w:r>
        <w:rPr/>
        <w:t>        </w:t>
      </w:r>
      <w:r>
        <w:rPr>
          <w:rFonts w:ascii="times" w:hAnsi="times"/>
          <w:sz w:val="20"/>
        </w:rPr>
        <w:t xml:space="preserve">These stabilizing transactions, syndicate covering transactions and penalty bids may have the effect of raising or maintaining the market price of our Class A shares or preventing or slowing a decline in the market price of the Class A shares. As a result, the price of the Class A shares may be higher than the price that might otherwise exist in the open market. These transactions may be effected on the New York Stock Exchange or otherwise and, if commenced, may be discontinued at any time. </w:t>
      </w:r>
    </w:p>
    <w:p>
      <w:pPr>
        <w:pStyle w:val="TextBody"/>
        <w:rPr/>
      </w:pPr>
      <w:r>
        <w:rPr/>
        <w:t>        </w:t>
      </w:r>
      <w:r>
        <w:rPr>
          <w:rFonts w:ascii="times" w:hAnsi="times"/>
          <w:sz w:val="20"/>
        </w:rPr>
        <w:t xml:space="preserve">Neither we nor any of the underwriters make any representation or prediction as to the direction or magnitude of any effect that the transactions described above may have on the price of the Class A shares. In addition, neither we nor any of the underwriters make any representation that the representatives will engage in these stabilizing transactions or that any transaction, once commenced, will not be discontinued without notice. </w:t>
      </w:r>
    </w:p>
    <w:p>
      <w:pPr>
        <w:pStyle w:val="TextBody"/>
        <w:rPr/>
      </w:pPr>
      <w:r>
        <w:rPr/>
        <w:t>        </w:t>
      </w:r>
      <w:r>
        <w:rPr>
          <w:rFonts w:ascii="times" w:hAnsi="times"/>
          <w:sz w:val="20"/>
        </w:rPr>
        <w:t xml:space="preserve">Prior to purchasing the Class A shares being offered hereby, on the date of this prospectus, one of the underwriters purchased, on behalf of the syndicate, 70,524 Class A shares at an average price of $25.00 per Class A share in stabilizing transactions. </w:t>
      </w:r>
    </w:p>
    <w:p>
      <w:pPr>
        <w:pStyle w:val="TextBody"/>
        <w:rPr>
          <w:rFonts w:ascii="times" w:hAnsi="times"/>
          <w:b/>
          <w:sz w:val="20"/>
        </w:rPr>
      </w:pPr>
      <w:r>
        <w:rPr>
          <w:rFonts w:ascii="times" w:hAnsi="times"/>
          <w:b/>
          <w:sz w:val="20"/>
        </w:rPr>
        <w:t xml:space="preserve">Electronic Distribution </w:t>
      </w:r>
    </w:p>
    <w:p>
      <w:pPr>
        <w:pStyle w:val="TextBody"/>
        <w:rPr/>
      </w:pPr>
      <w:r>
        <w:rPr/>
        <w:t>        </w:t>
      </w:r>
      <w:r>
        <w:rPr>
          <w:rFonts w:ascii="times" w:hAnsi="times"/>
          <w:sz w:val="20"/>
        </w:rPr>
        <w:t xml:space="preserve">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the selling shareholder to allocate a specific number of Class A shares for sale to online brokerage account holders. Any such allocation for online distributions will be made by the representatives on the same basis as other allocations. </w:t>
      </w:r>
    </w:p>
    <w:p>
      <w:pPr>
        <w:pStyle w:val="TextBody"/>
        <w:rPr/>
      </w:pPr>
      <w:r>
        <w:rPr/>
        <w:t>        </w:t>
      </w:r>
      <w:r>
        <w:rPr>
          <w:rFonts w:ascii="times" w:hAnsi="times"/>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76101a_main_toc">
        <w:bookmarkStart w:id="88" w:name="page_di76101_1_41"/>
        <w:bookmarkEnd w:id="88"/>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New York Stock Exchange </w:t>
      </w:r>
    </w:p>
    <w:p>
      <w:pPr>
        <w:pStyle w:val="TextBody"/>
        <w:rPr/>
      </w:pPr>
      <w:r>
        <w:rPr/>
        <w:t>        </w:t>
      </w:r>
      <w:r>
        <w:rPr>
          <w:rFonts w:ascii="times" w:hAnsi="times"/>
          <w:sz w:val="20"/>
        </w:rPr>
        <w:t xml:space="preserve">Our Class A shares are listed on the New York Stock Exchange under the symbol "PAGP." </w:t>
      </w:r>
    </w:p>
    <w:p>
      <w:pPr>
        <w:pStyle w:val="TextBody"/>
        <w:rPr>
          <w:rFonts w:ascii="times" w:hAnsi="times"/>
          <w:b/>
          <w:sz w:val="20"/>
        </w:rPr>
      </w:pPr>
      <w:r>
        <w:rPr>
          <w:rFonts w:ascii="times" w:hAnsi="times"/>
          <w:b/>
          <w:sz w:val="20"/>
        </w:rPr>
        <w:t xml:space="preserve">Stamp Taxes </w:t>
      </w:r>
    </w:p>
    <w:p>
      <w:pPr>
        <w:pStyle w:val="TextBody"/>
        <w:rPr/>
      </w:pPr>
      <w:r>
        <w:rPr/>
        <w:t>        </w:t>
      </w:r>
      <w:r>
        <w:rPr>
          <w:rFonts w:ascii="times" w:hAnsi="times"/>
          <w:sz w:val="20"/>
        </w:rPr>
        <w:t xml:space="preserve">If you purchase shares of Class A shares offered in this prospectus, you may be required to pay stamp taxes and other charges under the laws and practices of the country of purchase, in addition to the offering price listed on the cover page of this prospectus. </w:t>
      </w:r>
    </w:p>
    <w:p>
      <w:pPr>
        <w:pStyle w:val="TextBody"/>
        <w:rPr>
          <w:rFonts w:ascii="times" w:hAnsi="times"/>
          <w:b/>
          <w:sz w:val="20"/>
        </w:rPr>
      </w:pPr>
      <w:r>
        <w:rPr>
          <w:rFonts w:ascii="times" w:hAnsi="times"/>
          <w:b/>
          <w:sz w:val="20"/>
        </w:rPr>
        <w:t xml:space="preserve">Relationships </w:t>
      </w:r>
    </w:p>
    <w:p>
      <w:pPr>
        <w:pStyle w:val="TextBody"/>
        <w:rPr/>
      </w:pPr>
      <w:r>
        <w:rPr/>
        <w:t>        </w:t>
      </w:r>
      <w:r>
        <w:rPr>
          <w:rFonts w:ascii="times" w:hAnsi="times"/>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have in the past, and may in the future, perform investment banking, commercial banking, advisory and other services for the selling shareholder, us and our respective affiliates, including PAA, from time to time for which they have received, and may in the future receive, customary fees and expenses. </w:t>
      </w:r>
    </w:p>
    <w:p>
      <w:pPr>
        <w:pStyle w:val="TextBody"/>
        <w:rPr/>
      </w:pPr>
      <w:r>
        <w:rPr/>
        <w:t>        </w:t>
      </w:r>
      <w:r>
        <w:rPr>
          <w:rFonts w:ascii="times" w:hAnsi="times"/>
          <w:sz w:val="20"/>
        </w:rPr>
        <w:t xml:space="preserve">Affiliates of each of the underwriters are lenders under AAP's term loan facility. Additionally, affiliates of each of the underwriters are lenders under PAA's senior unsecured revolving credit facility and PAA's senior secured hedged inventory facility. None of the affiliates of such underwriters will receive any proceeds of this offering as a result of their lending relationships with AAP and/or PAA. Further, each of the underwriters have entered into an equity distribution agreement with PAA pursuant to which they have sold and may sell common units of PAA as part of PAA's continuous offering program. Affiliates of certain of the underwriters are lenders under a credit facility of an affiliate of the selling shareholder. </w:t>
      </w:r>
    </w:p>
    <w:p>
      <w:pPr>
        <w:pStyle w:val="TextBody"/>
        <w:rPr/>
      </w:pPr>
      <w:r>
        <w:rPr/>
        <w:t>        </w:t>
      </w:r>
      <w:r>
        <w:rPr>
          <w:rFonts w:ascii="times" w:hAnsi="times"/>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 </w:t>
      </w:r>
    </w:p>
    <w:p>
      <w:pPr>
        <w:pStyle w:val="TextBody"/>
        <w:rPr>
          <w:rFonts w:ascii="times" w:hAnsi="times"/>
          <w:b/>
          <w:sz w:val="20"/>
        </w:rPr>
      </w:pPr>
      <w:r>
        <w:rPr>
          <w:rFonts w:ascii="times" w:hAnsi="times"/>
          <w:b/>
          <w:sz w:val="20"/>
        </w:rPr>
        <w:t xml:space="preserve">Selling Restrictions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European Economic Area </w:t>
      </w:r>
    </w:p>
    <w:p>
      <w:pPr>
        <w:pStyle w:val="TextBody"/>
        <w:rPr/>
      </w:pPr>
      <w:r>
        <w:rPr/>
        <w:t>        </w:t>
      </w:r>
      <w:r>
        <w:rPr>
          <w:rFonts w:ascii="times" w:hAnsi="times"/>
          <w:sz w:val="20"/>
        </w:rPr>
        <w:t>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any legal entity which is a qualified investor as defined in the Prospectus Directive;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76101a_main_toc">
        <w:bookmarkStart w:id="89" w:name="page_di76101_1_42"/>
        <w:bookmarkEnd w:id="8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any other circumstances falling within Article 3(2) of the Prospectus Directive, </w:t>
      </w:r>
    </w:p>
    <w:p>
      <w:pPr>
        <w:pStyle w:val="TextBody"/>
        <w:rPr>
          <w:rFonts w:ascii="times" w:hAnsi="times"/>
          <w:sz w:val="20"/>
        </w:rPr>
      </w:pPr>
      <w:r>
        <w:rPr>
          <w:rFonts w:ascii="times" w:hAnsi="times"/>
          <w:sz w:val="20"/>
        </w:rPr>
        <w:t xml:space="preserve">provided that no such offer of shares shall require us or any underwriter to publish a prospectus pursuant to Article 3 of the Prospectus Directive. </w:t>
      </w:r>
    </w:p>
    <w:p>
      <w:pPr>
        <w:pStyle w:val="TextBody"/>
        <w:rPr/>
      </w:pPr>
      <w:r>
        <w:rPr/>
        <w:t>        </w:t>
      </w:r>
      <w:r>
        <w:rPr>
          <w:rFonts w:ascii="times" w:hAnsi="times"/>
          <w:sz w:val="20"/>
        </w:rPr>
        <w:t xml:space="preserve">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each relevant member state) and includes any relevant implementing measure in the relevant member state. The expression 2010 PD Amending Directive means Directive 2010/73/EU. </w:t>
      </w:r>
    </w:p>
    <w:p>
      <w:pPr>
        <w:pStyle w:val="TextBody"/>
        <w:rPr/>
      </w:pPr>
      <w:r>
        <w:rPr/>
        <w:t>        </w:t>
      </w:r>
      <w:r>
        <w:rPr>
          <w:rFonts w:ascii="times" w:hAnsi="times"/>
          <w:sz w:val="20"/>
        </w:rPr>
        <w:t xml:space="preserve">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United Kingdom </w:t>
      </w:r>
    </w:p>
    <w:p>
      <w:pPr>
        <w:pStyle w:val="TextBody"/>
        <w:rPr/>
      </w:pPr>
      <w:r>
        <w:rPr/>
        <w:t>        </w:t>
      </w:r>
      <w:r>
        <w:rPr>
          <w:rFonts w:ascii="times" w:hAnsi="times"/>
          <w:sz w:val="20"/>
        </w:rPr>
        <w:t xml:space="preserve">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in both cases (1) and (2) to any other person to whom it may otherwise lawfully be made (all such persons together being referred to as "relevant persons"). </w:t>
      </w:r>
    </w:p>
    <w:p>
      <w:pPr>
        <w:pStyle w:val="TextBody"/>
        <w:rPr/>
      </w:pPr>
      <w:r>
        <w:rPr/>
        <w:t>        </w:t>
      </w:r>
      <w:r>
        <w:rPr>
          <w:rFonts w:ascii="times" w:hAnsi="times"/>
          <w:sz w:val="20"/>
        </w:rPr>
        <w:t xml:space="preserve">Our partnership's shares are only available to, and any invitation, offer or agreement to subscribe, purchase or otherwise acquire such shares will be engaged in only with, relevant persons. Any person who is not a relevant person should not act or rely on this document or any of its contents. </w:t>
      </w:r>
    </w:p>
    <w:p>
      <w:pPr>
        <w:pStyle w:val="TextBody"/>
        <w:rPr/>
      </w:pPr>
      <w:r>
        <w:rPr/>
        <w:t>        </w:t>
      </w:r>
      <w:r>
        <w:rPr>
          <w:rFonts w:ascii="times" w:hAnsi="times"/>
          <w:sz w:val="20"/>
        </w:rPr>
        <w:t xml:space="preserve">An invitation or inducement to engage in investment activity (within the meaning of Section 21 of FSMA) in connection with the issue or sale of any shares which are the subject of the offering contemplated by this prospectus will only be communicated or caused to be communicated in circumstances in which Section 21(1) of FSMA does not apply to our partnership.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76101a_main_toc">
        <w:bookmarkStart w:id="90" w:name="page_di76101_1_43"/>
        <w:bookmarkEnd w:id="90"/>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Notice to Prospective Investors in Switzerland </w:t>
      </w:r>
    </w:p>
    <w:p>
      <w:pPr>
        <w:pStyle w:val="TextBody"/>
        <w:rPr/>
      </w:pPr>
      <w:r>
        <w:rPr/>
        <w:t>        </w:t>
      </w:r>
      <w:r>
        <w:rPr>
          <w:rFonts w:ascii="times" w:hAnsi="times"/>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shares are not being offered to the public in Switzerland, and neither this prospectus, nor any other offering materials relating to our shares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shares may not be offered to the public in or from Switzerland, and neither this prospectus, nor any other offering materials relating to our shares may be made available through a public offering in or from Switzerland. Our shares may only be offered and this prospectus may only be distributed in or from Switzerland by way of private placement exclusively to qualified investors (as this term is defined in the CISA and its implementing ordinance). </w:t>
      </w:r>
    </w:p>
    <w:p>
      <w:pPr>
        <w:pStyle w:val="TextBody"/>
        <w:numPr>
          <w:ilvl w:val="0"/>
          <w:numId w:val="0"/>
        </w:numPr>
        <w:ind w:left="707" w:hanging="0"/>
        <w:rPr>
          <w:rFonts w:ascii="times" w:hAnsi="times"/>
          <w:i/>
          <w:sz w:val="20"/>
        </w:rPr>
      </w:pPr>
      <w:r>
        <w:rPr>
          <w:rFonts w:ascii="times" w:hAnsi="times"/>
          <w:i/>
          <w:sz w:val="20"/>
        </w:rPr>
        <w:t xml:space="preserve">Notice to Prospective Investors in Germany </w:t>
      </w:r>
    </w:p>
    <w:p>
      <w:pPr>
        <w:pStyle w:val="TextBody"/>
        <w:rPr/>
      </w:pPr>
      <w:r>
        <w:rPr/>
        <w:t>        </w:t>
      </w:r>
      <w:r>
        <w:rPr>
          <w:rFonts w:ascii="times" w:hAnsi="times"/>
          <w:sz w:val="20"/>
        </w:rPr>
        <w:t>This document has not been prepared in accordance with the requirements for a securities or sales prospectus under the German Securities Prospectus Act (</w:t>
      </w:r>
      <w:r>
        <w:rPr>
          <w:rFonts w:ascii="times" w:hAnsi="times"/>
          <w:i/>
          <w:sz w:val="20"/>
        </w:rPr>
        <w:t>Wertpapierprospektgesetz</w:t>
      </w:r>
      <w:r>
        <w:rPr>
          <w:rFonts w:ascii="times" w:hAnsi="times"/>
          <w:sz w:val="20"/>
        </w:rPr>
        <w:t>), the German Sales Prospectus Act (</w:t>
      </w:r>
      <w:r>
        <w:rPr>
          <w:rFonts w:ascii="times" w:hAnsi="times"/>
          <w:i/>
          <w:sz w:val="20"/>
        </w:rPr>
        <w:t>Verkaufsprospektgesetz</w:t>
      </w:r>
      <w:r>
        <w:rPr>
          <w:rFonts w:ascii="times" w:hAnsi="times"/>
          <w:sz w:val="20"/>
        </w:rPr>
        <w:t>), or the German Investment Act (Investmentgesetz). Neither the German Federal Financial Services Supervisory Authority (</w:t>
      </w:r>
      <w:r>
        <w:rPr>
          <w:rFonts w:ascii="times" w:hAnsi="times"/>
          <w:i/>
          <w:sz w:val="20"/>
        </w:rPr>
        <w:t>Bundesanstalt für Finanzdienstleistungsaufsicht</w:t>
      </w:r>
      <w:r>
        <w:rPr>
          <w:rFonts w:ascii="times" w:hAnsi="times"/>
          <w:sz w:val="20"/>
        </w:rPr>
        <w:t xml:space="preserve">BaFin) nor any other German authority has been notified of the intention to distribute our shares in Germany. Consequently, our shares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shares to the public in Germany or any other means of public marketing. Our shares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 </w:t>
      </w:r>
    </w:p>
    <w:p>
      <w:pPr>
        <w:pStyle w:val="TextBody"/>
        <w:rPr/>
      </w:pPr>
      <w:r>
        <w:rPr/>
        <w:t>        </w:t>
      </w:r>
      <w:r>
        <w:rPr>
          <w:rFonts w:ascii="times" w:hAnsi="times"/>
          <w:sz w:val="20"/>
        </w:rPr>
        <w:t xml:space="preserve">The offering does not constitute an offer to sell or the solicitation of an offer to buy our shares in any circumstances in which such offer or solicitation is unlawful.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Netherlands </w:t>
      </w:r>
    </w:p>
    <w:p>
      <w:pPr>
        <w:pStyle w:val="TextBody"/>
        <w:rPr/>
      </w:pPr>
      <w:r>
        <w:rPr/>
        <w:t>        </w:t>
      </w:r>
      <w:r>
        <w:rPr>
          <w:rFonts w:ascii="times" w:hAnsi="times"/>
          <w:sz w:val="20"/>
        </w:rPr>
        <w:t>Our shares may not be offered or sold, directly or indirectly, in the Netherlands, other than to qualified investors (</w:t>
      </w:r>
      <w:r>
        <w:rPr>
          <w:rFonts w:ascii="times" w:hAnsi="times"/>
          <w:i/>
          <w:sz w:val="20"/>
        </w:rPr>
        <w:t>gekwalificeerde beleggers</w:t>
      </w:r>
      <w:r>
        <w:rPr>
          <w:rFonts w:ascii="times" w:hAnsi="times"/>
          <w:sz w:val="20"/>
        </w:rPr>
        <w:t>) within the meaning of Article 1:1 of the Dutch Financial Supervision Act (</w:t>
      </w:r>
      <w:r>
        <w:rPr>
          <w:rFonts w:ascii="times" w:hAnsi="times"/>
          <w:i/>
          <w:sz w:val="20"/>
        </w:rPr>
        <w:t>Wet op het financieel toezicht</w:t>
      </w:r>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Notice to Prospective Investors in Australia </w:t>
      </w:r>
    </w:p>
    <w:p>
      <w:pPr>
        <w:pStyle w:val="TextBody"/>
        <w:rPr/>
      </w:pPr>
      <w:r>
        <w:rPr/>
        <w:t>        </w:t>
      </w:r>
      <w:r>
        <w:rPr>
          <w:rFonts w:ascii="times" w:hAnsi="times"/>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rPr/>
      </w:pPr>
      <w:r>
        <w:rPr/>
        <w:t>        </w:t>
      </w:r>
      <w:r>
        <w:rPr>
          <w:rFonts w:ascii="times" w:hAnsi="times"/>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76101a_main_toc">
        <w:bookmarkStart w:id="91" w:name="page_di76101_1_44"/>
        <w:bookmarkEnd w:id="9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pursuant to one or more exemptions contained in section 708 of the Corporations Act so that it is lawful to offer the shares without disclosure to investors under Chapter 6D of the Corporations Act. </w:t>
      </w:r>
    </w:p>
    <w:p>
      <w:pPr>
        <w:pStyle w:val="TextBody"/>
        <w:rPr/>
      </w:pPr>
      <w:r>
        <w:rPr/>
        <w:t>        </w:t>
      </w:r>
      <w:r>
        <w:rPr>
          <w:rFonts w:ascii="times" w:hAnsi="times"/>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rPr/>
      </w:pPr>
      <w:r>
        <w:rPr/>
        <w:t>        </w:t>
      </w:r>
      <w:r>
        <w:rPr>
          <w:rFonts w:ascii="times" w:hAnsi="times"/>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numPr>
          <w:ilvl w:val="0"/>
          <w:numId w:val="0"/>
        </w:numPr>
        <w:ind w:left="707" w:hanging="0"/>
        <w:rPr>
          <w:rFonts w:ascii="times" w:hAnsi="times"/>
          <w:i/>
          <w:sz w:val="20"/>
        </w:rPr>
      </w:pPr>
      <w:r>
        <w:rPr>
          <w:rFonts w:ascii="times" w:hAnsi="times"/>
          <w:i/>
          <w:sz w:val="20"/>
        </w:rPr>
        <w:t xml:space="preserve">Notice to Prospective Investors in Hong Kong </w:t>
      </w:r>
    </w:p>
    <w:p>
      <w:pPr>
        <w:pStyle w:val="TextBody"/>
        <w:rPr/>
      </w:pPr>
      <w:r>
        <w:rPr/>
        <w:t>        </w:t>
      </w:r>
      <w:r>
        <w:rPr>
          <w:rFonts w:ascii="times" w:hAnsi="times"/>
          <w:sz w:val="20"/>
        </w:rPr>
        <w:t xml:space="preserve">The shares have not been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76101a_main_toc">
        <w:bookmarkStart w:id="92" w:name="page_dk76101_1_45"/>
        <w:bookmarkEnd w:id="9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3" w:name="toc_dk76101_1"/>
      <w:bookmarkStart w:id="94" w:name="dk76101_legal_matters"/>
      <w:bookmarkEnd w:id="93"/>
      <w:bookmarkEnd w:id="94"/>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Class A shares will be passed upon for us by Vinson &amp; Elkins L.L.P., Houston, Texas. Certain legal matters in connection with the Class A shares offered hereby will be passed upon for the underwriters by Baker Botts L.L.P., Houston, Texas. Certain legal matters in connection with the Class A shares offered hereby will be passed upon for the selling shareholder by Kirkland &amp; Ellis LLP, New York, New York. </w:t>
      </w:r>
    </w:p>
    <w:p>
      <w:pPr>
        <w:pStyle w:val="TextBody"/>
        <w:jc w:val="center"/>
        <w:rPr>
          <w:rFonts w:ascii="times" w:hAnsi="times"/>
        </w:rPr>
      </w:pPr>
      <w:bookmarkStart w:id="95" w:name="toc_dk76101_2"/>
      <w:bookmarkStart w:id="96" w:name="dk76101_experts"/>
      <w:bookmarkEnd w:id="95"/>
      <w:bookmarkEnd w:id="96"/>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76101a_main_toc">
        <w:bookmarkStart w:id="97" w:name="page_ha76101_1_1"/>
        <w:bookmarkEnd w:id="97"/>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rPr>
      </w:pPr>
      <w:bookmarkStart w:id="98" w:name="toc_ha76101_1"/>
      <w:bookmarkStart w:id="99" w:name="ha76101_appendix_a"/>
      <w:bookmarkEnd w:id="98"/>
      <w:bookmarkEnd w:id="99"/>
      <w:r>
        <w:rPr>
          <w:rFonts w:ascii="times" w:hAnsi="times"/>
          <w:sz w:val="20"/>
        </w:rPr>
        <w:br/>
      </w:r>
      <w:r>
        <w:rPr>
          <w:rFonts w:ascii="times" w:hAnsi="times"/>
          <w:b/>
          <w:sz w:val="20"/>
        </w:rPr>
        <w:t xml:space="preserve">APPENDIX A </w:t>
      </w:r>
    </w:p>
    <w:p>
      <w:pPr>
        <w:pStyle w:val="TextBody"/>
        <w:jc w:val="center"/>
        <w:rPr>
          <w:rFonts w:ascii="times" w:hAnsi="times"/>
          <w:b/>
          <w:sz w:val="20"/>
        </w:rPr>
      </w:pPr>
      <w:bookmarkStart w:id="100" w:name="toc_ha76101_2"/>
      <w:bookmarkStart w:id="101" w:name="ha76101_glossary_of_selected_terms"/>
      <w:bookmarkEnd w:id="100"/>
      <w:bookmarkEnd w:id="101"/>
      <w:r>
        <w:rPr>
          <w:rFonts w:ascii="times" w:hAnsi="times"/>
          <w:b/>
          <w:sz w:val="20"/>
        </w:rPr>
        <w:t xml:space="preserve">GLOSSARY OF SELECTED TERMS </w:t>
      </w:r>
    </w:p>
    <w:p>
      <w:pPr>
        <w:pStyle w:val="TextBody"/>
        <w:rPr/>
      </w:pPr>
      <w:r>
        <w:rPr/>
        <w:t>        </w:t>
      </w:r>
      <w:r>
        <w:rPr>
          <w:rFonts w:ascii="times" w:hAnsi="times"/>
          <w:b/>
          <w:i/>
          <w:sz w:val="20"/>
        </w:rPr>
        <w:t>AAP:</w:t>
      </w:r>
      <w:r>
        <w:rPr>
          <w:rFonts w:ascii="times" w:hAnsi="times"/>
        </w:rPr>
        <w:t>    </w:t>
      </w:r>
      <w:r>
        <w:rPr>
          <w:rFonts w:ascii="times" w:hAnsi="times"/>
          <w:sz w:val="20"/>
        </w:rPr>
        <w:t xml:space="preserve">Plains AAP, L.P. </w:t>
      </w:r>
    </w:p>
    <w:p>
      <w:pPr>
        <w:pStyle w:val="TextBody"/>
        <w:rPr/>
      </w:pPr>
      <w:r>
        <w:rPr/>
        <w:t>        </w:t>
      </w:r>
      <w:r>
        <w:rPr>
          <w:rFonts w:ascii="times" w:hAnsi="times"/>
          <w:b/>
          <w:i/>
          <w:sz w:val="20"/>
        </w:rPr>
        <w:t>AAP management units:</w:t>
      </w:r>
      <w:r>
        <w:rPr>
          <w:rFonts w:ascii="times" w:hAnsi="times"/>
        </w:rPr>
        <w:t>    </w:t>
      </w:r>
      <w:r>
        <w:rPr>
          <w:rFonts w:ascii="times" w:hAnsi="times"/>
          <w:sz w:val="20"/>
        </w:rPr>
        <w:t xml:space="preserve">Class B Units (representing profits interests) in AAP held by members of PAA management. </w:t>
      </w:r>
    </w:p>
    <w:p>
      <w:pPr>
        <w:pStyle w:val="TextBody"/>
        <w:rPr/>
      </w:pPr>
      <w:r>
        <w:rPr/>
        <w:t>        </w:t>
      </w:r>
      <w:r>
        <w:rPr>
          <w:rFonts w:ascii="times" w:hAnsi="times"/>
          <w:b/>
          <w:i/>
          <w:sz w:val="20"/>
        </w:rPr>
        <w:t>AAP units:</w:t>
      </w:r>
      <w:r>
        <w:rPr>
          <w:rFonts w:ascii="times" w:hAnsi="times"/>
        </w:rPr>
        <w:t>    </w:t>
      </w:r>
      <w:r>
        <w:rPr>
          <w:rFonts w:ascii="times" w:hAnsi="times"/>
          <w:sz w:val="20"/>
        </w:rPr>
        <w:t xml:space="preserve">Class A Units of AAP. </w:t>
      </w:r>
    </w:p>
    <w:p>
      <w:pPr>
        <w:pStyle w:val="TextBody"/>
        <w:rPr/>
      </w:pPr>
      <w:r>
        <w:rPr/>
        <w:t>        </w:t>
      </w:r>
      <w:r>
        <w:rPr>
          <w:rFonts w:ascii="times" w:hAnsi="times"/>
          <w:b/>
          <w:i/>
          <w:sz w:val="20"/>
        </w:rPr>
        <w:t>Barrel:</w:t>
      </w:r>
      <w:r>
        <w:rPr>
          <w:rFonts w:ascii="times" w:hAnsi="times"/>
        </w:rPr>
        <w:t>    </w:t>
      </w:r>
      <w:r>
        <w:rPr>
          <w:rFonts w:ascii="times" w:hAnsi="times"/>
          <w:sz w:val="20"/>
        </w:rPr>
        <w:t xml:space="preserve">One barrel of crude oil equals 42 U.S. gallons. </w:t>
      </w:r>
    </w:p>
    <w:p>
      <w:pPr>
        <w:pStyle w:val="TextBody"/>
        <w:rPr/>
      </w:pPr>
      <w:r>
        <w:rPr/>
        <w:t>        </w:t>
      </w:r>
      <w:r>
        <w:rPr>
          <w:rFonts w:ascii="times" w:hAnsi="times"/>
          <w:b/>
          <w:i/>
          <w:sz w:val="20"/>
        </w:rPr>
        <w:t>Bcf:</w:t>
      </w:r>
      <w:r>
        <w:rPr>
          <w:rFonts w:ascii="times" w:hAnsi="times"/>
        </w:rPr>
        <w:t>    </w:t>
      </w:r>
      <w:r>
        <w:rPr>
          <w:rFonts w:ascii="times" w:hAnsi="times"/>
          <w:sz w:val="20"/>
        </w:rPr>
        <w:t xml:space="preserve">One billion cubic feet of natural gas. </w:t>
      </w:r>
    </w:p>
    <w:p>
      <w:pPr>
        <w:pStyle w:val="TextBody"/>
        <w:rPr/>
      </w:pPr>
      <w:r>
        <w:rPr/>
        <w:t>        </w:t>
      </w:r>
      <w:r>
        <w:rPr>
          <w:rFonts w:ascii="times" w:hAnsi="times"/>
          <w:b/>
          <w:i/>
          <w:sz w:val="20"/>
        </w:rPr>
        <w:t>Condensate:</w:t>
      </w:r>
      <w:r>
        <w:rPr>
          <w:rFonts w:ascii="times" w:hAnsi="times"/>
        </w:rPr>
        <w:t>    </w:t>
      </w:r>
      <w:r>
        <w:rPr>
          <w:rFonts w:ascii="times" w:hAnsi="times"/>
          <w:sz w:val="20"/>
        </w:rPr>
        <w:t xml:space="preserve">A natural gas liquid with a low vapor pressure, mainly composed of propane, butane, pentane and heavier hydrocarbon fractions. </w:t>
      </w:r>
    </w:p>
    <w:p>
      <w:pPr>
        <w:pStyle w:val="TextBody"/>
        <w:rPr/>
      </w:pPr>
      <w:r>
        <w:rPr/>
        <w:t>        </w:t>
      </w:r>
      <w:r>
        <w:rPr>
          <w:rFonts w:ascii="times" w:hAnsi="times"/>
          <w:b/>
          <w:i/>
          <w:sz w:val="20"/>
        </w:rPr>
        <w:t>Contango market:</w:t>
      </w:r>
      <w:r>
        <w:rPr>
          <w:rFonts w:ascii="times" w:hAnsi="times"/>
        </w:rPr>
        <w:t>    </w:t>
      </w:r>
      <w:r>
        <w:rPr>
          <w:rFonts w:ascii="times" w:hAnsi="times"/>
          <w:sz w:val="20"/>
        </w:rPr>
        <w:t xml:space="preserve">The price of crude oil for future deliveries is higher than current prices. </w:t>
      </w:r>
    </w:p>
    <w:p>
      <w:pPr>
        <w:pStyle w:val="TextBody"/>
        <w:rPr/>
      </w:pPr>
      <w:r>
        <w:rPr/>
        <w:t>        </w:t>
      </w:r>
      <w:r>
        <w:rPr>
          <w:rFonts w:ascii="times" w:hAnsi="times"/>
          <w:b/>
          <w:i/>
          <w:sz w:val="20"/>
        </w:rPr>
        <w:t>Fractionation:</w:t>
      </w:r>
      <w:r>
        <w:rPr>
          <w:rFonts w:ascii="times" w:hAnsi="times"/>
        </w:rPr>
        <w:t>    </w:t>
      </w:r>
      <w:r>
        <w:rPr>
          <w:rFonts w:ascii="times" w:hAnsi="times"/>
          <w:sz w:val="20"/>
        </w:rPr>
        <w:t xml:space="preserve">The process by which a mixed stream of natural gas liquids is separated into its constituent products. </w:t>
      </w:r>
    </w:p>
    <w:p>
      <w:pPr>
        <w:pStyle w:val="TextBody"/>
        <w:rPr/>
      </w:pPr>
      <w:r>
        <w:rPr/>
        <w:t>        </w:t>
      </w:r>
      <w:r>
        <w:rPr>
          <w:rFonts w:ascii="times" w:hAnsi="times"/>
          <w:b/>
          <w:i/>
          <w:sz w:val="20"/>
        </w:rPr>
        <w:t>General partner:</w:t>
      </w:r>
      <w:r>
        <w:rPr>
          <w:rFonts w:ascii="times" w:hAnsi="times"/>
        </w:rPr>
        <w:t>    </w:t>
      </w:r>
      <w:r>
        <w:rPr>
          <w:rFonts w:ascii="times" w:hAnsi="times"/>
          <w:sz w:val="20"/>
        </w:rPr>
        <w:t xml:space="preserve">PAA GP Holdings LLC. </w:t>
      </w:r>
    </w:p>
    <w:p>
      <w:pPr>
        <w:pStyle w:val="TextBody"/>
        <w:rPr/>
      </w:pPr>
      <w:r>
        <w:rPr/>
        <w:t>        </w:t>
      </w:r>
      <w:r>
        <w:rPr>
          <w:rFonts w:ascii="times" w:hAnsi="times"/>
          <w:b/>
          <w:i/>
          <w:sz w:val="20"/>
        </w:rPr>
        <w:t>GP LLC:</w:t>
      </w:r>
      <w:r>
        <w:rPr>
          <w:rFonts w:ascii="times" w:hAnsi="times"/>
        </w:rPr>
        <w:t>    </w:t>
      </w:r>
      <w:r>
        <w:rPr>
          <w:rFonts w:ascii="times" w:hAnsi="times"/>
          <w:sz w:val="20"/>
        </w:rPr>
        <w:t xml:space="preserve">Plains All American GP LLC, the general partner of AAP. </w:t>
      </w:r>
    </w:p>
    <w:p>
      <w:pPr>
        <w:pStyle w:val="TextBody"/>
        <w:rPr/>
      </w:pPr>
      <w:r>
        <w:rPr/>
        <w:t>        </w:t>
      </w:r>
      <w:r>
        <w:rPr>
          <w:rFonts w:ascii="times" w:hAnsi="times"/>
          <w:b/>
          <w:i/>
          <w:sz w:val="20"/>
        </w:rPr>
        <w:t>Hydrocarbon:</w:t>
      </w:r>
      <w:r>
        <w:rPr>
          <w:rFonts w:ascii="times" w:hAnsi="times"/>
        </w:rPr>
        <w:t>    </w:t>
      </w:r>
      <w:r>
        <w:rPr>
          <w:rFonts w:ascii="times" w:hAnsi="times"/>
          <w:sz w:val="20"/>
        </w:rPr>
        <w:t xml:space="preserve">An organic compound containing only carbon and hydrogen. </w:t>
      </w:r>
    </w:p>
    <w:p>
      <w:pPr>
        <w:pStyle w:val="TextBody"/>
        <w:rPr/>
      </w:pPr>
      <w:r>
        <w:rPr/>
        <w:t>        </w:t>
      </w:r>
      <w:r>
        <w:rPr>
          <w:rFonts w:ascii="times" w:hAnsi="times"/>
          <w:b/>
          <w:i/>
          <w:sz w:val="20"/>
        </w:rPr>
        <w:t>IPO:</w:t>
      </w:r>
      <w:r>
        <w:rPr>
          <w:rFonts w:ascii="times" w:hAnsi="times"/>
        </w:rPr>
        <w:t>    </w:t>
      </w:r>
      <w:r>
        <w:rPr>
          <w:rFonts w:ascii="times" w:hAnsi="times"/>
          <w:sz w:val="20"/>
        </w:rPr>
        <w:t xml:space="preserve">Initial public offering. </w:t>
      </w:r>
    </w:p>
    <w:p>
      <w:pPr>
        <w:pStyle w:val="TextBody"/>
        <w:rPr/>
      </w:pPr>
      <w:r>
        <w:rPr/>
        <w:t>        </w:t>
      </w:r>
      <w:r>
        <w:rPr>
          <w:rFonts w:ascii="times" w:hAnsi="times"/>
          <w:b/>
          <w:i/>
          <w:sz w:val="20"/>
        </w:rPr>
        <w:t>Legacy Owners:</w:t>
      </w:r>
      <w:r>
        <w:rPr>
          <w:rFonts w:ascii="times" w:hAnsi="times"/>
        </w:rPr>
        <w:t>    </w:t>
      </w:r>
      <w:r>
        <w:rPr>
          <w:rFonts w:ascii="times" w:hAnsi="times"/>
          <w:sz w:val="20"/>
        </w:rPr>
        <w:t xml:space="preserve">The owners of AAP immediately prior to our IPO, including the selling shareholder. </w:t>
      </w:r>
    </w:p>
    <w:p>
      <w:pPr>
        <w:pStyle w:val="TextBody"/>
        <w:rPr/>
      </w:pPr>
      <w:r>
        <w:rPr/>
        <w:t>        </w:t>
      </w:r>
      <w:r>
        <w:rPr>
          <w:rFonts w:ascii="times" w:hAnsi="times"/>
          <w:b/>
          <w:i/>
          <w:sz w:val="20"/>
        </w:rPr>
        <w:t>Midstream:</w:t>
      </w:r>
      <w:r>
        <w:rPr>
          <w:rFonts w:ascii="times" w:hAnsi="times"/>
        </w:rPr>
        <w:t>    </w:t>
      </w:r>
      <w:r>
        <w:rPr>
          <w:rFonts w:ascii="times" w:hAnsi="times"/>
          <w:sz w:val="20"/>
        </w:rPr>
        <w:t xml:space="preserve">The industry term for the parts of the energy industry in between the production of oil and gas (upstream) and the distribution of refined and finished products (downstream). </w:t>
      </w:r>
    </w:p>
    <w:p>
      <w:pPr>
        <w:pStyle w:val="TextBody"/>
        <w:rPr/>
      </w:pPr>
      <w:r>
        <w:rPr/>
        <w:t>        </w:t>
      </w:r>
      <w:r>
        <w:rPr>
          <w:rFonts w:ascii="times" w:hAnsi="times"/>
          <w:b/>
          <w:i/>
          <w:sz w:val="20"/>
        </w:rPr>
        <w:t>Natural gas:</w:t>
      </w:r>
      <w:r>
        <w:rPr>
          <w:rFonts w:ascii="times" w:hAnsi="times"/>
        </w:rPr>
        <w:t>    </w:t>
      </w:r>
      <w:r>
        <w:rPr>
          <w:rFonts w:ascii="times" w:hAnsi="times"/>
          <w:sz w:val="20"/>
        </w:rPr>
        <w:t xml:space="preserve">Hydrocarbon gas found in the earth, composed of methane, ethane, butane, propane and other gases. </w:t>
      </w:r>
    </w:p>
    <w:p>
      <w:pPr>
        <w:pStyle w:val="TextBody"/>
        <w:rPr/>
      </w:pPr>
      <w:r>
        <w:rPr/>
        <w:t>        </w:t>
      </w:r>
      <w:r>
        <w:rPr>
          <w:rFonts w:ascii="times" w:hAnsi="times"/>
          <w:b/>
          <w:i/>
          <w:sz w:val="20"/>
        </w:rPr>
        <w:t>NGL:</w:t>
      </w:r>
      <w:r>
        <w:rPr>
          <w:rFonts w:ascii="times" w:hAnsi="times"/>
        </w:rPr>
        <w:t>    </w:t>
      </w:r>
      <w:r>
        <w:rPr>
          <w:rFonts w:ascii="times" w:hAnsi="times"/>
          <w:sz w:val="20"/>
        </w:rPr>
        <w:t xml:space="preserve">Natural gas liquids including ethane, natural gasoline products, propane and butane. </w:t>
      </w:r>
    </w:p>
    <w:p>
      <w:pPr>
        <w:pStyle w:val="TextBody"/>
        <w:rPr/>
      </w:pPr>
      <w:r>
        <w:rPr/>
        <w:t>        </w:t>
      </w:r>
      <w:r>
        <w:rPr>
          <w:rFonts w:ascii="times" w:hAnsi="times"/>
          <w:b/>
          <w:i/>
          <w:sz w:val="20"/>
        </w:rPr>
        <w:t>NYSE:</w:t>
      </w:r>
      <w:r>
        <w:rPr>
          <w:rFonts w:ascii="times" w:hAnsi="times"/>
        </w:rPr>
        <w:t>    </w:t>
      </w:r>
      <w:r>
        <w:rPr>
          <w:rFonts w:ascii="times" w:hAnsi="times"/>
          <w:sz w:val="20"/>
        </w:rPr>
        <w:t xml:space="preserve">New York Stock Exchange. </w:t>
      </w:r>
    </w:p>
    <w:p>
      <w:pPr>
        <w:pStyle w:val="TextBody"/>
        <w:rPr/>
      </w:pPr>
      <w:r>
        <w:rPr/>
        <w:t>        </w:t>
      </w:r>
      <w:r>
        <w:rPr>
          <w:rFonts w:ascii="times" w:hAnsi="times"/>
          <w:b/>
          <w:i/>
          <w:sz w:val="20"/>
        </w:rPr>
        <w:t>PAA:</w:t>
      </w:r>
      <w:r>
        <w:rPr>
          <w:rFonts w:ascii="times" w:hAnsi="times"/>
        </w:rPr>
        <w:t>    </w:t>
      </w:r>
      <w:r>
        <w:rPr>
          <w:rFonts w:ascii="times" w:hAnsi="times"/>
          <w:sz w:val="20"/>
        </w:rPr>
        <w:t xml:space="preserve">Plains All American Pipeline, L.P. and its operating subsidiaries collectively, or Plains All American Pipeline,  L.P., individually, as the context may require. </w:t>
      </w:r>
    </w:p>
    <w:p>
      <w:pPr>
        <w:pStyle w:val="TextBody"/>
        <w:rPr/>
      </w:pPr>
      <w:r>
        <w:rPr/>
        <w:t>        </w:t>
      </w:r>
      <w:r>
        <w:rPr>
          <w:rFonts w:ascii="times" w:hAnsi="times"/>
          <w:b/>
          <w:i/>
          <w:sz w:val="20"/>
        </w:rPr>
        <w:t>Partnership agreement:</w:t>
      </w:r>
      <w:r>
        <w:rPr>
          <w:rFonts w:ascii="times" w:hAnsi="times"/>
        </w:rPr>
        <w:t>    </w:t>
      </w:r>
      <w:r>
        <w:rPr>
          <w:rFonts w:ascii="times" w:hAnsi="times"/>
          <w:sz w:val="20"/>
        </w:rPr>
        <w:t xml:space="preserve">The Amended and Restated Agreement of Limited Partnership of Plains GP Holdings, L.P., adopted in connection with our IPO. </w:t>
      </w:r>
    </w:p>
    <w:p>
      <w:pPr>
        <w:pStyle w:val="TextBody"/>
        <w:rPr/>
      </w:pPr>
      <w:r>
        <w:rPr/>
        <w:t>        </w:t>
      </w:r>
      <w:r>
        <w:rPr>
          <w:rFonts w:ascii="times" w:hAnsi="times"/>
          <w:b/>
          <w:i/>
          <w:sz w:val="20"/>
        </w:rPr>
        <w:t>Registration Rights Agreement:</w:t>
      </w:r>
      <w:r>
        <w:rPr>
          <w:rFonts w:ascii="times" w:hAnsi="times"/>
        </w:rPr>
        <w:t>    </w:t>
      </w:r>
      <w:r>
        <w:rPr>
          <w:rFonts w:ascii="times" w:hAnsi="times"/>
          <w:sz w:val="20"/>
        </w:rPr>
        <w:t xml:space="preserve">The Shareholder and Registration Rights Agreement, adopted in connection with our IPO. </w:t>
      </w:r>
    </w:p>
    <w:p>
      <w:pPr>
        <w:pStyle w:val="TextBody"/>
        <w:rPr/>
      </w:pPr>
      <w:r>
        <w:rPr/>
        <w:t>        </w:t>
      </w:r>
      <w:r>
        <w:rPr>
          <w:rFonts w:ascii="times" w:hAnsi="times"/>
          <w:b/>
          <w:i/>
          <w:sz w:val="20"/>
        </w:rPr>
        <w:t>SEC:</w:t>
      </w:r>
      <w:r>
        <w:rPr>
          <w:rFonts w:ascii="times" w:hAnsi="times"/>
        </w:rPr>
        <w:t>    </w:t>
      </w:r>
      <w:r>
        <w:rPr>
          <w:rFonts w:ascii="times" w:hAnsi="times"/>
          <w:sz w:val="20"/>
        </w:rPr>
        <w:t xml:space="preserve">Securities and Exchange Commission. </w:t>
      </w:r>
    </w:p>
    <w:p>
      <w:pPr>
        <w:pStyle w:val="TextBody"/>
        <w:rPr/>
      </w:pPr>
      <w:r>
        <w:rPr/>
        <w:t>        </w:t>
      </w:r>
      <w:r>
        <w:rPr>
          <w:rFonts w:ascii="times" w:hAnsi="times"/>
          <w:b/>
          <w:i/>
          <w:sz w:val="20"/>
        </w:rPr>
        <w:t>Shares:</w:t>
      </w:r>
      <w:r>
        <w:rPr>
          <w:rFonts w:ascii="times" w:hAnsi="times"/>
        </w:rPr>
        <w:t>    </w:t>
      </w:r>
      <w:r>
        <w:rPr>
          <w:rFonts w:ascii="times" w:hAnsi="times"/>
          <w:sz w:val="20"/>
        </w:rPr>
        <w:t xml:space="preserve">Class A shares and Class B shares representing limited partner interests in us following this offering. </w:t>
      </w:r>
    </w:p>
    <w:p>
      <w:pPr>
        <w:pStyle w:val="TextBody"/>
        <w:rPr/>
      </w:pPr>
      <w:r>
        <w:rPr/>
        <w:t>        </w:t>
      </w:r>
      <w:r>
        <w:rPr>
          <w:rFonts w:ascii="times" w:hAnsi="times"/>
          <w:b/>
          <w:i/>
          <w:sz w:val="20"/>
        </w:rPr>
        <w:t>Shareholders:</w:t>
      </w:r>
      <w:r>
        <w:rPr>
          <w:rFonts w:ascii="times" w:hAnsi="times"/>
        </w:rPr>
        <w:t>    </w:t>
      </w:r>
      <w:r>
        <w:rPr>
          <w:rFonts w:ascii="times" w:hAnsi="times"/>
          <w:sz w:val="20"/>
        </w:rPr>
        <w:t xml:space="preserve">The persons holding shares. </w:t>
      </w:r>
    </w:p>
    <w:p>
      <w:pPr>
        <w:pStyle w:val="TextBody"/>
        <w:jc w:val="center"/>
        <w:rPr>
          <w:rFonts w:ascii="times" w:hAnsi="times"/>
          <w:sz w:val="20"/>
        </w:rPr>
      </w:pPr>
      <w:r>
        <w:rPr>
          <w:rFonts w:ascii="times" w:hAnsi="times"/>
          <w:sz w:val="20"/>
        </w:rPr>
        <w:t>A-1</w:t>
      </w:r>
    </w:p>
    <w:p>
      <w:pPr>
        <w:pStyle w:val="HorizontalLine"/>
        <w:pBdr>
          <w:bottom w:val="single" w:sz="20" w:space="0" w:color="808080"/>
        </w:pBdr>
        <w:rPr/>
      </w:pPr>
      <w:r>
        <w:rPr/>
      </w:r>
      <w:r>
        <w:br w:type="page"/>
      </w:r>
    </w:p>
    <w:p>
      <w:pPr>
        <w:pStyle w:val="TextBody"/>
        <w:rPr/>
      </w:pPr>
      <w:hyperlink w:anchor="bg76101a_main_toc">
        <w:bookmarkStart w:id="102" w:name="page_ha76101_1_2"/>
        <w:bookmarkEnd w:id="102"/>
        <w:r>
          <w:rPr>
            <w:rStyle w:val="InternetLink"/>
            <w:rFonts w:ascii="times" w:hAnsi="times"/>
            <w:sz w:val="20"/>
          </w:rPr>
          <w:t>Table of Contents</w:t>
        </w:r>
      </w:hyperlink>
    </w:p>
    <w:p>
      <w:pPr>
        <w:pStyle w:val="TextBody"/>
        <w:rPr/>
      </w:pPr>
      <w:r>
        <w:rPr/>
        <w:t>        </w:t>
      </w:r>
      <w:r>
        <w:rPr>
          <w:rFonts w:ascii="times" w:hAnsi="times"/>
          <w:b/>
          <w:i/>
          <w:sz w:val="20"/>
        </w:rPr>
        <w:t>Terminalling:</w:t>
      </w:r>
      <w:r>
        <w:rPr>
          <w:rFonts w:ascii="times" w:hAnsi="times"/>
        </w:rPr>
        <w:t>    </w:t>
      </w:r>
      <w:r>
        <w:rPr>
          <w:rFonts w:ascii="times" w:hAnsi="times"/>
          <w:sz w:val="20"/>
        </w:rPr>
        <w:t xml:space="preserve">The receipt of crude oil from one connecting pipeline and redelivery of the crude oil to another connecting carrier in volumes that allow the refinery to receive its crude oil on a ratable basis throughout a delivery period. </w:t>
      </w:r>
    </w:p>
    <w:p>
      <w:pPr>
        <w:pStyle w:val="TextBody"/>
        <w:rPr/>
      </w:pPr>
      <w:r>
        <w:rPr/>
        <w:t>        </w:t>
      </w:r>
      <w:r>
        <w:rPr>
          <w:rFonts w:ascii="times" w:hAnsi="times"/>
          <w:b/>
          <w:i/>
          <w:sz w:val="20"/>
        </w:rPr>
        <w:t>Throughput:</w:t>
      </w:r>
      <w:r>
        <w:rPr>
          <w:rFonts w:ascii="times" w:hAnsi="times"/>
        </w:rPr>
        <w:t>    </w:t>
      </w:r>
      <w:r>
        <w:rPr>
          <w:rFonts w:ascii="times" w:hAnsi="times"/>
          <w:sz w:val="20"/>
        </w:rPr>
        <w:t xml:space="preserve">The volume of product transported or passing through a pipeline, plant, terminal or other facility. </w:t>
      </w:r>
    </w:p>
    <w:p>
      <w:pPr>
        <w:pStyle w:val="TextBody"/>
        <w:rPr/>
      </w:pPr>
      <w:r>
        <w:rPr/>
        <w:t>        </w:t>
      </w:r>
      <w:r>
        <w:rPr>
          <w:rFonts w:ascii="times" w:hAnsi="times"/>
          <w:b/>
          <w:i/>
          <w:sz w:val="20"/>
        </w:rPr>
        <w:t>Trigger date:</w:t>
      </w:r>
      <w:r>
        <w:rPr>
          <w:rFonts w:ascii="times" w:hAnsi="times"/>
        </w:rPr>
        <w:t>    </w:t>
      </w:r>
      <w:r>
        <w:rPr>
          <w:rFonts w:ascii="times" w:hAnsi="times"/>
          <w:sz w:val="20"/>
        </w:rPr>
        <w:t xml:space="preserve">The date that the overall direct and indirect economic interest of the Legacy Owners and their permitted transferees in AAP falls below 40%. The 40% threshold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w:t>
      </w:r>
    </w:p>
    <w:p>
      <w:pPr>
        <w:pStyle w:val="TextBody"/>
        <w:rPr/>
      </w:pPr>
      <w:r>
        <w:rPr/>
        <w:t>        </w:t>
      </w:r>
      <w:r>
        <w:rPr>
          <w:rFonts w:ascii="times" w:hAnsi="times"/>
          <w:b/>
          <w:i/>
          <w:sz w:val="20"/>
        </w:rPr>
        <w:t>Wellhead:</w:t>
      </w:r>
      <w:r>
        <w:rPr>
          <w:rFonts w:ascii="times" w:hAnsi="times"/>
        </w:rPr>
        <w:t>    </w:t>
      </w:r>
      <w:r>
        <w:rPr>
          <w:rFonts w:ascii="times" w:hAnsi="times"/>
          <w:sz w:val="20"/>
        </w:rPr>
        <w:t xml:space="preserve">The equipment at the surface of a well-used to control the pressure; the point at which the hydrocarbons and water exit the ground. </w:t>
      </w:r>
    </w:p>
    <w:p>
      <w:pPr>
        <w:pStyle w:val="TextBody"/>
        <w:jc w:val="center"/>
        <w:rPr>
          <w:rFonts w:ascii="times" w:hAnsi="times"/>
          <w:sz w:val="20"/>
        </w:rPr>
      </w:pPr>
      <w:r>
        <w:rPr>
          <w:rFonts w:ascii="times" w:hAnsi="times"/>
          <w:sz w:val="20"/>
        </w:rPr>
        <w:t>A-2</w:t>
      </w:r>
    </w:p>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rPr>
          <w:sz w:val="20"/>
        </w:rPr>
      </w:pPr>
      <w:r>
        <w:rPr>
          <w:sz w:val="20"/>
        </w:rPr>
      </w:r>
    </w:p>
    <w:p>
      <w:pPr>
        <w:pStyle w:val="TextBody"/>
        <w:jc w:val="center"/>
        <w:rPr/>
      </w:pPr>
      <w:r>
        <w:rPr/>
        <w:drawing>
          <wp:inline distT="0" distB="0" distL="0" distR="0">
            <wp:extent cx="31242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24200" cy="685800"/>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 xml:space="preserve">60,000,000 Class A Shares </w:t>
      </w:r>
    </w:p>
    <w:p>
      <w:pPr>
        <w:pStyle w:val="HorizontalLine"/>
        <w:pBdr>
          <w:bottom w:val="single" w:sz="6" w:space="0" w:color="000000"/>
        </w:pBdr>
        <w:ind w:left="3776" w:right="3776" w:hanging="0"/>
        <w:rPr/>
      </w:pPr>
      <w:r>
        <w:rPr/>
      </w:r>
    </w:p>
    <w:p>
      <w:pPr>
        <w:pStyle w:val="TextBody"/>
        <w:rPr>
          <w:b/>
          <w:sz w:val="28"/>
        </w:rPr>
      </w:pPr>
      <w:r>
        <w:rPr>
          <w:b/>
          <w:sz w:val="28"/>
        </w:rPr>
      </w:r>
    </w:p>
    <w:p>
      <w:pPr>
        <w:pStyle w:val="TextBody"/>
        <w:jc w:val="center"/>
        <w:rPr>
          <w:rFonts w:ascii="times" w:hAnsi="times"/>
          <w:b/>
          <w:sz w:val="24"/>
        </w:rPr>
      </w:pPr>
      <w:r>
        <w:rPr>
          <w:rFonts w:ascii="times" w:hAnsi="times"/>
          <w:b/>
          <w:sz w:val="24"/>
        </w:rPr>
        <w:t xml:space="preserve">Prospectus </w:t>
      </w:r>
    </w:p>
    <w:p>
      <w:pPr>
        <w:pStyle w:val="TextBody"/>
        <w:jc w:val="center"/>
        <w:rPr>
          <w:rFonts w:ascii="times" w:hAnsi="times"/>
          <w:b/>
          <w:sz w:val="20"/>
        </w:rPr>
      </w:pPr>
      <w:r>
        <w:rPr>
          <w:rFonts w:ascii="times" w:hAnsi="times"/>
          <w:b/>
          <w:sz w:val="20"/>
        </w:rPr>
        <w:t xml:space="preserve">November 10, 2014 </w:t>
      </w:r>
    </w:p>
    <w:p>
      <w:pPr>
        <w:pStyle w:val="HorizontalLine"/>
        <w:pBdr>
          <w:bottom w:val="single" w:sz="6" w:space="0" w:color="000000"/>
        </w:pBdr>
        <w:ind w:left="3776" w:right="3776" w:hanging="0"/>
        <w:rPr/>
      </w:pPr>
      <w:r>
        <w:rPr/>
      </w:r>
    </w:p>
    <w:p>
      <w:pPr>
        <w:pStyle w:val="TextBody"/>
        <w:rPr>
          <w:b/>
          <w:sz w:val="20"/>
        </w:rPr>
      </w:pPr>
      <w:r>
        <w:rPr>
          <w:b/>
          <w:sz w:val="20"/>
        </w:rPr>
      </w:r>
    </w:p>
    <w:p>
      <w:pPr>
        <w:pStyle w:val="TextBody"/>
        <w:jc w:val="center"/>
        <w:rPr>
          <w:rFonts w:ascii="times" w:hAnsi="times"/>
          <w:b/>
          <w:sz w:val="36"/>
        </w:rPr>
      </w:pPr>
      <w:r>
        <w:rPr>
          <w:rFonts w:ascii="times" w:hAnsi="times"/>
          <w:b/>
          <w:sz w:val="36"/>
        </w:rPr>
        <w:t xml:space="preserve">J.P. Morgan </w:t>
      </w:r>
    </w:p>
    <w:p>
      <w:pPr>
        <w:pStyle w:val="TextBody"/>
        <w:jc w:val="center"/>
        <w:rPr>
          <w:rFonts w:ascii="times" w:hAnsi="times"/>
        </w:rPr>
      </w:pPr>
      <w:r>
        <w:rPr>
          <w:rFonts w:ascii="times" w:hAnsi="times"/>
          <w:b/>
          <w:sz w:val="36"/>
        </w:rPr>
        <w:t>Citigroup</w:t>
        <w:br/>
      </w:r>
      <w:r>
        <w:rPr>
          <w:rFonts w:ascii="times" w:hAnsi="times"/>
          <w:b/>
          <w:sz w:val="28"/>
        </w:rPr>
        <w:t>BofA Merrill Lynch</w:t>
        <w:br/>
        <w:t>Goldman Sachs &amp; Co.</w:t>
        <w:br/>
        <w:t>Morgan Stanley</w:t>
        <w:br/>
        <w:t>Raymond James</w:t>
        <w:br/>
        <w:t>UBS Investment Bank</w:t>
        <w:br/>
        <w:t xml:space="preserve">Wells Fargo Securities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25607</Words>
  <CharactersWithSpaces>159443</CharactersWithSpaces>
  <Paragraphs>1368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