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June 2, 2017</w:t>
      </w:r>
    </w:p>
    <w:p>
      <w:pPr>
        <w:spacing w:after="0" w:line="204"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PLAINS GP HOLDINGS, L.P.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60" w:type="dxa"/>
            <w:vAlign w:val="bottom"/>
          </w:tcPr>
          <w:p>
            <w:pPr>
              <w:jc w:val="center"/>
              <w:ind w:right="252"/>
              <w:spacing w:after="0"/>
              <w:rPr>
                <w:sz w:val="20"/>
                <w:szCs w:val="20"/>
                <w:color w:val="auto"/>
              </w:rPr>
            </w:pPr>
            <w:r>
              <w:rPr>
                <w:rFonts w:ascii="Arial" w:cs="Arial" w:eastAsia="Arial" w:hAnsi="Arial"/>
                <w:sz w:val="14"/>
                <w:szCs w:val="14"/>
                <w:b w:val="1"/>
                <w:bCs w:val="1"/>
                <w:color w:val="auto"/>
                <w:w w:val="91"/>
              </w:rPr>
              <w:t>Delaware</w:t>
            </w:r>
          </w:p>
        </w:tc>
        <w:tc>
          <w:tcPr>
            <w:tcW w:w="1600" w:type="dxa"/>
            <w:vAlign w:val="bottom"/>
          </w:tcPr>
          <w:p>
            <w:pPr>
              <w:jc w:val="center"/>
              <w:ind w:left="272"/>
              <w:spacing w:after="0"/>
              <w:rPr>
                <w:sz w:val="20"/>
                <w:szCs w:val="20"/>
                <w:color w:val="auto"/>
              </w:rPr>
            </w:pPr>
            <w:r>
              <w:rPr>
                <w:rFonts w:ascii="Arial" w:cs="Arial" w:eastAsia="Arial" w:hAnsi="Arial"/>
                <w:sz w:val="14"/>
                <w:szCs w:val="14"/>
                <w:b w:val="1"/>
                <w:bCs w:val="1"/>
                <w:color w:val="auto"/>
                <w:w w:val="88"/>
              </w:rPr>
              <w:t>90-1005472</w:t>
            </w:r>
          </w:p>
        </w:tc>
      </w:tr>
      <w:tr>
        <w:trPr>
          <w:trHeight w:val="149"/>
        </w:trPr>
        <w:tc>
          <w:tcPr>
            <w:tcW w:w="1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600" w:type="dxa"/>
            <w:vAlign w:val="bottom"/>
          </w:tcPr>
          <w:p>
            <w:pPr>
              <w:jc w:val="center"/>
              <w:ind w:left="2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960" w:type="dxa"/>
            <w:vAlign w:val="bottom"/>
          </w:tcPr>
          <w:p>
            <w:pPr>
              <w:jc w:val="center"/>
              <w:ind w:right="252"/>
              <w:spacing w:after="0"/>
              <w:rPr>
                <w:sz w:val="20"/>
                <w:szCs w:val="20"/>
                <w:color w:val="auto"/>
              </w:rPr>
            </w:pPr>
            <w:r>
              <w:rPr>
                <w:rFonts w:ascii="Arial" w:cs="Arial" w:eastAsia="Arial" w:hAnsi="Arial"/>
                <w:sz w:val="14"/>
                <w:szCs w:val="14"/>
                <w:color w:val="auto"/>
                <w:w w:val="90"/>
              </w:rPr>
              <w:t>incorporation or organization)</w:t>
            </w:r>
          </w:p>
        </w:tc>
        <w:tc>
          <w:tcPr>
            <w:tcW w:w="1600" w:type="dxa"/>
            <w:vAlign w:val="bottom"/>
          </w:tcPr>
          <w:p>
            <w:pPr>
              <w:jc w:val="center"/>
              <w:ind w:left="272"/>
              <w:spacing w:after="0"/>
              <w:rPr>
                <w:sz w:val="20"/>
                <w:szCs w:val="20"/>
                <w:color w:val="auto"/>
              </w:rPr>
            </w:pPr>
            <w:r>
              <w:rPr>
                <w:rFonts w:ascii="Arial" w:cs="Arial" w:eastAsia="Arial" w:hAnsi="Arial"/>
                <w:sz w:val="14"/>
                <w:szCs w:val="14"/>
                <w:color w:val="auto"/>
                <w:w w:val="91"/>
              </w:rPr>
              <w:t>Identification Number)</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Richard McGee</w:t>
      </w:r>
    </w:p>
    <w:p>
      <w:pPr>
        <w:jc w:val="center"/>
        <w:ind w:right="-19"/>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right="-19"/>
        <w:spacing w:after="0" w:line="222" w:lineRule="auto"/>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to:</w:t>
      </w:r>
    </w:p>
    <w:p>
      <w:pPr>
        <w:jc w:val="center"/>
        <w:ind w:right="-19"/>
        <w:spacing w:after="0" w:line="223" w:lineRule="auto"/>
        <w:rPr>
          <w:sz w:val="20"/>
          <w:szCs w:val="20"/>
          <w:color w:val="auto"/>
        </w:rPr>
      </w:pPr>
      <w:r>
        <w:rPr>
          <w:rFonts w:ascii="Arial" w:cs="Arial" w:eastAsia="Arial" w:hAnsi="Arial"/>
          <w:sz w:val="14"/>
          <w:szCs w:val="14"/>
          <w:b w:val="1"/>
          <w:bCs w:val="1"/>
          <w:color w:val="auto"/>
        </w:rPr>
        <w:t>David P. Oelman</w:t>
      </w:r>
    </w:p>
    <w:p>
      <w:pPr>
        <w:jc w:val="center"/>
        <w:ind w:right="-19"/>
        <w:spacing w:after="0" w:line="222" w:lineRule="auto"/>
        <w:rPr>
          <w:sz w:val="20"/>
          <w:szCs w:val="20"/>
          <w:color w:val="auto"/>
        </w:rPr>
      </w:pPr>
      <w:r>
        <w:rPr>
          <w:rFonts w:ascii="Arial" w:cs="Arial" w:eastAsia="Arial" w:hAnsi="Arial"/>
          <w:sz w:val="14"/>
          <w:szCs w:val="14"/>
          <w:b w:val="1"/>
          <w:bCs w:val="1"/>
          <w:color w:val="auto"/>
        </w:rPr>
        <w:t>Alan Beck</w:t>
      </w:r>
    </w:p>
    <w:p>
      <w:pPr>
        <w:jc w:val="center"/>
        <w:ind w:right="-19"/>
        <w:spacing w:after="0" w:line="221" w:lineRule="auto"/>
        <w:rPr>
          <w:sz w:val="20"/>
          <w:szCs w:val="20"/>
          <w:color w:val="auto"/>
        </w:rPr>
      </w:pPr>
      <w:r>
        <w:rPr>
          <w:rFonts w:ascii="Arial" w:cs="Arial" w:eastAsia="Arial" w:hAnsi="Arial"/>
          <w:sz w:val="14"/>
          <w:szCs w:val="14"/>
          <w:b w:val="1"/>
          <w:bCs w:val="1"/>
          <w:color w:val="auto"/>
        </w:rPr>
        <w:t>Vinson &amp; Elkins L.L.P.</w:t>
      </w:r>
    </w:p>
    <w:p>
      <w:pPr>
        <w:jc w:val="center"/>
        <w:ind w:right="-19"/>
        <w:spacing w:after="0" w:line="222" w:lineRule="auto"/>
        <w:rPr>
          <w:sz w:val="20"/>
          <w:szCs w:val="20"/>
          <w:color w:val="auto"/>
        </w:rPr>
      </w:pPr>
      <w:r>
        <w:rPr>
          <w:rFonts w:ascii="Arial" w:cs="Arial" w:eastAsia="Arial" w:hAnsi="Arial"/>
          <w:sz w:val="14"/>
          <w:szCs w:val="14"/>
          <w:b w:val="1"/>
          <w:bCs w:val="1"/>
          <w:color w:val="auto"/>
        </w:rPr>
        <w:t>1001 Fannin Street, Suite 2500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3" w:orient="portrait"/>
          <w:cols w:equalWidth="0" w:num="1">
            <w:col w:w="11420"/>
          </w:cols>
          <w:pgMar w:left="240" w:top="685" w:right="239" w:bottom="0" w:gutter="0" w:footer="0" w:header="0"/>
        </w:sectPr>
      </w:pPr>
    </w:p>
    <w:p>
      <w:pPr>
        <w:spacing w:after="0" w:line="168" w:lineRule="exact"/>
        <w:rPr>
          <w:sz w:val="24"/>
          <w:szCs w:val="24"/>
          <w:color w:val="auto"/>
        </w:rPr>
      </w:pPr>
    </w:p>
    <w:p>
      <w:pPr>
        <w:ind w:left="12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580"/>
        <w:spacing w:after="0"/>
        <w:rPr>
          <w:sz w:val="20"/>
          <w:szCs w:val="20"/>
          <w:color w:val="auto"/>
        </w:rPr>
      </w:pPr>
      <w:r>
        <w:rPr>
          <w:rFonts w:ascii="Arial" w:cs="Arial" w:eastAsia="Arial" w:hAnsi="Arial"/>
          <w:sz w:val="14"/>
          <w:szCs w:val="14"/>
          <w:color w:val="auto"/>
        </w:rPr>
        <w:t>Non-accelerated filer o</w:t>
      </w:r>
    </w:p>
    <w:p>
      <w:pPr>
        <w:jc w:val="center"/>
        <w:ind w:right="580"/>
        <w:spacing w:after="0" w:line="221" w:lineRule="auto"/>
        <w:rPr>
          <w:sz w:val="20"/>
          <w:szCs w:val="20"/>
          <w:color w:val="auto"/>
        </w:rPr>
      </w:pPr>
      <w:r>
        <w:rPr>
          <w:rFonts w:ascii="Arial" w:cs="Arial" w:eastAsia="Arial" w:hAnsi="Arial"/>
          <w:sz w:val="14"/>
          <w:szCs w:val="14"/>
          <w:color w:val="auto"/>
        </w:rPr>
        <w:t>(Do not check if a</w:t>
      </w:r>
    </w:p>
    <w:p>
      <w:pPr>
        <w:jc w:val="center"/>
        <w:ind w:right="58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348" w:lineRule="exact"/>
        <w:rPr>
          <w:sz w:val="24"/>
          <w:szCs w:val="24"/>
          <w:color w:val="auto"/>
        </w:rPr>
      </w:pPr>
    </w:p>
    <w:p>
      <w:pPr>
        <w:sectPr>
          <w:pgSz w:w="11900" w:h="16843" w:orient="portrait"/>
          <w:cols w:equalWidth="0" w:num="4">
            <w:col w:w="2900" w:space="720"/>
            <w:col w:w="1560" w:space="720"/>
            <w:col w:w="2080" w:space="720"/>
            <w:col w:w="2720"/>
          </w:cols>
          <w:pgMar w:left="240" w:top="685" w:right="239" w:bottom="0" w:gutter="0" w:footer="0" w:header="0"/>
          <w:type w:val="continuous"/>
        </w:sectPr>
      </w:pPr>
    </w:p>
    <w:p>
      <w:pPr>
        <w:spacing w:after="0" w:line="15" w:lineRule="exact"/>
        <w:rPr>
          <w:sz w:val="24"/>
          <w:szCs w:val="24"/>
          <w:color w:val="auto"/>
        </w:rPr>
      </w:pPr>
    </w:p>
    <w:p>
      <w:pPr>
        <w:ind w:right="48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4"/>
          <w:szCs w:val="24"/>
          <w:color w:val="auto"/>
        </w:rPr>
      </w:pPr>
    </w:p>
    <w:p>
      <w:pPr>
        <w:spacing w:after="0" w:line="240" w:lineRule="exact"/>
        <w:rPr>
          <w:sz w:val="24"/>
          <w:szCs w:val="24"/>
          <w:color w:val="auto"/>
        </w:rPr>
      </w:pPr>
    </w:p>
    <w:tbl>
      <w:tblPr>
        <w:tblLayout w:type="fixed"/>
        <w:tblInd w:w="1160" w:type="dxa"/>
        <w:tblCellMar>
          <w:top w:w="0" w:type="dxa"/>
          <w:left w:w="0" w:type="dxa"/>
          <w:bottom w:w="0" w:type="dxa"/>
          <w:right w:w="0" w:type="dxa"/>
        </w:tblCellMar>
      </w:tblPr>
      <w:tr>
        <w:trPr>
          <w:trHeight w:val="40"/>
        </w:trPr>
        <w:tc>
          <w:tcPr>
            <w:tcW w:w="290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116"/>
        </w:trPr>
        <w:tc>
          <w:tcPr>
            <w:tcW w:w="2900" w:type="dxa"/>
            <w:vAlign w:val="bottom"/>
          </w:tcPr>
          <w:p>
            <w:pPr>
              <w:jc w:val="center"/>
              <w:ind w:left="275"/>
              <w:spacing w:after="0" w:line="117" w:lineRule="exact"/>
              <w:rPr>
                <w:sz w:val="20"/>
                <w:szCs w:val="20"/>
                <w:color w:val="auto"/>
              </w:rPr>
            </w:pPr>
            <w:r>
              <w:rPr>
                <w:rFonts w:ascii="Arial" w:cs="Arial" w:eastAsia="Arial" w:hAnsi="Arial"/>
                <w:sz w:val="12"/>
                <w:szCs w:val="12"/>
                <w:b w:val="1"/>
                <w:bCs w:val="1"/>
                <w:color w:val="auto"/>
                <w:w w:val="99"/>
              </w:rPr>
              <w:t>Title of Securities</w:t>
            </w:r>
          </w:p>
        </w:tc>
        <w:tc>
          <w:tcPr>
            <w:tcW w:w="1800" w:type="dxa"/>
            <w:vAlign w:val="bottom"/>
          </w:tcPr>
          <w:p>
            <w:pPr>
              <w:jc w:val="center"/>
              <w:ind w:left="475"/>
              <w:spacing w:after="0" w:line="117" w:lineRule="exact"/>
              <w:rPr>
                <w:sz w:val="20"/>
                <w:szCs w:val="20"/>
                <w:color w:val="auto"/>
              </w:rPr>
            </w:pPr>
            <w:r>
              <w:rPr>
                <w:rFonts w:ascii="Arial" w:cs="Arial" w:eastAsia="Arial" w:hAnsi="Arial"/>
                <w:sz w:val="12"/>
                <w:szCs w:val="12"/>
                <w:b w:val="1"/>
                <w:bCs w:val="1"/>
                <w:color w:val="auto"/>
              </w:rPr>
              <w:t>Amount to be</w:t>
            </w:r>
          </w:p>
        </w:tc>
        <w:tc>
          <w:tcPr>
            <w:tcW w:w="1560" w:type="dxa"/>
            <w:vAlign w:val="bottom"/>
          </w:tcPr>
          <w:p>
            <w:pPr>
              <w:jc w:val="center"/>
              <w:ind w:left="35"/>
              <w:spacing w:after="0" w:line="117" w:lineRule="exact"/>
              <w:rPr>
                <w:sz w:val="20"/>
                <w:szCs w:val="20"/>
                <w:color w:val="auto"/>
              </w:rPr>
            </w:pPr>
            <w:r>
              <w:rPr>
                <w:rFonts w:ascii="Arial" w:cs="Arial" w:eastAsia="Arial" w:hAnsi="Arial"/>
                <w:sz w:val="12"/>
                <w:szCs w:val="12"/>
                <w:b w:val="1"/>
                <w:bCs w:val="1"/>
                <w:color w:val="auto"/>
              </w:rPr>
              <w:t>Proposed Maximum</w:t>
            </w:r>
          </w:p>
        </w:tc>
        <w:tc>
          <w:tcPr>
            <w:tcW w:w="15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3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Amount of</w:t>
            </w:r>
          </w:p>
        </w:tc>
      </w:tr>
      <w:tr>
        <w:trPr>
          <w:trHeight w:val="174"/>
        </w:trPr>
        <w:tc>
          <w:tcPr>
            <w:tcW w:w="2900" w:type="dxa"/>
            <w:vAlign w:val="bottom"/>
          </w:tcPr>
          <w:p>
            <w:pPr>
              <w:jc w:val="center"/>
              <w:ind w:left="275"/>
              <w:spacing w:after="0"/>
              <w:rPr>
                <w:sz w:val="20"/>
                <w:szCs w:val="20"/>
                <w:color w:val="auto"/>
              </w:rPr>
            </w:pPr>
            <w:r>
              <w:rPr>
                <w:rFonts w:ascii="Arial" w:cs="Arial" w:eastAsia="Arial" w:hAnsi="Arial"/>
                <w:sz w:val="14"/>
                <w:szCs w:val="14"/>
                <w:b w:val="1"/>
                <w:bCs w:val="1"/>
                <w:color w:val="auto"/>
                <w:w w:val="83"/>
              </w:rPr>
              <w:t>to be Registered</w:t>
            </w:r>
          </w:p>
        </w:tc>
        <w:tc>
          <w:tcPr>
            <w:tcW w:w="1800" w:type="dxa"/>
            <w:vAlign w:val="bottom"/>
          </w:tcPr>
          <w:p>
            <w:pPr>
              <w:jc w:val="center"/>
              <w:ind w:left="475"/>
              <w:spacing w:after="0"/>
              <w:rPr>
                <w:sz w:val="20"/>
                <w:szCs w:val="20"/>
                <w:color w:val="auto"/>
              </w:rPr>
            </w:pPr>
            <w:r>
              <w:rPr>
                <w:rFonts w:ascii="Arial" w:cs="Arial" w:eastAsia="Arial" w:hAnsi="Arial"/>
                <w:sz w:val="14"/>
                <w:szCs w:val="14"/>
                <w:b w:val="1"/>
                <w:bCs w:val="1"/>
                <w:color w:val="auto"/>
                <w:w w:val="85"/>
              </w:rPr>
              <w:t>Registered</w:t>
            </w:r>
          </w:p>
        </w:tc>
        <w:tc>
          <w:tcPr>
            <w:tcW w:w="1560" w:type="dxa"/>
            <w:vAlign w:val="bottom"/>
          </w:tcPr>
          <w:p>
            <w:pPr>
              <w:jc w:val="center"/>
              <w:ind w:left="35"/>
              <w:spacing w:after="0"/>
              <w:rPr>
                <w:sz w:val="20"/>
                <w:szCs w:val="20"/>
                <w:color w:val="auto"/>
              </w:rPr>
            </w:pPr>
            <w:r>
              <w:rPr>
                <w:rFonts w:ascii="Arial" w:cs="Arial" w:eastAsia="Arial" w:hAnsi="Arial"/>
                <w:sz w:val="14"/>
                <w:szCs w:val="14"/>
                <w:b w:val="1"/>
                <w:bCs w:val="1"/>
                <w:color w:val="auto"/>
                <w:w w:val="89"/>
              </w:rPr>
              <w:t>Offering Price Per</w:t>
            </w:r>
          </w:p>
        </w:tc>
        <w:tc>
          <w:tcPr>
            <w:tcW w:w="152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Aggregate Offering</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Registration Fee</w:t>
            </w:r>
          </w:p>
        </w:tc>
      </w:tr>
    </w:tbl>
    <w:p>
      <w:pPr>
        <w:sectPr>
          <w:pgSz w:w="11900" w:h="16843" w:orient="portrait"/>
          <w:cols w:equalWidth="0" w:num="1">
            <w:col w:w="11420"/>
          </w:cols>
          <w:pgMar w:left="240" w:top="685" w:right="239" w:bottom="0" w:gutter="0" w:footer="0" w:header="0"/>
          <w:type w:val="continuous"/>
        </w:sectPr>
      </w:pPr>
    </w:p>
    <w:bookmarkStart w:id="1" w:name="page2"/>
    <w:bookmarkEnd w:id="1"/>
    <w:p>
      <w:pPr>
        <w:ind w:left="6520"/>
        <w:spacing w:after="0"/>
        <w:tabs>
          <w:tab w:leader="none" w:pos="7980" w:val="left"/>
        </w:tabs>
        <w:rPr>
          <w:sz w:val="20"/>
          <w:szCs w:val="20"/>
          <w:color w:val="auto"/>
        </w:rPr>
      </w:pPr>
      <w:r>
        <w:rPr>
          <w:rFonts w:ascii="Arial" w:cs="Arial" w:eastAsia="Arial" w:hAnsi="Arial"/>
          <w:sz w:val="14"/>
          <w:szCs w:val="14"/>
          <w:b w:val="1"/>
          <w:bCs w:val="1"/>
          <w:color w:val="auto"/>
        </w:rPr>
        <w:t>Share</w:t>
      </w:r>
      <w:r>
        <w:rPr>
          <w:sz w:val="20"/>
          <w:szCs w:val="20"/>
          <w:color w:val="auto"/>
        </w:rPr>
        <w:tab/>
      </w:r>
      <w:r>
        <w:rPr>
          <w:rFonts w:ascii="Arial" w:cs="Arial" w:eastAsia="Arial" w:hAnsi="Arial"/>
          <w:sz w:val="14"/>
          <w:szCs w:val="14"/>
          <w:b w:val="1"/>
          <w:bCs w:val="1"/>
          <w:color w:val="auto"/>
        </w:rPr>
        <w:t>Price</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3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Class A shares representing limited partner interests</w:t>
            </w:r>
          </w:p>
        </w:tc>
        <w:tc>
          <w:tcPr>
            <w:tcW w:w="15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color w:val="auto"/>
              </w:rPr>
              <w:t>9,508,569(1)</w:t>
            </w:r>
          </w:p>
        </w:tc>
        <w:tc>
          <w:tcPr>
            <w:tcW w:w="13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color w:val="auto"/>
              </w:rPr>
              <w:t>26.555(2)</w:t>
            </w:r>
          </w:p>
        </w:tc>
        <w:tc>
          <w:tcPr>
            <w:tcW w:w="1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color w:val="auto"/>
              </w:rPr>
              <w:t>$252,500,050(2)</w:t>
            </w:r>
          </w:p>
        </w:tc>
        <w:tc>
          <w:tcPr>
            <w:tcW w:w="13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color w:val="auto"/>
              </w:rPr>
              <w:t>$29,265(2)</w:t>
            </w: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1680" w:right="440" w:hanging="531"/>
        <w:spacing w:after="0" w:line="318" w:lineRule="auto"/>
        <w:tabs>
          <w:tab w:leader="none" w:pos="168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416(a) under the Securities Act of 1933, as amended, the number of Class A shares being registered on behalf of the selling shareholders shall be adjusted automatically to include any additional Class A shares that may become issuable as a result of any share distribution, split, combination or similar transaction.</w:t>
      </w:r>
    </w:p>
    <w:p>
      <w:pPr>
        <w:spacing w:after="0" w:line="66" w:lineRule="exact"/>
        <w:rPr>
          <w:rFonts w:ascii="Arial" w:cs="Arial" w:eastAsia="Arial" w:hAnsi="Arial"/>
          <w:sz w:val="12"/>
          <w:szCs w:val="12"/>
          <w:color w:val="auto"/>
        </w:rPr>
      </w:pPr>
    </w:p>
    <w:p>
      <w:pPr>
        <w:ind w:left="1680" w:hanging="531"/>
        <w:spacing w:after="0" w:line="239" w:lineRule="auto"/>
        <w:tabs>
          <w:tab w:leader="none" w:pos="16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457(c) of the Securities Act of 1933, as amended, the registration fee is calculated on the basis of the average of the high and low sale prices of our Class A shares on May 31, 2017, as reported on the New York Stock Exchange.</w:t>
      </w:r>
    </w:p>
    <w:p>
      <w:pPr>
        <w:spacing w:after="0" w:line="191" w:lineRule="exact"/>
        <w:rPr>
          <w:sz w:val="20"/>
          <w:szCs w:val="20"/>
          <w:color w:val="auto"/>
        </w:rPr>
      </w:pPr>
    </w:p>
    <w:p>
      <w:pPr>
        <w:ind w:right="80" w:firstLine="371"/>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Securities may not be sold pursuant to this prospectus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June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9,508,569 Class A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Representing Limited Partner Interests</w:t>
      </w:r>
    </w:p>
    <w:p>
      <w:pPr>
        <w:spacing w:after="0" w:line="24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This prospectus relates to up to 9,508,569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selling shareholders may offer and sell these Class A shares to or through one or more underwriters, dealers or agents, or directly to investors, in amounts, at prices and on terms to be determined by market conditions and other factors at the time of the offering. This prospectus describes only the general terms of these Class A shares and the general manner of offering these Class A shares by the selling shareholders. We may file one or more prospectus supplements that may describe the specific manner in which the selling shareholders will offer the Class A shares and also may add, update or change information contained in this prospectus.</w:t>
      </w:r>
    </w:p>
    <w:p>
      <w:pPr>
        <w:spacing w:after="0" w:line="197" w:lineRule="exact"/>
        <w:rPr>
          <w:sz w:val="20"/>
          <w:szCs w:val="20"/>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8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394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852"/>
              <w:spacing w:after="0"/>
              <w:rPr>
                <w:sz w:val="20"/>
                <w:szCs w:val="20"/>
                <w:color w:val="auto"/>
              </w:rPr>
            </w:pPr>
            <w:r>
              <w:rPr>
                <w:rFonts w:ascii="Arial" w:cs="Arial" w:eastAsia="Arial" w:hAnsi="Arial"/>
                <w:sz w:val="18"/>
                <w:szCs w:val="18"/>
                <w:color w:val="auto"/>
              </w:rPr>
              <w:t>, 2017</w:t>
            </w:r>
          </w:p>
        </w:tc>
      </w:tr>
      <w:tr>
        <w:trPr>
          <w:trHeight w:val="228"/>
        </w:trPr>
        <w:tc>
          <w:tcPr>
            <w:tcW w:w="65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7"/>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6"/>
                <w:szCs w:val="16"/>
                <w:color w:val="0000EE"/>
                <w:w w:val="74"/>
              </w:rPr>
            </w:pPr>
            <w:hyperlink w:anchor="page8">
              <w:r>
                <w:rPr>
                  <w:rFonts w:ascii="Arial" w:cs="Arial" w:eastAsia="Arial" w:hAnsi="Arial"/>
                  <w:sz w:val="16"/>
                  <w:szCs w:val="16"/>
                  <w:color w:val="0000EE"/>
                  <w:w w:val="74"/>
                </w:rPr>
                <w:t>v</w:t>
              </w:r>
            </w:hyperlink>
          </w:p>
        </w:tc>
        <w:tc>
          <w:tcPr>
            <w:tcW w:w="0" w:type="dxa"/>
            <w:vAlign w:val="bottom"/>
          </w:tcPr>
          <w:p>
            <w:pPr>
              <w:spacing w:after="0"/>
              <w:rPr>
                <w:sz w:val="1"/>
                <w:szCs w:val="1"/>
                <w:color w:val="auto"/>
              </w:rPr>
            </w:pPr>
          </w:p>
        </w:tc>
      </w:tr>
      <w:tr>
        <w:trPr>
          <w:trHeight w:val="196"/>
        </w:trPr>
        <w:tc>
          <w:tcPr>
            <w:tcW w:w="2280" w:type="dxa"/>
            <w:vAlign w:val="bottom"/>
            <w:gridSpan w:val="12"/>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About Plains GP Holdings, L.P.</w:t>
              </w:r>
            </w:hyperlink>
          </w:p>
        </w:tc>
        <w:tc>
          <w:tcPr>
            <w:tcW w:w="3780" w:type="dxa"/>
            <w:vAlign w:val="bottom"/>
            <w:gridSpan w:val="5"/>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1380" w:type="dxa"/>
            <w:vAlign w:val="bottom"/>
            <w:gridSpan w:val="10"/>
          </w:tcPr>
          <w:p>
            <w:pPr>
              <w:spacing w:after="0"/>
              <w:rPr>
                <w:sz w:val="17"/>
                <w:szCs w:val="17"/>
                <w:color w:val="auto"/>
              </w:rPr>
            </w:pPr>
          </w:p>
        </w:tc>
        <w:tc>
          <w:tcPr>
            <w:tcW w:w="3780" w:type="dxa"/>
            <w:vAlign w:val="bottom"/>
            <w:gridSpan w:val="5"/>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4"/>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4900" w:type="dxa"/>
            <w:vAlign w:val="bottom"/>
            <w:gridSpan w:val="13"/>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Our Cash Distribution Policy</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10"/>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The Partnership Agreement</w:t>
              </w:r>
            </w:hyperlink>
          </w:p>
        </w:tc>
        <w:tc>
          <w:tcPr>
            <w:tcW w:w="4000" w:type="dxa"/>
            <w:vAlign w:val="bottom"/>
            <w:gridSpan w:val="7"/>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9"/>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Description of our Shares</w:t>
              </w:r>
            </w:hyperlink>
          </w:p>
        </w:tc>
        <w:tc>
          <w:tcPr>
            <w:tcW w:w="4120" w:type="dxa"/>
            <w:vAlign w:val="bottom"/>
            <w:gridSpan w:val="8"/>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606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Selling Shareholders</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Plan of Distribution</w:t>
              </w:r>
            </w:hyperlink>
          </w:p>
        </w:tc>
        <w:tc>
          <w:tcPr>
            <w:tcW w:w="4600" w:type="dxa"/>
            <w:vAlign w:val="bottom"/>
            <w:gridSpan w:val="11"/>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4660" w:type="dxa"/>
            <w:vAlign w:val="bottom"/>
            <w:gridSpan w:val="1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5080" w:type="dxa"/>
            <w:vAlign w:val="bottom"/>
            <w:gridSpan w:val="14"/>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and any prospectus supplement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72"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the selling shareholders may, over time, offer and sell up to 9,508,569 of our Class A shares in one or more offerings. This prospectus generally describes Plains GP Holdings, L.P. and the Class A shares. We may file one or more prospectus supplements that may describe the specific manner in which the selling shareholders will offer the Class A shares registered hereby. Such prospectus supplements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 The following information should help you understand some of the conventions used in this prospectus. All references in this prospectus to:</w:t>
      </w:r>
    </w:p>
    <w:p>
      <w:pPr>
        <w:spacing w:after="0" w:line="186" w:lineRule="exact"/>
        <w:rPr>
          <w:sz w:val="20"/>
          <w:szCs w:val="20"/>
          <w:color w:val="auto"/>
        </w:rPr>
      </w:pPr>
    </w:p>
    <w:p>
      <w:pPr>
        <w:ind w:left="1080" w:right="16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"partnership agreement" refer to the Second Amended and Restated Agreement of Limited Partnership of Plains GP Holdings, L.P., dated as of November 15, 2016, as it may be amended or restated from time to time;</w:t>
      </w:r>
    </w:p>
    <w:p>
      <w:pPr>
        <w:spacing w:after="0" w:line="212"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initial public offering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including, but not limited to: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85"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"Simplification Agreement" refer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"Omnibus Agreement" refer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w:t>
      </w:r>
    </w:p>
    <w:p>
      <w:pPr>
        <w:spacing w:after="0" w:line="225"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"Registration Rights Agreement" refer to the Shareholder and Registration Rights Agreement entered into with the Legacy Owners in connection with our IPO;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jc w:val="both"/>
        <w:ind w:right="70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rather than filed)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three months ended March 31,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on January 24, 2017, February 14, 2017, February 21, 2017 and March 1, 2017; and</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ir.pagp.com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38"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 ("NGL").</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2 of this prospectus and as discussed in Item 1A of our Annual Report on Form 10-K for the fiscal year ended December 31, 2016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We do not directly own any operating assets; our principal sources of cash flow are derived from our indirect investment in PAA. As of June 2, 2017, we directly and indirectly owned 153,058,279 Class A Units of AAP, which we refer to as AAP Class A units, which represented a 53% limited partner interest in AAP. AAP owns a non-economic general partner interest in PAA and, as of June 2, 2017, owned 288,312,171 common units of PAA. Our general partner, PAA GP Holdings LLC, has responsibility for managing the business and affairs of PAA, in addition to AAP and PAGP.</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PAA is a publicly traded Delaware limited partnership formed in 1998. PAA's operations are conducted directly and indirectly through its primary operating subsidiaries. 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2016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Class A shares by the selling shareholders in any offering. We will cause PAA to pay certain expenses, other than underwriting discounts and commissions, associated with the sale of Class A shares by the selling shareholders.</w:t>
      </w:r>
    </w:p>
    <w:p>
      <w:pPr>
        <w:spacing w:after="0" w:line="1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31" w:right="8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available cash also includes cash on hand resulting from borrowings, if any,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principal sources of cash flow are derived from our indirect investment in PAA. As of June 2, 2017, we directly and indirectly owned 153,058,279 AAP Class A units, which represented a 53% limited partnership interest in AAP. AAP owns a non-economic general partner interest in PAA and, as of June 2, 2017, owned 288,312,171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it is prohibited from declaring or paying any distribution to unitholders if a default or event of default (as defined in such agreements) exists.</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21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revenue PAA is able to generate from its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capital expenditures PAA makes;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PAA's operating, maintenance and general and administrative expenses or related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debt service requirements and other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working capital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distributions contained in PAA's debt agreements and any future debt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ability to borrow under its revolving credit agreements to make distributions;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regard to the taxation of distributions on our Class A shares, please read "Material U.S. Federal Income Tax Consequences."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18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62" w:lineRule="exact"/>
        <w:rPr>
          <w:sz w:val="20"/>
          <w:szCs w:val="20"/>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vote for eligible directors as provided under our partnership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manages us and our operations. You will have only limited voting rights on matters affecting our business. You will not have the right to elect our general partner or, except as described below under "—Public Election of Directors," its directors on an annual or other continuing basis.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Class C shares are not entitled to vote on any matter other than for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Accordingly,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general partner will have no fiduciary duty or obligation whatsoever to us or the shareholders, including any duty to act in good faith or in the best interests of us or the shareholders.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Issuance of additional shares (or other partnership securities)</w:t>
            </w:r>
          </w:p>
        </w:tc>
        <w:tc>
          <w:tcPr>
            <w:tcW w:w="5800" w:type="dxa"/>
            <w:vAlign w:val="bottom"/>
          </w:tcPr>
          <w:p>
            <w:pPr>
              <w:ind w:left="360"/>
              <w:spacing w:after="0"/>
              <w:rPr>
                <w:sz w:val="20"/>
                <w:szCs w:val="20"/>
                <w:color w:val="auto"/>
              </w:rPr>
            </w:pPr>
            <w:r>
              <w:rPr>
                <w:rFonts w:ascii="Arial" w:cs="Arial" w:eastAsia="Arial" w:hAnsi="Arial"/>
                <w:sz w:val="18"/>
                <w:szCs w:val="18"/>
                <w:color w:val="auto"/>
              </w:rPr>
              <w:t>No approval right.</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Amendment of our partnership agreement</w:t>
            </w:r>
          </w:p>
        </w:tc>
        <w:tc>
          <w:tcPr>
            <w:tcW w:w="5800" w:type="dxa"/>
            <w:vAlign w:val="bottom"/>
          </w:tcPr>
          <w:p>
            <w:pPr>
              <w:ind w:left="360"/>
              <w:spacing w:after="0"/>
              <w:rPr>
                <w:sz w:val="20"/>
                <w:szCs w:val="20"/>
                <w:color w:val="auto"/>
              </w:rPr>
            </w:pPr>
            <w:r>
              <w:rPr>
                <w:rFonts w:ascii="Arial" w:cs="Arial" w:eastAsia="Arial" w:hAnsi="Arial"/>
                <w:sz w:val="18"/>
                <w:szCs w:val="18"/>
                <w:color w:val="auto"/>
                <w:w w:val="89"/>
              </w:rPr>
              <w:t>Amendments to our partnership agreement may be proposed only by or with</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87"/>
              </w:rPr>
              <w:t>the consent of our general partner. Certain amendments may be made by our</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88"/>
              </w:rPr>
              <w:t>general partner without the approval of our shareholders. Other amendments</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8"/>
              </w:rPr>
              <w:t>generally require the approval of a majority of our outstanding shares</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88"/>
              </w:rPr>
              <w:t>(including under certain circumstances, our Class C shares). Please read "—</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Amendments to Our Partnership Agreement."</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w w:val="94"/>
              </w:rPr>
              <w:t>Merger of our partnership or the sale of all or substantially all of our assets</w:t>
            </w: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A majority of our outstanding shares in certain circumstances. Please read</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"—Merger, Sale or Other Disposition of Assets."</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Dissolution</w:t>
            </w:r>
          </w:p>
        </w:tc>
        <w:tc>
          <w:tcPr>
            <w:tcW w:w="5800" w:type="dxa"/>
            <w:vAlign w:val="bottom"/>
          </w:tcPr>
          <w:p>
            <w:pPr>
              <w:ind w:left="360"/>
              <w:spacing w:after="0"/>
              <w:rPr>
                <w:sz w:val="20"/>
                <w:szCs w:val="20"/>
                <w:color w:val="auto"/>
              </w:rPr>
            </w:pPr>
            <w:r>
              <w:rPr>
                <w:rFonts w:ascii="Arial" w:cs="Arial" w:eastAsia="Arial" w:hAnsi="Arial"/>
                <w:sz w:val="18"/>
                <w:szCs w:val="18"/>
                <w:color w:val="auto"/>
              </w:rPr>
              <w:t>A majority of our outstanding shares. Please read "—Termination or</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Dissolution."</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Reconstitution upon dissolution</w:t>
            </w:r>
          </w:p>
        </w:tc>
        <w:tc>
          <w:tcPr>
            <w:tcW w:w="5800" w:type="dxa"/>
            <w:vAlign w:val="bottom"/>
          </w:tcPr>
          <w:p>
            <w:pPr>
              <w:ind w:left="360"/>
              <w:spacing w:after="0"/>
              <w:rPr>
                <w:sz w:val="20"/>
                <w:szCs w:val="20"/>
                <w:color w:val="auto"/>
              </w:rPr>
            </w:pPr>
            <w:r>
              <w:rPr>
                <w:rFonts w:ascii="Arial" w:cs="Arial" w:eastAsia="Arial" w:hAnsi="Arial"/>
                <w:sz w:val="18"/>
                <w:szCs w:val="18"/>
                <w:color w:val="auto"/>
              </w:rPr>
              <w:t>A majority of our outstanding shares. Please read "—Termination or</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Dissolution."</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Withdrawal of our general partner</w:t>
            </w:r>
          </w:p>
        </w:tc>
        <w:tc>
          <w:tcPr>
            <w:tcW w:w="5800" w:type="dxa"/>
            <w:vAlign w:val="bottom"/>
          </w:tcPr>
          <w:p>
            <w:pPr>
              <w:ind w:left="360"/>
              <w:spacing w:after="0"/>
              <w:rPr>
                <w:sz w:val="20"/>
                <w:szCs w:val="20"/>
                <w:color w:val="auto"/>
              </w:rPr>
            </w:pPr>
            <w:r>
              <w:rPr>
                <w:rFonts w:ascii="Arial" w:cs="Arial" w:eastAsia="Arial" w:hAnsi="Arial"/>
                <w:sz w:val="18"/>
                <w:szCs w:val="18"/>
                <w:color w:val="auto"/>
                <w:w w:val="93"/>
              </w:rPr>
              <w:t>No approval right. Please read "—Withdrawal or Removal of the General</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Partner."</w:t>
            </w:r>
          </w:p>
        </w:tc>
      </w:tr>
      <w:tr>
        <w:trPr>
          <w:trHeight w:val="466"/>
        </w:trPr>
        <w:tc>
          <w:tcPr>
            <w:tcW w:w="5600" w:type="dxa"/>
            <w:vAlign w:val="bottom"/>
          </w:tcPr>
          <w:p>
            <w:pPr>
              <w:spacing w:after="0"/>
              <w:rPr>
                <w:sz w:val="20"/>
                <w:szCs w:val="20"/>
                <w:color w:val="auto"/>
              </w:rPr>
            </w:pPr>
            <w:r>
              <w:rPr>
                <w:rFonts w:ascii="Arial" w:cs="Arial" w:eastAsia="Arial" w:hAnsi="Arial"/>
                <w:sz w:val="18"/>
                <w:szCs w:val="18"/>
                <w:color w:val="auto"/>
              </w:rPr>
              <w:t>Removal of our general partner</w:t>
            </w:r>
          </w:p>
        </w:tc>
        <w:tc>
          <w:tcPr>
            <w:tcW w:w="5800" w:type="dxa"/>
            <w:vAlign w:val="bottom"/>
          </w:tcPr>
          <w:p>
            <w:pPr>
              <w:ind w:left="360"/>
              <w:spacing w:after="0"/>
              <w:rPr>
                <w:sz w:val="20"/>
                <w:szCs w:val="20"/>
                <w:color w:val="auto"/>
              </w:rPr>
            </w:pPr>
            <w:r>
              <w:rPr>
                <w:rFonts w:ascii="Arial" w:cs="Arial" w:eastAsia="Arial" w:hAnsi="Arial"/>
                <w:sz w:val="18"/>
                <w:szCs w:val="18"/>
                <w:color w:val="auto"/>
                <w:w w:val="88"/>
              </w:rPr>
              <w:t>Not less than 66</w:t>
            </w:r>
            <w:r>
              <w:rPr>
                <w:rFonts w:ascii="Arial" w:cs="Arial" w:eastAsia="Arial" w:hAnsi="Arial"/>
                <w:sz w:val="29"/>
                <w:szCs w:val="29"/>
                <w:color w:val="auto"/>
                <w:w w:val="88"/>
                <w:vertAlign w:val="superscript"/>
              </w:rPr>
              <w:t>2</w:t>
            </w:r>
            <w:r>
              <w:rPr>
                <w:rFonts w:ascii="Arial" w:cs="Arial" w:eastAsia="Arial" w:hAnsi="Arial"/>
                <w:sz w:val="18"/>
                <w:szCs w:val="18"/>
                <w:color w:val="auto"/>
                <w:w w:val="88"/>
              </w:rPr>
              <w:t>/</w:t>
            </w:r>
            <w:r>
              <w:rPr>
                <w:rFonts w:ascii="Arial" w:cs="Arial" w:eastAsia="Arial" w:hAnsi="Arial"/>
                <w:sz w:val="14"/>
                <w:szCs w:val="14"/>
                <w:color w:val="auto"/>
                <w:w w:val="88"/>
              </w:rPr>
              <w:t>3</w:t>
            </w:r>
            <w:r>
              <w:rPr>
                <w:rFonts w:ascii="Arial" w:cs="Arial" w:eastAsia="Arial" w:hAnsi="Arial"/>
                <w:sz w:val="18"/>
                <w:szCs w:val="18"/>
                <w:color w:val="auto"/>
                <w:w w:val="88"/>
              </w:rPr>
              <w:t>% of our outstanding shares, including shares held by our</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86"/>
              </w:rPr>
              <w:t>general partner, the Legacy Owners and their respective affiliates. Please read</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"—Withdrawal or Removal of the General Partner."</w:t>
            </w: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Transfer of the general partner interest</w:t>
            </w:r>
          </w:p>
        </w:tc>
        <w:tc>
          <w:tcPr>
            <w:tcW w:w="5800" w:type="dxa"/>
            <w:vAlign w:val="bottom"/>
          </w:tcPr>
          <w:p>
            <w:pPr>
              <w:ind w:left="360"/>
              <w:spacing w:after="0"/>
              <w:rPr>
                <w:sz w:val="20"/>
                <w:szCs w:val="20"/>
                <w:color w:val="auto"/>
              </w:rPr>
            </w:pPr>
            <w:r>
              <w:rPr>
                <w:rFonts w:ascii="Arial" w:cs="Arial" w:eastAsia="Arial" w:hAnsi="Arial"/>
                <w:sz w:val="18"/>
                <w:szCs w:val="18"/>
                <w:color w:val="auto"/>
                <w:w w:val="95"/>
              </w:rPr>
              <w:t>No approval right. Please read "—Transfer of General Partner Interest."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19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2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"plan asset" regulations adopted under the Employee Retirement Income Security Act of 1974, whether or not substantially similar to plan asset regulations currently applied or proposed;</w:t>
      </w:r>
    </w:p>
    <w:p>
      <w:pPr>
        <w:spacing w:after="0" w:line="199" w:lineRule="exact"/>
        <w:rPr>
          <w:sz w:val="20"/>
          <w:szCs w:val="20"/>
          <w:color w:val="auto"/>
        </w:rPr>
      </w:pPr>
    </w:p>
    <w:p>
      <w:pPr>
        <w:ind w:left="1080" w:right="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right="2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86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are necessary or appropriate to implement certain governance procedures following the closing of the transactions contemplated by the Simplification Agreement, including the staggering of our board of directors and the public election of directors; or</w:t>
      </w:r>
    </w:p>
    <w:p>
      <w:pPr>
        <w:spacing w:after="0" w:line="166"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are required to effect the intent of the statements contained in the registration statement filed in connection with the initial public offering of Class A shares by us and in the provisions of our partnership agreement or as are otherwise contemplated by our partnership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duties of the general partner to whose interest that transferee has succeeded, agree to be bound by the provisions of our partnership agreement and furnish an opinion of counsel regarding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general partner does not anticipate that any meeting of shareholders will be called in the foreseeable future (excluding the election of directors beginning in 2018 described below under "—Public Election of Directors.") Our shareholders will not be entitled to act by written consent.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(other than as described under "—Public Election of Directors") unless any action by the shareholders requires approval by holders of a greater percentage of the shares, in which case the quorum will be the greater percentage.</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Notwithstanding the foregoing sentence, for meetings called for the purpose of electing the directors of our general partner described below under "—Public Election of Directors," 19.9% of the outstanding Class A shares, Class B shares and Class C shares held by any beneficial owner of 20% or more of any class of shares shall be considered outstanding when sending notices and determining the presence of a quorum for such a meeting, and such holders will be entitled to vote up to 19.9% of the outstanding Class A shares, Class B shares and Class C shares in such an election.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general partner's board of directors is divided into three classes of directors such that each class is comprised of one designated director and two independent directors. As provided in our general partner's limited liability company agreement, the officers of our general partner that are serving as directors will not be included in a class or subject to election by our shareholders. In addition, the CEO of our general partner is automatically designated as the Chairman of the board of directors of our general partner. Furthermore, any director subject to appointment by the holders of PAA's Series A preferred units (as described below) will not be included in a class or subject to election by our shareholders. Each class of directors will serve a three-year term.</w:t>
      </w:r>
    </w:p>
    <w:p>
      <w:pPr>
        <w:spacing w:after="0" w:line="170"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Our partnership agreement provides that, beginning in 2018,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Class B shares and Class C shares, voting together as a single class, will constitute a quorum; provided that 19.9% of the outstanding Class A shares, Class B shares and Class C shares beneficially owned by a greater than 20% owner will be counted for purposes of determining a quorum for the election of our general partner's board of directors.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172"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holders of PAA's Series A preferred units have the right to designate a director to our general partner's board of directors in the event that PAA does not declare and pay distributions on its Series A preferred units for three quarters, whether or not consecutive.</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and any ownership of PAA common units due to the exercise of the redemption right provided for under the AAP limited partnership agreement)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and any director subject to appointment by the holders of PAA's Series A preferred units) will become subject to election by our shareholders.</w:t>
      </w:r>
    </w:p>
    <w:p>
      <w:pPr>
        <w:spacing w:after="0" w:line="172"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vacancies in designated directors may be filled by the applicable designating party in its sole discretion.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Pursuant to the Omnibus Agreement, PAA is required to pay or reimburse our general partner, us and our subsidiaries (other than PAA and its subsidiaries) for all direct and indirect expenses incurred (other than income taxes incurred by us or our subsidiaries (other than PAA and its subsidiaries)). These expenses include any amounts paid to persons who perform services for us or on our behalf, as well any expenses and expenditures incurred or paid as a result of us being a publicly traded entity, including expenses associated with (i) compensation for directors of our general partner, (ii) director and officer liability insurance,</w:t>
      </w:r>
    </w:p>
    <w:p>
      <w:pPr>
        <w:spacing w:after="0" w:line="3" w:lineRule="exact"/>
        <w:rPr>
          <w:sz w:val="20"/>
          <w:szCs w:val="20"/>
          <w:color w:val="auto"/>
        </w:rPr>
      </w:pPr>
    </w:p>
    <w:p>
      <w:pPr>
        <w:ind w:right="160" w:firstLine="8"/>
        <w:spacing w:after="0" w:line="261" w:lineRule="auto"/>
        <w:tabs>
          <w:tab w:leader="none" w:pos="3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listing on the New York Stock Exchange, (iv) investor relations, (v) legal, (vi) tax, (vii) financial advisor services and (viii) accounting. There is no limit on the amount of fees and expenses PAA may be required to pay or reimburse pursuant to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non-economic, and provide PAA, as the sole holder of the Class C shares, rights with respect to director nominations and voting rights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or the Class C shares on any stock exchange. All of our Class B shares are owned by the Legacy Owners, including holders of the Class B Units of AAP (the "AAP management units") who have exchanged such AAP management units for AAP Class A units and a like number of Class B shares, or their permitted transferees. All of the Class C shares are owned by PAA.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4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40" w:hanging="5072"/>
        <w:spacing w:after="0" w:line="519" w:lineRule="auto"/>
        <w:tabs>
          <w:tab w:leader="none" w:pos="10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or Removal</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of this filing,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5"/>
        <w:spacing w:after="0" w:line="256" w:lineRule="auto"/>
        <w:rPr>
          <w:sz w:val="20"/>
          <w:szCs w:val="20"/>
          <w:color w:val="auto"/>
        </w:rPr>
      </w:pPr>
      <w:r>
        <w:rPr>
          <w:rFonts w:ascii="Arial" w:cs="Arial" w:eastAsia="Arial" w:hAnsi="Arial"/>
          <w:sz w:val="18"/>
          <w:szCs w:val="18"/>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2017, 2018 and 2019,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our Class A shares that is an individual, corporation, estate or trust that is not a U.S. holder as defined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70"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32" w:lineRule="exact"/>
        <w:rPr>
          <w:sz w:val="20"/>
          <w:szCs w:val="20"/>
          <w:color w:val="auto"/>
        </w:rPr>
      </w:pPr>
    </w:p>
    <w:p>
      <w:pPr>
        <w:ind w:left="1080" w:right="1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w:t>
      </w:r>
    </w:p>
    <w:p>
      <w:pPr>
        <w:spacing w:after="0" w:line="24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 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6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considering an investment in our Class A shares, the fiduciaries of an ERISA Plan should determine whether such investment is authorized by the documents and instruments governing the ERISA Plan, the applicable provisions of ERISA, the Code or any Similar Laws relating to the fiduciary's duties to the ERISA Plan.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consideration should be given to:</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 (1) (B) of ERISA and any applicable Similar Laws;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 (1) (C) of ERISA and applicable Similar Laws;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248"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Therefore, a fiduciary of an employee benefit plan or an IRA accountholder that is considering an investment in our Class A shares should consider whether the entity's purchase or ownership of such Class A shares would or could result in the occurrence of such a non-exempt prohibited transaction.</w:t>
      </w:r>
    </w:p>
    <w:p>
      <w:pPr>
        <w:spacing w:after="0" w:line="201"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13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 assets" under certain circumstances. Under these rules, an entity's assets generally would not be considered to be "plan assets" if, among other things:</w:t>
      </w:r>
    </w:p>
    <w:p>
      <w:pPr>
        <w:spacing w:after="0" w:line="208" w:lineRule="exact"/>
        <w:rPr>
          <w:sz w:val="20"/>
          <w:szCs w:val="20"/>
          <w:color w:val="auto"/>
        </w:rPr>
      </w:pPr>
    </w:p>
    <w:p>
      <w:pPr>
        <w:ind w:left="1080" w:right="30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registered under some provision of the federal securities laws;</w:t>
      </w:r>
    </w:p>
    <w:p>
      <w:pPr>
        <w:spacing w:after="0" w:line="22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is no significant investment by benefit plan investors, which is defined to mean that less than 25% of the value of each class of equity interest, disregarding some interests held by our 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covers the offering for resale from time to time, in one or more offerings, of up to 9,508,569 Class A shares by the selling shareholders. These Class A shares have been or will be issued to the selling shareholders upon exercise by the selling shareholders of the Exchange Right for an equivalent number of Class B shares and AAP Class A units. Such Class B shares and AAP Class A units were acquired by the selling shareholders upon the conversion by the selling shareholders of AAP management units, which AAP management units were granted to the selling shareholders by AAP at various times between August 2007 and February 2011. Any issuance of the Class A shares to the selling shareholders in connection with exercise of the Exchange Right will be, and the initial issuance of the Class B shares (and related AAP Class A units) was, exempt from the registration requirements of the Securities Act of 1933, as amended (the "Securities Act"). We are registering the offering by the selling shareholders of the Class A shares described below pursuant to the provisions of the Registration Rights Agreement.</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shareholder offers or sells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following table sets forth information relating to the selling shareholders as of June 2, 2017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None of the selling shareholders is a broker-dealer registered under Section 15 of the Exchange Act or an affiliate of a broker-dealer registered under Section 15 of the Exchange Act.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w:t>
      </w:r>
    </w:p>
    <w:p>
      <w:pPr>
        <w:spacing w:after="0" w:line="172" w:lineRule="exact"/>
        <w:rPr>
          <w:sz w:val="20"/>
          <w:szCs w:val="20"/>
          <w:color w:val="auto"/>
        </w:rPr>
      </w:pPr>
    </w:p>
    <w:p>
      <w:pPr>
        <w:ind w:right="140" w:firstLine="341"/>
        <w:spacing w:after="0" w:line="370" w:lineRule="auto"/>
        <w:rPr>
          <w:sz w:val="20"/>
          <w:szCs w:val="20"/>
          <w:color w:val="auto"/>
        </w:rPr>
      </w:pPr>
      <w:r>
        <w:rPr>
          <w:rFonts w:ascii="Arial" w:cs="Arial" w:eastAsia="Arial" w:hAnsi="Arial"/>
          <w:sz w:val="15"/>
          <w:szCs w:val="15"/>
          <w:color w:val="auto"/>
        </w:rPr>
        <w:t>As of June 2, 2017, there were an aggregate of 153,058,279 Class A shares and 134,389,355 Class B shares outstanding. The beneficial ownership information presented below assumes that all 134,389,355 Class B shares (and related AAP Class A units) have been exchanged pursuant to the Exchange Right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 equivalent number of Class A shares and such Class A shares are held by the selling shareholders.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Owned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Prior to the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3100" w:type="dxa"/>
            <w:vAlign w:val="bottom"/>
            <w:gridSpan w:val="4"/>
          </w:tcPr>
          <w:p>
            <w:pPr>
              <w:spacing w:after="0"/>
              <w:rPr>
                <w:sz w:val="20"/>
                <w:szCs w:val="20"/>
                <w:color w:val="auto"/>
              </w:rPr>
            </w:pPr>
            <w:r>
              <w:rPr>
                <w:rFonts w:ascii="Arial" w:cs="Arial" w:eastAsia="Arial" w:hAnsi="Arial"/>
                <w:sz w:val="14"/>
                <w:szCs w:val="14"/>
                <w:b w:val="1"/>
                <w:bCs w:val="1"/>
                <w:color w:val="auto"/>
              </w:rPr>
              <w:t>Selling Shareholders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to the Offering</w:t>
            </w: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Offering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Hereby</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Greg L. Armstrong(1)</w:t>
            </w:r>
          </w:p>
        </w:tc>
        <w:tc>
          <w:tcPr>
            <w:tcW w:w="1080" w:type="dxa"/>
            <w:vAlign w:val="bottom"/>
          </w:tcPr>
          <w:p>
            <w:pPr>
              <w:jc w:val="right"/>
              <w:spacing w:after="0"/>
              <w:rPr>
                <w:sz w:val="20"/>
                <w:szCs w:val="20"/>
                <w:color w:val="auto"/>
              </w:rPr>
            </w:pPr>
            <w:r>
              <w:rPr>
                <w:rFonts w:ascii="Arial" w:cs="Arial" w:eastAsia="Arial" w:hAnsi="Arial"/>
                <w:sz w:val="18"/>
                <w:szCs w:val="18"/>
                <w:color w:val="auto"/>
              </w:rPr>
              <w:t>6,357,893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1080" w:type="dxa"/>
            <w:vAlign w:val="bottom"/>
          </w:tcPr>
          <w:p>
            <w:pPr>
              <w:jc w:val="right"/>
              <w:spacing w:after="0"/>
              <w:rPr>
                <w:sz w:val="20"/>
                <w:szCs w:val="20"/>
                <w:color w:val="auto"/>
              </w:rPr>
            </w:pPr>
            <w:r>
              <w:rPr>
                <w:rFonts w:ascii="Arial" w:cs="Arial" w:eastAsia="Arial" w:hAnsi="Arial"/>
                <w:sz w:val="18"/>
                <w:szCs w:val="18"/>
                <w:color w:val="auto"/>
              </w:rPr>
              <w:t>3,685,409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2,672,484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Harry N. Pefanis(2)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3,952,642</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2,587,312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1,365,330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W. David Duckett(3)</w:t>
            </w:r>
          </w:p>
        </w:tc>
        <w:tc>
          <w:tcPr>
            <w:tcW w:w="1080" w:type="dxa"/>
            <w:vAlign w:val="bottom"/>
          </w:tcPr>
          <w:p>
            <w:pPr>
              <w:jc w:val="right"/>
              <w:spacing w:after="0"/>
              <w:rPr>
                <w:sz w:val="20"/>
                <w:szCs w:val="20"/>
                <w:color w:val="auto"/>
              </w:rPr>
            </w:pPr>
            <w:r>
              <w:rPr>
                <w:rFonts w:ascii="Arial" w:cs="Arial" w:eastAsia="Arial" w:hAnsi="Arial"/>
                <w:sz w:val="18"/>
                <w:szCs w:val="18"/>
                <w:color w:val="auto"/>
              </w:rPr>
              <w:t>1,182,822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682,574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500,248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Officers as a Group(4)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2,009,993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884,815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w w:val="92"/>
              </w:rPr>
              <w:t>Former Officers and their Associates as a</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rPr>
              <w:t>Group(5)</w:t>
            </w:r>
          </w:p>
        </w:tc>
        <w:tc>
          <w:tcPr>
            <w:tcW w:w="1080" w:type="dxa"/>
            <w:vAlign w:val="bottom"/>
          </w:tcPr>
          <w:p>
            <w:pPr>
              <w:jc w:val="right"/>
              <w:spacing w:after="0"/>
              <w:rPr>
                <w:sz w:val="20"/>
                <w:szCs w:val="20"/>
                <w:color w:val="auto"/>
              </w:rPr>
            </w:pPr>
            <w:r>
              <w:rPr>
                <w:rFonts w:ascii="Arial" w:cs="Arial" w:eastAsia="Arial" w:hAnsi="Arial"/>
                <w:sz w:val="18"/>
                <w:szCs w:val="18"/>
                <w:color w:val="auto"/>
              </w:rPr>
              <w:t>2,314,972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1,428,096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886,876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Armstrong is the Chairman of the board of directors and Chief Executive Officer of PAGP GP.</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Pefanis is a director and President and Chief Operating Officer of PAGP GP.</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Duckett is the former Chief Executive Officer of Plains Midstream Canada ULC ("PMC"), our wholly-owned subsidiary.</w:t>
      </w:r>
    </w:p>
    <w:p>
      <w:pPr>
        <w:spacing w:after="0" w:line="275" w:lineRule="exact"/>
        <w:rPr>
          <w:rFonts w:ascii="Arial" w:cs="Arial" w:eastAsia="Arial" w:hAnsi="Arial"/>
          <w:sz w:val="16"/>
          <w:szCs w:val="16"/>
          <w:color w:val="auto"/>
        </w:rPr>
      </w:pPr>
    </w:p>
    <w:p>
      <w:pPr>
        <w:ind w:left="1680" w:right="80" w:hanging="531"/>
        <w:spacing w:after="0" w:line="268"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five persons not otherwise listed above that collectively beneficially own approximately 0.7% of the Class A shares. All of the selling shareholders in this group are current officers of GP LLC.</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eight persons not otherwise listed above that collectively beneficially own approximately 0.8% of the Class A shares. All of the selling shareholders are either former officers of GP LLC or PMC or affiliates of such former officers.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shareholders, the selling shareholders intend to offer and sell the Class A shares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offering price per Class A share will be determined from time to time by the selling shareholders in connection with, and at the time of, the sale by such selling shareholders. The selling shareholders may price the Class A shares at:</w:t>
      </w:r>
    </w:p>
    <w:p>
      <w:pPr>
        <w:spacing w:after="0" w:line="213"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selling shareholders may act independently of us in making decisions with respect to the timing, manner and size of each of their sales.</w:t>
      </w:r>
    </w:p>
    <w:p>
      <w:pPr>
        <w:spacing w:after="0" w:line="248"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shareholders in the sale of Class A shares.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 connection with the offering of these Class A shares,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7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the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 We will cause PAA to pay all expenses (other than underwriting discounts and commissions) incurred by the selling shareholders.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29,265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149,265</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Section 17-108 of the Delaware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174"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its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Qualifying Interest Holders (as defined in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person who is or was an affiliate of its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person designated by its general partner</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power to indemnify the person against liabilities under Plains GP Holdings, L.P.'s partnership agreement.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on Form S-3, which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700" w:hanging="341"/>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right="40" w:firstLine="403"/>
        <w:spacing w:after="0" w:line="290" w:lineRule="auto"/>
        <w:tabs>
          <w:tab w:leader="none" w:pos="1774" w:val="left"/>
        </w:tabs>
        <w:numPr>
          <w:ilvl w:val="2"/>
          <w:numId w:val="3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100" w:firstLine="360"/>
        <w:spacing w:after="0" w:line="268" w:lineRule="auto"/>
        <w:tabs>
          <w:tab w:leader="none" w:pos="1779"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(i), (ii) and (iii) above do not apply if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97" w:lineRule="exact"/>
        <w:rPr>
          <w:sz w:val="20"/>
          <w:szCs w:val="20"/>
          <w:color w:val="auto"/>
        </w:rPr>
      </w:pPr>
    </w:p>
    <w:p>
      <w:pPr>
        <w:ind w:left="540" w:right="220" w:firstLine="359"/>
        <w:spacing w:after="0" w:line="259" w:lineRule="auto"/>
        <w:tabs>
          <w:tab w:leader="none" w:pos="12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20" w:firstLine="447"/>
        <w:spacing w:after="0" w:line="268" w:lineRule="auto"/>
        <w:tabs>
          <w:tab w:leader="none" w:pos="1772"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right="620"/>
        <w:spacing w:after="0" w:line="261" w:lineRule="auto"/>
        <w:rPr>
          <w:sz w:val="20"/>
          <w:szCs w:val="20"/>
          <w:color w:val="auto"/>
        </w:rPr>
      </w:pPr>
      <w:r>
        <w:rPr>
          <w:rFonts w:ascii="Arial" w:cs="Arial" w:eastAsia="Arial" w:hAnsi="Arial"/>
          <w:sz w:val="18"/>
          <w:szCs w:val="18"/>
          <w:color w:val="auto"/>
        </w:rPr>
        <w:t>Rule 430B relating to an offering made pursuant to Rule 415(a)(1)(i), (vii) or (x) for the purpose of providing the information required by Section 10(a) of the Securities Act shall be deemed to be part of and included in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88" w:lineRule="auto"/>
        <w:rPr>
          <w:sz w:val="20"/>
          <w:szCs w:val="20"/>
          <w:color w:val="auto"/>
        </w:rPr>
      </w:pPr>
      <w:r>
        <w:rPr>
          <w:rFonts w:ascii="Arial" w:cs="Arial" w:eastAsia="Arial" w:hAnsi="Arial"/>
          <w:sz w:val="16"/>
          <w:szCs w:val="16"/>
          <w:color w:val="auto"/>
        </w:rPr>
        <w:t>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4" w:lineRule="exact"/>
        <w:rPr>
          <w:sz w:val="20"/>
          <w:szCs w:val="20"/>
          <w:color w:val="auto"/>
        </w:rPr>
      </w:pPr>
    </w:p>
    <w:p>
      <w:pPr>
        <w:ind w:left="540" w:right="20" w:firstLine="359"/>
        <w:spacing w:after="0" w:line="255" w:lineRule="auto"/>
        <w:tabs>
          <w:tab w:leader="none" w:pos="121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80" w:hanging="253"/>
        <w:spacing w:after="0"/>
        <w:tabs>
          <w:tab w:leader="none" w:pos="1780" w:val="left"/>
        </w:tabs>
        <w:numPr>
          <w:ilvl w:val="2"/>
          <w:numId w:val="4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220" w:firstLine="403"/>
        <w:spacing w:after="0" w:line="268" w:lineRule="auto"/>
        <w:tabs>
          <w:tab w:leader="none" w:pos="1768"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80" w:right="40" w:firstLine="360"/>
        <w:spacing w:after="0" w:line="268" w:lineRule="auto"/>
        <w:tabs>
          <w:tab w:leader="none" w:pos="1779"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20" w:firstLine="359"/>
        <w:spacing w:after="0" w:line="256" w:lineRule="auto"/>
        <w:tabs>
          <w:tab w:leader="none" w:pos="6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firstLine="359"/>
        <w:spacing w:after="0" w:line="290" w:lineRule="auto"/>
        <w:tabs>
          <w:tab w:leader="none" w:pos="688"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June 2, 2017.</w:t>
      </w:r>
    </w:p>
    <w:p>
      <w:pPr>
        <w:spacing w:after="0" w:line="188"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p>
      <w:pPr>
        <w:ind w:left="556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HOLDINGS LLC, its general partner</w:t>
      </w:r>
    </w:p>
    <w:p>
      <w:pPr>
        <w:spacing w:after="0" w:line="22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GREG L. ARMSTRONG</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-65405</wp:posOffset>
            </wp:positionV>
            <wp:extent cx="2735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4860"/>
        <w:spacing w:after="0"/>
        <w:rPr>
          <w:sz w:val="20"/>
          <w:szCs w:val="20"/>
          <w:color w:val="auto"/>
        </w:rPr>
      </w:pPr>
      <w:r>
        <w:rPr>
          <w:rFonts w:ascii="Arial" w:cs="Arial" w:eastAsia="Arial" w:hAnsi="Arial"/>
          <w:sz w:val="18"/>
          <w:szCs w:val="18"/>
          <w:color w:val="auto"/>
        </w:rPr>
        <w:t>Greg L. Armstrong</w:t>
      </w:r>
    </w:p>
    <w:p>
      <w:pPr>
        <w:spacing w:after="0" w:line="9" w:lineRule="exact"/>
        <w:rPr>
          <w:sz w:val="20"/>
          <w:szCs w:val="20"/>
          <w:color w:val="auto"/>
        </w:rPr>
      </w:pPr>
    </w:p>
    <w:p>
      <w:pPr>
        <w:jc w:val="center"/>
        <w:ind w:left="486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ectPr>
          <w:pgSz w:w="11900" w:h="16838" w:orient="portrait"/>
          <w:cols w:equalWidth="0" w:num="1">
            <w:col w:w="11380"/>
          </w:cols>
          <w:pgMar w:left="240" w:top="131" w:right="27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PAA GP HOLDINGS LLC, for itself and as the general partner of PLAINS GP HOLDINGS L.P.</w:t>
      </w:r>
    </w:p>
    <w:p>
      <w:pPr>
        <w:spacing w:after="0" w:line="221" w:lineRule="exact"/>
        <w:rPr>
          <w:sz w:val="20"/>
          <w:szCs w:val="20"/>
          <w:color w:val="auto"/>
        </w:rPr>
      </w:pPr>
    </w:p>
    <w:p>
      <w:pPr>
        <w:ind w:left="2700"/>
        <w:spacing w:after="0"/>
        <w:tabs>
          <w:tab w:leader="none" w:pos="66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3820" w:type="dxa"/>
            <w:vAlign w:val="bottom"/>
            <w:vMerge w:val="restart"/>
          </w:tcPr>
          <w:p>
            <w:pPr>
              <w:jc w:val="center"/>
              <w:ind w:left="92"/>
              <w:spacing w:after="0"/>
              <w:rPr>
                <w:sz w:val="20"/>
                <w:szCs w:val="20"/>
                <w:color w:val="auto"/>
              </w:rPr>
            </w:pPr>
            <w:r>
              <w:rPr>
                <w:rFonts w:ascii="Arial" w:cs="Arial" w:eastAsia="Arial" w:hAnsi="Arial"/>
                <w:sz w:val="18"/>
                <w:szCs w:val="18"/>
                <w:color w:val="auto"/>
                <w:w w:val="90"/>
              </w:rPr>
              <w:t>Chairman of the Board and Chief Executive Officer</w:t>
            </w: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tcBorders>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0"/>
              </w:rPr>
              <w:t>Greg L. Armstrong</w:t>
            </w:r>
          </w:p>
        </w:tc>
        <w:tc>
          <w:tcPr>
            <w:tcW w:w="382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3820" w:type="dxa"/>
            <w:vAlign w:val="bottom"/>
            <w:vMerge w:val="restart"/>
          </w:tcPr>
          <w:p>
            <w:pPr>
              <w:jc w:val="center"/>
              <w:ind w:left="92"/>
              <w:spacing w:after="0"/>
              <w:rPr>
                <w:sz w:val="20"/>
                <w:szCs w:val="20"/>
                <w:color w:val="auto"/>
              </w:rPr>
            </w:pPr>
            <w:r>
              <w:rPr>
                <w:rFonts w:ascii="Arial" w:cs="Arial" w:eastAsia="Arial" w:hAnsi="Arial"/>
                <w:sz w:val="18"/>
                <w:szCs w:val="18"/>
                <w:color w:val="auto"/>
                <w:w w:val="90"/>
              </w:rPr>
              <w:t>President, Chief Operating Officer and Director</w:t>
            </w:r>
          </w:p>
        </w:tc>
        <w:tc>
          <w:tcPr>
            <w:tcW w:w="0" w:type="dxa"/>
            <w:vAlign w:val="bottom"/>
          </w:tcPr>
          <w:p>
            <w:pPr>
              <w:spacing w:after="0"/>
              <w:rPr>
                <w:sz w:val="1"/>
                <w:szCs w:val="1"/>
                <w:color w:val="auto"/>
              </w:rPr>
            </w:pPr>
          </w:p>
        </w:tc>
      </w:tr>
      <w:tr>
        <w:trPr>
          <w:trHeight w:val="97"/>
        </w:trPr>
        <w:tc>
          <w:tcPr>
            <w:tcW w:w="3660" w:type="dxa"/>
            <w:vAlign w:val="bottom"/>
            <w:tcBorders>
              <w:bottom w:val="single" w:sz="8" w:color="auto"/>
            </w:tcBorders>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Harry N. Pefanis</w:t>
            </w:r>
          </w:p>
        </w:tc>
        <w:tc>
          <w:tcPr>
            <w:tcW w:w="3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3660" w:type="dxa"/>
            <w:vAlign w:val="bottom"/>
          </w:tcPr>
          <w:p>
            <w:pPr>
              <w:jc w:val="center"/>
              <w:spacing w:after="0"/>
              <w:rPr>
                <w:sz w:val="20"/>
                <w:szCs w:val="20"/>
                <w:color w:val="auto"/>
              </w:rPr>
            </w:pPr>
            <w:r>
              <w:rPr>
                <w:rFonts w:ascii="Arial" w:cs="Arial" w:eastAsia="Arial" w:hAnsi="Arial"/>
                <w:sz w:val="18"/>
                <w:szCs w:val="18"/>
                <w:color w:val="auto"/>
                <w:w w:val="96"/>
              </w:rPr>
              <w:t>/s/ WILLIE C. CHIANG</w:t>
            </w:r>
          </w:p>
        </w:tc>
        <w:tc>
          <w:tcPr>
            <w:tcW w:w="3820" w:type="dxa"/>
            <w:vAlign w:val="bottom"/>
            <w:vMerge w:val="restart"/>
          </w:tcPr>
          <w:p>
            <w:pPr>
              <w:jc w:val="center"/>
              <w:ind w:left="92"/>
              <w:spacing w:after="0"/>
              <w:rPr>
                <w:sz w:val="20"/>
                <w:szCs w:val="20"/>
                <w:color w:val="auto"/>
              </w:rPr>
            </w:pPr>
            <w:r>
              <w:rPr>
                <w:rFonts w:ascii="Arial" w:cs="Arial" w:eastAsia="Arial" w:hAnsi="Arial"/>
                <w:sz w:val="18"/>
                <w:szCs w:val="18"/>
                <w:color w:val="auto"/>
                <w:w w:val="89"/>
              </w:rPr>
              <w:t>Executive Vice President, Chief Operating Officer</w:t>
            </w: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tcBorders>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Willie C. Chiang</w:t>
            </w:r>
          </w:p>
        </w:tc>
        <w:tc>
          <w:tcPr>
            <w:tcW w:w="382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0"/>
              </w:rPr>
              <w:t>(U.S.) and Director</w:t>
            </w: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4"/>
                <w:szCs w:val="24"/>
                <w:color w:val="auto"/>
              </w:rPr>
            </w:pPr>
          </w:p>
        </w:tc>
        <w:tc>
          <w:tcPr>
            <w:tcW w:w="3820" w:type="dxa"/>
            <w:vAlign w:val="bottom"/>
          </w:tcPr>
          <w:p>
            <w:pPr>
              <w:ind w:left="76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30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ectPr>
          <w:pgSz w:w="11900" w:h="16838" w:orient="portrait"/>
          <w:cols w:equalWidth="0" w:num="2">
            <w:col w:w="8640" w:space="480"/>
            <w:col w:w="2260"/>
          </w:cols>
          <w:pgMar w:left="240" w:top="131" w:right="27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27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tabs>
          <w:tab w:leader="none" w:pos="2720" w:val="left"/>
        </w:tabs>
        <w:rPr>
          <w:sz w:val="20"/>
          <w:szCs w:val="20"/>
          <w:color w:val="auto"/>
        </w:rPr>
      </w:pPr>
      <w:r>
        <w:rPr>
          <w:rFonts w:ascii="Arial" w:cs="Arial" w:eastAsia="Arial" w:hAnsi="Arial"/>
          <w:sz w:val="12"/>
          <w:szCs w:val="12"/>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23" w:lineRule="exact"/>
        <w:rPr>
          <w:sz w:val="20"/>
          <w:szCs w:val="20"/>
          <w:color w:val="auto"/>
        </w:rPr>
      </w:pPr>
    </w:p>
    <w:p>
      <w:pPr>
        <w:sectPr>
          <w:pgSz w:w="11900" w:h="16838" w:orient="portrait"/>
          <w:cols w:equalWidth="0" w:num="2">
            <w:col w:w="5960" w:space="720"/>
            <w:col w:w="3539"/>
          </w:cols>
          <w:pgMar w:left="240" w:top="131" w:right="1440" w:bottom="1440" w:gutter="0" w:footer="0" w:header="0"/>
        </w:sectPr>
      </w:pPr>
    </w:p>
    <w:p>
      <w:pPr>
        <w:spacing w:after="0" w:line="265"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Al Swanson</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Chris Herbold</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Victor Burk</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6"/>
          <w:szCs w:val="16"/>
          <w:color w:val="auto"/>
        </w:rPr>
        <w:t>/s/ BERNARD (BEN) FIGLOCK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3323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1"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Bernard (Ben) Figlock</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EVERARDO GOYANES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Everardo Goyanes</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Gary R. Petersen</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John T. Raymond</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Bobby S. Shackouls</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Robert V. Sinnott</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/s/ J. TAFT SYMONDS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J. Taft Symonds</w:t>
      </w:r>
    </w:p>
    <w:p>
      <w:pPr>
        <w:spacing w:after="0" w:line="252" w:lineRule="exact"/>
        <w:rPr>
          <w:sz w:val="20"/>
          <w:szCs w:val="20"/>
          <w:color w:val="auto"/>
        </w:rPr>
      </w:pPr>
    </w:p>
    <w:p>
      <w:pPr>
        <w:jc w:val="center"/>
        <w:ind w:left="164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3323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Christopher M. Temple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 (Principal Financial Officer)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Vice President—Accounting and Chief Accounting</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 (Principal Accounting Officer)</w:t>
      </w:r>
    </w:p>
    <w:p>
      <w:pPr>
        <w:spacing w:after="0" w:line="200" w:lineRule="exact"/>
        <w:rPr>
          <w:sz w:val="20"/>
          <w:szCs w:val="20"/>
          <w:color w:val="auto"/>
        </w:rPr>
      </w:pPr>
    </w:p>
    <w:p>
      <w:pPr>
        <w:spacing w:after="0" w:line="3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2, 2017</w:t>
      </w:r>
    </w:p>
    <w:p>
      <w:pPr>
        <w:sectPr>
          <w:pgSz w:w="11900" w:h="16838" w:orient="portrait"/>
          <w:cols w:equalWidth="0" w:num="3">
            <w:col w:w="4300" w:space="720"/>
            <w:col w:w="3600" w:space="500"/>
            <w:col w:w="1099"/>
          </w:cols>
          <w:pgMar w:left="240" w:top="131" w:right="1440"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219"/>
          </w:cols>
          <w:pgMar w:left="240" w:top="131" w:right="1440"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3759"/>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14605</wp:posOffset>
            </wp:positionV>
            <wp:extent cx="52825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060" w:space="720"/>
            <w:col w:w="4439"/>
          </w:cols>
          <w:pgMar w:left="240" w:top="131" w:right="1440" w:bottom="1440" w:gutter="0" w:footer="0" w:header="0"/>
          <w:type w:val="continuous"/>
        </w:sectPr>
      </w:pPr>
    </w:p>
    <w:p>
      <w:pPr>
        <w:ind w:left="1560"/>
        <w:spacing w:after="0"/>
        <w:rPr>
          <w:sz w:val="20"/>
          <w:szCs w:val="20"/>
          <w:color w:val="auto"/>
        </w:rPr>
      </w:pPr>
      <w:r>
        <w:rPr>
          <w:rFonts w:ascii="Arial" w:cs="Arial" w:eastAsia="Arial" w:hAnsi="Arial"/>
          <w:sz w:val="18"/>
          <w:szCs w:val="18"/>
          <w:color w:val="auto"/>
        </w:rPr>
        <w:t>1.1**Form of Underwriting Agreement.</w:t>
      </w:r>
    </w:p>
    <w:p>
      <w:pPr>
        <w:spacing w:after="0" w:line="217" w:lineRule="exact"/>
        <w:rPr>
          <w:sz w:val="20"/>
          <w:szCs w:val="20"/>
          <w:color w:val="auto"/>
        </w:rPr>
      </w:pPr>
    </w:p>
    <w:p>
      <w:pPr>
        <w:ind w:left="1560"/>
        <w:spacing w:after="0"/>
        <w:tabs>
          <w:tab w:leader="none" w:pos="1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Simplification Agreement, dated as of July 11, 2016, by and among PAA GP Holdings LLC, Plains GP</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Holdings, L.P., Plains All American GP LLC, Plains AAP, L.P., PAA GP LLC and Plains All American Pipeline, L.P.</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(incorporated by reference to Exhibit 2.1 to Plains All American Pipeline, L.P.'s Form 8-K filed on July 14, 2016).</w:t>
      </w:r>
    </w:p>
    <w:p>
      <w:pPr>
        <w:spacing w:after="0" w:line="242" w:lineRule="exact"/>
        <w:rPr>
          <w:sz w:val="20"/>
          <w:szCs w:val="20"/>
          <w:color w:val="auto"/>
        </w:rPr>
      </w:pPr>
    </w:p>
    <w:p>
      <w:pPr>
        <w:ind w:left="1560"/>
        <w:spacing w:after="0"/>
        <w:tabs>
          <w:tab w:leader="none" w:pos="1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Limited Partnership Agreement of Plains GP Holdings, L.P., dated as of</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November 15, 2016 (incorporated by reference to Exhibit 3.1 to the Current Report on Form 8-K filed November 15,</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2016).</w:t>
      </w:r>
    </w:p>
    <w:p>
      <w:pPr>
        <w:spacing w:after="0" w:line="219" w:lineRule="exact"/>
        <w:rPr>
          <w:sz w:val="20"/>
          <w:szCs w:val="20"/>
          <w:color w:val="auto"/>
        </w:rPr>
      </w:pPr>
    </w:p>
    <w:p>
      <w:pPr>
        <w:ind w:left="1960" w:right="239" w:hanging="394"/>
        <w:spacing w:after="0" w:line="259" w:lineRule="auto"/>
        <w:tabs>
          <w:tab w:leader="none" w:pos="1940" w:val="left"/>
        </w:tabs>
        <w:rPr>
          <w:sz w:val="20"/>
          <w:szCs w:val="20"/>
          <w:color w:val="auto"/>
        </w:rPr>
      </w:pPr>
      <w:r>
        <w:rPr>
          <w:rFonts w:ascii="Arial" w:cs="Arial" w:eastAsia="Arial" w:hAnsi="Arial"/>
          <w:sz w:val="18"/>
          <w:szCs w:val="18"/>
          <w:color w:val="auto"/>
        </w:rPr>
        <w:t>3.2</w:t>
        <w:tab/>
        <w:t>Third Amended and Restated Limited Liability Company Agreement of PAA GP Holdings LLC, dated as of February 16, 2017 (incorporated by reference to Exhibit 3.1 to the Current Report on Form 8-K filed February 21, 2017).</w:t>
      </w:r>
    </w:p>
    <w:p>
      <w:pPr>
        <w:spacing w:after="0" w:line="194" w:lineRule="exact"/>
        <w:rPr>
          <w:sz w:val="20"/>
          <w:szCs w:val="20"/>
          <w:color w:val="auto"/>
        </w:rPr>
      </w:pPr>
    </w:p>
    <w:p>
      <w:pPr>
        <w:ind w:left="1960" w:right="579" w:hanging="394"/>
        <w:spacing w:after="0" w:line="268" w:lineRule="auto"/>
        <w:tabs>
          <w:tab w:leader="none" w:pos="1940" w:val="left"/>
        </w:tabs>
        <w:rPr>
          <w:sz w:val="20"/>
          <w:szCs w:val="20"/>
          <w:color w:val="auto"/>
        </w:rPr>
      </w:pPr>
      <w:r>
        <w:rPr>
          <w:rFonts w:ascii="Arial" w:cs="Arial" w:eastAsia="Arial" w:hAnsi="Arial"/>
          <w:sz w:val="18"/>
          <w:szCs w:val="18"/>
          <w:color w:val="auto"/>
        </w:rPr>
        <w:t>4.1</w:t>
        <w:tab/>
        <w:t>Specimen certificate representing Class A shares (incorporated by reference to Exhibit 4.1 of the Registration Statement on Form S-3 filed December 8, 2016).</w:t>
      </w:r>
    </w:p>
    <w:p>
      <w:pPr>
        <w:spacing w:after="0" w:line="186" w:lineRule="exact"/>
        <w:rPr>
          <w:sz w:val="20"/>
          <w:szCs w:val="20"/>
          <w:color w:val="auto"/>
        </w:rPr>
      </w:pPr>
    </w:p>
    <w:p>
      <w:pPr>
        <w:ind w:left="1960" w:right="19" w:hanging="394"/>
        <w:spacing w:after="0" w:line="259" w:lineRule="auto"/>
        <w:tabs>
          <w:tab w:leader="none" w:pos="1940" w:val="left"/>
        </w:tabs>
        <w:rPr>
          <w:sz w:val="20"/>
          <w:szCs w:val="20"/>
          <w:color w:val="auto"/>
        </w:rPr>
      </w:pPr>
      <w:r>
        <w:rPr>
          <w:rFonts w:ascii="Arial" w:cs="Arial" w:eastAsia="Arial" w:hAnsi="Arial"/>
          <w:sz w:val="18"/>
          <w:szCs w:val="18"/>
          <w:color w:val="auto"/>
        </w:rPr>
        <w:t>4.2</w:t>
        <w:tab/>
        <w:t>Shareholder and Registration Rights Agreement dated October 21, 2013, by and among Plains GP Holdings, L.P. and the other parties signatory thereto (incorporated by reference to Exhibit 4.1 to the Current Report on Form 8-K filed October 25, 2013).</w:t>
      </w:r>
    </w:p>
    <w:p>
      <w:pPr>
        <w:spacing w:after="0" w:line="19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5.1* Opinion of Vinson &amp; Elkins L.L.P. as to the legality of the securities being registered.</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8.1* Opinion of Vinson &amp; Elkins L.L.P. relating to tax matters.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23.1* Consent of PricewaterhouseCoopers LLP.</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23.2* Consent of Vinson &amp; Elkins L.L.P. (contained in Exhibits 5.1 and 8.1).</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24.1* Power of Attorney (included on signature pages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left="5580" w:right="179" w:hanging="4431"/>
        <w:spacing w:after="0" w:line="519" w:lineRule="auto"/>
        <w:tabs>
          <w:tab w:leader="none" w:pos="168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a post-effective amendment to this registration statement.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rPr>
          <w:rFonts w:ascii="Arial" w:cs="Arial" w:eastAsia="Arial" w:hAnsi="Arial"/>
          <w:sz w:val="22"/>
          <w:szCs w:val="22"/>
          <w:color w:val="0000EE"/>
        </w:rPr>
      </w:pPr>
      <w:hyperlink w:anchor="page5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55445"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5544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June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acted as counsel to Plains GP Holdings,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in connection with the preparation and filing of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or about the date hereof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connection with the registration by the Partnership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 and sale,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from time to time, pursuant to Rule 415 under the Securities Act, by the selling shareholders named in the Registration Statement, of Class A shares representing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 interests in the Partnership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the basis for the opinion hereinafter expressed, we examined such statutes, including the Delaware Revised Uniform Limited Partnership Act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Delaware LP Act</w:t>
      </w:r>
      <w:r>
        <w:rPr>
          <w:rFonts w:ascii="Arial" w:cs="Arial" w:eastAsia="Arial" w:hAnsi="Arial"/>
          <w:sz w:val="15"/>
          <w:szCs w:val="15"/>
          <w:color w:val="auto"/>
        </w:rPr>
        <w:t>"), and the Partnership's records and documents, certificates of the Partnership and public officials, and other instruments and documents as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deemed necessary or advisable for the purposes of this opinion. In such examination, we have assumed (i) the authenticity of all documents submitted to us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originals and the conformity with the original documents of all documents submitted to us as copies; (ii) that all signatures on each such document examined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 are genuine; (iii) that the Registration Statement, and any amendments thereto (including post-effective amendments), will have become effective; and (iv)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all Shares will be issued and sold in compliance with applicable federal and state securities laws and in the manner stated in the Registration Statement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appropriate Prospectus Supplement.</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Based upon and subject to the foregoing, we are of the opinion that the Shares, when issued and delivered against payment therefor as described in the Registration Statement, will be duly authorized, validly issued, fully paid (to the extent required under the Partnership Agreement) and non-assessable (except as such nonassessability may be affected by Sections 17-303, 17-607 or 17-804 of the Delaware LP Act).</w:t>
      </w:r>
    </w:p>
    <w:p>
      <w:pPr>
        <w:spacing w:after="0" w:line="16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39"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597535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93980</wp:posOffset>
            </wp:positionV>
            <wp:extent cx="5866130" cy="368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6130" cy="36893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50" w:name="page51"/>
    <w:bookmarkEnd w:id="50"/>
    <w:p>
      <w:pPr>
        <w:ind w:left="8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998220</wp:posOffset>
            </wp:positionH>
            <wp:positionV relativeFrom="page">
              <wp:posOffset>303530</wp:posOffset>
            </wp:positionV>
            <wp:extent cx="51435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14350" cy="214630"/>
                    </a:xfrm>
                    <a:prstGeom prst="rect">
                      <a:avLst/>
                    </a:prstGeom>
                    <a:noFill/>
                  </pic:spPr>
                </pic:pic>
              </a:graphicData>
            </a:graphic>
          </wp:anchor>
        </w:drawing>
        <w:t>June 2, 2017 Page 2</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590" w:right="65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52" w:name="page53"/>
    <w:bookmarkEnd w:id="52"/>
    <w:p>
      <w:pPr>
        <w:spacing w:after="0"/>
        <w:rPr>
          <w:rFonts w:ascii="Arial" w:cs="Arial" w:eastAsia="Arial" w:hAnsi="Arial"/>
          <w:sz w:val="22"/>
          <w:szCs w:val="22"/>
          <w:color w:val="0000EE"/>
        </w:rPr>
      </w:pPr>
      <w:hyperlink w:anchor="page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55445"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5544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June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acted as counsel for Plains GP Holdings, L.P.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a Delaware limited partnership that has elected to be treated as a corporation for U.S. federal income tax purposes, with respect to certain legal matters in connection with the preparation of a Prospectus dated on or about the date hereof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which this opinion is an exhibit.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Class A shares representing limited partner interests in PAGP.</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 xml:space="preserve">This opinion is based on various facts and assumptions, and is conditioned upon certain representations made by PAGP as to factual matters through a certificate of an officer of PAGP (the </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In addition, this opinion is based upon the factual representations of PAGP concerning its business, properties and governing documents as set forth in the Registration Statement.</w:t>
      </w:r>
    </w:p>
    <w:p>
      <w:pPr>
        <w:spacing w:after="0" w:line="19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may affect the conclusions stated herein.</w:t>
      </w:r>
    </w:p>
    <w:p>
      <w:pPr>
        <w:spacing w:after="0" w:line="174"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634365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130810</wp:posOffset>
            </wp:positionV>
            <wp:extent cx="5866130" cy="368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66130" cy="36893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53" w:name="page54"/>
    <w:bookmarkEnd w:id="53"/>
    <w:p>
      <w:pPr>
        <w:ind w:firstLine="34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1435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14350" cy="214630"/>
                    </a:xfrm>
                    <a:prstGeom prst="rect">
                      <a:avLst/>
                    </a:prstGeom>
                    <a:noFill/>
                  </pic:spPr>
                </pic:pic>
              </a:graphicData>
            </a:graphic>
          </wp:anchor>
        </w:drawing>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70"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55" w:name="page56"/>
    <w:bookmarkEnd w:id="55"/>
    <w:p>
      <w:pPr>
        <w:spacing w:after="0"/>
        <w:rPr>
          <w:rFonts w:ascii="Arial" w:cs="Arial" w:eastAsia="Arial" w:hAnsi="Arial"/>
          <w:sz w:val="22"/>
          <w:szCs w:val="22"/>
          <w:color w:val="0000EE"/>
        </w:rPr>
      </w:pPr>
      <w:hyperlink w:anchor="page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23, 2017 relating to the financial statements and the effectiveness of internal control over financial reporting, which appears in Plains GP Holdings, L.P.'s Annual Report on Form 10-K for the year ended December 31, 2016.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5"/>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lowerRoman"/>
      <w:start w:val="3"/>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153EA438"/>
    <w:multiLevelType w:val="hybridMultilevel"/>
    <w:lvl w:ilvl="0">
      <w:lvlJc w:val="left"/>
      <w:lvlText w:val="(%1)"/>
      <w:numFmt w:val="lowerLetter"/>
      <w:start w:val="2"/>
    </w:lvl>
    <w:lvl w:ilvl="1">
      <w:lvlJc w:val="left"/>
      <w:lvlText w:val="(%2)"/>
      <w:numFmt w:val="lowerRoman"/>
      <w:start w:val="1"/>
    </w:lvl>
  </w:abstractNum>
  <w:abstractNum w:abstractNumId="39">
    <w:nsid w:val="3855585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0">
    <w:nsid w:val="70A64E2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2020-01-17T12:13:59Z</dcterms:created>
  <dcterms:modified xsi:type="dcterms:W3CDTF">2020-01-17T12:13:59Z</dcterms:modified>
</cp:coreProperties>
</file>