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scotch"/>
      <w:bookmarkStart w:id="1" w:name="a06-16445_18k.htm"/>
      <w:bookmarkStart w:id="2" w:name="ksa0616445_18k"/>
      <w:bookmarkEnd w:id="0"/>
      <w:bookmarkEnd w:id="1"/>
      <w:bookmarkEnd w:id="2"/>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24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240"/>
        <w:ind w:left="0" w:right="0" w:hanging="0"/>
        <w:jc w:val="center"/>
        <w:rPr>
          <w:rFonts w:ascii="Times New Roman" w:hAnsi="Times New Roman"/>
          <w:b/>
          <w:sz w:val="30"/>
        </w:rPr>
      </w:pPr>
      <w:r>
        <w:rPr>
          <w:rFonts w:ascii="Times New Roman" w:hAnsi="Times New Roman"/>
          <w:b/>
          <w:sz w:val="30"/>
        </w:rPr>
        <w:t>FORM 8-K</w:t>
      </w:r>
    </w:p>
    <w:p>
      <w:pPr>
        <w:pStyle w:val="TextBody"/>
        <w:spacing w:before="0" w:after="24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spacing w:before="0" w:after="24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July 19, 2006</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240"/>
        <w:ind w:left="0" w:right="0" w:hanging="0"/>
        <w:jc w:val="center"/>
        <w:rPr>
          <w:rFonts w:ascii="Times New Roman" w:hAnsi="Times New Roman"/>
          <w:sz w:val="17"/>
        </w:rPr>
      </w:pPr>
      <w:r>
        <w:rPr>
          <w:rFonts w:ascii="Times New Roman" w:hAnsi="Times New Roman"/>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262"/>
        <w:gridCol w:w="209"/>
        <w:gridCol w:w="3262"/>
        <w:gridCol w:w="209"/>
        <w:gridCol w:w="3263"/>
      </w:tblGrid>
      <w:tr>
        <w:trPr/>
        <w:tc>
          <w:tcPr>
            <w:tcW w:w="3262" w:type="dxa"/>
            <w:tcBorders/>
            <w:shd w:fill="auto" w:val="clear"/>
          </w:tcPr>
          <w:p>
            <w:pPr>
              <w:pStyle w:val="TableContents"/>
              <w:spacing w:before="0" w:after="0"/>
              <w:ind w:left="0" w:right="0" w:hanging="0"/>
              <w:jc w:val="center"/>
              <w:rPr>
                <w:b/>
                <w:sz w:val="17"/>
              </w:rPr>
            </w:pPr>
            <w:r>
              <w:rPr>
                <w:b/>
                <w:sz w:val="17"/>
              </w:rPr>
              <w:t>DELAWARE</w:t>
            </w:r>
          </w:p>
        </w:tc>
        <w:tc>
          <w:tcPr>
            <w:tcW w:w="209" w:type="dxa"/>
            <w:tcBorders/>
            <w:shd w:fill="auto" w:val="clear"/>
            <w:vAlign w:val="bottom"/>
          </w:tcPr>
          <w:p>
            <w:pPr>
              <w:pStyle w:val="TableContents"/>
              <w:spacing w:before="0" w:after="0"/>
              <w:ind w:left="0" w:right="0" w:hanging="0"/>
              <w:jc w:val="center"/>
              <w:rPr/>
            </w:pPr>
            <w:r>
              <w:rPr/>
              <w:t> </w:t>
            </w:r>
          </w:p>
        </w:tc>
        <w:tc>
          <w:tcPr>
            <w:tcW w:w="326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9" w:type="dxa"/>
            <w:tcBorders/>
            <w:shd w:fill="auto" w:val="clear"/>
            <w:vAlign w:val="bottom"/>
          </w:tcPr>
          <w:p>
            <w:pPr>
              <w:pStyle w:val="TableContents"/>
              <w:spacing w:before="0" w:after="0"/>
              <w:ind w:left="0" w:right="0" w:hanging="0"/>
              <w:jc w:val="center"/>
              <w:rPr/>
            </w:pPr>
            <w:r>
              <w:rPr/>
              <w:t> </w:t>
            </w:r>
          </w:p>
        </w:tc>
        <w:tc>
          <w:tcPr>
            <w:tcW w:w="3263"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9" w:type="dxa"/>
            <w:tcBorders/>
            <w:shd w:fill="auto" w:val="clear"/>
            <w:vAlign w:val="bottom"/>
          </w:tcPr>
          <w:p>
            <w:pPr>
              <w:pStyle w:val="TableContents"/>
              <w:spacing w:before="0" w:after="0"/>
              <w:ind w:left="0" w:right="0" w:hanging="0"/>
              <w:jc w:val="center"/>
              <w:rPr/>
            </w:pPr>
            <w:r>
              <w:rPr/>
              <w:t> </w:t>
            </w:r>
          </w:p>
        </w:tc>
        <w:tc>
          <w:tcPr>
            <w:tcW w:w="32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9" w:type="dxa"/>
            <w:tcBorders/>
            <w:shd w:fill="auto" w:val="clear"/>
            <w:vAlign w:val="bottom"/>
          </w:tcPr>
          <w:p>
            <w:pPr>
              <w:pStyle w:val="TableContents"/>
              <w:spacing w:before="0" w:after="0"/>
              <w:ind w:left="0" w:right="0" w:hanging="0"/>
              <w:jc w:val="center"/>
              <w:rPr/>
            </w:pPr>
            <w:r>
              <w:rPr/>
              <w:t> </w:t>
            </w:r>
          </w:p>
        </w:tc>
        <w:tc>
          <w:tcPr>
            <w:tcW w:w="326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lineRule="atLeast" w:line="141" w:before="0" w:after="24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24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48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24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24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240"/>
        <w:ind w:left="0" w:right="0" w:hanging="0"/>
        <w:rPr>
          <w:rFonts w:ascii="Times New Roman" w:hAnsi="Times New Roman"/>
          <w:sz w:val="17"/>
        </w:rPr>
      </w:pPr>
      <w:r>
        <w:rPr>
          <w:rFonts w:ascii="Wingdings" w:hAnsi="Wingdings"/>
          <w:sz w:val="17"/>
        </w:rPr>
        <w:t>x</w:t>
      </w:r>
      <w:r>
        <w:rPr>
          <w:rFonts w:ascii="Times New Roman" w:hAnsi="Times New Roman"/>
          <w:sz w:val="17"/>
        </w:rPr>
        <w:t>    Written communications pursuant to Rule 425 under the Securities Act (17 CFR 230.425)</w:t>
      </w:r>
    </w:p>
    <w:p>
      <w:pPr>
        <w:pStyle w:val="TextBody"/>
        <w:spacing w:before="0" w:after="24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24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24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16" w:space="1" w:color="000000"/>
        </w:rPr>
      </w:pPr>
      <w:r>
        <w:rPr>
          <w:bdr w:val="double" w:sz="16" w:space="1" w:color="000000"/>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hanging="0"/>
        <w:jc w:val="left"/>
        <w:rPr>
          <w:rFonts w:ascii="Times New Roman" w:hAnsi="Times New Roman"/>
          <w:b/>
          <w:sz w:val="17"/>
        </w:rPr>
      </w:pPr>
      <w:r>
        <w:rPr>
          <w:rFonts w:ascii="Times New Roman" w:hAnsi="Times New Roman"/>
          <w:b/>
          <w:sz w:val="17"/>
        </w:rPr>
        <w:t>Item 1.01       Entry into a Material Definitive Agreement</w:t>
      </w:r>
    </w:p>
    <w:p>
      <w:pPr>
        <w:pStyle w:val="TextBody"/>
        <w:spacing w:before="0" w:after="240"/>
        <w:ind w:left="0" w:right="0" w:hanging="0"/>
        <w:jc w:val="left"/>
        <w:rPr>
          <w:rFonts w:ascii="Times New Roman" w:hAnsi="Times New Roman"/>
          <w:sz w:val="17"/>
        </w:rPr>
      </w:pPr>
      <w:r>
        <w:rPr>
          <w:rFonts w:ascii="Times New Roman" w:hAnsi="Times New Roman"/>
          <w:sz w:val="17"/>
        </w:rPr>
        <w:t>On July 19, 2006, Plains All American Pipeline, L.P. (the Partnership), Pacific Energy Partners, L.P., a Delaware limited partnership (PPX), Pacific Energy GP, LP, a Delaware limited partnership and the general partner of PPX, Pacific Energy Management LLC, a Delaware limited liability company, Plains AAP, L.P., a Delaware limited partnership, and Plains All American GP LLC, a Delaware limited liability company, entered into the First Amendment to Agreement and Plan of Merger which amended and restated in its entirety Section 7.1(d) of that certain Agreement and Plan of Merger among the parties dated as of June 11, 2006 (the Original Agreement).</w:t>
      </w:r>
    </w:p>
    <w:p>
      <w:pPr>
        <w:pStyle w:val="TextBody"/>
        <w:spacing w:before="0" w:after="240"/>
        <w:ind w:left="0" w:right="0" w:hanging="0"/>
        <w:jc w:val="left"/>
        <w:rPr>
          <w:rFonts w:ascii="Times New Roman" w:hAnsi="Times New Roman"/>
          <w:sz w:val="17"/>
        </w:rPr>
      </w:pPr>
      <w:r>
        <w:rPr>
          <w:rFonts w:ascii="Times New Roman" w:hAnsi="Times New Roman"/>
          <w:sz w:val="17"/>
        </w:rPr>
        <w:t>The First Amendment to Agreement and Plan of Merger provides that on or prior to the 30</w:t>
      </w:r>
      <w:r>
        <w:rPr>
          <w:rFonts w:ascii="Times New Roman" w:hAnsi="Times New Roman"/>
          <w:sz w:val="11"/>
        </w:rPr>
        <w:t>th</w:t>
      </w:r>
      <w:r>
        <w:rPr>
          <w:rFonts w:ascii="Times New Roman" w:hAnsi="Times New Roman"/>
          <w:sz w:val="17"/>
        </w:rPr>
        <w:t> day following the day on which the effective time of the merger occurs, the Partnership shall pay or cause to be paid certain retention benefits to specified employees, rather than payment prior to the effective time of the merger by PPX, as contemplated in the Original Agreement.</w:t>
      </w:r>
    </w:p>
    <w:p>
      <w:pPr>
        <w:pStyle w:val="TextBody"/>
        <w:spacing w:before="0" w:after="240"/>
        <w:ind w:left="0" w:right="0" w:hanging="0"/>
        <w:jc w:val="left"/>
        <w:rPr>
          <w:rFonts w:ascii="Times New Roman" w:hAnsi="Times New Roman"/>
          <w:b/>
          <w:sz w:val="17"/>
        </w:rPr>
      </w:pPr>
      <w:r>
        <w:rPr>
          <w:rFonts w:ascii="Times New Roman" w:hAnsi="Times New Roman"/>
          <w:b/>
          <w:sz w:val="17"/>
        </w:rPr>
        <w:t>Item 9.01       Financial Statements and Exhibits.</w:t>
      </w:r>
    </w:p>
    <w:p>
      <w:pPr>
        <w:pStyle w:val="TextBody"/>
        <w:spacing w:before="0" w:after="240"/>
        <w:ind w:left="342" w:right="0" w:hanging="342"/>
        <w:jc w:val="left"/>
        <w:rPr>
          <w:rFonts w:ascii="Times New Roman" w:hAnsi="Times New Roman"/>
          <w:sz w:val="17"/>
        </w:rPr>
      </w:pPr>
      <w:r>
        <w:rPr>
          <w:rFonts w:ascii="Times New Roman" w:hAnsi="Times New Roman"/>
          <w:sz w:val="17"/>
        </w:rPr>
        <w:t xml:space="preserve">(d)        </w:t>
      </w:r>
      <w:r>
        <w:rPr>
          <w:rFonts w:ascii="Times New Roman" w:hAnsi="Times New Roman"/>
          <w:i/>
          <w:sz w:val="17"/>
        </w:rPr>
        <w:t>Exhibits</w:t>
      </w:r>
      <w:r>
        <w:rPr>
          <w:rFonts w:ascii="Times New Roman" w:hAnsi="Times New Roman"/>
          <w:sz w:val="17"/>
        </w:rPr>
        <w:t>.  The following exhibit is filed as part of this Current Report on Form 8-K:</w:t>
      </w:r>
    </w:p>
    <w:p>
      <w:pPr>
        <w:pStyle w:val="TextBody"/>
        <w:spacing w:before="0" w:after="480"/>
        <w:ind w:left="700" w:right="0" w:hanging="360"/>
        <w:jc w:val="left"/>
        <w:rPr>
          <w:rFonts w:ascii="Times New Roman" w:hAnsi="Times New Roman"/>
          <w:sz w:val="17"/>
        </w:rPr>
      </w:pPr>
      <w:r>
        <w:rPr>
          <w:rFonts w:ascii="Times New Roman" w:hAnsi="Times New Roman"/>
          <w:sz w:val="17"/>
        </w:rPr>
        <w:t>2.1         First Amendment to Agreement and Plan of Merger, dated July 19, 2006, by and among Pacific Energy Partners, L.P., Pacific Energy GP, LP, Pacific Energy Management LLC, Plains All American Pipeline, L.P., Plains AAP, L.P. and Plains All American GP LLC.</w:t>
      </w:r>
    </w:p>
    <w:p>
      <w:pPr>
        <w:pStyle w:val="TextBody"/>
        <w:spacing w:before="0" w:after="240"/>
        <w:ind w:left="0" w:right="0" w:hanging="0"/>
        <w:jc w:val="center"/>
        <w:rPr>
          <w:rFonts w:ascii="Times New Roman" w:hAnsi="Times New Roman"/>
          <w:b/>
          <w:sz w:val="17"/>
        </w:rPr>
      </w:pPr>
      <w:r>
        <w:rPr>
          <w:rFonts w:ascii="Times New Roman" w:hAnsi="Times New Roman"/>
          <w:b/>
          <w:sz w:val="17"/>
        </w:rPr>
        <w:t>SIGNATURES</w:t>
      </w:r>
    </w:p>
    <w:p>
      <w:pPr>
        <w:pStyle w:val="TextBody"/>
        <w:keepNext w:val="true"/>
        <w:spacing w:before="0" w:after="240"/>
        <w:ind w:left="0" w:right="0" w:hanging="0"/>
        <w:jc w:val="left"/>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tbl>
      <w:tblPr>
        <w:tblW w:w="5000" w:type="pct"/>
        <w:jc w:val="left"/>
        <w:tblInd w:w="0" w:type="dxa"/>
        <w:tblCellMar>
          <w:top w:w="0" w:type="dxa"/>
          <w:left w:w="0" w:type="dxa"/>
          <w:bottom w:w="0" w:type="dxa"/>
          <w:right w:w="0" w:type="dxa"/>
        </w:tblCellMar>
      </w:tblPr>
      <w:tblGrid>
        <w:gridCol w:w="4790"/>
        <w:gridCol w:w="520"/>
        <w:gridCol w:w="521"/>
        <w:gridCol w:w="4374"/>
      </w:tblGrid>
      <w:tr>
        <w:trPr/>
        <w:tc>
          <w:tcPr>
            <w:tcW w:w="4790" w:type="dxa"/>
            <w:tcBorders/>
            <w:shd w:fill="auto" w:val="clear"/>
          </w:tcPr>
          <w:p>
            <w:pPr>
              <w:pStyle w:val="TableContents"/>
              <w:spacing w:before="0" w:after="283"/>
              <w:ind w:left="0" w:right="0" w:hanging="0"/>
              <w:rPr>
                <w:sz w:val="4"/>
                <w:szCs w:val="4"/>
              </w:rPr>
            </w:pPr>
            <w:r>
              <w:rPr>
                <w:sz w:val="4"/>
                <w:szCs w:val="4"/>
              </w:rPr>
            </w:r>
          </w:p>
        </w:tc>
        <w:tc>
          <w:tcPr>
            <w:tcW w:w="541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4790"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4895" w:type="dxa"/>
            <w:gridSpan w:val="2"/>
            <w:tcBorders/>
            <w:shd w:fill="auto" w:val="clear"/>
          </w:tcPr>
          <w:p>
            <w:pPr>
              <w:pStyle w:val="TableContents"/>
              <w:spacing w:before="0" w:after="0"/>
              <w:ind w:left="0" w:right="0" w:hanging="0"/>
              <w:rPr/>
            </w:pPr>
            <w:r>
              <w:rPr/>
              <w:t> </w:t>
            </w:r>
          </w:p>
        </w:tc>
      </w:tr>
      <w:tr>
        <w:trPr/>
        <w:tc>
          <w:tcPr>
            <w:tcW w:w="4790"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9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4790"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4895" w:type="dxa"/>
            <w:gridSpan w:val="2"/>
            <w:tcBorders/>
            <w:shd w:fill="auto" w:val="clear"/>
          </w:tcPr>
          <w:p>
            <w:pPr>
              <w:pStyle w:val="TableContents"/>
              <w:spacing w:before="0" w:after="0"/>
              <w:ind w:left="0" w:right="0" w:hanging="0"/>
              <w:rPr/>
            </w:pPr>
            <w:r>
              <w:rPr/>
              <w:t> </w:t>
            </w:r>
          </w:p>
        </w:tc>
      </w:tr>
      <w:tr>
        <w:trPr/>
        <w:tc>
          <w:tcPr>
            <w:tcW w:w="4790"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9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790"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4895" w:type="dxa"/>
            <w:gridSpan w:val="2"/>
            <w:tcBorders/>
            <w:shd w:fill="auto" w:val="clear"/>
          </w:tcPr>
          <w:p>
            <w:pPr>
              <w:pStyle w:val="TableContents"/>
              <w:spacing w:before="0" w:after="0"/>
              <w:ind w:left="0" w:right="0" w:hanging="0"/>
              <w:rPr/>
            </w:pPr>
            <w:r>
              <w:rPr/>
              <w:t> </w:t>
            </w:r>
          </w:p>
        </w:tc>
      </w:tr>
      <w:tr>
        <w:trPr/>
        <w:tc>
          <w:tcPr>
            <w:tcW w:w="4790"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95"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4790"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74"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4790"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Chairman of the Board and</w:t>
            </w:r>
          </w:p>
        </w:tc>
      </w:tr>
      <w:tr>
        <w:trPr/>
        <w:tc>
          <w:tcPr>
            <w:tcW w:w="4790" w:type="dxa"/>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0"/>
              <w:ind w:left="0" w:right="0" w:hanging="0"/>
              <w:rPr/>
            </w:pPr>
            <w:r>
              <w:rPr/>
              <w:t> </w:t>
            </w:r>
          </w:p>
        </w:tc>
        <w:tc>
          <w:tcPr>
            <w:tcW w:w="521"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r>
      <w:tr>
        <w:trPr/>
        <w:tc>
          <w:tcPr>
            <w:tcW w:w="4790" w:type="dxa"/>
            <w:tcBorders/>
            <w:shd w:fill="auto" w:val="clear"/>
          </w:tcPr>
          <w:p>
            <w:pPr>
              <w:pStyle w:val="TableContents"/>
              <w:spacing w:before="0" w:after="0"/>
              <w:ind w:left="0" w:right="0" w:hanging="0"/>
              <w:rPr/>
            </w:pPr>
            <w:r>
              <w:rPr/>
              <w:t> </w:t>
            </w:r>
          </w:p>
        </w:tc>
        <w:tc>
          <w:tcPr>
            <w:tcW w:w="5415" w:type="dxa"/>
            <w:gridSpan w:val="3"/>
            <w:tcBorders/>
            <w:shd w:fill="auto" w:val="clear"/>
          </w:tcPr>
          <w:p>
            <w:pPr>
              <w:pStyle w:val="TableContents"/>
              <w:spacing w:before="0" w:after="0"/>
              <w:ind w:left="0" w:right="0" w:hanging="0"/>
              <w:rPr/>
            </w:pPr>
            <w:r>
              <w:rPr/>
              <w:t> </w:t>
            </w:r>
          </w:p>
        </w:tc>
      </w:tr>
      <w:tr>
        <w:trPr/>
        <w:tc>
          <w:tcPr>
            <w:tcW w:w="4790" w:type="dxa"/>
            <w:tcBorders/>
            <w:shd w:fill="auto" w:val="clear"/>
          </w:tcPr>
          <w:p>
            <w:pPr>
              <w:pStyle w:val="TableContents"/>
              <w:spacing w:before="0" w:after="0"/>
              <w:ind w:left="0" w:right="0" w:hanging="0"/>
              <w:rPr/>
            </w:pPr>
            <w:r>
              <w:rPr/>
              <w:t> </w:t>
            </w:r>
          </w:p>
        </w:tc>
        <w:tc>
          <w:tcPr>
            <w:tcW w:w="541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July 20, 2006</w:t>
            </w:r>
          </w:p>
        </w:tc>
      </w:tr>
    </w:tbl>
    <w:p>
      <w:pPr>
        <w:pStyle w:val="TextBody"/>
        <w:spacing w:lineRule="atLeast" w:line="141" w:before="0" w:after="480"/>
        <w:ind w:left="0" w:right="0" w:hanging="0"/>
        <w:rPr/>
      </w:pPr>
      <w:r>
        <w:rPr/>
        <w:t> </w:t>
      </w:r>
    </w:p>
    <w:p>
      <w:pPr>
        <w:pStyle w:val="TextBody"/>
        <w:spacing w:before="0" w:after="24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left"/>
        <w:rPr>
          <w:rFonts w:ascii="Times New Roman" w:hAnsi="Times New Roman"/>
          <w:sz w:val="17"/>
        </w:rPr>
      </w:pPr>
      <w:r>
        <w:rPr>
          <w:rFonts w:ascii="Times New Roman" w:hAnsi="Times New Roman"/>
          <w:sz w:val="17"/>
        </w:rPr>
        <w:t>2.1                  First Amendment to Agreement and Plan of Merger, dated July 19, 2006, by and among Pacific Energy Partners, L.P., Pacific Energy GP, LP, Pacific Energy Management LLC, Plains All American Pipeline, L.P., Plains AAP, L.P. and Plains All American GP LLC.</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jc w:val="right"/>
        <w:rPr>
          <w:rFonts w:ascii="Times New Roman" w:hAnsi="Times New Roman"/>
          <w:b/>
          <w:sz w:val="17"/>
        </w:rPr>
      </w:pPr>
      <w:bookmarkStart w:id="3" w:name="a06-16445_1ex2d1.htm"/>
      <w:bookmarkStart w:id="4" w:name="ksa0616445_1ex2d1"/>
      <w:bookmarkEnd w:id="3"/>
      <w:bookmarkEnd w:id="4"/>
      <w:r>
        <w:rPr>
          <w:rFonts w:ascii="Times New Roman" w:hAnsi="Times New Roman"/>
          <w:b/>
          <w:sz w:val="17"/>
        </w:rPr>
        <w:t>Exhibit 2.1</w:t>
      </w:r>
    </w:p>
    <w:p>
      <w:pPr>
        <w:pStyle w:val="TextBody"/>
        <w:spacing w:before="0" w:after="240"/>
        <w:ind w:left="0" w:right="0" w:hanging="0"/>
        <w:jc w:val="center"/>
        <w:rPr>
          <w:rFonts w:ascii="Times New Roman" w:hAnsi="Times New Roman"/>
          <w:b/>
          <w:sz w:val="17"/>
        </w:rPr>
      </w:pPr>
      <w:r>
        <w:rPr>
          <w:rFonts w:ascii="Times New Roman" w:hAnsi="Times New Roman"/>
          <w:b/>
          <w:sz w:val="17"/>
        </w:rPr>
        <w:t>FIRST AMENDMENT TO AGREEMENT AND PLAN OF MERGER</w:t>
      </w:r>
    </w:p>
    <w:p>
      <w:pPr>
        <w:pStyle w:val="TextBody"/>
        <w:spacing w:before="0" w:after="240"/>
        <w:ind w:left="0" w:right="0" w:firstLine="720"/>
        <w:rPr>
          <w:rFonts w:ascii="Times New Roman" w:hAnsi="Times New Roman"/>
          <w:sz w:val="17"/>
        </w:rPr>
      </w:pPr>
      <w:r>
        <w:rPr>
          <w:rFonts w:ascii="Times New Roman" w:hAnsi="Times New Roman"/>
          <w:sz w:val="17"/>
        </w:rPr>
        <w:t>This First Amendment to Agreement and Plan of Merger is made as of this 19</w:t>
      </w:r>
      <w:r>
        <w:rPr>
          <w:rFonts w:ascii="Times New Roman" w:hAnsi="Times New Roman"/>
          <w:sz w:val="11"/>
        </w:rPr>
        <w:t>th</w:t>
      </w:r>
      <w:r>
        <w:rPr>
          <w:rFonts w:ascii="Times New Roman" w:hAnsi="Times New Roman"/>
          <w:sz w:val="17"/>
        </w:rPr>
        <w:t> day of July, 2006 by and among Pacific Energy Partners, L.P., a Delaware limited partnership (MLP), Pacific Energy GP, LP, a Delaware limited partnership (MLP General Partner), Pacific Energy Management LLC, a Delaware limited liability company (General Partner Holdco), Plains All American Pipeline L.P., a Delaware limited partnership (Buyer), Plains AAP, L.P., a Delaware limited partnership, and Plains All American GP LLC, a Delaware limited liability company. Capitalized terms used in this First Amendment that are not otherwise defined herein shall have the meanings ascribed to them in the Merger Agreement (as defined below).</w:t>
      </w:r>
    </w:p>
    <w:p>
      <w:pPr>
        <w:pStyle w:val="TextBody"/>
        <w:spacing w:before="0" w:after="240"/>
        <w:ind w:left="0" w:right="0" w:hanging="0"/>
        <w:jc w:val="center"/>
        <w:rPr>
          <w:rFonts w:ascii="Times New Roman" w:hAnsi="Times New Roman"/>
          <w:sz w:val="17"/>
        </w:rPr>
      </w:pPr>
      <w:r>
        <w:rPr>
          <w:rFonts w:ascii="Times New Roman" w:hAnsi="Times New Roman"/>
          <w:sz w:val="17"/>
          <w:u w:val="single"/>
        </w:rPr>
        <w:t>RECITALS</w:t>
      </w:r>
      <w:r>
        <w:rPr>
          <w:rFonts w:ascii="Times New Roman" w:hAnsi="Times New Roman"/>
          <w:sz w:val="17"/>
        </w:rPr>
        <w:t>:</w:t>
      </w:r>
    </w:p>
    <w:p>
      <w:pPr>
        <w:pStyle w:val="TextBody"/>
        <w:spacing w:before="0" w:after="240"/>
        <w:ind w:left="0" w:right="0" w:firstLine="720"/>
        <w:rPr>
          <w:rFonts w:ascii="Times New Roman" w:hAnsi="Times New Roman"/>
          <w:sz w:val="17"/>
        </w:rPr>
      </w:pPr>
      <w:r>
        <w:rPr>
          <w:rFonts w:ascii="Times New Roman" w:hAnsi="Times New Roman"/>
          <w:sz w:val="17"/>
        </w:rPr>
        <w:t>WHEREAS, the parties hereto have executed that certain Agreement and Plan of Merger dated as of June 11, 2006 (the Merger Agreement); and</w:t>
      </w:r>
    </w:p>
    <w:p>
      <w:pPr>
        <w:pStyle w:val="TextBody"/>
        <w:spacing w:before="0" w:after="240"/>
        <w:ind w:left="0" w:right="0" w:firstLine="720"/>
        <w:rPr>
          <w:rFonts w:ascii="Times New Roman" w:hAnsi="Times New Roman"/>
          <w:sz w:val="17"/>
        </w:rPr>
      </w:pPr>
      <w:r>
        <w:rPr>
          <w:rFonts w:ascii="Times New Roman" w:hAnsi="Times New Roman"/>
          <w:sz w:val="17"/>
        </w:rPr>
        <w:t>WHEREAS, pursuant to Section 9.3 of the Merger Agreement, the parties to the Merger Agreement desire to amend the Merger Agreement.</w:t>
      </w:r>
    </w:p>
    <w:p>
      <w:pPr>
        <w:pStyle w:val="TextBody"/>
        <w:spacing w:before="0" w:after="240"/>
        <w:ind w:left="0" w:right="0" w:firstLine="720"/>
        <w:rPr>
          <w:rFonts w:ascii="Times New Roman" w:hAnsi="Times New Roman"/>
          <w:sz w:val="17"/>
        </w:rPr>
      </w:pPr>
      <w:r>
        <w:rPr>
          <w:rFonts w:ascii="Times New Roman" w:hAnsi="Times New Roman"/>
          <w:sz w:val="17"/>
        </w:rPr>
        <w:t>NOW THEREFORE, the parties hereto, in consideration of the premises and of the mutual covenants herein contained, and for other good and valuable consideration, the receipt and sufficiency of which are hereby acknowledged, agree as follows:</w:t>
      </w:r>
    </w:p>
    <w:p>
      <w:pPr>
        <w:pStyle w:val="TextBody"/>
        <w:spacing w:before="0" w:after="240"/>
        <w:ind w:left="0" w:right="0" w:firstLine="720"/>
        <w:rPr>
          <w:rFonts w:ascii="Times New Roman" w:hAnsi="Times New Roman"/>
          <w:sz w:val="17"/>
        </w:rPr>
      </w:pPr>
      <w:r>
        <w:rPr>
          <w:rFonts w:ascii="Times New Roman" w:hAnsi="Times New Roman"/>
          <w:sz w:val="17"/>
        </w:rPr>
        <w:t>1.             Section 7.1(d) is hereby amended and restated to read in its entirety as follows:</w:t>
      </w:r>
    </w:p>
    <w:p>
      <w:pPr>
        <w:pStyle w:val="Heading3"/>
        <w:keepNext w:val="true"/>
        <w:spacing w:before="0" w:after="240"/>
        <w:ind w:left="1440" w:right="0" w:hanging="0"/>
        <w:rPr>
          <w:rFonts w:ascii="Times New Roman" w:hAnsi="Times New Roman"/>
          <w:b w:val="false"/>
          <w:sz w:val="17"/>
        </w:rPr>
      </w:pPr>
      <w:r>
        <w:rPr>
          <w:rFonts w:ascii="Times New Roman" w:hAnsi="Times New Roman"/>
          <w:b w:val="false"/>
          <w:sz w:val="17"/>
        </w:rPr>
        <w:t>(d)         On or prior to the 30</w:t>
      </w:r>
      <w:r>
        <w:rPr>
          <w:rFonts w:ascii="Times New Roman" w:hAnsi="Times New Roman"/>
          <w:b w:val="false"/>
          <w:sz w:val="11"/>
        </w:rPr>
        <w:t>th</w:t>
      </w:r>
      <w:r>
        <w:rPr>
          <w:rFonts w:ascii="Times New Roman" w:hAnsi="Times New Roman"/>
          <w:b w:val="false"/>
          <w:sz w:val="17"/>
        </w:rPr>
        <w:t> day following the day on which the Effective Time occurs, Buyer shall pay or cause to be paid to specified employees (the Specified Employees) the retention benefits described in this Section 7.1(d). No officer of MLP, MLP General Partner or General Partner Holdco shall be considered to be a Specified Employee. The aggregate retention benefits (Retention Benefits) for all Specified Employees will not exceed $1,250,000. Payments of Retention Benefits shall be materially consistent with a schedule provided to Buyer prior to the Execution Date. Retention Benefits shall be subject to applicable withholding of taxes. Notwithstanding the foregoing, in order for a Specified Employee to be eligible to receive his or her Retention Benefit, such Specified Employee must remain in the employ of the MLP Group Entities with at least a satisfactory performance rating until the date of the payment.</w:t>
      </w:r>
    </w:p>
    <w:p>
      <w:pPr>
        <w:pStyle w:val="TextBody"/>
        <w:spacing w:before="0" w:after="240"/>
        <w:ind w:left="0" w:right="0" w:firstLine="720"/>
        <w:rPr>
          <w:rFonts w:ascii="Times New Roman" w:hAnsi="Times New Roman"/>
          <w:sz w:val="17"/>
        </w:rPr>
      </w:pPr>
      <w:r>
        <w:rPr>
          <w:rFonts w:ascii="Times New Roman" w:hAnsi="Times New Roman"/>
          <w:sz w:val="17"/>
        </w:rPr>
        <w:t>2.             Except as expressly amended by this First Amendment, all of the other terms and provisions of the Merger Agreement shall continue in full force and effect.</w:t>
      </w:r>
    </w:p>
    <w:p>
      <w:pPr>
        <w:pStyle w:val="TextBody"/>
        <w:spacing w:before="0" w:after="0"/>
        <w:ind w:left="0" w:right="0" w:hanging="0"/>
        <w:jc w:val="center"/>
        <w:rPr>
          <w:rFonts w:ascii="Times New Roman" w:hAnsi="Times New Roman"/>
          <w:sz w:val="17"/>
        </w:rPr>
      </w:pPr>
      <w:r>
        <w:rPr>
          <w:rFonts w:ascii="Times New Roman" w:hAnsi="Times New Roman"/>
          <w:sz w:val="17"/>
        </w:rPr>
        <w:t>[REMAINDER OF PAGE INTENTIONALLY LEFT BLANK]</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firstLine="1440"/>
        <w:rPr>
          <w:rFonts w:ascii="Times New Roman" w:hAnsi="Times New Roman"/>
          <w:sz w:val="17"/>
        </w:rPr>
      </w:pPr>
      <w:r>
        <w:rPr>
          <w:rFonts w:ascii="Times New Roman" w:hAnsi="Times New Roman"/>
          <w:sz w:val="17"/>
        </w:rPr>
        <w:t>IN WITNESS WHEREOF, the parties hereto have caused this First Amendment to be signed by their respective officers hereunto duly authorized, all as of the date first written above.</w:t>
      </w:r>
    </w:p>
    <w:tbl>
      <w:tblPr>
        <w:tblW w:w="5000" w:type="pct"/>
        <w:jc w:val="left"/>
        <w:tblInd w:w="0" w:type="dxa"/>
        <w:tblCellMar>
          <w:top w:w="0" w:type="dxa"/>
          <w:left w:w="0" w:type="dxa"/>
          <w:bottom w:w="0" w:type="dxa"/>
          <w:right w:w="0" w:type="dxa"/>
        </w:tblCellMar>
      </w:tblPr>
      <w:tblGrid>
        <w:gridCol w:w="5229"/>
        <w:gridCol w:w="313"/>
        <w:gridCol w:w="165"/>
        <w:gridCol w:w="4498"/>
      </w:tblGrid>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sz w:val="17"/>
              </w:rPr>
            </w:pPr>
            <w:r>
              <w:rPr>
                <w:sz w:val="17"/>
              </w:rPr>
              <w:t>PACIFIC ENERGY PARTNERS, L.P.</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GP, LP, its General Partner</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pPr>
            <w:r>
              <w:rPr/>
              <w:t> </w:t>
            </w:r>
          </w:p>
        </w:tc>
        <w:tc>
          <w:tcPr>
            <w:tcW w:w="4498" w:type="dxa"/>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Management LLC, its general partner</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3"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Irvin Toole Jr.</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98" w:type="dxa"/>
            <w:tcBorders>
              <w:top w:val="single" w:sz="8" w:space="0" w:color="000000"/>
              <w:bottom w:val="single" w:sz="8" w:space="0" w:color="000000"/>
            </w:tcBorders>
            <w:shd w:fill="auto" w:val="clear"/>
            <w:tcMar>
              <w:top w:w="28" w:type="dxa"/>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Irvin Toole Jr.</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9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&amp; CEO</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GP, LP</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Management LLC, its general partner</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3"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Irvin Toole Jr.</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98" w:type="dxa"/>
            <w:tcBorders>
              <w:top w:val="single" w:sz="8" w:space="0" w:color="000000"/>
              <w:bottom w:val="single" w:sz="8" w:space="0" w:color="000000"/>
            </w:tcBorders>
            <w:shd w:fill="auto" w:val="clear"/>
            <w:tcMar>
              <w:top w:w="28" w:type="dxa"/>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Irvin Toole Jr.</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9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&amp; CEO</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MANAGEMENT LLC</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3"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Irvin Toole Jr.</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98" w:type="dxa"/>
            <w:tcBorders>
              <w:top w:val="single" w:sz="8" w:space="0" w:color="000000"/>
              <w:bottom w:val="single" w:sz="8" w:space="0" w:color="000000"/>
            </w:tcBorders>
            <w:shd w:fill="auto" w:val="clear"/>
            <w:tcMar>
              <w:top w:w="28" w:type="dxa"/>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Irvin Toole Jr.</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9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&amp; CEO</w:t>
            </w:r>
          </w:p>
        </w:tc>
      </w:tr>
      <w:tr>
        <w:trPr/>
        <w:tc>
          <w:tcPr>
            <w:tcW w:w="522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49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29"/>
        <w:gridCol w:w="313"/>
        <w:gridCol w:w="165"/>
        <w:gridCol w:w="4498"/>
      </w:tblGrid>
      <w:tr>
        <w:trPr/>
        <w:tc>
          <w:tcPr>
            <w:tcW w:w="5229" w:type="dxa"/>
            <w:tcBorders/>
            <w:shd w:fill="auto" w:val="clear"/>
          </w:tcPr>
          <w:p>
            <w:pPr>
              <w:pStyle w:val="TableContents"/>
              <w:spacing w:before="0" w:after="283"/>
              <w:ind w:left="0" w:right="0" w:hanging="0"/>
              <w:rPr>
                <w:sz w:val="4"/>
                <w:szCs w:val="4"/>
              </w:rPr>
            </w:pPr>
            <w:r>
              <w:rPr>
                <w:sz w:val="4"/>
                <w:szCs w:val="4"/>
              </w:rPr>
            </w:r>
          </w:p>
        </w:tc>
        <w:tc>
          <w:tcPr>
            <w:tcW w:w="497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pPr>
            <w:r>
              <w:rPr/>
              <w:t> </w:t>
            </w:r>
          </w:p>
        </w:tc>
        <w:tc>
          <w:tcPr>
            <w:tcW w:w="4498" w:type="dxa"/>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3"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Harry N. Pefanis</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98" w:type="dxa"/>
            <w:tcBorders>
              <w:top w:val="single" w:sz="8" w:space="0" w:color="000000"/>
              <w:bottom w:val="single" w:sz="8" w:space="0" w:color="000000"/>
            </w:tcBorders>
            <w:shd w:fill="auto" w:val="clear"/>
            <w:tcMar>
              <w:top w:w="28" w:type="dxa"/>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9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COO</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3"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Harry N. Pefanis</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98" w:type="dxa"/>
            <w:tcBorders>
              <w:top w:val="single" w:sz="8" w:space="0" w:color="000000"/>
              <w:bottom w:val="single" w:sz="8" w:space="0" w:color="000000"/>
            </w:tcBorders>
            <w:shd w:fill="auto" w:val="clear"/>
            <w:tcMar>
              <w:top w:w="28" w:type="dxa"/>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9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COO</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4976" w:type="dxa"/>
            <w:gridSpan w:val="3"/>
            <w:tcBorders/>
            <w:shd w:fill="auto" w:val="clear"/>
          </w:tcPr>
          <w:p>
            <w:pPr>
              <w:pStyle w:val="TableContents"/>
              <w:spacing w:before="0" w:after="0"/>
              <w:ind w:left="0" w:right="0" w:hanging="0"/>
              <w:rPr/>
            </w:pPr>
            <w:r>
              <w:rPr/>
              <w:t> </w:t>
            </w:r>
          </w:p>
        </w:tc>
      </w:tr>
      <w:tr>
        <w:trPr/>
        <w:tc>
          <w:tcPr>
            <w:tcW w:w="5229" w:type="dxa"/>
            <w:tcBorders/>
            <w:shd w:fill="auto" w:val="clear"/>
          </w:tcPr>
          <w:p>
            <w:pPr>
              <w:pStyle w:val="TableContents"/>
              <w:spacing w:before="0" w:after="0"/>
              <w:ind w:left="0" w:right="0" w:hanging="0"/>
              <w:rPr/>
            </w:pPr>
            <w:r>
              <w:rPr/>
              <w:t> </w:t>
            </w:r>
          </w:p>
        </w:tc>
        <w:tc>
          <w:tcPr>
            <w:tcW w:w="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3"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Harry N. Pefanis</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98" w:type="dxa"/>
            <w:tcBorders>
              <w:top w:val="single" w:sz="8" w:space="0" w:color="000000"/>
              <w:bottom w:val="single" w:sz="8" w:space="0" w:color="000000"/>
            </w:tcBorders>
            <w:shd w:fill="auto" w:val="clear"/>
            <w:tcMar>
              <w:top w:w="28" w:type="dxa"/>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229" w:type="dxa"/>
            <w:tcBorders/>
            <w:shd w:fill="auto" w:val="clear"/>
          </w:tcPr>
          <w:p>
            <w:pPr>
              <w:pStyle w:val="TableContents"/>
              <w:spacing w:before="0" w:after="0"/>
              <w:ind w:left="0" w:right="0" w:hanging="0"/>
              <w:rPr/>
            </w:pPr>
            <w:r>
              <w:rPr/>
              <w:t> </w:t>
            </w:r>
          </w:p>
        </w:tc>
        <w:tc>
          <w:tcPr>
            <w:tcW w:w="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9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COO</w:t>
            </w:r>
          </w:p>
        </w:tc>
      </w:tr>
      <w:tr>
        <w:trPr/>
        <w:tc>
          <w:tcPr>
            <w:tcW w:w="522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498" w:type="dxa"/>
            <w:tcBorders/>
            <w:shd w:fill="auto" w:val="clear"/>
            <w:vAlign w:val="center"/>
          </w:tcPr>
          <w:p>
            <w:pPr>
              <w:pStyle w:val="TableContents"/>
              <w:spacing w:before="0" w:after="283"/>
              <w:rPr>
                <w:sz w:val="4"/>
                <w:szCs w:val="4"/>
              </w:rPr>
            </w:pPr>
            <w:r>
              <w:rPr>
                <w:sz w:val="4"/>
                <w:szCs w:val="4"/>
              </w:rPr>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1152</Words>
  <CharactersWithSpaces>7131</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