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300"/>
          </w:cols>
          <w:pgMar w:left="580" w:top="205" w:right="1019" w:bottom="1440" w:gutter="0" w:footer="0" w:header="0"/>
        </w:sectPr>
      </w:pPr>
    </w:p>
    <w:p>
      <w:pPr>
        <w:spacing w:after="0" w:line="200" w:lineRule="exact"/>
        <w:rPr>
          <w:sz w:val="24"/>
          <w:szCs w:val="24"/>
          <w:color w:val="auto"/>
        </w:rPr>
      </w:pPr>
    </w:p>
    <w:p>
      <w:pPr>
        <w:spacing w:after="0" w:line="261" w:lineRule="exact"/>
        <w:rPr>
          <w:sz w:val="24"/>
          <w:szCs w:val="24"/>
          <w:color w:val="auto"/>
        </w:rPr>
      </w:pPr>
    </w:p>
    <w:tbl>
      <w:tblPr>
        <w:tblLayout w:type="fixed"/>
        <w:tblInd w:w="460" w:type="dxa"/>
        <w:tblCellMar>
          <w:top w:w="0" w:type="dxa"/>
          <w:left w:w="0" w:type="dxa"/>
          <w:bottom w:w="0" w:type="dxa"/>
          <w:right w:w="0" w:type="dxa"/>
        </w:tblCellMar>
      </w:tblPr>
      <w:tr>
        <w:trPr>
          <w:trHeight w:val="476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supplement and the accompanying base prospectus are</w:t>
            </w:r>
          </w:p>
        </w:tc>
        <w:tc>
          <w:tcPr>
            <w:tcW w:w="240" w:type="dxa"/>
            <w:vAlign w:val="bottom"/>
            <w:textDirection w:val="btLr"/>
          </w:tcPr>
          <w:p>
            <w:pPr>
              <w:spacing w:after="0"/>
              <w:rPr>
                <w:sz w:val="20"/>
                <w:szCs w:val="20"/>
                <w:color w:val="auto"/>
              </w:rPr>
            </w:pPr>
            <w:r>
              <w:rPr>
                <w:rFonts w:ascii="Arial" w:cs="Arial" w:eastAsia="Arial" w:hAnsi="Arial"/>
                <w:sz w:val="23"/>
                <w:szCs w:val="23"/>
                <w:b w:val="1"/>
                <w:bCs w:val="1"/>
                <w:color w:val="auto"/>
              </w:rPr>
              <w:t>​</w:t>
            </w:r>
            <w:r>
              <w:rPr>
                <w:rFonts w:ascii="Arial" w:cs="Arial" w:eastAsia="Arial" w:hAnsi="Arial"/>
                <w:sz w:val="14"/>
                <w:szCs w:val="14"/>
                <w:b w:val="1"/>
                <w:bCs w:val="1"/>
                <w:color w:val="FC0014"/>
              </w:rPr>
              <w:t>notpermitted.</w:t>
            </w:r>
          </w:p>
        </w:tc>
      </w:tr>
      <w:tr>
        <w:trPr>
          <w:trHeight w:val="636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preliminary prospectus supplement is not complete and may be changed. This preliminary</w:t>
            </w:r>
          </w:p>
        </w:tc>
        <w:tc>
          <w:tcPr>
            <w:tcW w:w="240" w:type="dxa"/>
            <w:vAlign w:val="bottom"/>
            <w:textDirection w:val="btLr"/>
          </w:tcPr>
          <w:p>
            <w:pPr>
              <w:spacing w:after="0"/>
              <w:rPr>
                <w:sz w:val="20"/>
                <w:szCs w:val="20"/>
                <w:color w:val="auto"/>
              </w:rPr>
            </w:pPr>
            <w:r>
              <w:rPr>
                <w:rFonts w:ascii="Arial" w:cs="Arial" w:eastAsia="Arial" w:hAnsi="Arial"/>
                <w:sz w:val="14"/>
                <w:szCs w:val="14"/>
                <w:b w:val="1"/>
                <w:bCs w:val="1"/>
                <w:color w:val="FC0014"/>
              </w:rPr>
              <w:t>are not soliciting an offer to buy these securities in any jurisdiction where the offer or sale is</w:t>
            </w:r>
          </w:p>
        </w:tc>
      </w:tr>
      <w:tr>
        <w:trPr>
          <w:trHeight w:val="131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information in this</w:t>
            </w:r>
          </w:p>
        </w:tc>
        <w:tc>
          <w:tcPr>
            <w:tcW w:w="240" w:type="dxa"/>
            <w:vAlign w:val="bottom"/>
            <w:textDirection w:val="btLr"/>
          </w:tcPr>
          <w:p>
            <w:pPr>
              <w:spacing w:after="0"/>
              <w:rPr>
                <w:sz w:val="20"/>
                <w:szCs w:val="20"/>
                <w:color w:val="auto"/>
              </w:rPr>
            </w:pPr>
            <w:r>
              <w:rPr>
                <w:rFonts w:ascii="Arial" w:cs="Arial" w:eastAsia="Arial" w:hAnsi="Arial"/>
                <w:sz w:val="14"/>
                <w:szCs w:val="14"/>
                <w:b w:val="1"/>
                <w:bCs w:val="1"/>
                <w:color w:val="FC0014"/>
              </w:rPr>
              <w:t>an offer to sell and</w:t>
            </w:r>
          </w:p>
        </w:tc>
      </w:tr>
      <w:tr>
        <w:trPr>
          <w:trHeight w:val="26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6"/>
              </w:rPr>
              <w:t>The</w:t>
            </w:r>
          </w:p>
        </w:tc>
        <w:tc>
          <w:tcPr>
            <w:tcW w:w="240" w:type="dxa"/>
            <w:vAlign w:val="bottom"/>
            <w:textDirection w:val="btLr"/>
          </w:tcPr>
          <w:p>
            <w:pPr>
              <w:spacing w:after="0"/>
              <w:rPr>
                <w:sz w:val="20"/>
                <w:szCs w:val="20"/>
                <w:color w:val="auto"/>
              </w:rPr>
            </w:pPr>
            <w:r>
              <w:rPr>
                <w:rFonts w:ascii="Arial" w:cs="Arial" w:eastAsia="Arial" w:hAnsi="Arial"/>
                <w:sz w:val="14"/>
                <w:szCs w:val="14"/>
                <w:b w:val="1"/>
                <w:bCs w:val="1"/>
                <w:color w:val="FC0014"/>
              </w:rPr>
              <w:t>not</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4"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 Filed pursuant to Rule 424(b)(5)​</w:t>
      </w:r>
    </w:p>
    <w:p>
      <w:pPr>
        <w:jc w:val="right"/>
        <w:ind w:right="20"/>
        <w:spacing w:after="0" w:line="215" w:lineRule="auto"/>
        <w:rPr>
          <w:sz w:val="20"/>
          <w:szCs w:val="20"/>
          <w:color w:val="auto"/>
        </w:rPr>
      </w:pPr>
      <w:r>
        <w:rPr>
          <w:rFonts w:ascii="Arial" w:cs="Arial" w:eastAsia="Arial" w:hAnsi="Arial"/>
          <w:sz w:val="18"/>
          <w:szCs w:val="18"/>
          <w:b w:val="1"/>
          <w:bCs w:val="1"/>
          <w:color w:val="auto"/>
        </w:rPr>
        <w:t> Registration No. 333-281967​</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b w:val="1"/>
          <w:bCs w:val="1"/>
          <w:color w:val="FC0014"/>
        </w:rPr>
        <w:t>Subject to completion, dated January 13, 2025</w:t>
      </w:r>
    </w:p>
    <w:p>
      <w:pPr>
        <w:spacing w:after="0" w:line="74"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Preliminary prospectus supplement</w:t>
      </w:r>
    </w:p>
    <w:p>
      <w:pPr>
        <w:spacing w:after="0" w:line="6"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(To prospectus dated September 6, 2024)</w:t>
      </w:r>
    </w:p>
    <w:p>
      <w:pPr>
        <w:spacing w:after="0" w:line="158" w:lineRule="exact"/>
        <w:rPr>
          <w:sz w:val="24"/>
          <w:szCs w:val="24"/>
          <w:color w:val="auto"/>
        </w:rPr>
      </w:pPr>
    </w:p>
    <w:p>
      <w:pPr>
        <w:spacing w:after="0"/>
        <w:rPr>
          <w:sz w:val="20"/>
          <w:szCs w:val="20"/>
          <w:color w:val="auto"/>
        </w:rPr>
      </w:pPr>
      <w:r>
        <w:rPr>
          <w:rFonts w:ascii="Arial" w:cs="Arial" w:eastAsia="Arial" w:hAnsi="Arial"/>
          <w:sz w:val="29"/>
          <w:szCs w:val="29"/>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123444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36"/>
          <w:szCs w:val="36"/>
          <w:b w:val="1"/>
          <w:bCs w:val="1"/>
          <w:color w:val="auto"/>
        </w:rPr>
        <w:t>Plains All American Pipeline, L.P.</w:t>
      </w:r>
    </w:p>
    <w:p>
      <w:pPr>
        <w:spacing w:after="0"/>
        <w:rPr>
          <w:sz w:val="20"/>
          <w:szCs w:val="20"/>
          <w:color w:val="auto"/>
        </w:rPr>
      </w:pPr>
      <w:r>
        <w:rPr>
          <w:rFonts w:ascii="Arial" w:cs="Arial" w:eastAsia="Arial" w:hAnsi="Arial"/>
          <w:sz w:val="36"/>
          <w:szCs w:val="36"/>
          <w:b w:val="1"/>
          <w:bCs w:val="1"/>
          <w:color w:val="auto"/>
        </w:rPr>
        <w:t>PAA Finance Corp.</w:t>
      </w:r>
    </w:p>
    <w:p>
      <w:pPr>
        <w:spacing w:after="0" w:line="29" w:lineRule="exact"/>
        <w:rPr>
          <w:sz w:val="24"/>
          <w:szCs w:val="24"/>
          <w:color w:val="auto"/>
        </w:rPr>
      </w:pPr>
    </w:p>
    <w:p>
      <w:pPr>
        <w:ind w:left="160" w:hanging="160"/>
        <w:spacing w:after="0"/>
        <w:tabs>
          <w:tab w:leader="none" w:pos="160" w:val="left"/>
        </w:tabs>
        <w:numPr>
          <w:ilvl w:val="0"/>
          <w:numId w:val="1"/>
        </w:numPr>
        <w:rPr>
          <w:rFonts w:ascii="Arial" w:cs="Arial" w:eastAsia="Arial" w:hAnsi="Arial"/>
          <w:sz w:val="28"/>
          <w:szCs w:val="28"/>
          <w:b w:val="1"/>
          <w:bCs w:val="1"/>
          <w:i w:val="1"/>
          <w:iCs w:val="1"/>
          <w:color w:val="auto"/>
        </w:rPr>
      </w:pPr>
      <w:r>
        <w:rPr>
          <w:rFonts w:ascii="Arial" w:cs="Arial" w:eastAsia="Arial" w:hAnsi="Arial"/>
          <w:sz w:val="28"/>
          <w:szCs w:val="28"/>
          <w:b w:val="1"/>
          <w:bCs w:val="1"/>
          <w:i w:val="1"/>
          <w:iCs w:val="1"/>
          <w:color w:val="auto"/>
        </w:rPr>
        <w:t xml:space="preserve">      </w:t>
      </w:r>
      <w:r>
        <w:rPr>
          <w:rFonts w:ascii="Arial" w:cs="Arial" w:eastAsia="Arial" w:hAnsi="Arial"/>
          <w:sz w:val="28"/>
          <w:szCs w:val="28"/>
          <w:b w:val="1"/>
          <w:bCs w:val="1"/>
          <w:color w:val="auto"/>
        </w:rPr>
        <w:t>% Senior Notes due 2035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123825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5" w:lineRule="exact"/>
        <w:rPr>
          <w:sz w:val="24"/>
          <w:szCs w:val="24"/>
          <w:color w:val="auto"/>
        </w:rPr>
      </w:pPr>
    </w:p>
    <w:p>
      <w:pPr>
        <w:ind w:right="700"/>
        <w:spacing w:after="0" w:line="303" w:lineRule="auto"/>
        <w:rPr>
          <w:sz w:val="20"/>
          <w:szCs w:val="20"/>
          <w:color w:val="auto"/>
        </w:rPr>
      </w:pPr>
      <w:r>
        <w:rPr>
          <w:rFonts w:ascii="Arial" w:cs="Arial" w:eastAsia="Arial" w:hAnsi="Arial"/>
          <w:sz w:val="18"/>
          <w:szCs w:val="18"/>
          <w:color w:val="auto"/>
        </w:rPr>
        <w:t>Plains All American Pipeline, L.P. and PAA Finance Corp. are offering $            aggregate principal amount of        % Senior Notes due 2035 (the “Notes”).</w:t>
      </w:r>
    </w:p>
    <w:p>
      <w:pPr>
        <w:spacing w:after="0" w:line="17" w:lineRule="exact"/>
        <w:rPr>
          <w:sz w:val="24"/>
          <w:szCs w:val="24"/>
          <w:color w:val="auto"/>
        </w:rPr>
      </w:pPr>
    </w:p>
    <w:p>
      <w:pPr>
        <w:ind w:right="100"/>
        <w:spacing w:after="0" w:line="292" w:lineRule="auto"/>
        <w:rPr>
          <w:sz w:val="20"/>
          <w:szCs w:val="20"/>
          <w:color w:val="auto"/>
        </w:rPr>
      </w:pPr>
      <w:r>
        <w:rPr>
          <w:rFonts w:ascii="Arial" w:cs="Arial" w:eastAsia="Arial" w:hAnsi="Arial"/>
          <w:sz w:val="18"/>
          <w:szCs w:val="18"/>
          <w:color w:val="auto"/>
        </w:rPr>
        <w:t>We will pay interest on the Notes semi-annually in arrears on                               and                               of each year, beginning on                               , 20 . The Notes will mature on                               , 2035, unless redeemed prior to the maturity date.</w:t>
      </w:r>
    </w:p>
    <w:p>
      <w:pPr>
        <w:spacing w:after="0" w:line="14" w:lineRule="exact"/>
        <w:rPr>
          <w:sz w:val="24"/>
          <w:szCs w:val="24"/>
          <w:color w:val="auto"/>
        </w:rPr>
      </w:pPr>
    </w:p>
    <w:p>
      <w:pPr>
        <w:ind w:right="200"/>
        <w:spacing w:after="0" w:line="313" w:lineRule="auto"/>
        <w:rPr>
          <w:sz w:val="20"/>
          <w:szCs w:val="20"/>
          <w:color w:val="auto"/>
        </w:rPr>
      </w:pPr>
      <w:r>
        <w:rPr>
          <w:rFonts w:ascii="Arial" w:cs="Arial" w:eastAsia="Arial" w:hAnsi="Arial"/>
          <w:sz w:val="18"/>
          <w:szCs w:val="18"/>
          <w:color w:val="auto"/>
        </w:rPr>
        <w:t>We may, at our option, redeem the Notes at any time in whole or from time to time in part, prior to maturity, at the redemption prices as described herein under “Description of Notes—Optional Redemption.”</w:t>
      </w:r>
    </w:p>
    <w:p>
      <w:pPr>
        <w:spacing w:after="0"/>
        <w:rPr>
          <w:sz w:val="20"/>
          <w:szCs w:val="20"/>
          <w:color w:val="auto"/>
        </w:rPr>
      </w:pPr>
      <w:r>
        <w:rPr>
          <w:rFonts w:ascii="Arial" w:cs="Arial" w:eastAsia="Arial" w:hAnsi="Arial"/>
          <w:sz w:val="18"/>
          <w:szCs w:val="18"/>
          <w:color w:val="auto"/>
        </w:rPr>
        <w:t>The Notes will be the unsecured senior obligations of Plains All American Pipeline, L.P. and PAA Finance Corp.</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and will rank equally in right of payment with their other senior indebtedness from time to time outstanding.</w:t>
      </w:r>
    </w:p>
    <w:p>
      <w:pPr>
        <w:spacing w:after="0" w:line="90" w:lineRule="exact"/>
        <w:rPr>
          <w:sz w:val="24"/>
          <w:szCs w:val="24"/>
          <w:color w:val="auto"/>
        </w:rPr>
      </w:pPr>
    </w:p>
    <w:p>
      <w:pPr>
        <w:ind w:right="100"/>
        <w:spacing w:after="0" w:line="318" w:lineRule="auto"/>
        <w:rPr>
          <w:sz w:val="20"/>
          <w:szCs w:val="20"/>
          <w:color w:val="auto"/>
        </w:rPr>
      </w:pPr>
      <w:r>
        <w:rPr>
          <w:rFonts w:ascii="Arial" w:cs="Arial" w:eastAsia="Arial" w:hAnsi="Arial"/>
          <w:sz w:val="18"/>
          <w:szCs w:val="18"/>
          <w:color w:val="auto"/>
        </w:rPr>
        <w:t>The Notes are a new issue of securities with no established trading market. We do not currently intend to apply for listing of the Notes on any securities exchange or have the Notes quoted on any automated quotation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57785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1" w:lineRule="exact"/>
        <w:rPr>
          <w:sz w:val="24"/>
          <w:szCs w:val="24"/>
          <w:color w:val="auto"/>
        </w:rPr>
      </w:pPr>
    </w:p>
    <w:p>
      <w:pPr>
        <w:ind w:right="760"/>
        <w:spacing w:after="0" w:line="312" w:lineRule="auto"/>
        <w:rPr>
          <w:sz w:val="20"/>
          <w:szCs w:val="20"/>
          <w:color w:val="auto"/>
        </w:rPr>
      </w:pPr>
      <w:r>
        <w:rPr>
          <w:rFonts w:ascii="Arial" w:cs="Arial" w:eastAsia="Arial" w:hAnsi="Arial"/>
          <w:sz w:val="18"/>
          <w:szCs w:val="18"/>
          <w:b w:val="1"/>
          <w:bCs w:val="1"/>
          <w:color w:val="auto"/>
        </w:rPr>
        <w:t xml:space="preserve">Investing in the Notes involves risks. See “Risk Factors” beginning on page </w:t>
      </w:r>
      <w:r>
        <w:rPr>
          <w:rFonts w:ascii="Arial" w:cs="Arial" w:eastAsia="Arial" w:hAnsi="Arial"/>
          <w:sz w:val="18"/>
          <w:szCs w:val="18"/>
          <w:b w:val="1"/>
          <w:bCs w:val="1"/>
          <w:u w:val="single" w:color="auto"/>
          <w:color w:val="0000EE"/>
        </w:rPr>
        <w:t>S-6</w:t>
      </w:r>
      <w:r>
        <w:rPr>
          <w:rFonts w:ascii="Arial" w:cs="Arial" w:eastAsia="Arial" w:hAnsi="Arial"/>
          <w:sz w:val="18"/>
          <w:szCs w:val="18"/>
          <w:b w:val="1"/>
          <w:bCs w:val="1"/>
          <w:color w:val="auto"/>
        </w:rPr>
        <w:t xml:space="preserve"> of this prospectus supplement.</w:t>
      </w:r>
    </w:p>
    <w:p>
      <w:pPr>
        <w:spacing w:after="0" w:line="2" w:lineRule="exact"/>
        <w:rPr>
          <w:sz w:val="24"/>
          <w:szCs w:val="24"/>
          <w:color w:val="auto"/>
        </w:rPr>
      </w:pPr>
    </w:p>
    <w:p>
      <w:pPr>
        <w:ind w:right="540"/>
        <w:spacing w:after="0" w:line="284" w:lineRule="auto"/>
        <w:rPr>
          <w:sz w:val="20"/>
          <w:szCs w:val="20"/>
          <w:color w:val="auto"/>
        </w:rPr>
      </w:pPr>
      <w:r>
        <w:rPr>
          <w:rFonts w:ascii="Arial" w:cs="Arial" w:eastAsia="Arial" w:hAnsi="Arial"/>
          <w:sz w:val="18"/>
          <w:szCs w:val="18"/>
          <w:color w:val="auto"/>
        </w:rPr>
        <w:t>Neither the U.S.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85725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8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b w:val="1"/>
                <w:bCs w:val="1"/>
                <w:color w:val="auto"/>
              </w:rPr>
              <w:t>​</w:t>
            </w:r>
          </w:p>
        </w:tc>
        <w:tc>
          <w:tcPr>
            <w:tcW w:w="34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Public Offering</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Underwriting</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Proceeds, Before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vMerge w:val="continue"/>
          </w:tcPr>
          <w:p>
            <w:pPr>
              <w:spacing w:after="0"/>
              <w:rPr>
                <w:sz w:val="20"/>
                <w:szCs w:val="20"/>
                <w:color w:val="auto"/>
              </w:rPr>
            </w:pPr>
          </w:p>
        </w:tc>
        <w:tc>
          <w:tcPr>
            <w:tcW w:w="2580" w:type="dxa"/>
            <w:vAlign w:val="bottom"/>
          </w:tcPr>
          <w:p>
            <w:pPr>
              <w:ind w:left="2120"/>
              <w:spacing w:after="0"/>
              <w:rPr>
                <w:sz w:val="20"/>
                <w:szCs w:val="20"/>
                <w:color w:val="auto"/>
              </w:rPr>
            </w:pPr>
            <w:r>
              <w:rPr>
                <w:rFonts w:ascii="Arial" w:cs="Arial" w:eastAsia="Arial" w:hAnsi="Arial"/>
                <w:sz w:val="16"/>
                <w:szCs w:val="16"/>
                <w:b w:val="1"/>
                <w:bCs w:val="1"/>
                <w:color w:val="auto"/>
              </w:rPr>
              <w:t>​ ​</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Price(1)</w:t>
            </w:r>
          </w:p>
        </w:tc>
        <w:tc>
          <w:tcPr>
            <w:tcW w:w="460" w:type="dxa"/>
            <w:vAlign w:val="bottom"/>
          </w:tcPr>
          <w:p>
            <w:pPr>
              <w:jc w:val="center"/>
              <w:spacing w:after="0"/>
              <w:rPr>
                <w:sz w:val="20"/>
                <w:szCs w:val="20"/>
                <w:color w:val="auto"/>
              </w:rPr>
            </w:pPr>
            <w:r>
              <w:rPr>
                <w:rFonts w:ascii="Arial" w:cs="Arial" w:eastAsia="Arial" w:hAnsi="Arial"/>
                <w:sz w:val="16"/>
                <w:szCs w:val="16"/>
                <w:b w:val="1"/>
                <w:bCs w:val="1"/>
                <w:color w:val="auto"/>
              </w:rPr>
              <w:t>​ ​</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Discount</w:t>
            </w: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 ​ Expenses, to Us ​</w:t>
            </w:r>
          </w:p>
        </w:tc>
        <w:tc>
          <w:tcPr>
            <w:tcW w:w="0" w:type="dxa"/>
            <w:vAlign w:val="bottom"/>
          </w:tcPr>
          <w:p>
            <w:pPr>
              <w:spacing w:after="0"/>
              <w:rPr>
                <w:sz w:val="1"/>
                <w:szCs w:val="1"/>
                <w:color w:val="auto"/>
              </w:rPr>
            </w:pPr>
          </w:p>
        </w:tc>
      </w:tr>
      <w:tr>
        <w:trPr>
          <w:trHeight w:val="237"/>
        </w:trPr>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2580" w:type="dxa"/>
            <w:vAlign w:val="bottom"/>
            <w:tcBorders>
              <w:top w:val="single" w:sz="8" w:color="auto"/>
            </w:tcBorders>
            <w:shd w:val="clear" w:color="auto" w:fill="CCEEFF"/>
          </w:tcPr>
          <w:p>
            <w:pPr>
              <w:ind w:left="2080"/>
              <w:spacing w:after="0"/>
              <w:rPr>
                <w:sz w:val="20"/>
                <w:szCs w:val="20"/>
                <w:color w:val="auto"/>
              </w:rPr>
            </w:pPr>
            <w:r>
              <w:rPr>
                <w:rFonts w:ascii="Arial" w:cs="Arial" w:eastAsia="Arial" w:hAnsi="Arial"/>
                <w:sz w:val="18"/>
                <w:szCs w:val="18"/>
                <w:color w:val="auto"/>
              </w:rPr>
              <w:t>​ ​</w:t>
            </w:r>
          </w:p>
        </w:tc>
        <w:tc>
          <w:tcPr>
            <w:tcW w:w="82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6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auto"/>
            </w:tcBorders>
          </w:tcPr>
          <w:p>
            <w:pPr>
              <w:ind w:left="2080"/>
              <w:spacing w:after="0" w:line="269" w:lineRule="exact"/>
              <w:rPr>
                <w:sz w:val="20"/>
                <w:szCs w:val="20"/>
                <w:color w:val="auto"/>
              </w:rPr>
            </w:pPr>
            <w:r>
              <w:rPr>
                <w:rFonts w:ascii="Arial" w:cs="Arial" w:eastAsia="Arial" w:hAnsi="Arial"/>
                <w:sz w:val="17"/>
                <w:szCs w:val="17"/>
                <w:color w:val="auto"/>
              </w:rPr>
              <w:t>​ ​​</w:t>
            </w:r>
            <w:r>
              <w:rPr>
                <w:rFonts w:ascii="Arial" w:cs="Arial" w:eastAsia="Arial" w:hAnsi="Arial"/>
                <w:sz w:val="31"/>
                <w:szCs w:val="31"/>
                <w:color w:val="auto"/>
                <w:vertAlign w:val="superscript"/>
              </w:rPr>
              <w:t>$</w:t>
            </w:r>
          </w:p>
        </w:tc>
        <w:tc>
          <w:tcPr>
            <w:tcW w:w="8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center"/>
              <w:ind w:right="16"/>
              <w:spacing w:after="0" w:line="269" w:lineRule="exact"/>
              <w:rPr>
                <w:sz w:val="20"/>
                <w:szCs w:val="20"/>
                <w:color w:val="auto"/>
              </w:rPr>
            </w:pPr>
            <w:r>
              <w:rPr>
                <w:rFonts w:ascii="Arial" w:cs="Arial" w:eastAsia="Arial" w:hAnsi="Arial"/>
                <w:sz w:val="17"/>
                <w:szCs w:val="17"/>
                <w:color w:val="auto"/>
              </w:rPr>
              <w:t>​​ ​​</w:t>
            </w:r>
            <w:r>
              <w:rPr>
                <w:rFonts w:ascii="Arial" w:cs="Arial" w:eastAsia="Arial" w:hAnsi="Arial"/>
                <w:sz w:val="31"/>
                <w:szCs w:val="31"/>
                <w:color w:val="auto"/>
                <w:vertAlign w:val="superscript"/>
              </w:rPr>
              <w:t>$</w:t>
            </w:r>
          </w:p>
        </w:tc>
        <w:tc>
          <w:tcPr>
            <w:tcW w:w="8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360" w:type="dxa"/>
            <w:vAlign w:val="bottom"/>
            <w:tcBorders>
              <w:bottom w:val="single" w:sz="8" w:color="auto"/>
            </w:tcBorders>
          </w:tcPr>
          <w:p>
            <w:pPr>
              <w:jc w:val="right"/>
              <w:ind w:right="1055"/>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31"/>
                <w:szCs w:val="31"/>
                <w:color w:val="auto"/>
                <w:vertAlign w:val="superscript"/>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(1) Plus accrued interest, if any, from                               , 2025.</w:t>
      </w:r>
    </w:p>
    <w:p>
      <w:pPr>
        <w:spacing w:after="0" w:line="168" w:lineRule="exact"/>
        <w:rPr>
          <w:sz w:val="24"/>
          <w:szCs w:val="24"/>
          <w:color w:val="auto"/>
        </w:rPr>
      </w:pPr>
    </w:p>
    <w:p>
      <w:pPr>
        <w:ind w:right="60"/>
        <w:spacing w:after="0" w:line="292" w:lineRule="auto"/>
        <w:rPr>
          <w:sz w:val="20"/>
          <w:szCs w:val="20"/>
          <w:color w:val="auto"/>
        </w:rPr>
      </w:pPr>
      <w:r>
        <w:rPr>
          <w:rFonts w:ascii="Arial" w:cs="Arial" w:eastAsia="Arial" w:hAnsi="Arial"/>
          <w:sz w:val="18"/>
          <w:szCs w:val="18"/>
          <w:color w:val="auto"/>
        </w:rPr>
        <w:t>The underwriters expect to deliver the Notes in book-entry form only through facilities of The Depository Trust Company for the account of its participants, including Clearstream Banking, société anonyme, and Euroclear Bank SA/NV, as operator of the Euroclear System, against payment on or about                 ,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80645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3" w:lineRule="exact"/>
        <w:rPr>
          <w:sz w:val="24"/>
          <w:szCs w:val="24"/>
          <w:color w:val="auto"/>
        </w:rPr>
      </w:pPr>
    </w:p>
    <w:p>
      <w:pPr>
        <w:jc w:val="center"/>
        <w:ind w:right="60"/>
        <w:spacing w:after="0"/>
        <w:rPr>
          <w:sz w:val="20"/>
          <w:szCs w:val="20"/>
          <w:color w:val="auto"/>
        </w:rPr>
      </w:pPr>
      <w:r>
        <w:rPr>
          <w:rFonts w:ascii="Arial" w:cs="Arial" w:eastAsia="Arial" w:hAnsi="Arial"/>
          <w:sz w:val="18"/>
          <w:szCs w:val="18"/>
          <w:i w:val="1"/>
          <w:iCs w:val="1"/>
          <w:color w:val="auto"/>
        </w:rPr>
        <w:t>Joint Book-Running Managers</w:t>
      </w:r>
    </w:p>
    <w:p>
      <w:pPr>
        <w:spacing w:after="0" w:line="86" w:lineRule="exact"/>
        <w:rPr>
          <w:sz w:val="24"/>
          <w:szCs w:val="24"/>
          <w:color w:val="auto"/>
        </w:rPr>
      </w:pPr>
    </w:p>
    <w:p>
      <w:pPr>
        <w:spacing w:after="0"/>
        <w:tabs>
          <w:tab w:leader="none" w:pos="1920" w:val="left"/>
          <w:tab w:leader="none" w:pos="2240" w:val="left"/>
          <w:tab w:leader="none" w:pos="5480" w:val="left"/>
          <w:tab w:leader="none" w:pos="5820" w:val="left"/>
          <w:tab w:leader="none" w:pos="7180" w:val="left"/>
          <w:tab w:leader="none" w:pos="7520" w:val="left"/>
        </w:tabs>
        <w:rPr>
          <w:sz w:val="20"/>
          <w:szCs w:val="20"/>
          <w:color w:val="auto"/>
        </w:rPr>
      </w:pPr>
      <w:r>
        <w:rPr>
          <w:rFonts w:ascii="Arial" w:cs="Arial" w:eastAsia="Arial" w:hAnsi="Arial"/>
          <w:sz w:val="29"/>
          <w:szCs w:val="29"/>
          <w:b w:val="1"/>
          <w:bCs w:val="1"/>
          <w:color w:val="auto"/>
        </w:rPr>
        <w:t>​J.P. Morgan​</w:t>
        <w:tab/>
        <w:t>​</w:t>
        <w:tab/>
        <w:t>BMO Capital Markets​</w:t>
        <w:tab/>
        <w:t>​</w:t>
        <w:tab/>
        <w:t>Mizuho​</w:t>
        <w:tab/>
        <w:t>​</w:t>
        <w:tab/>
        <w:t>Scotiabank​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135890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508" w:lineRule="exact"/>
        <w:rPr>
          <w:sz w:val="24"/>
          <w:szCs w:val="24"/>
          <w:color w:val="auto"/>
        </w:rPr>
      </w:pPr>
    </w:p>
    <w:p>
      <w:pPr>
        <w:sectPr>
          <w:pgSz w:w="11900" w:h="16838" w:orient="portrait"/>
          <w:cols w:equalWidth="0" w:num="2">
            <w:col w:w="860" w:space="280"/>
            <w:col w:w="9160"/>
          </w:cols>
          <w:pgMar w:left="580" w:top="205" w:right="1019" w:bottom="1440" w:gutter="0" w:footer="0" w:header="0"/>
          <w:type w:val="continuous"/>
        </w:sectPr>
      </w:pPr>
    </w:p>
    <w:p>
      <w:pPr>
        <w:spacing w:after="0" w:line="105"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The date of this prospectus supplement is                               ,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68065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10300"/>
          </w:cols>
          <w:pgMar w:left="580" w:top="205" w:right="101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2300"/>
        <w:spacing w:after="0"/>
        <w:rPr>
          <w:sz w:val="20"/>
          <w:szCs w:val="20"/>
          <w:color w:val="auto"/>
        </w:rPr>
      </w:pPr>
      <w:r>
        <w:rPr>
          <w:rFonts w:ascii="Arial" w:cs="Arial" w:eastAsia="Arial" w:hAnsi="Arial"/>
          <w:sz w:val="29"/>
          <w:szCs w:val="29"/>
          <w:b w:val="1"/>
          <w:bCs w:val="1"/>
          <w:color w:val="auto"/>
        </w:rPr>
        <w:t>Table of contents</w:t>
      </w:r>
    </w:p>
    <w:p>
      <w:pPr>
        <w:spacing w:after="0" w:line="10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Prospectus supplement</w:t>
      </w:r>
    </w:p>
    <w:p>
      <w:pPr>
        <w:spacing w:after="0" w:line="216"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3300" w:type="dxa"/>
            <w:vAlign w:val="bottom"/>
            <w:gridSpan w:val="16"/>
          </w:tcPr>
          <w:p>
            <w:pPr>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jc w:val="center"/>
              <w:spacing w:after="0"/>
              <w:rPr>
                <w:sz w:val="20"/>
                <w:szCs w:val="20"/>
                <w:color w:val="auto"/>
              </w:rPr>
            </w:pPr>
            <w:r>
              <w:rPr>
                <w:rFonts w:ascii="Arial" w:cs="Arial" w:eastAsia="Arial" w:hAnsi="Arial"/>
                <w:sz w:val="16"/>
                <w:szCs w:val="16"/>
                <w:b w:val="1"/>
                <w:bCs w:val="1"/>
                <w:color w:val="auto"/>
              </w:rPr>
              <w:t>​ ​</w:t>
            </w:r>
          </w:p>
        </w:tc>
        <w:tc>
          <w:tcPr>
            <w:tcW w:w="720" w:type="dxa"/>
            <w:vAlign w:val="bottom"/>
            <w:gridSpan w:val="11"/>
          </w:tcPr>
          <w:p>
            <w:pPr>
              <w:jc w:val="right"/>
              <w:ind w:right="174"/>
              <w:spacing w:after="0"/>
              <w:rPr>
                <w:sz w:val="20"/>
                <w:szCs w:val="20"/>
                <w:color w:val="auto"/>
              </w:rPr>
            </w:pPr>
            <w:r>
              <w:rPr>
                <w:rFonts w:ascii="Arial" w:cs="Arial" w:eastAsia="Arial" w:hAnsi="Arial"/>
                <w:sz w:val="16"/>
                <w:szCs w:val="16"/>
                <w:b w:val="1"/>
                <w:bCs w:val="1"/>
                <w:color w:val="auto"/>
              </w:rPr>
              <w:t>Page ​</w:t>
            </w:r>
          </w:p>
        </w:tc>
        <w:tc>
          <w:tcPr>
            <w:tcW w:w="2940" w:type="dxa"/>
            <w:vAlign w:val="bottom"/>
            <w:gridSpan w:val="15"/>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3300" w:type="dxa"/>
            <w:vAlign w:val="bottom"/>
            <w:gridSpan w:val="16"/>
            <w:shd w:val="clear" w:color="auto" w:fill="CCEEFF"/>
          </w:tcPr>
          <w:p>
            <w:pPr>
              <w:spacing w:after="0" w:line="182" w:lineRule="exact"/>
              <w:rPr>
                <w:sz w:val="20"/>
                <w:szCs w:val="20"/>
                <w:color w:val="auto"/>
              </w:rPr>
            </w:pPr>
            <w:r>
              <w:rPr>
                <w:rFonts w:ascii="Arial" w:cs="Arial" w:eastAsia="Arial" w:hAnsi="Arial"/>
                <w:sz w:val="18"/>
                <w:szCs w:val="18"/>
                <w:color w:val="0000EE"/>
              </w:rPr>
              <w:t>Important notice about information in this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15"/>
          </w:tcPr>
          <w:p>
            <w:pPr>
              <w:spacing w:after="0" w:line="182" w:lineRule="exact"/>
              <w:rPr>
                <w:sz w:val="20"/>
                <w:szCs w:val="20"/>
                <w:color w:val="auto"/>
              </w:rPr>
            </w:pPr>
            <w:r>
              <w:rPr>
                <w:rFonts w:ascii="Arial" w:cs="Arial" w:eastAsia="Arial" w:hAnsi="Arial"/>
                <w:sz w:val="18"/>
                <w:szCs w:val="18"/>
                <w:color w:val="0000EE"/>
              </w:rPr>
              <w:t>Description of notes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520" w:type="dxa"/>
            <w:vAlign w:val="bottom"/>
            <w:tcBorders>
              <w:top w:val="single" w:sz="8" w:color="0000EE"/>
            </w:tcBorders>
            <w:gridSpan w:val="9"/>
            <w:vMerge w:val="restart"/>
            <w:shd w:val="clear" w:color="auto" w:fill="CCEEFF"/>
          </w:tcPr>
          <w:p>
            <w:pPr>
              <w:spacing w:after="0" w:line="182" w:lineRule="exact"/>
              <w:rPr>
                <w:sz w:val="20"/>
                <w:szCs w:val="20"/>
                <w:color w:val="auto"/>
              </w:rPr>
            </w:pPr>
            <w:r>
              <w:rPr>
                <w:rFonts w:ascii="Arial" w:cs="Arial" w:eastAsia="Arial" w:hAnsi="Arial"/>
                <w:sz w:val="18"/>
                <w:szCs w:val="18"/>
                <w:color w:val="0000EE"/>
                <w:w w:val="99"/>
              </w:rPr>
              <w:t>prospectus supplement and the</w:t>
            </w: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520" w:type="dxa"/>
            <w:vAlign w:val="bottom"/>
            <w:tcBorders>
              <w:bottom w:val="single" w:sz="8" w:color="0000EE"/>
            </w:tcBorders>
            <w:gridSpan w:val="9"/>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restart"/>
            <w:shd w:val="clear" w:color="auto" w:fill="CCEEFF"/>
          </w:tcPr>
          <w:p>
            <w:pPr>
              <w:spacing w:after="0"/>
              <w:rPr>
                <w:sz w:val="15"/>
                <w:szCs w:val="15"/>
                <w:color w:val="auto"/>
              </w:rPr>
            </w:pPr>
          </w:p>
        </w:tc>
        <w:tc>
          <w:tcPr>
            <w:tcW w:w="140" w:type="dxa"/>
            <w:vAlign w:val="bottom"/>
            <w:tcBorders>
              <w:bottom w:val="single" w:sz="8" w:color="CCEEFF"/>
            </w:tcBorders>
            <w:vMerge w:val="restart"/>
            <w:shd w:val="clear" w:color="auto" w:fill="CCEEFF"/>
          </w:tcPr>
          <w:p>
            <w:pPr>
              <w:spacing w:after="0"/>
              <w:rPr>
                <w:sz w:val="15"/>
                <w:szCs w:val="15"/>
                <w:color w:val="auto"/>
              </w:rPr>
            </w:pPr>
          </w:p>
        </w:tc>
        <w:tc>
          <w:tcPr>
            <w:tcW w:w="160" w:type="dxa"/>
            <w:vAlign w:val="bottom"/>
            <w:tcBorders>
              <w:bottom w:val="single" w:sz="8" w:color="CCEEFF"/>
            </w:tcBorders>
            <w:vMerge w:val="restart"/>
            <w:shd w:val="clear" w:color="auto" w:fill="CCEEFF"/>
          </w:tcPr>
          <w:p>
            <w:pPr>
              <w:spacing w:after="0"/>
              <w:rPr>
                <w:sz w:val="15"/>
                <w:szCs w:val="15"/>
                <w:color w:val="auto"/>
              </w:rPr>
            </w:pPr>
          </w:p>
        </w:tc>
        <w:tc>
          <w:tcPr>
            <w:tcW w:w="40" w:type="dxa"/>
            <w:vAlign w:val="bottom"/>
            <w:tcBorders>
              <w:bottom w:val="single" w:sz="8" w:color="CCEEFF"/>
            </w:tcBorders>
            <w:vMerge w:val="restart"/>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4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15"/>
            <w:vMerge w:val="restart"/>
          </w:tcPr>
          <w:p>
            <w:pPr>
              <w:spacing w:after="0"/>
              <w:rPr>
                <w:sz w:val="20"/>
                <w:szCs w:val="20"/>
                <w:color w:val="auto"/>
              </w:rPr>
            </w:pPr>
            <w:r>
              <w:rPr>
                <w:rFonts w:ascii="Arial" w:cs="Arial" w:eastAsia="Arial" w:hAnsi="Arial"/>
                <w:sz w:val="18"/>
                <w:szCs w:val="18"/>
                <w:color w:val="0000EE"/>
              </w:rPr>
              <w:t>Book-entry, delivery and form</w:t>
            </w:r>
          </w:p>
        </w:tc>
        <w:tc>
          <w:tcPr>
            <w:tcW w:w="0" w:type="dxa"/>
            <w:vAlign w:val="bottom"/>
          </w:tcPr>
          <w:p>
            <w:pPr>
              <w:spacing w:after="0"/>
              <w:rPr>
                <w:sz w:val="1"/>
                <w:szCs w:val="1"/>
                <w:color w:val="auto"/>
              </w:rPr>
            </w:pPr>
          </w:p>
        </w:tc>
      </w:tr>
      <w:tr>
        <w:trPr>
          <w:trHeight w:val="34"/>
        </w:trPr>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540" w:type="dxa"/>
            <w:vAlign w:val="bottom"/>
            <w:gridSpan w:val="10"/>
            <w:vMerge w:val="restart"/>
            <w:shd w:val="clear" w:color="auto" w:fill="CCEEFF"/>
          </w:tcPr>
          <w:p>
            <w:pPr>
              <w:spacing w:after="0" w:line="182" w:lineRule="exact"/>
              <w:rPr>
                <w:sz w:val="20"/>
                <w:szCs w:val="20"/>
                <w:color w:val="auto"/>
              </w:rPr>
            </w:pPr>
            <w:r>
              <w:rPr>
                <w:rFonts w:ascii="Arial" w:cs="Arial" w:eastAsia="Arial" w:hAnsi="Arial"/>
                <w:sz w:val="18"/>
                <w:szCs w:val="18"/>
                <w:color w:val="0000EE"/>
                <w:w w:val="99"/>
              </w:rPr>
              <w:t>accompanying base prospectus</w:t>
            </w:r>
          </w:p>
        </w:tc>
        <w:tc>
          <w:tcPr>
            <w:tcW w:w="240" w:type="dxa"/>
            <w:vAlign w:val="bottom"/>
            <w:vMerge w:val="continue"/>
            <w:shd w:val="clear" w:color="auto" w:fill="CCEEFF"/>
          </w:tcPr>
          <w:p>
            <w:pPr>
              <w:spacing w:after="0"/>
              <w:rPr>
                <w:sz w:val="2"/>
                <w:szCs w:val="2"/>
                <w:color w:val="auto"/>
              </w:rPr>
            </w:pPr>
          </w:p>
        </w:tc>
        <w:tc>
          <w:tcPr>
            <w:tcW w:w="140" w:type="dxa"/>
            <w:vAlign w:val="bottom"/>
            <w:vMerge w:val="continue"/>
            <w:shd w:val="clear" w:color="auto" w:fill="CCEEFF"/>
          </w:tcPr>
          <w:p>
            <w:pPr>
              <w:spacing w:after="0"/>
              <w:rPr>
                <w:sz w:val="2"/>
                <w:szCs w:val="2"/>
                <w:color w:val="auto"/>
              </w:rPr>
            </w:pPr>
          </w:p>
        </w:tc>
        <w:tc>
          <w:tcPr>
            <w:tcW w:w="160" w:type="dxa"/>
            <w:vAlign w:val="bottom"/>
            <w:vMerge w:val="continue"/>
            <w:shd w:val="clear" w:color="auto" w:fill="CCEEFF"/>
          </w:tcPr>
          <w:p>
            <w:pPr>
              <w:spacing w:after="0"/>
              <w:rPr>
                <w:sz w:val="2"/>
                <w:szCs w:val="2"/>
                <w:color w:val="auto"/>
              </w:rPr>
            </w:pPr>
          </w:p>
        </w:tc>
        <w:tc>
          <w:tcPr>
            <w:tcW w:w="40" w:type="dxa"/>
            <w:vAlign w:val="bottom"/>
            <w:vMerge w:val="continue"/>
            <w:shd w:val="clear" w:color="auto" w:fill="CCEEFF"/>
          </w:tcPr>
          <w:p>
            <w:pPr>
              <w:spacing w:after="0"/>
              <w:rPr>
                <w:sz w:val="2"/>
                <w:szCs w:val="2"/>
                <w:color w:val="auto"/>
              </w:rPr>
            </w:pPr>
          </w:p>
        </w:tc>
        <w:tc>
          <w:tcPr>
            <w:tcW w:w="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gridSpan w:val="3"/>
            <w:vMerge w:val="restart"/>
            <w:shd w:val="clear" w:color="auto" w:fill="CCEEFF"/>
          </w:tcPr>
          <w:p>
            <w:pPr>
              <w:jc w:val="right"/>
              <w:spacing w:after="0" w:line="182" w:lineRule="exact"/>
              <w:rPr>
                <w:sz w:val="20"/>
                <w:szCs w:val="20"/>
                <w:color w:val="auto"/>
              </w:rPr>
            </w:pPr>
            <w:r>
              <w:rPr>
                <w:rFonts w:ascii="Arial" w:cs="Arial" w:eastAsia="Arial" w:hAnsi="Arial"/>
                <w:sz w:val="18"/>
                <w:szCs w:val="18"/>
                <w:color w:val="0000EE"/>
                <w:w w:val="92"/>
              </w:rPr>
              <w:t>S-ii</w:t>
            </w:r>
          </w:p>
        </w:tc>
        <w:tc>
          <w:tcPr>
            <w:tcW w:w="20" w:type="dxa"/>
            <w:vAlign w:val="bottom"/>
          </w:tcPr>
          <w:p>
            <w:pPr>
              <w:spacing w:after="0"/>
              <w:rPr>
                <w:sz w:val="2"/>
                <w:szCs w:val="2"/>
                <w:color w:val="auto"/>
              </w:rPr>
            </w:pPr>
          </w:p>
        </w:tc>
        <w:tc>
          <w:tcPr>
            <w:tcW w:w="200" w:type="dxa"/>
            <w:vAlign w:val="bottom"/>
            <w:vMerge w:val="restart"/>
          </w:tcPr>
          <w:p>
            <w:pPr>
              <w:jc w:val="right"/>
              <w:ind w:right="174"/>
              <w:spacing w:after="0"/>
              <w:rPr>
                <w:sz w:val="20"/>
                <w:szCs w:val="20"/>
                <w:color w:val="auto"/>
              </w:rPr>
            </w:pPr>
            <w:r>
              <w:rPr>
                <w:rFonts w:ascii="Arial" w:cs="Arial" w:eastAsia="Arial" w:hAnsi="Arial"/>
                <w:sz w:val="1"/>
                <w:szCs w:val="1"/>
                <w:color w:val="auto"/>
                <w:w w:val="4294942296"/>
              </w:rPr>
              <w:t>​</w:t>
            </w:r>
          </w:p>
        </w:tc>
        <w:tc>
          <w:tcPr>
            <w:tcW w:w="2940" w:type="dxa"/>
            <w:vAlign w:val="bottom"/>
            <w:gridSpan w:val="1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540" w:type="dxa"/>
            <w:vAlign w:val="bottom"/>
            <w:gridSpan w:val="10"/>
            <w:vMerge w:val="continue"/>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00" w:type="dxa"/>
            <w:vAlign w:val="bottom"/>
            <w:vMerge w:val="continue"/>
            <w:shd w:val="clear" w:color="auto" w:fill="CCEEFF"/>
          </w:tcPr>
          <w:p>
            <w:pPr>
              <w:spacing w:after="0" w:line="20" w:lineRule="exact"/>
              <w:rPr>
                <w:sz w:val="1"/>
                <w:szCs w:val="1"/>
                <w:color w:val="auto"/>
              </w:rPr>
            </w:pPr>
          </w:p>
        </w:tc>
        <w:tc>
          <w:tcPr>
            <w:tcW w:w="160" w:type="dxa"/>
            <w:vAlign w:val="bottom"/>
            <w:gridSpan w:val="3"/>
            <w:vMerge w:val="continue"/>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gridSpan w:val="3"/>
            <w:vMerge w:val="continue"/>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540" w:type="dxa"/>
            <w:vAlign w:val="bottom"/>
            <w:tcBorders>
              <w:bottom w:val="single" w:sz="8" w:color="0000EE"/>
            </w:tcBorders>
            <w:gridSpan w:val="10"/>
            <w:vMerge w:val="continue"/>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20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tcBorders>
            <w:gridSpan w:val="3"/>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0000EE"/>
            </w:tcBorders>
            <w:gridSpan w:val="3"/>
            <w:vMerge w:val="continue"/>
            <w:shd w:val="clear" w:color="auto" w:fill="CCEEFF"/>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0" w:type="dxa"/>
            <w:vAlign w:val="bottom"/>
            <w:vMerge w:val="continue"/>
          </w:tcPr>
          <w:p>
            <w:pPr>
              <w:spacing w:after="0"/>
              <w:rPr>
                <w:sz w:val="15"/>
                <w:szCs w:val="15"/>
                <w:color w:val="auto"/>
              </w:rPr>
            </w:pPr>
          </w:p>
        </w:tc>
        <w:tc>
          <w:tcPr>
            <w:tcW w:w="2500" w:type="dxa"/>
            <w:vAlign w:val="bottom"/>
            <w:gridSpan w:val="13"/>
            <w:vMerge w:val="restart"/>
          </w:tcPr>
          <w:p>
            <w:pPr>
              <w:spacing w:after="0"/>
              <w:rPr>
                <w:sz w:val="20"/>
                <w:szCs w:val="20"/>
                <w:color w:val="auto"/>
              </w:rPr>
            </w:pPr>
            <w:r>
              <w:rPr>
                <w:rFonts w:ascii="Arial" w:cs="Arial" w:eastAsia="Arial" w:hAnsi="Arial"/>
                <w:sz w:val="18"/>
                <w:szCs w:val="18"/>
                <w:color w:val="0000EE"/>
                <w:w w:val="99"/>
              </w:rPr>
              <w:t>Certain U.S. federal income tax</w:t>
            </w:r>
          </w:p>
        </w:tc>
        <w:tc>
          <w:tcPr>
            <w:tcW w:w="44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tcPr>
          <w:p>
            <w:pPr>
              <w:spacing w:after="0"/>
              <w:rPr>
                <w:sz w:val="2"/>
                <w:szCs w:val="2"/>
                <w:color w:val="auto"/>
              </w:rPr>
            </w:pPr>
          </w:p>
        </w:tc>
        <w:tc>
          <w:tcPr>
            <w:tcW w:w="2200" w:type="dxa"/>
            <w:vAlign w:val="bottom"/>
            <w:tcBorders>
              <w:top w:val="single" w:sz="8" w:color="CCEEFF"/>
              <w:bottom w:val="single" w:sz="8" w:color="CCEEFF"/>
            </w:tcBorders>
            <w:gridSpan w:val="6"/>
            <w:vMerge w:val="restart"/>
          </w:tcPr>
          <w:p>
            <w:pPr>
              <w:spacing w:after="0" w:line="196" w:lineRule="exact"/>
              <w:rPr>
                <w:sz w:val="20"/>
                <w:szCs w:val="20"/>
                <w:color w:val="auto"/>
              </w:rPr>
            </w:pPr>
            <w:r>
              <w:rPr>
                <w:rFonts w:ascii="Arial" w:cs="Arial" w:eastAsia="Arial" w:hAnsi="Arial"/>
                <w:sz w:val="18"/>
                <w:szCs w:val="18"/>
                <w:color w:val="0000EE"/>
                <w:w w:val="98"/>
              </w:rPr>
              <w:t>Forward-looking statements</w:t>
            </w:r>
          </w:p>
        </w:tc>
        <w:tc>
          <w:tcPr>
            <w:tcW w:w="36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240" w:type="dxa"/>
            <w:vAlign w:val="bottom"/>
            <w:tcBorders>
              <w:top w:val="single" w:sz="8" w:color="CCEEFF"/>
            </w:tcBorders>
          </w:tcPr>
          <w:p>
            <w:pPr>
              <w:spacing w:after="0"/>
              <w:rPr>
                <w:sz w:val="2"/>
                <w:szCs w:val="2"/>
                <w:color w:val="auto"/>
              </w:rPr>
            </w:pPr>
          </w:p>
        </w:tc>
        <w:tc>
          <w:tcPr>
            <w:tcW w:w="140" w:type="dxa"/>
            <w:vAlign w:val="bottom"/>
            <w:tcBorders>
              <w:top w:val="single" w:sz="8" w:color="CCEEFF"/>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400" w:type="dxa"/>
            <w:vAlign w:val="bottom"/>
            <w:tcBorders>
              <w:top w:val="single" w:sz="8" w:color="CCEEFF"/>
              <w:bottom w:val="single" w:sz="8" w:color="CCEEFF"/>
            </w:tcBorders>
            <w:gridSpan w:val="5"/>
            <w:vMerge w:val="restart"/>
          </w:tcPr>
          <w:p>
            <w:pPr>
              <w:jc w:val="right"/>
              <w:ind w:right="53"/>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300" w:type="dxa"/>
            <w:vAlign w:val="bottom"/>
            <w:tcBorders>
              <w:top w:val="single" w:sz="8" w:color="CCEEFF"/>
              <w:bottom w:val="single" w:sz="8" w:color="CCEEFF"/>
            </w:tcBorders>
            <w:gridSpan w:val="5"/>
            <w:vMerge w:val="restart"/>
          </w:tcPr>
          <w:p>
            <w:pPr>
              <w:jc w:val="right"/>
              <w:spacing w:after="0" w:line="196" w:lineRule="exact"/>
              <w:rPr>
                <w:sz w:val="20"/>
                <w:szCs w:val="20"/>
                <w:color w:val="auto"/>
              </w:rPr>
            </w:pPr>
            <w:r>
              <w:rPr>
                <w:rFonts w:ascii="Arial" w:cs="Arial" w:eastAsia="Arial" w:hAnsi="Arial"/>
                <w:sz w:val="18"/>
                <w:szCs w:val="18"/>
                <w:color w:val="0000EE"/>
                <w:w w:val="93"/>
              </w:rPr>
              <w:t>S-iii</w:t>
            </w:r>
          </w:p>
        </w:tc>
        <w:tc>
          <w:tcPr>
            <w:tcW w:w="20" w:type="dxa"/>
            <w:vAlign w:val="bottom"/>
            <w:vMerge w:val="restart"/>
          </w:tcPr>
          <w:p>
            <w:pPr>
              <w:spacing w:after="0"/>
              <w:rPr>
                <w:sz w:val="2"/>
                <w:szCs w:val="2"/>
                <w:color w:val="auto"/>
              </w:rPr>
            </w:pPr>
          </w:p>
        </w:tc>
        <w:tc>
          <w:tcPr>
            <w:tcW w:w="200" w:type="dxa"/>
            <w:vAlign w:val="bottom"/>
            <w:vMerge w:val="continue"/>
          </w:tcPr>
          <w:p>
            <w:pPr>
              <w:spacing w:after="0"/>
              <w:rPr>
                <w:sz w:val="2"/>
                <w:szCs w:val="2"/>
                <w:color w:val="auto"/>
              </w:rPr>
            </w:pPr>
          </w:p>
        </w:tc>
        <w:tc>
          <w:tcPr>
            <w:tcW w:w="2500" w:type="dxa"/>
            <w:vAlign w:val="bottom"/>
            <w:tcBorders>
              <w:bottom w:val="single" w:sz="8" w:color="0000EE"/>
            </w:tcBorders>
            <w:gridSpan w:val="13"/>
            <w:vMerge w:val="continue"/>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0" w:type="dxa"/>
            <w:vAlign w:val="bottom"/>
            <w:tcBorders>
              <w:bottom w:val="single" w:sz="8" w:color="0000EE"/>
            </w:tcBorders>
            <w:gridSpan w:val="6"/>
            <w:vMerge w:val="continue"/>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400" w:type="dxa"/>
            <w:vAlign w:val="bottom"/>
            <w:tcBorders>
              <w:bottom w:val="single" w:sz="8" w:color="CCEEFF"/>
            </w:tcBorders>
            <w:gridSpan w:val="5"/>
            <w:vMerge w:val="continue"/>
          </w:tcPr>
          <w:p>
            <w:pPr>
              <w:spacing w:after="0"/>
              <w:rPr>
                <w:sz w:val="16"/>
                <w:szCs w:val="16"/>
                <w:color w:val="auto"/>
              </w:rPr>
            </w:pPr>
          </w:p>
        </w:tc>
        <w:tc>
          <w:tcPr>
            <w:tcW w:w="300" w:type="dxa"/>
            <w:vAlign w:val="bottom"/>
            <w:tcBorders>
              <w:bottom w:val="single" w:sz="8" w:color="CCEEFF"/>
            </w:tcBorders>
            <w:gridSpan w:val="5"/>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0" w:type="dxa"/>
            <w:vAlign w:val="bottom"/>
          </w:tcPr>
          <w:p>
            <w:pPr>
              <w:jc w:val="right"/>
              <w:ind w:right="174"/>
              <w:spacing w:after="0"/>
              <w:rPr>
                <w:sz w:val="20"/>
                <w:szCs w:val="20"/>
                <w:color w:val="auto"/>
              </w:rPr>
            </w:pPr>
            <w:r>
              <w:rPr>
                <w:rFonts w:ascii="Arial" w:cs="Arial" w:eastAsia="Arial" w:hAnsi="Arial"/>
                <w:sz w:val="1"/>
                <w:szCs w:val="1"/>
                <w:color w:val="auto"/>
                <w:w w:val="4294942296"/>
              </w:rPr>
              <w:t>​</w:t>
            </w:r>
          </w:p>
        </w:tc>
        <w:tc>
          <w:tcPr>
            <w:tcW w:w="180" w:type="dxa"/>
            <w:vAlign w:val="bottom"/>
          </w:tcPr>
          <w:p>
            <w:pPr>
              <w:spacing w:after="0"/>
              <w:rPr>
                <w:sz w:val="16"/>
                <w:szCs w:val="16"/>
                <w:color w:val="auto"/>
              </w:rPr>
            </w:pPr>
          </w:p>
        </w:tc>
        <w:tc>
          <w:tcPr>
            <w:tcW w:w="2760" w:type="dxa"/>
            <w:vAlign w:val="bottom"/>
            <w:gridSpan w:val="14"/>
          </w:tcPr>
          <w:p>
            <w:pPr>
              <w:spacing w:after="0" w:line="169" w:lineRule="exact"/>
              <w:rPr>
                <w:sz w:val="20"/>
                <w:szCs w:val="20"/>
                <w:color w:val="auto"/>
              </w:rPr>
            </w:pPr>
            <w:r>
              <w:rPr>
                <w:rFonts w:ascii="Arial" w:cs="Arial" w:eastAsia="Arial" w:hAnsi="Arial"/>
                <w:sz w:val="18"/>
                <w:szCs w:val="18"/>
                <w:color w:val="0000EE"/>
              </w:rPr>
              <w:t>consequences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Borders>
              <w:bottom w:val="single" w:sz="8" w:color="CCEEFF"/>
            </w:tcBorders>
            <w:shd w:val="clear" w:color="auto" w:fill="CCEEFF"/>
          </w:tcPr>
          <w:p>
            <w:pPr>
              <w:spacing w:after="0"/>
              <w:rPr>
                <w:sz w:val="17"/>
                <w:szCs w:val="17"/>
                <w:color w:val="auto"/>
              </w:rPr>
            </w:pPr>
          </w:p>
        </w:tc>
        <w:tc>
          <w:tcPr>
            <w:tcW w:w="266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98"/>
              </w:rPr>
              <w:t>Prospectus supplement summary</w:t>
            </w:r>
          </w:p>
        </w:tc>
        <w:tc>
          <w:tcPr>
            <w:tcW w:w="280" w:type="dxa"/>
            <w:vAlign w:val="bottom"/>
            <w:tcBorders>
              <w:bottom w:val="single" w:sz="8" w:color="CCEEFF"/>
            </w:tcBorders>
            <w:gridSpan w:val="3"/>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vMerge w:val="restart"/>
            <w:shd w:val="clear" w:color="auto" w:fill="CCEEFF"/>
          </w:tcPr>
          <w:p>
            <w:pPr>
              <w:spacing w:after="0"/>
              <w:rPr>
                <w:sz w:val="17"/>
                <w:szCs w:val="17"/>
                <w:color w:val="auto"/>
              </w:rPr>
            </w:pPr>
          </w:p>
        </w:tc>
        <w:tc>
          <w:tcPr>
            <w:tcW w:w="280" w:type="dxa"/>
            <w:vAlign w:val="bottom"/>
            <w:tcBorders>
              <w:bottom w:val="single" w:sz="8" w:color="0000EE"/>
            </w:tcBorders>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EE"/>
                <w:w w:val="92"/>
              </w:rPr>
              <w:t>S-1</w:t>
            </w:r>
          </w:p>
        </w:tc>
        <w:tc>
          <w:tcPr>
            <w:tcW w:w="20" w:type="dxa"/>
            <w:vAlign w:val="bottom"/>
            <w:tcBorders>
              <w:bottom w:val="single" w:sz="8" w:color="0000EE"/>
            </w:tcBorders>
          </w:tcPr>
          <w:p>
            <w:pPr>
              <w:spacing w:after="0"/>
              <w:rPr>
                <w:sz w:val="17"/>
                <w:szCs w:val="17"/>
                <w:color w:val="auto"/>
              </w:rPr>
            </w:pPr>
          </w:p>
        </w:tc>
        <w:tc>
          <w:tcPr>
            <w:tcW w:w="200" w:type="dxa"/>
            <w:vAlign w:val="bottom"/>
            <w:vMerge w:val="restart"/>
          </w:tcPr>
          <w:p>
            <w:pPr>
              <w:jc w:val="right"/>
              <w:ind w:right="174"/>
              <w:spacing w:after="0"/>
              <w:rPr>
                <w:sz w:val="20"/>
                <w:szCs w:val="20"/>
                <w:color w:val="auto"/>
              </w:rPr>
            </w:pPr>
            <w:r>
              <w:rPr>
                <w:rFonts w:ascii="Arial" w:cs="Arial" w:eastAsia="Arial" w:hAnsi="Arial"/>
                <w:sz w:val="1"/>
                <w:szCs w:val="1"/>
                <w:color w:val="auto"/>
                <w:w w:val="4294942296"/>
              </w:rPr>
              <w:t>​</w:t>
            </w:r>
          </w:p>
        </w:tc>
        <w:tc>
          <w:tcPr>
            <w:tcW w:w="2940" w:type="dxa"/>
            <w:vAlign w:val="bottom"/>
            <w:gridSpan w:val="15"/>
            <w:vMerge w:val="restart"/>
          </w:tcPr>
          <w:p>
            <w:pPr>
              <w:spacing w:after="0"/>
              <w:rPr>
                <w:sz w:val="20"/>
                <w:szCs w:val="20"/>
                <w:color w:val="auto"/>
              </w:rPr>
            </w:pPr>
            <w:r>
              <w:rPr>
                <w:rFonts w:ascii="Arial" w:cs="Arial" w:eastAsia="Arial" w:hAnsi="Arial"/>
                <w:sz w:val="18"/>
                <w:szCs w:val="18"/>
                <w:color w:val="0000EE"/>
              </w:rPr>
              <w:t>Underwriting</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bottom w:val="single" w:sz="8" w:color="CCEEFF"/>
            </w:tcBorders>
            <w:gridSpan w:val="2"/>
            <w:shd w:val="clear" w:color="auto" w:fill="CCEEFF"/>
          </w:tcPr>
          <w:p>
            <w:pPr>
              <w:spacing w:after="0" w:line="20" w:lineRule="exact"/>
              <w:rPr>
                <w:sz w:val="1"/>
                <w:szCs w:val="1"/>
                <w:color w:val="auto"/>
              </w:rPr>
            </w:pPr>
          </w:p>
        </w:tc>
        <w:tc>
          <w:tcPr>
            <w:tcW w:w="140" w:type="dxa"/>
            <w:vAlign w:val="bottom"/>
            <w:tcBorders>
              <w:top w:val="single" w:sz="8" w:color="0000EE"/>
              <w:bottom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bottom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bottom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bottom w:val="single" w:sz="8" w:color="CCEEFF"/>
            </w:tcBorders>
            <w:gridSpan w:val="2"/>
            <w:shd w:val="clear" w:color="auto" w:fill="CCEEFF"/>
          </w:tcPr>
          <w:p>
            <w:pPr>
              <w:spacing w:after="0" w:line="20" w:lineRule="exact"/>
              <w:rPr>
                <w:sz w:val="1"/>
                <w:szCs w:val="1"/>
                <w:color w:val="auto"/>
              </w:rPr>
            </w:pPr>
          </w:p>
        </w:tc>
        <w:tc>
          <w:tcPr>
            <w:tcW w:w="40" w:type="dxa"/>
            <w:vAlign w:val="bottom"/>
            <w:tcBorders>
              <w:top w:val="single" w:sz="8" w:color="0000EE"/>
              <w:bottom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bottom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CCEEFF"/>
            </w:tcBorders>
            <w:gridSpan w:val="3"/>
            <w:shd w:val="clear" w:color="auto" w:fill="CCEEFF"/>
          </w:tcPr>
          <w:p>
            <w:pPr>
              <w:spacing w:after="0" w:line="20" w:lineRule="exact"/>
              <w:rPr>
                <w:sz w:val="1"/>
                <w:szCs w:val="1"/>
                <w:color w:val="auto"/>
              </w:rPr>
            </w:pPr>
          </w:p>
        </w:tc>
        <w:tc>
          <w:tcPr>
            <w:tcW w:w="1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bottom w:val="single" w:sz="8" w:color="CCEEFF"/>
            </w:tcBorders>
            <w:gridSpan w:val="2"/>
            <w:shd w:val="clear" w:color="auto" w:fill="CCEEFF"/>
          </w:tcPr>
          <w:p>
            <w:pPr>
              <w:spacing w:after="0" w:line="20" w:lineRule="exact"/>
              <w:rPr>
                <w:sz w:val="1"/>
                <w:szCs w:val="1"/>
                <w:color w:val="auto"/>
              </w:rPr>
            </w:pPr>
          </w:p>
        </w:tc>
        <w:tc>
          <w:tcPr>
            <w:tcW w:w="200" w:type="dxa"/>
            <w:vAlign w:val="bottom"/>
            <w:tcBorders>
              <w:top w:val="single" w:sz="8" w:color="CCEEFF"/>
              <w:bottom w:val="single" w:sz="8" w:color="CCEEFF"/>
            </w:tcBorders>
            <w:vMerge w:val="continue"/>
            <w:shd w:val="clear" w:color="auto" w:fill="CCEEFF"/>
          </w:tcPr>
          <w:p>
            <w:pPr>
              <w:spacing w:after="0" w:line="20" w:lineRule="exact"/>
              <w:rPr>
                <w:sz w:val="1"/>
                <w:szCs w:val="1"/>
                <w:color w:val="auto"/>
              </w:rPr>
            </w:pPr>
          </w:p>
        </w:tc>
        <w:tc>
          <w:tcPr>
            <w:tcW w:w="160" w:type="dxa"/>
            <w:vAlign w:val="bottom"/>
            <w:tcBorders>
              <w:top w:val="single" w:sz="8" w:color="CCEEFF"/>
              <w:bottom w:val="single" w:sz="8" w:color="CCEEFF"/>
            </w:tcBorders>
            <w:gridSpan w:val="3"/>
            <w:vMerge w:val="continue"/>
            <w:shd w:val="clear" w:color="auto" w:fill="CCEEFF"/>
          </w:tcPr>
          <w:p>
            <w:pPr>
              <w:spacing w:after="0" w:line="20" w:lineRule="exact"/>
              <w:rPr>
                <w:sz w:val="1"/>
                <w:szCs w:val="1"/>
                <w:color w:val="auto"/>
              </w:rPr>
            </w:pPr>
          </w:p>
        </w:tc>
        <w:tc>
          <w:tcPr>
            <w:tcW w:w="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CCEEFF"/>
            </w:tcBorders>
            <w:vMerge w:val="continue"/>
            <w:shd w:val="clear" w:color="auto" w:fill="CCEEFF"/>
          </w:tcPr>
          <w:p>
            <w:pPr>
              <w:spacing w:after="0" w:line="20" w:lineRule="exact"/>
              <w:rPr>
                <w:sz w:val="1"/>
                <w:szCs w:val="1"/>
                <w:color w:val="auto"/>
              </w:rPr>
            </w:pPr>
          </w:p>
        </w:tc>
        <w:tc>
          <w:tcPr>
            <w:tcW w:w="160" w:type="dxa"/>
            <w:vAlign w:val="bottom"/>
            <w:tcBorders>
              <w:top w:val="single" w:sz="8" w:color="CCEEFF"/>
              <w:bottom w:val="single" w:sz="8" w:color="CCEEFF"/>
              <w:right w:val="single" w:sz="8" w:color="CCEEFF"/>
            </w:tcBorders>
            <w:gridSpan w:val="2"/>
            <w:shd w:val="clear" w:color="auto" w:fill="CCEEFF"/>
          </w:tcPr>
          <w:p>
            <w:pPr>
              <w:spacing w:after="0" w:line="20" w:lineRule="exact"/>
              <w:rPr>
                <w:sz w:val="1"/>
                <w:szCs w:val="1"/>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940" w:type="dxa"/>
            <w:vAlign w:val="bottom"/>
            <w:gridSpan w:val="1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gridSpan w:val="2"/>
            <w:vMerge w:val="restart"/>
          </w:tcPr>
          <w:p>
            <w:pPr>
              <w:spacing w:after="0" w:line="176" w:lineRule="exact"/>
              <w:rPr>
                <w:sz w:val="20"/>
                <w:szCs w:val="20"/>
                <w:color w:val="auto"/>
              </w:rPr>
            </w:pPr>
            <w:r>
              <w:rPr>
                <w:rFonts w:ascii="Arial" w:cs="Arial" w:eastAsia="Arial" w:hAnsi="Arial"/>
                <w:sz w:val="18"/>
                <w:szCs w:val="18"/>
                <w:color w:val="0000EE"/>
                <w:w w:val="95"/>
              </w:rPr>
              <w:t>Risk factors</w:t>
            </w: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gridSpan w:val="3"/>
            <w:vMerge w:val="restart"/>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vMerge w:val="restart"/>
          </w:tcPr>
          <w:p>
            <w:pPr>
              <w:jc w:val="right"/>
              <w:spacing w:after="0" w:line="176" w:lineRule="exact"/>
              <w:rPr>
                <w:sz w:val="20"/>
                <w:szCs w:val="20"/>
                <w:color w:val="auto"/>
              </w:rPr>
            </w:pPr>
            <w:r>
              <w:rPr>
                <w:rFonts w:ascii="Arial" w:cs="Arial" w:eastAsia="Arial" w:hAnsi="Arial"/>
                <w:sz w:val="18"/>
                <w:szCs w:val="18"/>
                <w:color w:val="0000EE"/>
                <w:w w:val="92"/>
              </w:rPr>
              <w:t>S-6</w:t>
            </w:r>
          </w:p>
        </w:tc>
        <w:tc>
          <w:tcPr>
            <w:tcW w:w="200" w:type="dxa"/>
            <w:vAlign w:val="bottom"/>
            <w:vMerge w:val="restart"/>
          </w:tcPr>
          <w:p>
            <w:pPr>
              <w:jc w:val="right"/>
              <w:ind w:right="174"/>
              <w:spacing w:after="0"/>
              <w:rPr>
                <w:sz w:val="20"/>
                <w:szCs w:val="20"/>
                <w:color w:val="auto"/>
              </w:rPr>
            </w:pPr>
            <w:r>
              <w:rPr>
                <w:rFonts w:ascii="Arial" w:cs="Arial" w:eastAsia="Arial" w:hAnsi="Arial"/>
                <w:sz w:val="1"/>
                <w:szCs w:val="1"/>
                <w:color w:val="auto"/>
                <w:w w:val="4294942296"/>
              </w:rPr>
              <w:t>​</w:t>
            </w: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restart"/>
          </w:tcPr>
          <w:p>
            <w:pPr>
              <w:spacing w:after="0"/>
              <w:rPr>
                <w:sz w:val="13"/>
                <w:szCs w:val="13"/>
                <w:color w:val="auto"/>
              </w:rPr>
            </w:pPr>
          </w:p>
        </w:tc>
        <w:tc>
          <w:tcPr>
            <w:tcW w:w="920" w:type="dxa"/>
            <w:vAlign w:val="bottom"/>
            <w:tcBorders>
              <w:bottom w:val="single" w:sz="8" w:color="0000EE"/>
            </w:tcBorders>
            <w:gridSpan w:val="2"/>
            <w:vMerge w:val="continue"/>
          </w:tcPr>
          <w:p>
            <w:pPr>
              <w:spacing w:after="0"/>
              <w:rPr>
                <w:sz w:val="13"/>
                <w:szCs w:val="13"/>
                <w:color w:val="auto"/>
              </w:rPr>
            </w:pPr>
          </w:p>
        </w:tc>
        <w:tc>
          <w:tcPr>
            <w:tcW w:w="140" w:type="dxa"/>
            <w:vAlign w:val="bottom"/>
            <w:vMerge w:val="restart"/>
          </w:tcPr>
          <w:p>
            <w:pPr>
              <w:spacing w:after="0"/>
              <w:rPr>
                <w:sz w:val="13"/>
                <w:szCs w:val="13"/>
                <w:color w:val="auto"/>
              </w:rPr>
            </w:pPr>
          </w:p>
        </w:tc>
        <w:tc>
          <w:tcPr>
            <w:tcW w:w="240" w:type="dxa"/>
            <w:vAlign w:val="bottom"/>
            <w:vMerge w:val="restart"/>
          </w:tcPr>
          <w:p>
            <w:pPr>
              <w:spacing w:after="0"/>
              <w:rPr>
                <w:sz w:val="13"/>
                <w:szCs w:val="13"/>
                <w:color w:val="auto"/>
              </w:rPr>
            </w:pPr>
          </w:p>
        </w:tc>
        <w:tc>
          <w:tcPr>
            <w:tcW w:w="420" w:type="dxa"/>
            <w:vAlign w:val="bottom"/>
            <w:vMerge w:val="restart"/>
          </w:tcPr>
          <w:p>
            <w:pPr>
              <w:spacing w:after="0"/>
              <w:rPr>
                <w:sz w:val="13"/>
                <w:szCs w:val="13"/>
                <w:color w:val="auto"/>
              </w:rPr>
            </w:pPr>
          </w:p>
        </w:tc>
        <w:tc>
          <w:tcPr>
            <w:tcW w:w="840" w:type="dxa"/>
            <w:vAlign w:val="bottom"/>
            <w:gridSpan w:val="2"/>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340" w:type="dxa"/>
            <w:vAlign w:val="bottom"/>
            <w:gridSpan w:val="4"/>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200" w:type="dxa"/>
            <w:vAlign w:val="bottom"/>
            <w:gridSpan w:val="2"/>
            <w:vMerge w:val="restart"/>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300" w:type="dxa"/>
            <w:vAlign w:val="bottom"/>
            <w:tcBorders>
              <w:bottom w:val="single" w:sz="8" w:color="0000EE"/>
            </w:tcBorders>
            <w:gridSpan w:val="5"/>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940" w:type="dxa"/>
            <w:vAlign w:val="bottom"/>
            <w:gridSpan w:val="15"/>
            <w:vMerge w:val="restart"/>
          </w:tcPr>
          <w:p>
            <w:pPr>
              <w:spacing w:after="0" w:line="197" w:lineRule="exact"/>
              <w:rPr>
                <w:sz w:val="20"/>
                <w:szCs w:val="20"/>
                <w:color w:val="auto"/>
              </w:rPr>
            </w:pPr>
            <w:r>
              <w:rPr>
                <w:rFonts w:ascii="Arial" w:cs="Arial" w:eastAsia="Arial" w:hAnsi="Arial"/>
                <w:sz w:val="18"/>
                <w:szCs w:val="18"/>
                <w:color w:val="0000EE"/>
              </w:rPr>
              <w:t>Legal matters</w:t>
            </w: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340" w:type="dxa"/>
            <w:vAlign w:val="bottom"/>
            <w:gridSpan w:val="4"/>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940" w:type="dxa"/>
            <w:vAlign w:val="bottom"/>
            <w:gridSpan w:val="15"/>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vMerge w:val="restart"/>
            <w:shd w:val="clear" w:color="auto" w:fill="CCEEFF"/>
          </w:tcPr>
          <w:p>
            <w:pPr>
              <w:spacing w:after="0"/>
              <w:rPr>
                <w:sz w:val="17"/>
                <w:szCs w:val="17"/>
                <w:color w:val="auto"/>
              </w:rPr>
            </w:pPr>
          </w:p>
        </w:tc>
        <w:tc>
          <w:tcPr>
            <w:tcW w:w="1300" w:type="dxa"/>
            <w:vAlign w:val="bottom"/>
            <w:tcBorders>
              <w:top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7"/>
              </w:rPr>
              <w:t>Use of proceeds</w:t>
            </w:r>
          </w:p>
        </w:tc>
        <w:tc>
          <w:tcPr>
            <w:tcW w:w="420" w:type="dxa"/>
            <w:vAlign w:val="bottom"/>
            <w:tcBorders>
              <w:top w:val="single" w:sz="8" w:color="CCEEFF"/>
            </w:tcBorders>
            <w:vMerge w:val="restart"/>
            <w:shd w:val="clear" w:color="auto" w:fill="CCEEFF"/>
          </w:tcPr>
          <w:p>
            <w:pPr>
              <w:spacing w:after="0"/>
              <w:rPr>
                <w:sz w:val="17"/>
                <w:szCs w:val="17"/>
                <w:color w:val="auto"/>
              </w:rPr>
            </w:pPr>
          </w:p>
        </w:tc>
        <w:tc>
          <w:tcPr>
            <w:tcW w:w="840" w:type="dxa"/>
            <w:vAlign w:val="bottom"/>
            <w:tcBorders>
              <w:top w:val="single" w:sz="8" w:color="CCEEFF"/>
            </w:tcBorders>
            <w:gridSpan w:val="2"/>
            <w:vMerge w:val="restart"/>
            <w:shd w:val="clear" w:color="auto" w:fill="CCEEFF"/>
          </w:tcPr>
          <w:p>
            <w:pPr>
              <w:spacing w:after="0"/>
              <w:rPr>
                <w:sz w:val="17"/>
                <w:szCs w:val="17"/>
                <w:color w:val="auto"/>
              </w:rPr>
            </w:pPr>
          </w:p>
        </w:tc>
        <w:tc>
          <w:tcPr>
            <w:tcW w:w="40" w:type="dxa"/>
            <w:vAlign w:val="bottom"/>
            <w:tcBorders>
              <w:top w:val="single" w:sz="8" w:color="CCEEFF"/>
            </w:tcBorders>
            <w:vMerge w:val="restart"/>
            <w:shd w:val="clear" w:color="auto" w:fill="CCEEFF"/>
          </w:tcPr>
          <w:p>
            <w:pPr>
              <w:spacing w:after="0"/>
              <w:rPr>
                <w:sz w:val="17"/>
                <w:szCs w:val="17"/>
                <w:color w:val="auto"/>
              </w:rPr>
            </w:pPr>
          </w:p>
        </w:tc>
        <w:tc>
          <w:tcPr>
            <w:tcW w:w="340" w:type="dxa"/>
            <w:vAlign w:val="bottom"/>
            <w:tcBorders>
              <w:top w:val="single" w:sz="8" w:color="CCEEFF"/>
            </w:tcBorders>
            <w:gridSpan w:val="4"/>
            <w:vMerge w:val="restart"/>
            <w:shd w:val="clear" w:color="auto" w:fill="CCEEFF"/>
          </w:tcPr>
          <w:p>
            <w:pPr>
              <w:spacing w:after="0"/>
              <w:rPr>
                <w:sz w:val="17"/>
                <w:szCs w:val="17"/>
                <w:color w:val="auto"/>
              </w:rPr>
            </w:pPr>
          </w:p>
        </w:tc>
        <w:tc>
          <w:tcPr>
            <w:tcW w:w="140" w:type="dxa"/>
            <w:vAlign w:val="bottom"/>
            <w:tcBorders>
              <w:top w:val="single" w:sz="8" w:color="CCEEFF"/>
            </w:tcBorders>
            <w:vMerge w:val="restart"/>
            <w:shd w:val="clear" w:color="auto" w:fill="CCEEFF"/>
          </w:tcPr>
          <w:p>
            <w:pPr>
              <w:spacing w:after="0"/>
              <w:rPr>
                <w:sz w:val="17"/>
                <w:szCs w:val="17"/>
                <w:color w:val="auto"/>
              </w:rPr>
            </w:pPr>
          </w:p>
        </w:tc>
        <w:tc>
          <w:tcPr>
            <w:tcW w:w="200" w:type="dxa"/>
            <w:vAlign w:val="bottom"/>
            <w:tcBorders>
              <w:top w:val="single" w:sz="8" w:color="CCEEFF"/>
            </w:tcBorders>
            <w:gridSpan w:val="2"/>
            <w:vMerge w:val="restart"/>
            <w:shd w:val="clear" w:color="auto" w:fill="CCEEFF"/>
          </w:tcPr>
          <w:p>
            <w:pPr>
              <w:spacing w:after="0"/>
              <w:rPr>
                <w:sz w:val="17"/>
                <w:szCs w:val="17"/>
                <w:color w:val="auto"/>
              </w:rPr>
            </w:pPr>
          </w:p>
        </w:tc>
        <w:tc>
          <w:tcPr>
            <w:tcW w:w="700" w:type="dxa"/>
            <w:vAlign w:val="bottom"/>
            <w:tcBorders>
              <w:top w:val="single" w:sz="8" w:color="CCEEFF"/>
            </w:tcBorders>
            <w:gridSpan w:val="10"/>
            <w:shd w:val="clear" w:color="auto" w:fill="CCEEFF"/>
          </w:tcPr>
          <w:p>
            <w:pPr>
              <w:jc w:val="right"/>
              <w:spacing w:after="0" w:line="17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0000EE"/>
              </w:rPr>
              <w:t>S-10</w:t>
            </w:r>
          </w:p>
        </w:tc>
        <w:tc>
          <w:tcPr>
            <w:tcW w:w="20" w:type="dxa"/>
            <w:vAlign w:val="bottom"/>
          </w:tcPr>
          <w:p>
            <w:pPr>
              <w:spacing w:after="0"/>
              <w:rPr>
                <w:sz w:val="17"/>
                <w:szCs w:val="17"/>
                <w:color w:val="auto"/>
              </w:rPr>
            </w:pPr>
          </w:p>
        </w:tc>
        <w:tc>
          <w:tcPr>
            <w:tcW w:w="200" w:type="dxa"/>
            <w:vAlign w:val="bottom"/>
            <w:vMerge w:val="restart"/>
          </w:tcPr>
          <w:p>
            <w:pPr>
              <w:jc w:val="right"/>
              <w:ind w:right="174"/>
              <w:spacing w:after="0"/>
              <w:rPr>
                <w:sz w:val="20"/>
                <w:szCs w:val="20"/>
                <w:color w:val="auto"/>
              </w:rPr>
            </w:pPr>
            <w:r>
              <w:rPr>
                <w:rFonts w:ascii="Arial" w:cs="Arial" w:eastAsia="Arial" w:hAnsi="Arial"/>
                <w:sz w:val="1"/>
                <w:szCs w:val="1"/>
                <w:color w:val="auto"/>
                <w:w w:val="4294942296"/>
              </w:rPr>
              <w:t>​</w:t>
            </w:r>
          </w:p>
        </w:tc>
        <w:tc>
          <w:tcPr>
            <w:tcW w:w="1080" w:type="dxa"/>
            <w:vAlign w:val="bottom"/>
            <w:tcBorders>
              <w:top w:val="single" w:sz="8" w:color="0000EE"/>
            </w:tcBorders>
            <w:gridSpan w:val="6"/>
            <w:vMerge w:val="restart"/>
          </w:tcPr>
          <w:p>
            <w:pPr>
              <w:spacing w:after="0"/>
              <w:rPr>
                <w:sz w:val="20"/>
                <w:szCs w:val="20"/>
                <w:color w:val="auto"/>
              </w:rPr>
            </w:pPr>
            <w:r>
              <w:rPr>
                <w:rFonts w:ascii="Arial" w:cs="Arial" w:eastAsia="Arial" w:hAnsi="Arial"/>
                <w:sz w:val="18"/>
                <w:szCs w:val="18"/>
                <w:color w:val="0000EE"/>
              </w:rPr>
              <w:t>Experts</w:t>
            </w:r>
          </w:p>
        </w:tc>
        <w:tc>
          <w:tcPr>
            <w:tcW w:w="1860" w:type="dxa"/>
            <w:vAlign w:val="bottom"/>
            <w:gridSpan w:val="9"/>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bottom w:val="single" w:sz="8" w:color="CCEEFF"/>
            </w:tcBorders>
            <w:vMerge w:val="continue"/>
            <w:shd w:val="clear" w:color="auto" w:fill="CCEEFF"/>
          </w:tcPr>
          <w:p>
            <w:pPr>
              <w:spacing w:after="0" w:line="20" w:lineRule="exact"/>
              <w:rPr>
                <w:sz w:val="1"/>
                <w:szCs w:val="1"/>
                <w:color w:val="auto"/>
              </w:rPr>
            </w:pPr>
          </w:p>
        </w:tc>
        <w:tc>
          <w:tcPr>
            <w:tcW w:w="1060" w:type="dxa"/>
            <w:vAlign w:val="bottom"/>
            <w:tcBorders>
              <w:top w:val="single" w:sz="8" w:color="0000EE"/>
              <w:bottom w:val="single" w:sz="8" w:color="CCEEFF"/>
            </w:tcBorders>
            <w:gridSpan w:val="3"/>
            <w:shd w:val="clear" w:color="auto" w:fill="CCEEFF"/>
          </w:tcPr>
          <w:p>
            <w:pPr>
              <w:spacing w:after="0" w:line="20" w:lineRule="exact"/>
              <w:rPr>
                <w:sz w:val="1"/>
                <w:szCs w:val="1"/>
                <w:color w:val="auto"/>
              </w:rPr>
            </w:pPr>
          </w:p>
        </w:tc>
        <w:tc>
          <w:tcPr>
            <w:tcW w:w="240" w:type="dxa"/>
            <w:vAlign w:val="bottom"/>
            <w:tcBorders>
              <w:top w:val="single" w:sz="8" w:color="0000EE"/>
              <w:bottom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bottom w:val="single" w:sz="8" w:color="CCEEFF"/>
            </w:tcBorders>
            <w:vMerge w:val="continue"/>
            <w:shd w:val="clear" w:color="auto" w:fill="CCEEFF"/>
          </w:tcPr>
          <w:p>
            <w:pPr>
              <w:spacing w:after="0" w:line="20" w:lineRule="exact"/>
              <w:rPr>
                <w:sz w:val="1"/>
                <w:szCs w:val="1"/>
                <w:color w:val="auto"/>
              </w:rPr>
            </w:pPr>
          </w:p>
        </w:tc>
        <w:tc>
          <w:tcPr>
            <w:tcW w:w="840" w:type="dxa"/>
            <w:vAlign w:val="bottom"/>
            <w:tcBorders>
              <w:top w:val="single" w:sz="8" w:color="CCEEFF"/>
              <w:bottom w:val="single" w:sz="8" w:color="CCEEFF"/>
            </w:tcBorders>
            <w:gridSpan w:val="2"/>
            <w:vMerge w:val="continue"/>
            <w:shd w:val="clear" w:color="auto" w:fill="CCEEFF"/>
          </w:tcPr>
          <w:p>
            <w:pPr>
              <w:spacing w:after="0" w:line="20" w:lineRule="exact"/>
              <w:rPr>
                <w:sz w:val="1"/>
                <w:szCs w:val="1"/>
                <w:color w:val="auto"/>
              </w:rPr>
            </w:pPr>
          </w:p>
        </w:tc>
        <w:tc>
          <w:tcPr>
            <w:tcW w:w="40" w:type="dxa"/>
            <w:vAlign w:val="bottom"/>
            <w:tcBorders>
              <w:top w:val="single" w:sz="8" w:color="CCEEFF"/>
              <w:bottom w:val="single" w:sz="8" w:color="CCEEFF"/>
            </w:tcBorders>
            <w:vMerge w:val="continue"/>
            <w:shd w:val="clear" w:color="auto" w:fill="CCEEFF"/>
          </w:tcPr>
          <w:p>
            <w:pPr>
              <w:spacing w:after="0" w:line="20" w:lineRule="exact"/>
              <w:rPr>
                <w:sz w:val="1"/>
                <w:szCs w:val="1"/>
                <w:color w:val="auto"/>
              </w:rPr>
            </w:pPr>
          </w:p>
        </w:tc>
        <w:tc>
          <w:tcPr>
            <w:tcW w:w="340" w:type="dxa"/>
            <w:vAlign w:val="bottom"/>
            <w:tcBorders>
              <w:top w:val="single" w:sz="8" w:color="CCEEFF"/>
              <w:bottom w:val="single" w:sz="8" w:color="CCEEFF"/>
            </w:tcBorders>
            <w:gridSpan w:val="4"/>
            <w:vMerge w:val="continue"/>
            <w:shd w:val="clear" w:color="auto" w:fill="CCEEFF"/>
          </w:tcPr>
          <w:p>
            <w:pPr>
              <w:spacing w:after="0" w:line="20" w:lineRule="exact"/>
              <w:rPr>
                <w:sz w:val="1"/>
                <w:szCs w:val="1"/>
                <w:color w:val="auto"/>
              </w:rPr>
            </w:pPr>
          </w:p>
        </w:tc>
        <w:tc>
          <w:tcPr>
            <w:tcW w:w="140" w:type="dxa"/>
            <w:vAlign w:val="bottom"/>
            <w:tcBorders>
              <w:top w:val="single" w:sz="8" w:color="CCEEFF"/>
              <w:bottom w:val="single" w:sz="8" w:color="CCEEFF"/>
            </w:tcBorders>
            <w:vMerge w:val="continue"/>
            <w:shd w:val="clear" w:color="auto" w:fill="CCEEFF"/>
          </w:tcPr>
          <w:p>
            <w:pPr>
              <w:spacing w:after="0" w:line="20" w:lineRule="exact"/>
              <w:rPr>
                <w:sz w:val="1"/>
                <w:szCs w:val="1"/>
                <w:color w:val="auto"/>
              </w:rPr>
            </w:pPr>
          </w:p>
        </w:tc>
        <w:tc>
          <w:tcPr>
            <w:tcW w:w="200" w:type="dxa"/>
            <w:vAlign w:val="bottom"/>
            <w:tcBorders>
              <w:top w:val="single" w:sz="8" w:color="CCEEFF"/>
              <w:bottom w:val="single" w:sz="8" w:color="CCEEFF"/>
            </w:tcBorders>
            <w:gridSpan w:val="2"/>
            <w:vMerge w:val="continue"/>
            <w:shd w:val="clear" w:color="auto" w:fill="CCEEFF"/>
          </w:tcPr>
          <w:p>
            <w:pPr>
              <w:spacing w:after="0" w:line="20" w:lineRule="exact"/>
              <w:rPr>
                <w:sz w:val="1"/>
                <w:szCs w:val="1"/>
                <w:color w:val="auto"/>
              </w:rPr>
            </w:pPr>
          </w:p>
        </w:tc>
        <w:tc>
          <w:tcPr>
            <w:tcW w:w="320" w:type="dxa"/>
            <w:vAlign w:val="bottom"/>
            <w:tcBorders>
              <w:top w:val="single" w:sz="8" w:color="CCEEFF"/>
              <w:bottom w:val="single" w:sz="8" w:color="CCEEFF"/>
            </w:tcBorders>
            <w:gridSpan w:val="2"/>
            <w:shd w:val="clear" w:color="auto" w:fill="CCEEFF"/>
          </w:tcPr>
          <w:p>
            <w:pPr>
              <w:spacing w:after="0" w:line="20" w:lineRule="exact"/>
              <w:rPr>
                <w:sz w:val="1"/>
                <w:szCs w:val="1"/>
                <w:color w:val="auto"/>
              </w:rPr>
            </w:pPr>
          </w:p>
        </w:tc>
        <w:tc>
          <w:tcPr>
            <w:tcW w:w="20" w:type="dxa"/>
            <w:vAlign w:val="bottom"/>
            <w:tcBorders>
              <w:top w:val="single" w:sz="8" w:color="0000EE"/>
              <w:bottom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bottom w:val="single" w:sz="8" w:color="CCEEFF"/>
              <w:right w:val="single" w:sz="8" w:color="CCEEFF"/>
            </w:tcBorders>
            <w:gridSpan w:val="5"/>
            <w:shd w:val="clear" w:color="auto" w:fill="CCEEFF"/>
          </w:tcPr>
          <w:p>
            <w:pPr>
              <w:spacing w:after="0" w:line="20" w:lineRule="exact"/>
              <w:rPr>
                <w:sz w:val="1"/>
                <w:szCs w:val="1"/>
                <w:color w:val="auto"/>
              </w:rPr>
            </w:pPr>
          </w:p>
        </w:tc>
        <w:tc>
          <w:tcPr>
            <w:tcW w:w="40" w:type="dxa"/>
            <w:vAlign w:val="bottom"/>
            <w:tcBorders>
              <w:top w:val="single" w:sz="8" w:color="0000EE"/>
              <w:bottom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080" w:type="dxa"/>
            <w:vAlign w:val="bottom"/>
            <w:tcBorders>
              <w:top w:val="single" w:sz="8" w:color="0000EE"/>
            </w:tcBorders>
            <w:gridSpan w:val="6"/>
            <w:vMerge w:val="continue"/>
          </w:tcPr>
          <w:p>
            <w:pPr>
              <w:spacing w:after="0" w:line="20" w:lineRule="exact"/>
              <w:rPr>
                <w:sz w:val="1"/>
                <w:szCs w:val="1"/>
                <w:color w:val="auto"/>
              </w:rPr>
            </w:pPr>
          </w:p>
        </w:tc>
        <w:tc>
          <w:tcPr>
            <w:tcW w:w="1860" w:type="dxa"/>
            <w:vAlign w:val="bottom"/>
            <w:gridSpan w:val="9"/>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EE"/>
                <w:w w:val="96"/>
              </w:rPr>
              <w:t>Capitalization</w:t>
            </w:r>
          </w:p>
        </w:tc>
        <w:tc>
          <w:tcPr>
            <w:tcW w:w="6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380" w:type="dxa"/>
            <w:vAlign w:val="bottom"/>
            <w:gridSpan w:val="8"/>
            <w:vMerge w:val="restart"/>
          </w:tcPr>
          <w:p>
            <w:pPr>
              <w:jc w:val="right"/>
              <w:spacing w:after="0" w:line="196" w:lineRule="exact"/>
              <w:rPr>
                <w:sz w:val="20"/>
                <w:szCs w:val="20"/>
                <w:color w:val="auto"/>
              </w:rPr>
            </w:pPr>
            <w:r>
              <w:rPr>
                <w:rFonts w:ascii="Arial" w:cs="Arial" w:eastAsia="Arial" w:hAnsi="Arial"/>
                <w:sz w:val="18"/>
                <w:szCs w:val="18"/>
                <w:color w:val="0000EE"/>
                <w:w w:val="89"/>
              </w:rPr>
              <w:t>S-11</w:t>
            </w:r>
          </w:p>
        </w:tc>
        <w:tc>
          <w:tcPr>
            <w:tcW w:w="200" w:type="dxa"/>
            <w:vAlign w:val="bottom"/>
            <w:vMerge w:val="restart"/>
          </w:tcPr>
          <w:p>
            <w:pPr>
              <w:jc w:val="right"/>
              <w:ind w:right="174"/>
              <w:spacing w:after="0"/>
              <w:rPr>
                <w:sz w:val="20"/>
                <w:szCs w:val="20"/>
                <w:color w:val="auto"/>
              </w:rPr>
            </w:pPr>
            <w:r>
              <w:rPr>
                <w:rFonts w:ascii="Arial" w:cs="Arial" w:eastAsia="Arial" w:hAnsi="Arial"/>
                <w:sz w:val="1"/>
                <w:szCs w:val="1"/>
                <w:color w:val="auto"/>
                <w:w w:val="4294942296"/>
              </w:rPr>
              <w:t>​</w:t>
            </w:r>
          </w:p>
        </w:tc>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restart"/>
          </w:tcPr>
          <w:p>
            <w:pPr>
              <w:spacing w:after="0"/>
              <w:rPr>
                <w:sz w:val="15"/>
                <w:szCs w:val="15"/>
                <w:color w:val="auto"/>
              </w:rPr>
            </w:pPr>
          </w:p>
        </w:tc>
        <w:tc>
          <w:tcPr>
            <w:tcW w:w="1060" w:type="dxa"/>
            <w:vAlign w:val="bottom"/>
            <w:tcBorders>
              <w:bottom w:val="single" w:sz="8" w:color="0000EE"/>
            </w:tcBorders>
            <w:gridSpan w:val="3"/>
            <w:vMerge w:val="continue"/>
          </w:tcPr>
          <w:p>
            <w:pPr>
              <w:spacing w:after="0"/>
              <w:rPr>
                <w:sz w:val="15"/>
                <w:szCs w:val="15"/>
                <w:color w:val="auto"/>
              </w:rPr>
            </w:pPr>
          </w:p>
        </w:tc>
        <w:tc>
          <w:tcPr>
            <w:tcW w:w="660" w:type="dxa"/>
            <w:vAlign w:val="bottom"/>
            <w:gridSpan w:val="2"/>
            <w:vMerge w:val="restart"/>
          </w:tcPr>
          <w:p>
            <w:pPr>
              <w:spacing w:after="0"/>
              <w:rPr>
                <w:sz w:val="15"/>
                <w:szCs w:val="15"/>
                <w:color w:val="auto"/>
              </w:rPr>
            </w:pPr>
          </w:p>
        </w:tc>
        <w:tc>
          <w:tcPr>
            <w:tcW w:w="840" w:type="dxa"/>
            <w:vAlign w:val="bottom"/>
            <w:gridSpan w:val="2"/>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340" w:type="dxa"/>
            <w:vAlign w:val="bottom"/>
            <w:gridSpan w:val="4"/>
            <w:vMerge w:val="restart"/>
          </w:tcPr>
          <w:p>
            <w:pPr>
              <w:spacing w:after="0"/>
              <w:rPr>
                <w:sz w:val="15"/>
                <w:szCs w:val="15"/>
                <w:color w:val="auto"/>
              </w:rPr>
            </w:pPr>
          </w:p>
        </w:tc>
        <w:tc>
          <w:tcPr>
            <w:tcW w:w="140" w:type="dxa"/>
            <w:vAlign w:val="bottom"/>
            <w:vMerge w:val="restart"/>
          </w:tcPr>
          <w:p>
            <w:pPr>
              <w:spacing w:after="0"/>
              <w:rPr>
                <w:sz w:val="15"/>
                <w:szCs w:val="15"/>
                <w:color w:val="auto"/>
              </w:rPr>
            </w:pPr>
          </w:p>
        </w:tc>
        <w:tc>
          <w:tcPr>
            <w:tcW w:w="200" w:type="dxa"/>
            <w:vAlign w:val="bottom"/>
            <w:gridSpan w:val="2"/>
            <w:vMerge w:val="restart"/>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380" w:type="dxa"/>
            <w:vAlign w:val="bottom"/>
            <w:tcBorders>
              <w:bottom w:val="single" w:sz="8" w:color="0000EE"/>
            </w:tcBorders>
            <w:gridSpan w:val="8"/>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940" w:type="dxa"/>
            <w:vAlign w:val="bottom"/>
            <w:gridSpan w:val="15"/>
            <w:vMerge w:val="restart"/>
          </w:tcPr>
          <w:p>
            <w:pPr>
              <w:spacing w:after="0"/>
              <w:rPr>
                <w:sz w:val="20"/>
                <w:szCs w:val="20"/>
                <w:color w:val="auto"/>
              </w:rPr>
            </w:pPr>
            <w:r>
              <w:rPr>
                <w:rFonts w:ascii="Arial" w:cs="Arial" w:eastAsia="Arial" w:hAnsi="Arial"/>
                <w:sz w:val="18"/>
                <w:szCs w:val="18"/>
                <w:color w:val="0000EE"/>
                <w:w w:val="98"/>
              </w:rPr>
              <w:t>Where you can find more information</w:t>
            </w:r>
          </w:p>
        </w:tc>
        <w:tc>
          <w:tcPr>
            <w:tcW w:w="0" w:type="dxa"/>
            <w:vAlign w:val="bottom"/>
          </w:tcPr>
          <w:p>
            <w:pPr>
              <w:spacing w:after="0"/>
              <w:rPr>
                <w:sz w:val="1"/>
                <w:szCs w:val="1"/>
                <w:color w:val="auto"/>
              </w:rPr>
            </w:pPr>
          </w:p>
        </w:tc>
      </w:tr>
      <w:tr>
        <w:trPr>
          <w:trHeight w:val="26"/>
        </w:trPr>
        <w:tc>
          <w:tcPr>
            <w:tcW w:w="20" w:type="dxa"/>
            <w:vAlign w:val="bottom"/>
            <w:vMerge w:val="continu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340" w:type="dxa"/>
            <w:vAlign w:val="bottom"/>
            <w:gridSpan w:val="4"/>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340" w:type="dxa"/>
            <w:vAlign w:val="bottom"/>
            <w:gridSpan w:val="3"/>
            <w:vMerge w:val="continu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940" w:type="dxa"/>
            <w:vAlign w:val="bottom"/>
            <w:tcBorders>
              <w:bottom w:val="single" w:sz="8" w:color="0000EE"/>
            </w:tcBorders>
            <w:gridSpan w:val="15"/>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gridSpan w:val="26"/>
          </w:tcPr>
          <w:p>
            <w:pPr>
              <w:ind w:left="12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204"/>
        </w:trPr>
        <w:tc>
          <w:tcPr>
            <w:tcW w:w="1740" w:type="dxa"/>
            <w:vAlign w:val="bottom"/>
            <w:gridSpan w:val="6"/>
          </w:tcPr>
          <w:p>
            <w:pPr>
              <w:spacing w:after="0"/>
              <w:rPr>
                <w:sz w:val="17"/>
                <w:szCs w:val="17"/>
                <w:color w:val="auto"/>
              </w:rPr>
            </w:pPr>
          </w:p>
        </w:tc>
        <w:tc>
          <w:tcPr>
            <w:tcW w:w="8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2"/>
            <w:vMerge w:val="restart"/>
          </w:tcPr>
          <w:p>
            <w:pPr>
              <w:jc w:val="right"/>
              <w:ind w:right="174"/>
              <w:spacing w:after="0"/>
              <w:rPr>
                <w:sz w:val="20"/>
                <w:szCs w:val="20"/>
                <w:color w:val="auto"/>
              </w:rPr>
            </w:pPr>
            <w:r>
              <w:rPr>
                <w:rFonts w:ascii="Arial" w:cs="Arial" w:eastAsia="Arial" w:hAnsi="Arial"/>
                <w:sz w:val="18"/>
                <w:szCs w:val="18"/>
                <w:color w:val="auto"/>
              </w:rPr>
              <w:t>​</w:t>
            </w:r>
          </w:p>
        </w:tc>
        <w:tc>
          <w:tcPr>
            <w:tcW w:w="2940" w:type="dxa"/>
            <w:vAlign w:val="bottom"/>
            <w:gridSpan w:val="15"/>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EE"/>
              </w:rPr>
              <w:t>Cash distribution policy</w:t>
            </w:r>
          </w:p>
        </w:tc>
        <w:tc>
          <w:tcPr>
            <w:tcW w:w="0" w:type="dxa"/>
            <w:vAlign w:val="bottom"/>
          </w:tcPr>
          <w:p>
            <w:pPr>
              <w:spacing w:after="0"/>
              <w:rPr>
                <w:sz w:val="1"/>
                <w:szCs w:val="1"/>
                <w:color w:val="auto"/>
              </w:rPr>
            </w:pPr>
          </w:p>
        </w:tc>
      </w:tr>
      <w:tr>
        <w:trPr>
          <w:trHeight w:val="162"/>
        </w:trPr>
        <w:tc>
          <w:tcPr>
            <w:tcW w:w="3300" w:type="dxa"/>
            <w:vAlign w:val="bottom"/>
            <w:gridSpan w:val="16"/>
            <w:shd w:val="clear" w:color="auto" w:fill="CCEEFF"/>
          </w:tcPr>
          <w:p>
            <w:pPr>
              <w:spacing w:after="0" w:line="142"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0000EE"/>
              </w:rPr>
              <w:t>About this prospectus</w:t>
            </w:r>
          </w:p>
        </w:tc>
        <w:tc>
          <w:tcPr>
            <w:tcW w:w="200" w:type="dxa"/>
            <w:vAlign w:val="bottom"/>
            <w:shd w:val="clear" w:color="auto" w:fill="CCEEFF"/>
          </w:tcPr>
          <w:p>
            <w:pPr>
              <w:spacing w:after="0"/>
              <w:rPr>
                <w:sz w:val="14"/>
                <w:szCs w:val="14"/>
                <w:color w:val="auto"/>
              </w:rPr>
            </w:pPr>
          </w:p>
        </w:tc>
        <w:tc>
          <w:tcPr>
            <w:tcW w:w="380" w:type="dxa"/>
            <w:vAlign w:val="bottom"/>
            <w:tcBorders>
              <w:right w:val="single" w:sz="8" w:color="CCEEFF"/>
            </w:tcBorders>
            <w:gridSpan w:val="7"/>
            <w:shd w:val="clear" w:color="auto" w:fill="CCEEFF"/>
          </w:tcPr>
          <w:p>
            <w:pPr>
              <w:jc w:val="right"/>
              <w:ind w:right="10"/>
              <w:spacing w:after="0" w:line="142" w:lineRule="exact"/>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0000EE"/>
                <w:w w:val="83"/>
              </w:rPr>
              <w:t>ii</w:t>
            </w:r>
          </w:p>
        </w:tc>
        <w:tc>
          <w:tcPr>
            <w:tcW w:w="220" w:type="dxa"/>
            <w:vAlign w:val="bottom"/>
            <w:gridSpan w:val="2"/>
            <w:vMerge w:val="continue"/>
          </w:tcPr>
          <w:p>
            <w:pPr>
              <w:spacing w:after="0"/>
              <w:rPr>
                <w:sz w:val="14"/>
                <w:szCs w:val="14"/>
                <w:color w:val="auto"/>
              </w:rPr>
            </w:pPr>
          </w:p>
        </w:tc>
        <w:tc>
          <w:tcPr>
            <w:tcW w:w="294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shd w:val="clear" w:color="auto" w:fill="CCEEFF"/>
          </w:tcPr>
          <w:p>
            <w:pPr>
              <w:spacing w:after="0" w:line="20" w:lineRule="exact"/>
              <w:rPr>
                <w:sz w:val="1"/>
                <w:szCs w:val="1"/>
                <w:color w:val="auto"/>
              </w:rPr>
            </w:pPr>
          </w:p>
        </w:tc>
        <w:tc>
          <w:tcPr>
            <w:tcW w:w="160" w:type="dxa"/>
            <w:vAlign w:val="bottom"/>
            <w:tcBorders>
              <w:bottom w:val="single" w:sz="8" w:color="CCEEFF"/>
            </w:tcBorders>
            <w:shd w:val="clear" w:color="auto" w:fill="0000EE"/>
          </w:tcPr>
          <w:p>
            <w:pPr>
              <w:spacing w:after="0" w:line="20" w:lineRule="exact"/>
              <w:rPr>
                <w:sz w:val="1"/>
                <w:szCs w:val="1"/>
                <w:color w:val="auto"/>
              </w:rPr>
            </w:pPr>
          </w:p>
        </w:tc>
        <w:tc>
          <w:tcPr>
            <w:tcW w:w="760" w:type="dxa"/>
            <w:vAlign w:val="bottom"/>
            <w:tcBorders>
              <w:bottom w:val="single" w:sz="8" w:color="CCEEFF"/>
            </w:tcBorders>
            <w:shd w:val="clear" w:color="auto" w:fill="0000EE"/>
          </w:tcPr>
          <w:p>
            <w:pPr>
              <w:spacing w:after="0" w:line="20" w:lineRule="exact"/>
              <w:rPr>
                <w:sz w:val="1"/>
                <w:szCs w:val="1"/>
                <w:color w:val="auto"/>
              </w:rPr>
            </w:pPr>
          </w:p>
        </w:tc>
        <w:tc>
          <w:tcPr>
            <w:tcW w:w="140" w:type="dxa"/>
            <w:vAlign w:val="bottom"/>
            <w:tcBorders>
              <w:bottom w:val="single" w:sz="8" w:color="CCEEFF"/>
            </w:tcBorders>
            <w:shd w:val="clear" w:color="auto" w:fill="0000EE"/>
          </w:tcPr>
          <w:p>
            <w:pPr>
              <w:spacing w:after="0" w:line="20" w:lineRule="exact"/>
              <w:rPr>
                <w:sz w:val="1"/>
                <w:szCs w:val="1"/>
                <w:color w:val="auto"/>
              </w:rPr>
            </w:pPr>
          </w:p>
        </w:tc>
        <w:tc>
          <w:tcPr>
            <w:tcW w:w="240" w:type="dxa"/>
            <w:vAlign w:val="bottom"/>
            <w:tcBorders>
              <w:bottom w:val="single" w:sz="8" w:color="CCEEFF"/>
            </w:tcBorders>
            <w:shd w:val="clear" w:color="auto" w:fill="0000EE"/>
          </w:tcPr>
          <w:p>
            <w:pPr>
              <w:spacing w:after="0" w:line="20" w:lineRule="exact"/>
              <w:rPr>
                <w:sz w:val="1"/>
                <w:szCs w:val="1"/>
                <w:color w:val="auto"/>
              </w:rPr>
            </w:pPr>
          </w:p>
        </w:tc>
        <w:tc>
          <w:tcPr>
            <w:tcW w:w="420" w:type="dxa"/>
            <w:vAlign w:val="bottom"/>
            <w:tcBorders>
              <w:bottom w:val="single" w:sz="8" w:color="CCEEFF"/>
            </w:tcBorders>
            <w:shd w:val="clear" w:color="auto" w:fill="0000EE"/>
          </w:tcPr>
          <w:p>
            <w:pPr>
              <w:spacing w:after="0" w:line="20" w:lineRule="exact"/>
              <w:rPr>
                <w:sz w:val="1"/>
                <w:szCs w:val="1"/>
                <w:color w:val="auto"/>
              </w:rPr>
            </w:pPr>
          </w:p>
        </w:tc>
        <w:tc>
          <w:tcPr>
            <w:tcW w:w="480" w:type="dxa"/>
            <w:vAlign w:val="bottom"/>
            <w:tcBorders>
              <w:bottom w:val="single" w:sz="8" w:color="CCEEFF"/>
            </w:tcBorders>
            <w:shd w:val="clear" w:color="auto" w:fill="CCEEFF"/>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6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24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00" w:type="dxa"/>
            <w:vAlign w:val="bottom"/>
            <w:gridSpan w:val="16"/>
          </w:tcPr>
          <w:p>
            <w:pPr>
              <w:spacing w:after="0" w:line="182" w:lineRule="exact"/>
              <w:rPr>
                <w:sz w:val="20"/>
                <w:szCs w:val="20"/>
                <w:color w:val="auto"/>
              </w:rPr>
            </w:pPr>
            <w:r>
              <w:rPr>
                <w:rFonts w:ascii="Arial" w:cs="Arial" w:eastAsia="Arial" w:hAnsi="Arial"/>
                <w:sz w:val="18"/>
                <w:szCs w:val="18"/>
                <w:color w:val="0000EE"/>
              </w:rPr>
              <w:t>Where you can find more information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jc w:val="right"/>
              <w:ind w:right="10"/>
              <w:spacing w:after="0" w:line="182" w:lineRule="exact"/>
              <w:rPr>
                <w:sz w:val="20"/>
                <w:szCs w:val="20"/>
                <w:color w:val="auto"/>
              </w:rPr>
            </w:pPr>
            <w:r>
              <w:rPr>
                <w:rFonts w:ascii="Arial" w:cs="Arial" w:eastAsia="Arial" w:hAnsi="Arial"/>
                <w:sz w:val="18"/>
                <w:szCs w:val="18"/>
                <w:b w:val="1"/>
                <w:bCs w:val="1"/>
                <w:color w:val="auto"/>
              </w:rPr>
              <w:t>​</w:t>
            </w:r>
          </w:p>
        </w:tc>
        <w:tc>
          <w:tcPr>
            <w:tcW w:w="140" w:type="dxa"/>
            <w:vAlign w:val="bottom"/>
            <w:gridSpan w:val="3"/>
          </w:tcPr>
          <w:p>
            <w:pPr>
              <w:jc w:val="right"/>
              <w:spacing w:after="0" w:line="182" w:lineRule="exact"/>
              <w:rPr>
                <w:sz w:val="20"/>
                <w:szCs w:val="20"/>
                <w:color w:val="auto"/>
              </w:rPr>
            </w:pPr>
            <w:r>
              <w:rPr>
                <w:rFonts w:ascii="Arial" w:cs="Arial" w:eastAsia="Arial" w:hAnsi="Arial"/>
                <w:sz w:val="18"/>
                <w:szCs w:val="18"/>
                <w:color w:val="0000EE"/>
                <w:w w:val="82"/>
              </w:rPr>
              <w:t>iii</w:t>
            </w:r>
          </w:p>
        </w:tc>
        <w:tc>
          <w:tcPr>
            <w:tcW w:w="200" w:type="dxa"/>
            <w:vAlign w:val="bottom"/>
          </w:tcPr>
          <w:p>
            <w:pPr>
              <w:spacing w:after="0"/>
              <w:rPr>
                <w:sz w:val="16"/>
                <w:szCs w:val="16"/>
                <w:color w:val="auto"/>
              </w:rPr>
            </w:pPr>
          </w:p>
        </w:tc>
        <w:tc>
          <w:tcPr>
            <w:tcW w:w="2940" w:type="dxa"/>
            <w:vAlign w:val="bottom"/>
            <w:gridSpan w:val="15"/>
          </w:tcPr>
          <w:p>
            <w:pPr>
              <w:spacing w:after="0" w:line="176" w:lineRule="exact"/>
              <w:rPr>
                <w:sz w:val="20"/>
                <w:szCs w:val="20"/>
                <w:color w:val="auto"/>
              </w:rPr>
            </w:pPr>
            <w:r>
              <w:rPr>
                <w:rFonts w:ascii="Arial" w:cs="Arial" w:eastAsia="Arial" w:hAnsi="Arial"/>
                <w:sz w:val="18"/>
                <w:szCs w:val="18"/>
                <w:color w:val="0000EE"/>
              </w:rPr>
              <w:t>Description of our partnership</w:t>
            </w:r>
          </w:p>
        </w:tc>
        <w:tc>
          <w:tcPr>
            <w:tcW w:w="0" w:type="dxa"/>
            <w:vAlign w:val="bottom"/>
          </w:tcPr>
          <w:p>
            <w:pPr>
              <w:spacing w:after="0"/>
              <w:rPr>
                <w:sz w:val="1"/>
                <w:szCs w:val="1"/>
                <w:color w:val="auto"/>
              </w:rPr>
            </w:pPr>
          </w:p>
        </w:tc>
      </w:tr>
      <w:tr>
        <w:trPr>
          <w:trHeight w:val="14"/>
        </w:trPr>
        <w:tc>
          <w:tcPr>
            <w:tcW w:w="20" w:type="dxa"/>
            <w:vAlign w:val="bottom"/>
          </w:tcPr>
          <w:p>
            <w:pPr>
              <w:spacing w:after="0" w:line="20" w:lineRule="exact"/>
              <w:rPr>
                <w:sz w:val="1"/>
                <w:szCs w:val="1"/>
                <w:color w:val="auto"/>
              </w:rPr>
            </w:pPr>
          </w:p>
        </w:tc>
        <w:tc>
          <w:tcPr>
            <w:tcW w:w="2940" w:type="dxa"/>
            <w:vAlign w:val="bottom"/>
            <w:tcBorders>
              <w:bottom w:val="single" w:sz="8" w:color="0000EE"/>
            </w:tcBorders>
            <w:gridSpan w:val="12"/>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tcPr>
          <w:p>
            <w:pPr>
              <w:jc w:val="right"/>
              <w:spacing w:after="0" w:line="7" w:lineRule="exact"/>
              <w:rPr>
                <w:sz w:val="20"/>
                <w:szCs w:val="20"/>
                <w:color w:val="auto"/>
              </w:rPr>
            </w:pPr>
            <w:r>
              <w:rPr>
                <w:rFonts w:ascii="Arial" w:cs="Arial" w:eastAsia="Arial" w:hAnsi="Arial"/>
                <w:sz w:val="1"/>
                <w:szCs w:val="1"/>
                <w:color w:val="auto"/>
              </w:rPr>
              <w:t>​</w:t>
            </w:r>
          </w:p>
        </w:tc>
        <w:tc>
          <w:tcPr>
            <w:tcW w:w="60" w:type="dxa"/>
            <w:vAlign w:val="bottom"/>
            <w:gridSpan w:val="2"/>
          </w:tcPr>
          <w:p>
            <w:pPr>
              <w:jc w:val="right"/>
              <w:spacing w:after="0" w:line="7" w:lineRule="exact"/>
              <w:rPr>
                <w:sz w:val="20"/>
                <w:szCs w:val="20"/>
                <w:color w:val="auto"/>
              </w:rPr>
            </w:pPr>
            <w:r>
              <w:rPr>
                <w:rFonts w:ascii="Arial" w:cs="Arial" w:eastAsia="Arial" w:hAnsi="Arial"/>
                <w:sz w:val="1"/>
                <w:szCs w:val="1"/>
                <w:color w:val="auto"/>
              </w:rPr>
              <w:t>​</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200" w:type="dxa"/>
            <w:vAlign w:val="bottom"/>
          </w:tcPr>
          <w:p>
            <w:pPr>
              <w:jc w:val="right"/>
              <w:ind w:right="174"/>
              <w:spacing w:after="0" w:line="7" w:lineRule="exact"/>
              <w:rPr>
                <w:sz w:val="20"/>
                <w:szCs w:val="20"/>
                <w:color w:val="auto"/>
              </w:rPr>
            </w:pPr>
            <w:r>
              <w:rPr>
                <w:rFonts w:ascii="Arial" w:cs="Arial" w:eastAsia="Arial" w:hAnsi="Arial"/>
                <w:sz w:val="1"/>
                <w:szCs w:val="1"/>
                <w:color w:val="auto"/>
                <w:w w:val="4294942296"/>
              </w:rPr>
              <w:t>​</w:t>
            </w: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740" w:type="dxa"/>
            <w:vAlign w:val="bottom"/>
            <w:gridSpan w:val="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860" w:type="dxa"/>
            <w:vAlign w:val="bottom"/>
            <w:gridSpan w:val="4"/>
            <w:vMerge w:val="restart"/>
          </w:tcPr>
          <w:p>
            <w:pPr>
              <w:spacing w:after="0" w:line="163" w:lineRule="exact"/>
              <w:rPr>
                <w:sz w:val="20"/>
                <w:szCs w:val="20"/>
                <w:color w:val="auto"/>
              </w:rPr>
            </w:pPr>
            <w:r>
              <w:rPr>
                <w:rFonts w:ascii="Arial" w:cs="Arial" w:eastAsia="Arial" w:hAnsi="Arial"/>
                <w:sz w:val="18"/>
                <w:szCs w:val="18"/>
                <w:color w:val="0000EE"/>
                <w:w w:val="97"/>
              </w:rPr>
              <w:t>agreement</w:t>
            </w:r>
          </w:p>
        </w:tc>
        <w:tc>
          <w:tcPr>
            <w:tcW w:w="440" w:type="dxa"/>
            <w:vAlign w:val="bottom"/>
            <w:gridSpan w:val="3"/>
            <w:vMerge w:val="restart"/>
          </w:tcPr>
          <w:p>
            <w:pPr>
              <w:spacing w:after="0" w:line="20" w:lineRule="exact"/>
              <w:rPr>
                <w:sz w:val="1"/>
                <w:szCs w:val="1"/>
                <w:color w:val="auto"/>
              </w:rPr>
            </w:pPr>
          </w:p>
        </w:tc>
        <w:tc>
          <w:tcPr>
            <w:tcW w:w="1080" w:type="dxa"/>
            <w:vAlign w:val="bottom"/>
            <w:gridSpan w:val="6"/>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300" w:type="dxa"/>
            <w:vAlign w:val="bottom"/>
            <w:tcBorders>
              <w:bottom w:val="single" w:sz="8" w:color="CCEEFF"/>
            </w:tcBorders>
            <w:gridSpan w:val="16"/>
            <w:vMerge w:val="restart"/>
            <w:shd w:val="clear" w:color="auto" w:fill="CCEEFF"/>
          </w:tcPr>
          <w:p>
            <w:pPr>
              <w:spacing w:after="0" w:line="202" w:lineRule="exact"/>
              <w:rPr>
                <w:sz w:val="20"/>
                <w:szCs w:val="20"/>
                <w:color w:val="auto"/>
              </w:rPr>
            </w:pPr>
            <w:r>
              <w:rPr>
                <w:rFonts w:ascii="Arial" w:cs="Arial" w:eastAsia="Arial" w:hAnsi="Arial"/>
                <w:sz w:val="18"/>
                <w:szCs w:val="18"/>
                <w:color w:val="0000EE"/>
              </w:rPr>
              <w:t>Forward-looking statements</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right w:val="single" w:sz="8" w:color="CCEEFF"/>
            </w:tcBorders>
            <w:gridSpan w:val="2"/>
            <w:vMerge w:val="restart"/>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gridSpan w:val="2"/>
            <w:vMerge w:val="restart"/>
            <w:shd w:val="clear" w:color="auto" w:fill="CCEEFF"/>
          </w:tcPr>
          <w:p>
            <w:pPr>
              <w:jc w:val="right"/>
              <w:spacing w:after="0" w:line="202" w:lineRule="exact"/>
              <w:rPr>
                <w:sz w:val="20"/>
                <w:szCs w:val="20"/>
                <w:color w:val="auto"/>
              </w:rPr>
            </w:pPr>
            <w:r>
              <w:rPr>
                <w:rFonts w:ascii="Arial" w:cs="Arial" w:eastAsia="Arial" w:hAnsi="Arial"/>
                <w:sz w:val="18"/>
                <w:szCs w:val="18"/>
                <w:color w:val="0000EE"/>
                <w:w w:val="76"/>
              </w:rPr>
              <w:t>iv</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60" w:type="dxa"/>
            <w:vAlign w:val="bottom"/>
            <w:tcBorders>
              <w:bottom w:val="single" w:sz="8" w:color="0000EE"/>
            </w:tcBorders>
            <w:gridSpan w:val="4"/>
            <w:vMerge w:val="continue"/>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1080" w:type="dxa"/>
            <w:vAlign w:val="bottom"/>
            <w:gridSpan w:val="6"/>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300" w:type="dxa"/>
            <w:vAlign w:val="bottom"/>
            <w:gridSpan w:val="16"/>
            <w:vMerge w:val="continue"/>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gridSpan w:val="2"/>
            <w:vMerge w:val="continue"/>
            <w:shd w:val="clear" w:color="auto" w:fill="CCEEFF"/>
          </w:tcPr>
          <w:p>
            <w:pPr>
              <w:spacing w:after="0" w:line="20" w:lineRule="exact"/>
              <w:rPr>
                <w:sz w:val="1"/>
                <w:szCs w:val="1"/>
                <w:color w:val="auto"/>
              </w:rPr>
            </w:pPr>
          </w:p>
        </w:tc>
        <w:tc>
          <w:tcPr>
            <w:tcW w:w="120" w:type="dxa"/>
            <w:vAlign w:val="bottom"/>
            <w:gridSpan w:val="2"/>
            <w:vMerge w:val="continue"/>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gridSpan w:val="3"/>
            <w:vMerge w:val="continue"/>
          </w:tcPr>
          <w:p>
            <w:pPr>
              <w:spacing w:after="0" w:line="20" w:lineRule="exact"/>
              <w:rPr>
                <w:sz w:val="1"/>
                <w:szCs w:val="1"/>
                <w:color w:val="auto"/>
              </w:rPr>
            </w:pPr>
          </w:p>
        </w:tc>
        <w:tc>
          <w:tcPr>
            <w:tcW w:w="1080" w:type="dxa"/>
            <w:vAlign w:val="bottom"/>
            <w:gridSpan w:val="6"/>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Borders>
              <w:bottom w:val="single" w:sz="8" w:color="CCEEFF"/>
            </w:tcBorders>
            <w:shd w:val="clear" w:color="auto" w:fill="CCEEFF"/>
          </w:tcPr>
          <w:p>
            <w:pPr>
              <w:spacing w:after="0"/>
              <w:rPr>
                <w:sz w:val="2"/>
                <w:szCs w:val="2"/>
                <w:color w:val="auto"/>
              </w:rPr>
            </w:pPr>
          </w:p>
        </w:tc>
        <w:tc>
          <w:tcPr>
            <w:tcW w:w="2200" w:type="dxa"/>
            <w:vAlign w:val="bottom"/>
            <w:tcBorders>
              <w:bottom w:val="single" w:sz="8" w:color="CCEEFF"/>
            </w:tcBorders>
            <w:gridSpan w:val="6"/>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3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gridSpan w:val="5"/>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3"/>
            <w:shd w:val="clear" w:color="auto" w:fill="CCEEFF"/>
          </w:tcPr>
          <w:p>
            <w:pPr>
              <w:jc w:val="right"/>
              <w:spacing w:after="0" w:line="7" w:lineRule="exact"/>
              <w:rPr>
                <w:sz w:val="20"/>
                <w:szCs w:val="20"/>
                <w:color w:val="auto"/>
              </w:rPr>
            </w:pPr>
            <w:r>
              <w:rPr>
                <w:rFonts w:ascii="Arial" w:cs="Arial" w:eastAsia="Arial" w:hAnsi="Arial"/>
                <w:sz w:val="1"/>
                <w:szCs w:val="1"/>
                <w:color w:val="auto"/>
              </w:rPr>
              <w:t>​</w:t>
            </w:r>
          </w:p>
        </w:tc>
        <w:tc>
          <w:tcPr>
            <w:tcW w:w="60" w:type="dxa"/>
            <w:vAlign w:val="bottom"/>
            <w:tcBorders>
              <w:bottom w:val="single" w:sz="8" w:color="CCEEFF"/>
            </w:tcBorders>
            <w:gridSpan w:val="2"/>
            <w:shd w:val="clear" w:color="auto" w:fill="CCEEFF"/>
          </w:tcPr>
          <w:p>
            <w:pPr>
              <w:jc w:val="right"/>
              <w:spacing w:after="0" w:line="7" w:lineRule="exact"/>
              <w:rPr>
                <w:sz w:val="20"/>
                <w:szCs w:val="20"/>
                <w:color w:val="auto"/>
              </w:rPr>
            </w:pPr>
            <w:r>
              <w:rPr>
                <w:rFonts w:ascii="Arial" w:cs="Arial" w:eastAsia="Arial" w:hAnsi="Arial"/>
                <w:sz w:val="1"/>
                <w:szCs w:val="1"/>
                <w:color w:val="auto"/>
              </w:rPr>
              <w:t>​</w:t>
            </w:r>
          </w:p>
        </w:tc>
        <w:tc>
          <w:tcPr>
            <w:tcW w:w="2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right w:val="single" w:sz="8" w:color="0000EE"/>
            </w:tcBorders>
            <w:shd w:val="clear" w:color="auto" w:fill="CCEEFF"/>
          </w:tcPr>
          <w:p>
            <w:pPr>
              <w:spacing w:after="0"/>
              <w:rPr>
                <w:sz w:val="2"/>
                <w:szCs w:val="2"/>
                <w:color w:val="auto"/>
              </w:rPr>
            </w:pPr>
          </w:p>
        </w:tc>
        <w:tc>
          <w:tcPr>
            <w:tcW w:w="4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tcPr>
          <w:p>
            <w:pPr>
              <w:jc w:val="right"/>
              <w:ind w:right="174"/>
              <w:spacing w:after="0" w:line="7" w:lineRule="exact"/>
              <w:rPr>
                <w:sz w:val="20"/>
                <w:szCs w:val="20"/>
                <w:color w:val="auto"/>
              </w:rPr>
            </w:pPr>
            <w:r>
              <w:rPr>
                <w:rFonts w:ascii="Arial" w:cs="Arial" w:eastAsia="Arial" w:hAnsi="Arial"/>
                <w:sz w:val="1"/>
                <w:szCs w:val="1"/>
                <w:color w:val="auto"/>
                <w:w w:val="4294942296"/>
              </w:rPr>
              <w:t>​</w:t>
            </w:r>
          </w:p>
        </w:tc>
        <w:tc>
          <w:tcPr>
            <w:tcW w:w="2560" w:type="dxa"/>
            <w:vAlign w:val="bottom"/>
            <w:gridSpan w:val="14"/>
            <w:vMerge w:val="restart"/>
          </w:tcPr>
          <w:p>
            <w:pPr>
              <w:spacing w:after="0" w:line="196" w:lineRule="exact"/>
              <w:rPr>
                <w:sz w:val="20"/>
                <w:szCs w:val="20"/>
                <w:color w:val="auto"/>
              </w:rPr>
            </w:pPr>
            <w:r>
              <w:rPr>
                <w:rFonts w:ascii="Arial" w:cs="Arial" w:eastAsia="Arial" w:hAnsi="Arial"/>
                <w:sz w:val="18"/>
                <w:szCs w:val="18"/>
                <w:color w:val="0000EE"/>
                <w:w w:val="99"/>
              </w:rPr>
              <w:t>Material U.S. federal income tax</w:t>
            </w: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300" w:type="dxa"/>
            <w:vAlign w:val="bottom"/>
            <w:gridSpan w:val="16"/>
            <w:vMerge w:val="restart"/>
          </w:tcPr>
          <w:p>
            <w:pPr>
              <w:spacing w:after="0" w:line="202" w:lineRule="exact"/>
              <w:rPr>
                <w:sz w:val="20"/>
                <w:szCs w:val="20"/>
                <w:color w:val="auto"/>
              </w:rPr>
            </w:pPr>
            <w:r>
              <w:rPr>
                <w:rFonts w:ascii="Arial" w:cs="Arial" w:eastAsia="Arial" w:hAnsi="Arial"/>
                <w:sz w:val="18"/>
                <w:szCs w:val="18"/>
                <w:color w:val="0000EE"/>
              </w:rPr>
              <w:t>About plains all American Pipeline, L.P</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vMerge w:val="restart"/>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gridSpan w:val="3"/>
            <w:vMerge w:val="restart"/>
          </w:tcPr>
          <w:p>
            <w:pPr>
              <w:jc w:val="right"/>
              <w:spacing w:after="0" w:line="202" w:lineRule="exact"/>
              <w:rPr>
                <w:sz w:val="20"/>
                <w:szCs w:val="20"/>
                <w:color w:val="auto"/>
              </w:rPr>
            </w:pPr>
            <w:r>
              <w:rPr>
                <w:rFonts w:ascii="Arial" w:cs="Arial" w:eastAsia="Arial" w:hAnsi="Arial"/>
                <w:sz w:val="18"/>
                <w:szCs w:val="18"/>
                <w:color w:val="0000EE"/>
                <w:w w:val="99"/>
              </w:rPr>
              <w:t>1</w:t>
            </w:r>
          </w:p>
        </w:tc>
        <w:tc>
          <w:tcPr>
            <w:tcW w:w="200" w:type="dxa"/>
            <w:vAlign w:val="bottom"/>
          </w:tcPr>
          <w:p>
            <w:pPr>
              <w:spacing w:after="0"/>
              <w:rPr>
                <w:sz w:val="14"/>
                <w:szCs w:val="14"/>
                <w:color w:val="auto"/>
              </w:rPr>
            </w:pPr>
          </w:p>
        </w:tc>
        <w:tc>
          <w:tcPr>
            <w:tcW w:w="2560" w:type="dxa"/>
            <w:vAlign w:val="bottom"/>
            <w:tcBorders>
              <w:bottom w:val="single" w:sz="8" w:color="0000EE"/>
            </w:tcBorders>
            <w:gridSpan w:val="14"/>
            <w:vMerge w:val="continue"/>
          </w:tcPr>
          <w:p>
            <w:pPr>
              <w:spacing w:after="0"/>
              <w:rPr>
                <w:sz w:val="14"/>
                <w:szCs w:val="14"/>
                <w:color w:val="auto"/>
              </w:rPr>
            </w:pPr>
          </w:p>
        </w:tc>
        <w:tc>
          <w:tcPr>
            <w:tcW w:w="3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300" w:type="dxa"/>
            <w:vAlign w:val="bottom"/>
            <w:gridSpan w:val="16"/>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4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gridSpan w:val="13"/>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gridSpan w:val="3"/>
          </w:tcPr>
          <w:p>
            <w:pPr>
              <w:jc w:val="right"/>
              <w:spacing w:after="0" w:line="7" w:lineRule="exact"/>
              <w:rPr>
                <w:sz w:val="20"/>
                <w:szCs w:val="20"/>
                <w:color w:val="auto"/>
              </w:rPr>
            </w:pPr>
            <w:r>
              <w:rPr>
                <w:rFonts w:ascii="Arial" w:cs="Arial" w:eastAsia="Arial" w:hAnsi="Arial"/>
                <w:sz w:val="1"/>
                <w:szCs w:val="1"/>
                <w:color w:val="auto"/>
              </w:rPr>
              <w:t>​</w:t>
            </w:r>
          </w:p>
        </w:tc>
        <w:tc>
          <w:tcPr>
            <w:tcW w:w="60" w:type="dxa"/>
            <w:vAlign w:val="bottom"/>
            <w:gridSpan w:val="2"/>
          </w:tcPr>
          <w:p>
            <w:pPr>
              <w:jc w:val="right"/>
              <w:spacing w:after="0" w:line="7" w:lineRule="exact"/>
              <w:rPr>
                <w:sz w:val="20"/>
                <w:szCs w:val="20"/>
                <w:color w:val="auto"/>
              </w:rPr>
            </w:pPr>
            <w:r>
              <w:rPr>
                <w:rFonts w:ascii="Arial" w:cs="Arial" w:eastAsia="Arial" w:hAnsi="Arial"/>
                <w:sz w:val="1"/>
                <w:szCs w:val="1"/>
                <w:color w:val="auto"/>
              </w:rPr>
              <w:t>​</w:t>
            </w: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tcPr>
          <w:p>
            <w:pPr>
              <w:jc w:val="right"/>
              <w:ind w:right="174"/>
              <w:spacing w:after="0" w:line="7" w:lineRule="exact"/>
              <w:rPr>
                <w:sz w:val="20"/>
                <w:szCs w:val="20"/>
                <w:color w:val="auto"/>
              </w:rPr>
            </w:pPr>
            <w:r>
              <w:rPr>
                <w:rFonts w:ascii="Arial" w:cs="Arial" w:eastAsia="Arial" w:hAnsi="Arial"/>
                <w:sz w:val="1"/>
                <w:szCs w:val="1"/>
                <w:color w:val="auto"/>
                <w:w w:val="4294942296"/>
              </w:rPr>
              <w:t>​</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160" w:type="dxa"/>
            <w:vAlign w:val="bottom"/>
            <w:gridSpan w:val="6"/>
            <w:vMerge w:val="restart"/>
          </w:tcPr>
          <w:p>
            <w:pPr>
              <w:spacing w:after="0" w:line="156" w:lineRule="exact"/>
              <w:rPr>
                <w:sz w:val="20"/>
                <w:szCs w:val="20"/>
                <w:color w:val="auto"/>
              </w:rPr>
            </w:pPr>
            <w:r>
              <w:rPr>
                <w:rFonts w:ascii="Arial" w:cs="Arial" w:eastAsia="Arial" w:hAnsi="Arial"/>
                <w:sz w:val="18"/>
                <w:szCs w:val="18"/>
                <w:color w:val="0000EE"/>
                <w:w w:val="98"/>
              </w:rPr>
              <w:t>consequences</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1740" w:type="dxa"/>
            <w:vAlign w:val="bottom"/>
            <w:gridSpan w:val="6"/>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160" w:type="dxa"/>
            <w:vAlign w:val="bottom"/>
            <w:gridSpan w:val="6"/>
            <w:vMerge w:val="continue"/>
          </w:tcPr>
          <w:p>
            <w:pPr>
              <w:spacing w:after="0"/>
              <w:rPr>
                <w:sz w:val="2"/>
                <w:szCs w:val="2"/>
                <w:color w:val="auto"/>
              </w:rPr>
            </w:pPr>
          </w:p>
        </w:tc>
        <w:tc>
          <w:tcPr>
            <w:tcW w:w="140" w:type="dxa"/>
            <w:vAlign w:val="bottom"/>
            <w:vMerge w:val="restart"/>
          </w:tcPr>
          <w:p>
            <w:pPr>
              <w:spacing w:after="0"/>
              <w:rPr>
                <w:sz w:val="2"/>
                <w:szCs w:val="2"/>
                <w:color w:val="auto"/>
              </w:rPr>
            </w:pPr>
          </w:p>
        </w:tc>
        <w:tc>
          <w:tcPr>
            <w:tcW w:w="1460" w:type="dxa"/>
            <w:vAlign w:val="bottom"/>
            <w:gridSpan w:val="7"/>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3300" w:type="dxa"/>
            <w:vAlign w:val="bottom"/>
            <w:tcBorders>
              <w:bottom w:val="single" w:sz="8" w:color="CCEEFF"/>
            </w:tcBorders>
            <w:gridSpan w:val="16"/>
            <w:vMerge w:val="restart"/>
            <w:shd w:val="clear" w:color="auto" w:fill="CCEEFF"/>
          </w:tcPr>
          <w:p>
            <w:pPr>
              <w:spacing w:after="0" w:line="202" w:lineRule="exact"/>
              <w:rPr>
                <w:sz w:val="20"/>
                <w:szCs w:val="20"/>
                <w:color w:val="auto"/>
              </w:rPr>
            </w:pPr>
            <w:r>
              <w:rPr>
                <w:rFonts w:ascii="Arial" w:cs="Arial" w:eastAsia="Arial" w:hAnsi="Arial"/>
                <w:sz w:val="18"/>
                <w:szCs w:val="18"/>
                <w:color w:val="0000EE"/>
              </w:rPr>
              <w:t>Risk factors</w:t>
            </w:r>
          </w:p>
        </w:tc>
        <w:tc>
          <w:tcPr>
            <w:tcW w:w="2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right w:val="single" w:sz="8" w:color="CCEEFF"/>
            </w:tcBorders>
            <w:gridSpan w:val="2"/>
            <w:vMerge w:val="restart"/>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gridSpan w:val="2"/>
            <w:vMerge w:val="restart"/>
            <w:shd w:val="clear" w:color="auto" w:fill="CCEEFF"/>
          </w:tcPr>
          <w:p>
            <w:pPr>
              <w:jc w:val="right"/>
              <w:spacing w:after="0" w:line="202" w:lineRule="exact"/>
              <w:rPr>
                <w:sz w:val="20"/>
                <w:szCs w:val="20"/>
                <w:color w:val="auto"/>
              </w:rPr>
            </w:pPr>
            <w:r>
              <w:rPr>
                <w:rFonts w:ascii="Arial" w:cs="Arial" w:eastAsia="Arial" w:hAnsi="Arial"/>
                <w:sz w:val="18"/>
                <w:szCs w:val="18"/>
                <w:color w:val="0000EE"/>
                <w:w w:val="99"/>
              </w:rPr>
              <w:t>3</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160" w:type="dxa"/>
            <w:vAlign w:val="bottom"/>
            <w:tcBorders>
              <w:bottom w:val="single" w:sz="8" w:color="0000EE"/>
            </w:tcBorders>
            <w:gridSpan w:val="6"/>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4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3300" w:type="dxa"/>
            <w:vAlign w:val="bottom"/>
            <w:gridSpan w:val="16"/>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tcBorders>
              <w:right w:val="single" w:sz="8" w:color="CCEEFF"/>
            </w:tcBorders>
            <w:gridSpan w:val="2"/>
            <w:vMerge w:val="continue"/>
            <w:shd w:val="clear" w:color="auto" w:fill="CCEEFF"/>
          </w:tcPr>
          <w:p>
            <w:pPr>
              <w:spacing w:after="0"/>
              <w:rPr>
                <w:sz w:val="5"/>
                <w:szCs w:val="5"/>
                <w:color w:val="auto"/>
              </w:rPr>
            </w:pPr>
          </w:p>
        </w:tc>
        <w:tc>
          <w:tcPr>
            <w:tcW w:w="120" w:type="dxa"/>
            <w:vAlign w:val="bottom"/>
            <w:gridSpan w:val="2"/>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480" w:type="dxa"/>
            <w:vAlign w:val="bottom"/>
            <w:gridSpan w:val="2"/>
          </w:tcPr>
          <w:p>
            <w:pPr>
              <w:spacing w:after="0"/>
              <w:rPr>
                <w:sz w:val="5"/>
                <w:szCs w:val="5"/>
                <w:color w:val="auto"/>
              </w:rPr>
            </w:pPr>
          </w:p>
        </w:tc>
        <w:tc>
          <w:tcPr>
            <w:tcW w:w="680" w:type="dxa"/>
            <w:vAlign w:val="bottom"/>
            <w:gridSpan w:val="4"/>
          </w:tcPr>
          <w:p>
            <w:pPr>
              <w:spacing w:after="0"/>
              <w:rPr>
                <w:sz w:val="5"/>
                <w:szCs w:val="5"/>
                <w:color w:val="auto"/>
              </w:rPr>
            </w:pPr>
          </w:p>
        </w:tc>
        <w:tc>
          <w:tcPr>
            <w:tcW w:w="140" w:type="dxa"/>
            <w:vAlign w:val="bottom"/>
            <w:vMerge w:val="continue"/>
          </w:tcPr>
          <w:p>
            <w:pPr>
              <w:spacing w:after="0"/>
              <w:rPr>
                <w:sz w:val="5"/>
                <w:szCs w:val="5"/>
                <w:color w:val="auto"/>
              </w:rPr>
            </w:pPr>
          </w:p>
        </w:tc>
        <w:tc>
          <w:tcPr>
            <w:tcW w:w="14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shd w:val="clear" w:color="auto" w:fill="CCEEFF"/>
          </w:tcPr>
          <w:p>
            <w:pPr>
              <w:spacing w:after="0"/>
              <w:rPr>
                <w:sz w:val="2"/>
                <w:szCs w:val="2"/>
                <w:color w:val="auto"/>
              </w:rPr>
            </w:pPr>
          </w:p>
        </w:tc>
        <w:tc>
          <w:tcPr>
            <w:tcW w:w="920" w:type="dxa"/>
            <w:vAlign w:val="bottom"/>
            <w:tcBorders>
              <w:bottom w:val="single" w:sz="8" w:color="CCEEFF"/>
            </w:tcBorders>
            <w:gridSpan w:val="2"/>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640" w:type="dxa"/>
            <w:vAlign w:val="bottom"/>
            <w:tcBorders>
              <w:bottom w:val="single" w:sz="8" w:color="CCEEFF"/>
            </w:tcBorders>
            <w:gridSpan w:val="5"/>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gridSpan w:val="7"/>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3"/>
                <w:szCs w:val="3"/>
                <w:color w:val="auto"/>
              </w:rPr>
              <w:t>​ ​</w:t>
            </w:r>
          </w:p>
        </w:tc>
        <w:tc>
          <w:tcPr>
            <w:tcW w:w="2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right w:val="single" w:sz="8" w:color="CCEEFF"/>
            </w:tcBorders>
            <w:shd w:val="clear" w:color="auto" w:fill="CCEEFF"/>
          </w:tcPr>
          <w:p>
            <w:pPr>
              <w:spacing w:after="0"/>
              <w:rPr>
                <w:sz w:val="2"/>
                <w:szCs w:val="2"/>
                <w:color w:val="auto"/>
              </w:rPr>
            </w:pPr>
          </w:p>
        </w:tc>
        <w:tc>
          <w:tcPr>
            <w:tcW w:w="40" w:type="dxa"/>
            <w:vAlign w:val="bottom"/>
            <w:tcBorders>
              <w:bottom w:val="single" w:sz="8" w:color="CCEEFF"/>
              <w:right w:val="single" w:sz="8" w:color="0000EE"/>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vMerge w:val="restart"/>
          </w:tcPr>
          <w:p>
            <w:pPr>
              <w:jc w:val="right"/>
              <w:ind w:right="174"/>
              <w:spacing w:after="0"/>
              <w:rPr>
                <w:sz w:val="20"/>
                <w:szCs w:val="20"/>
                <w:color w:val="auto"/>
              </w:rPr>
            </w:pPr>
            <w:r>
              <w:rPr>
                <w:rFonts w:ascii="Arial" w:cs="Arial" w:eastAsia="Arial" w:hAnsi="Arial"/>
                <w:sz w:val="1"/>
                <w:szCs w:val="1"/>
                <w:color w:val="auto"/>
                <w:w w:val="4294942296"/>
              </w:rPr>
              <w:t>​</w:t>
            </w:r>
          </w:p>
        </w:tc>
        <w:tc>
          <w:tcPr>
            <w:tcW w:w="2940" w:type="dxa"/>
            <w:vAlign w:val="bottom"/>
            <w:gridSpan w:val="15"/>
            <w:vMerge w:val="restart"/>
          </w:tcPr>
          <w:p>
            <w:pPr>
              <w:spacing w:after="0" w:line="176" w:lineRule="exact"/>
              <w:rPr>
                <w:sz w:val="20"/>
                <w:szCs w:val="20"/>
                <w:color w:val="auto"/>
              </w:rPr>
            </w:pPr>
            <w:r>
              <w:rPr>
                <w:rFonts w:ascii="Arial" w:cs="Arial" w:eastAsia="Arial" w:hAnsi="Arial"/>
                <w:sz w:val="18"/>
                <w:szCs w:val="18"/>
                <w:color w:val="0000EE"/>
              </w:rPr>
              <w:t>Plan of distribution</w:t>
            </w:r>
          </w:p>
        </w:tc>
        <w:tc>
          <w:tcPr>
            <w:tcW w:w="0" w:type="dxa"/>
            <w:vAlign w:val="bottom"/>
          </w:tcPr>
          <w:p>
            <w:pPr>
              <w:spacing w:after="0"/>
              <w:rPr>
                <w:sz w:val="1"/>
                <w:szCs w:val="1"/>
                <w:color w:val="auto"/>
              </w:rPr>
            </w:pPr>
          </w:p>
        </w:tc>
      </w:tr>
      <w:tr>
        <w:trPr>
          <w:trHeight w:val="122"/>
        </w:trPr>
        <w:tc>
          <w:tcPr>
            <w:tcW w:w="1740" w:type="dxa"/>
            <w:vAlign w:val="bottom"/>
            <w:gridSpan w:val="6"/>
          </w:tcPr>
          <w:p>
            <w:pPr>
              <w:spacing w:after="0"/>
              <w:rPr>
                <w:sz w:val="10"/>
                <w:szCs w:val="10"/>
                <w:color w:val="auto"/>
              </w:rPr>
            </w:pPr>
          </w:p>
        </w:tc>
        <w:tc>
          <w:tcPr>
            <w:tcW w:w="8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gridSpan w:val="4"/>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2940" w:type="dxa"/>
            <w:vAlign w:val="bottom"/>
            <w:gridSpan w:val="1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300" w:type="dxa"/>
            <w:vAlign w:val="bottom"/>
            <w:gridSpan w:val="16"/>
            <w:vMerge w:val="restart"/>
          </w:tcPr>
          <w:p>
            <w:pPr>
              <w:spacing w:after="0" w:line="81" w:lineRule="exact"/>
              <w:rPr>
                <w:sz w:val="20"/>
                <w:szCs w:val="20"/>
                <w:color w:val="auto"/>
              </w:rPr>
            </w:pPr>
            <w:r>
              <w:rPr>
                <w:rFonts w:ascii="Arial" w:cs="Arial" w:eastAsia="Arial" w:hAnsi="Arial"/>
                <w:sz w:val="9"/>
                <w:szCs w:val="9"/>
                <w:color w:val="0000EE"/>
              </w:rPr>
              <w:t>Use of proceeds</w:t>
            </w: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vMerge w:val="restart"/>
          </w:tcPr>
          <w:p>
            <w:pPr>
              <w:jc w:val="right"/>
              <w:ind w:right="10"/>
              <w:spacing w:after="0" w:line="81" w:lineRule="exact"/>
              <w:rPr>
                <w:sz w:val="20"/>
                <w:szCs w:val="20"/>
                <w:color w:val="auto"/>
              </w:rPr>
            </w:pPr>
            <w:r>
              <w:rPr>
                <w:rFonts w:ascii="Arial" w:cs="Arial" w:eastAsia="Arial" w:hAnsi="Arial"/>
                <w:sz w:val="9"/>
                <w:szCs w:val="9"/>
                <w:b w:val="1"/>
                <w:bCs w:val="1"/>
                <w:color w:val="auto"/>
              </w:rPr>
              <w:t>​</w:t>
            </w:r>
          </w:p>
        </w:tc>
        <w:tc>
          <w:tcPr>
            <w:tcW w:w="140" w:type="dxa"/>
            <w:vAlign w:val="bottom"/>
            <w:gridSpan w:val="3"/>
            <w:vMerge w:val="restart"/>
          </w:tcPr>
          <w:p>
            <w:pPr>
              <w:jc w:val="right"/>
              <w:spacing w:after="0" w:line="81" w:lineRule="exact"/>
              <w:rPr>
                <w:sz w:val="20"/>
                <w:szCs w:val="20"/>
                <w:color w:val="auto"/>
              </w:rPr>
            </w:pPr>
            <w:r>
              <w:rPr>
                <w:rFonts w:ascii="Arial" w:cs="Arial" w:eastAsia="Arial" w:hAnsi="Arial"/>
                <w:sz w:val="9"/>
                <w:szCs w:val="9"/>
                <w:color w:val="0000EE"/>
              </w:rPr>
              <w:t>4</w:t>
            </w:r>
          </w:p>
        </w:tc>
        <w:tc>
          <w:tcPr>
            <w:tcW w:w="200" w:type="dxa"/>
            <w:vAlign w:val="bottom"/>
          </w:tcPr>
          <w:p>
            <w:pPr>
              <w:spacing w:after="0"/>
              <w:rPr>
                <w:sz w:val="2"/>
                <w:szCs w:val="2"/>
                <w:color w:val="auto"/>
              </w:rPr>
            </w:pPr>
          </w:p>
        </w:tc>
        <w:tc>
          <w:tcPr>
            <w:tcW w:w="1480" w:type="dxa"/>
            <w:vAlign w:val="bottom"/>
            <w:gridSpan w:val="8"/>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460" w:type="dxa"/>
            <w:vAlign w:val="bottom"/>
            <w:gridSpan w:val="7"/>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
        </w:trPr>
        <w:tc>
          <w:tcPr>
            <w:tcW w:w="3300" w:type="dxa"/>
            <w:vAlign w:val="bottom"/>
            <w:gridSpan w:val="16"/>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4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gridSpan w:val="3"/>
          </w:tcPr>
          <w:p>
            <w:pPr>
              <w:spacing w:after="0"/>
              <w:rPr>
                <w:sz w:val="4"/>
                <w:szCs w:val="4"/>
                <w:color w:val="auto"/>
              </w:rPr>
            </w:pPr>
          </w:p>
        </w:tc>
        <w:tc>
          <w:tcPr>
            <w:tcW w:w="820" w:type="dxa"/>
            <w:vAlign w:val="bottom"/>
            <w:gridSpan w:val="5"/>
          </w:tcPr>
          <w:p>
            <w:pPr>
              <w:spacing w:after="0"/>
              <w:rPr>
                <w:sz w:val="4"/>
                <w:szCs w:val="4"/>
                <w:color w:val="auto"/>
              </w:rPr>
            </w:pPr>
          </w:p>
        </w:tc>
        <w:tc>
          <w:tcPr>
            <w:tcW w:w="14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gridSpan w:val="4"/>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2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gridSpan w:val="7"/>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gridSpan w:val="3"/>
          </w:tcPr>
          <w:p>
            <w:pPr>
              <w:jc w:val="right"/>
              <w:spacing w:after="0" w:line="7" w:lineRule="exact"/>
              <w:rPr>
                <w:sz w:val="20"/>
                <w:szCs w:val="20"/>
                <w:color w:val="auto"/>
              </w:rPr>
            </w:pPr>
            <w:r>
              <w:rPr>
                <w:rFonts w:ascii="Arial" w:cs="Arial" w:eastAsia="Arial" w:hAnsi="Arial"/>
                <w:sz w:val="1"/>
                <w:szCs w:val="1"/>
                <w:color w:val="auto"/>
              </w:rPr>
              <w:t>​</w:t>
            </w:r>
          </w:p>
        </w:tc>
        <w:tc>
          <w:tcPr>
            <w:tcW w:w="60" w:type="dxa"/>
            <w:vAlign w:val="bottom"/>
            <w:gridSpan w:val="2"/>
          </w:tcPr>
          <w:p>
            <w:pPr>
              <w:jc w:val="right"/>
              <w:spacing w:after="0" w:line="7" w:lineRule="exact"/>
              <w:rPr>
                <w:sz w:val="20"/>
                <w:szCs w:val="20"/>
                <w:color w:val="auto"/>
              </w:rPr>
            </w:pPr>
            <w:r>
              <w:rPr>
                <w:rFonts w:ascii="Arial" w:cs="Arial" w:eastAsia="Arial" w:hAnsi="Arial"/>
                <w:sz w:val="1"/>
                <w:szCs w:val="1"/>
                <w:color w:val="auto"/>
              </w:rPr>
              <w:t>​</w:t>
            </w: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tcPr>
          <w:p>
            <w:pPr>
              <w:jc w:val="right"/>
              <w:ind w:right="174"/>
              <w:spacing w:after="0" w:line="7" w:lineRule="exact"/>
              <w:rPr>
                <w:sz w:val="20"/>
                <w:szCs w:val="20"/>
                <w:color w:val="auto"/>
              </w:rPr>
            </w:pPr>
            <w:r>
              <w:rPr>
                <w:rFonts w:ascii="Arial" w:cs="Arial" w:eastAsia="Arial" w:hAnsi="Arial"/>
                <w:sz w:val="1"/>
                <w:szCs w:val="1"/>
                <w:color w:val="auto"/>
                <w:w w:val="4294942296"/>
              </w:rPr>
              <w:t>​</w:t>
            </w:r>
          </w:p>
        </w:tc>
        <w:tc>
          <w:tcPr>
            <w:tcW w:w="2940" w:type="dxa"/>
            <w:vAlign w:val="bottom"/>
            <w:gridSpan w:val="15"/>
            <w:vMerge w:val="restart"/>
          </w:tcPr>
          <w:p>
            <w:pPr>
              <w:spacing w:after="0" w:line="176" w:lineRule="exact"/>
              <w:rPr>
                <w:sz w:val="20"/>
                <w:szCs w:val="20"/>
                <w:color w:val="auto"/>
              </w:rPr>
            </w:pPr>
            <w:r>
              <w:rPr>
                <w:rFonts w:ascii="Arial" w:cs="Arial" w:eastAsia="Arial" w:hAnsi="Arial"/>
                <w:sz w:val="18"/>
                <w:szCs w:val="18"/>
                <w:color w:val="0000EE"/>
              </w:rPr>
              <w:t>Legal matters</w:t>
            </w: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1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1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300" w:type="dxa"/>
            <w:vAlign w:val="bottom"/>
            <w:gridSpan w:val="16"/>
            <w:shd w:val="clear" w:color="auto" w:fill="CCEEFF"/>
          </w:tcPr>
          <w:p>
            <w:pPr>
              <w:spacing w:after="0" w:line="81" w:lineRule="exact"/>
              <w:rPr>
                <w:sz w:val="20"/>
                <w:szCs w:val="20"/>
                <w:color w:val="auto"/>
              </w:rPr>
            </w:pPr>
            <w:r>
              <w:rPr>
                <w:rFonts w:ascii="Arial" w:cs="Arial" w:eastAsia="Arial" w:hAnsi="Arial"/>
                <w:sz w:val="9"/>
                <w:szCs w:val="9"/>
                <w:color w:val="0000EE"/>
              </w:rPr>
              <w:t>Description of our debt securities</w:t>
            </w: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tcBorders>
              <w:right w:val="single" w:sz="8" w:color="CCEEFF"/>
            </w:tcBorders>
            <w:gridSpan w:val="2"/>
            <w:shd w:val="clear" w:color="auto" w:fill="CCEEFF"/>
          </w:tcPr>
          <w:p>
            <w:pPr>
              <w:jc w:val="right"/>
              <w:ind w:right="10"/>
              <w:spacing w:after="0" w:line="81" w:lineRule="exact"/>
              <w:rPr>
                <w:sz w:val="20"/>
                <w:szCs w:val="20"/>
                <w:color w:val="auto"/>
              </w:rPr>
            </w:pPr>
            <w:r>
              <w:rPr>
                <w:rFonts w:ascii="Arial" w:cs="Arial" w:eastAsia="Arial" w:hAnsi="Arial"/>
                <w:sz w:val="9"/>
                <w:szCs w:val="9"/>
                <w:b w:val="1"/>
                <w:bCs w:val="1"/>
                <w:color w:val="auto"/>
              </w:rPr>
              <w:t>​</w:t>
            </w:r>
          </w:p>
        </w:tc>
        <w:tc>
          <w:tcPr>
            <w:tcW w:w="120" w:type="dxa"/>
            <w:vAlign w:val="bottom"/>
            <w:gridSpan w:val="2"/>
            <w:shd w:val="clear" w:color="auto" w:fill="CCEEFF"/>
          </w:tcPr>
          <w:p>
            <w:pPr>
              <w:jc w:val="right"/>
              <w:spacing w:after="0" w:line="81" w:lineRule="exact"/>
              <w:rPr>
                <w:sz w:val="20"/>
                <w:szCs w:val="20"/>
                <w:color w:val="auto"/>
              </w:rPr>
            </w:pPr>
            <w:r>
              <w:rPr>
                <w:rFonts w:ascii="Arial" w:cs="Arial" w:eastAsia="Arial" w:hAnsi="Arial"/>
                <w:sz w:val="9"/>
                <w:szCs w:val="9"/>
                <w:color w:val="0000EE"/>
              </w:rPr>
              <w:t>5</w:t>
            </w: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gridSpan w:val="6"/>
          </w:tcPr>
          <w:p>
            <w:pPr>
              <w:spacing w:after="0" w:line="81" w:lineRule="exact"/>
              <w:rPr>
                <w:sz w:val="20"/>
                <w:szCs w:val="20"/>
                <w:color w:val="auto"/>
              </w:rPr>
            </w:pPr>
            <w:r>
              <w:rPr>
                <w:rFonts w:ascii="Arial" w:cs="Arial" w:eastAsia="Arial" w:hAnsi="Arial"/>
                <w:sz w:val="9"/>
                <w:szCs w:val="9"/>
                <w:color w:val="auto"/>
              </w:rPr>
              <w:t>​</w:t>
            </w:r>
          </w:p>
        </w:tc>
        <w:tc>
          <w:tcPr>
            <w:tcW w:w="1860" w:type="dxa"/>
            <w:vAlign w:val="bottom"/>
            <w:gridSpan w:val="9"/>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shd w:val="clear" w:color="auto" w:fill="CCEEFF"/>
          </w:tcPr>
          <w:p>
            <w:pPr>
              <w:spacing w:after="0"/>
              <w:rPr>
                <w:sz w:val="2"/>
                <w:szCs w:val="2"/>
                <w:color w:val="auto"/>
              </w:rPr>
            </w:pPr>
          </w:p>
        </w:tc>
        <w:tc>
          <w:tcPr>
            <w:tcW w:w="2600" w:type="dxa"/>
            <w:vAlign w:val="bottom"/>
            <w:tcBorders>
              <w:bottom w:val="single" w:sz="8" w:color="CCEEFF"/>
            </w:tcBorders>
            <w:gridSpan w:val="8"/>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680" w:type="dxa"/>
            <w:vAlign w:val="bottom"/>
            <w:tcBorders>
              <w:bottom w:val="single" w:sz="8" w:color="CCEEFF"/>
            </w:tcBorders>
            <w:gridSpan w:val="7"/>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3"/>
                <w:szCs w:val="3"/>
                <w:color w:val="auto"/>
              </w:rPr>
              <w:t>​</w:t>
            </w: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3"/>
                <w:szCs w:val="3"/>
                <w:color w:val="auto"/>
              </w:rPr>
              <w:t>​</w:t>
            </w:r>
          </w:p>
        </w:tc>
        <w:tc>
          <w:tcPr>
            <w:tcW w:w="2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right w:val="single" w:sz="8" w:color="CCEEFF"/>
            </w:tcBorders>
            <w:shd w:val="clear" w:color="auto" w:fill="CCEEFF"/>
          </w:tcPr>
          <w:p>
            <w:pPr>
              <w:spacing w:after="0"/>
              <w:rPr>
                <w:sz w:val="2"/>
                <w:szCs w:val="2"/>
                <w:color w:val="auto"/>
              </w:rPr>
            </w:pPr>
          </w:p>
        </w:tc>
        <w:tc>
          <w:tcPr>
            <w:tcW w:w="40" w:type="dxa"/>
            <w:vAlign w:val="bottom"/>
            <w:tcBorders>
              <w:bottom w:val="single" w:sz="8" w:color="CCEEFF"/>
              <w:right w:val="single" w:sz="8" w:color="0000EE"/>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vMerge w:val="restart"/>
          </w:tcPr>
          <w:p>
            <w:pPr>
              <w:jc w:val="right"/>
              <w:ind w:right="174"/>
              <w:spacing w:after="0"/>
              <w:rPr>
                <w:sz w:val="20"/>
                <w:szCs w:val="20"/>
                <w:color w:val="auto"/>
              </w:rPr>
            </w:pPr>
            <w:r>
              <w:rPr>
                <w:rFonts w:ascii="Arial" w:cs="Arial" w:eastAsia="Arial" w:hAnsi="Arial"/>
                <w:sz w:val="1"/>
                <w:szCs w:val="1"/>
                <w:color w:val="auto"/>
                <w:w w:val="4294942296"/>
              </w:rPr>
              <w:t>​</w:t>
            </w:r>
          </w:p>
        </w:tc>
        <w:tc>
          <w:tcPr>
            <w:tcW w:w="2940" w:type="dxa"/>
            <w:vAlign w:val="bottom"/>
            <w:gridSpan w:val="15"/>
            <w:vMerge w:val="restart"/>
          </w:tcPr>
          <w:p>
            <w:pPr>
              <w:spacing w:after="0" w:line="176" w:lineRule="exact"/>
              <w:rPr>
                <w:sz w:val="20"/>
                <w:szCs w:val="20"/>
                <w:color w:val="auto"/>
              </w:rPr>
            </w:pPr>
            <w:r>
              <w:rPr>
                <w:rFonts w:ascii="Arial" w:cs="Arial" w:eastAsia="Arial" w:hAnsi="Arial"/>
                <w:sz w:val="18"/>
                <w:szCs w:val="18"/>
                <w:color w:val="0000EE"/>
              </w:rPr>
              <w:t>Experts.</w:t>
            </w:r>
          </w:p>
        </w:tc>
        <w:tc>
          <w:tcPr>
            <w:tcW w:w="0" w:type="dxa"/>
            <w:vAlign w:val="bottom"/>
          </w:tcPr>
          <w:p>
            <w:pPr>
              <w:spacing w:after="0"/>
              <w:rPr>
                <w:sz w:val="1"/>
                <w:szCs w:val="1"/>
                <w:color w:val="auto"/>
              </w:rPr>
            </w:pPr>
          </w:p>
        </w:tc>
      </w:tr>
      <w:tr>
        <w:trPr>
          <w:trHeight w:val="121"/>
        </w:trPr>
        <w:tc>
          <w:tcPr>
            <w:tcW w:w="1740" w:type="dxa"/>
            <w:vAlign w:val="bottom"/>
            <w:gridSpan w:val="6"/>
          </w:tcPr>
          <w:p>
            <w:pPr>
              <w:spacing w:after="0"/>
              <w:rPr>
                <w:sz w:val="10"/>
                <w:szCs w:val="10"/>
                <w:color w:val="auto"/>
              </w:rPr>
            </w:pPr>
          </w:p>
        </w:tc>
        <w:tc>
          <w:tcPr>
            <w:tcW w:w="8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gridSpan w:val="4"/>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2940" w:type="dxa"/>
            <w:vAlign w:val="bottom"/>
            <w:gridSpan w:val="1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300" w:type="dxa"/>
            <w:vAlign w:val="bottom"/>
            <w:gridSpan w:val="16"/>
            <w:vMerge w:val="restart"/>
          </w:tcPr>
          <w:p>
            <w:pPr>
              <w:spacing w:after="0" w:line="81" w:lineRule="exact"/>
              <w:rPr>
                <w:sz w:val="20"/>
                <w:szCs w:val="20"/>
                <w:color w:val="auto"/>
              </w:rPr>
            </w:pPr>
            <w:r>
              <w:rPr>
                <w:rFonts w:ascii="Arial" w:cs="Arial" w:eastAsia="Arial" w:hAnsi="Arial"/>
                <w:sz w:val="9"/>
                <w:szCs w:val="9"/>
                <w:color w:val="0000EE"/>
              </w:rPr>
              <w:t>Description of our preferred units</w:t>
            </w: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vMerge w:val="restart"/>
          </w:tcPr>
          <w:p>
            <w:pPr>
              <w:jc w:val="right"/>
              <w:ind w:right="10"/>
              <w:spacing w:after="0" w:line="81" w:lineRule="exact"/>
              <w:rPr>
                <w:sz w:val="20"/>
                <w:szCs w:val="20"/>
                <w:color w:val="auto"/>
              </w:rPr>
            </w:pPr>
            <w:r>
              <w:rPr>
                <w:rFonts w:ascii="Arial" w:cs="Arial" w:eastAsia="Arial" w:hAnsi="Arial"/>
                <w:sz w:val="9"/>
                <w:szCs w:val="9"/>
                <w:b w:val="1"/>
                <w:bCs w:val="1"/>
                <w:color w:val="auto"/>
              </w:rPr>
              <w:t>​</w:t>
            </w:r>
          </w:p>
        </w:tc>
        <w:tc>
          <w:tcPr>
            <w:tcW w:w="140" w:type="dxa"/>
            <w:vAlign w:val="bottom"/>
            <w:gridSpan w:val="3"/>
            <w:vMerge w:val="restart"/>
          </w:tcPr>
          <w:p>
            <w:pPr>
              <w:jc w:val="right"/>
              <w:spacing w:after="0" w:line="81" w:lineRule="exact"/>
              <w:rPr>
                <w:sz w:val="20"/>
                <w:szCs w:val="20"/>
                <w:color w:val="auto"/>
              </w:rPr>
            </w:pPr>
            <w:r>
              <w:rPr>
                <w:rFonts w:ascii="Arial" w:cs="Arial" w:eastAsia="Arial" w:hAnsi="Arial"/>
                <w:sz w:val="9"/>
                <w:szCs w:val="9"/>
                <w:color w:val="0000EE"/>
                <w:w w:val="99"/>
              </w:rPr>
              <w:t>13</w:t>
            </w:r>
          </w:p>
        </w:tc>
        <w:tc>
          <w:tcPr>
            <w:tcW w:w="200" w:type="dxa"/>
            <w:vAlign w:val="bottom"/>
          </w:tcPr>
          <w:p>
            <w:pPr>
              <w:spacing w:after="0"/>
              <w:rPr>
                <w:sz w:val="2"/>
                <w:szCs w:val="2"/>
                <w:color w:val="auto"/>
              </w:rPr>
            </w:pPr>
          </w:p>
        </w:tc>
        <w:tc>
          <w:tcPr>
            <w:tcW w:w="660" w:type="dxa"/>
            <w:vAlign w:val="bottom"/>
            <w:gridSpan w:val="3"/>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280" w:type="dxa"/>
            <w:vAlign w:val="bottom"/>
            <w:gridSpan w:val="12"/>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
        </w:trPr>
        <w:tc>
          <w:tcPr>
            <w:tcW w:w="3300" w:type="dxa"/>
            <w:vAlign w:val="bottom"/>
            <w:gridSpan w:val="16"/>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4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gridSpan w:val="3"/>
          </w:tcPr>
          <w:p>
            <w:pPr>
              <w:spacing w:after="0"/>
              <w:rPr>
                <w:sz w:val="4"/>
                <w:szCs w:val="4"/>
                <w:color w:val="auto"/>
              </w:rPr>
            </w:pPr>
          </w:p>
        </w:tc>
        <w:tc>
          <w:tcPr>
            <w:tcW w:w="2280" w:type="dxa"/>
            <w:vAlign w:val="bottom"/>
            <w:gridSpan w:val="1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0" w:type="dxa"/>
            <w:vAlign w:val="bottom"/>
            <w:gridSpan w:val="8"/>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680" w:type="dxa"/>
            <w:vAlign w:val="bottom"/>
            <w:gridSpan w:val="7"/>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gridSpan w:val="3"/>
          </w:tcPr>
          <w:p>
            <w:pPr>
              <w:jc w:val="right"/>
              <w:spacing w:after="0" w:line="7" w:lineRule="exact"/>
              <w:rPr>
                <w:sz w:val="20"/>
                <w:szCs w:val="20"/>
                <w:color w:val="auto"/>
              </w:rPr>
            </w:pPr>
            <w:r>
              <w:rPr>
                <w:rFonts w:ascii="Arial" w:cs="Arial" w:eastAsia="Arial" w:hAnsi="Arial"/>
                <w:sz w:val="1"/>
                <w:szCs w:val="1"/>
                <w:color w:val="auto"/>
              </w:rPr>
              <w:t>​</w:t>
            </w:r>
          </w:p>
        </w:tc>
        <w:tc>
          <w:tcPr>
            <w:tcW w:w="60" w:type="dxa"/>
            <w:vAlign w:val="bottom"/>
            <w:gridSpan w:val="2"/>
          </w:tcPr>
          <w:p>
            <w:pPr>
              <w:jc w:val="right"/>
              <w:spacing w:after="0" w:line="7" w:lineRule="exact"/>
              <w:rPr>
                <w:sz w:val="20"/>
                <w:szCs w:val="20"/>
                <w:color w:val="auto"/>
              </w:rPr>
            </w:pPr>
            <w:r>
              <w:rPr>
                <w:rFonts w:ascii="Arial" w:cs="Arial" w:eastAsia="Arial" w:hAnsi="Arial"/>
                <w:sz w:val="1"/>
                <w:szCs w:val="1"/>
                <w:color w:val="auto"/>
              </w:rPr>
              <w:t>​</w:t>
            </w:r>
          </w:p>
        </w:tc>
        <w:tc>
          <w:tcPr>
            <w:tcW w:w="20" w:type="dxa"/>
            <w:vAlign w:val="bottom"/>
          </w:tcPr>
          <w:p>
            <w:pPr>
              <w:spacing w:after="0"/>
              <w:rPr>
                <w:sz w:val="2"/>
                <w:szCs w:val="2"/>
                <w:color w:val="auto"/>
              </w:rPr>
            </w:pPr>
          </w:p>
        </w:tc>
        <w:tc>
          <w:tcPr>
            <w:tcW w:w="140" w:type="dxa"/>
            <w:vAlign w:val="bottom"/>
            <w:tcBorders>
              <w:right w:val="single" w:sz="8" w:color="0000EE"/>
            </w:tcBorders>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tcPr>
          <w:p>
            <w:pPr>
              <w:jc w:val="right"/>
              <w:ind w:right="174"/>
              <w:spacing w:after="0" w:line="7" w:lineRule="exact"/>
              <w:rPr>
                <w:sz w:val="20"/>
                <w:szCs w:val="20"/>
                <w:color w:val="auto"/>
              </w:rPr>
            </w:pPr>
            <w:r>
              <w:rPr>
                <w:rFonts w:ascii="Arial" w:cs="Arial" w:eastAsia="Arial" w:hAnsi="Arial"/>
                <w:sz w:val="1"/>
                <w:szCs w:val="1"/>
                <w:color w:val="auto"/>
                <w:w w:val="4294942296"/>
              </w:rPr>
              <w:t>​</w:t>
            </w: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1740" w:type="dxa"/>
            <w:vAlign w:val="bottom"/>
            <w:gridSpan w:val="6"/>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gridSpan w:val="16"/>
            <w:shd w:val="clear" w:color="auto" w:fill="CCEEFF"/>
          </w:tcPr>
          <w:p>
            <w:pPr>
              <w:spacing w:after="0" w:line="202" w:lineRule="exact"/>
              <w:rPr>
                <w:sz w:val="20"/>
                <w:szCs w:val="20"/>
                <w:color w:val="auto"/>
              </w:rPr>
            </w:pPr>
            <w:r>
              <w:rPr>
                <w:rFonts w:ascii="Arial" w:cs="Arial" w:eastAsia="Arial" w:hAnsi="Arial"/>
                <w:sz w:val="18"/>
                <w:szCs w:val="18"/>
                <w:color w:val="0000EE"/>
              </w:rPr>
              <w:t>Description of our common units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0000EE"/>
                <w:w w:val="74"/>
              </w:rPr>
              <w:t>15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shd w:val="clear" w:color="auto" w:fill="CCEEFF"/>
          </w:tcPr>
          <w:p>
            <w:pPr>
              <w:spacing w:after="0"/>
              <w:rPr>
                <w:sz w:val="2"/>
                <w:szCs w:val="2"/>
                <w:color w:val="auto"/>
              </w:rPr>
            </w:pPr>
          </w:p>
        </w:tc>
        <w:tc>
          <w:tcPr>
            <w:tcW w:w="2560" w:type="dxa"/>
            <w:vAlign w:val="bottom"/>
            <w:tcBorders>
              <w:bottom w:val="single" w:sz="8" w:color="CCEEFF"/>
            </w:tcBorders>
            <w:gridSpan w:val="7"/>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720" w:type="dxa"/>
            <w:vAlign w:val="bottom"/>
            <w:tcBorders>
              <w:bottom w:val="single" w:sz="8" w:color="CCEEFF"/>
            </w:tcBorders>
            <w:gridSpan w:val="8"/>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3"/>
            <w:shd w:val="clear" w:color="auto" w:fill="CCEEFF"/>
          </w:tcPr>
          <w:p>
            <w:pPr>
              <w:jc w:val="right"/>
              <w:spacing w:after="0" w:line="7" w:lineRule="exact"/>
              <w:rPr>
                <w:sz w:val="20"/>
                <w:szCs w:val="20"/>
                <w:color w:val="auto"/>
              </w:rPr>
            </w:pPr>
            <w:r>
              <w:rPr>
                <w:rFonts w:ascii="Arial" w:cs="Arial" w:eastAsia="Arial" w:hAnsi="Arial"/>
                <w:sz w:val="1"/>
                <w:szCs w:val="1"/>
                <w:color w:val="auto"/>
              </w:rPr>
              <w:t>​</w:t>
            </w:r>
          </w:p>
        </w:tc>
        <w:tc>
          <w:tcPr>
            <w:tcW w:w="60" w:type="dxa"/>
            <w:vAlign w:val="bottom"/>
            <w:tcBorders>
              <w:bottom w:val="single" w:sz="8" w:color="CCEEFF"/>
            </w:tcBorders>
            <w:gridSpan w:val="2"/>
            <w:shd w:val="clear" w:color="auto" w:fill="CCEEFF"/>
          </w:tcPr>
          <w:p>
            <w:pPr>
              <w:jc w:val="right"/>
              <w:spacing w:after="0" w:line="7" w:lineRule="exact"/>
              <w:rPr>
                <w:sz w:val="20"/>
                <w:szCs w:val="20"/>
                <w:color w:val="auto"/>
              </w:rPr>
            </w:pPr>
            <w:r>
              <w:rPr>
                <w:rFonts w:ascii="Arial" w:cs="Arial" w:eastAsia="Arial" w:hAnsi="Arial"/>
                <w:sz w:val="1"/>
                <w:szCs w:val="1"/>
                <w:color w:val="auto"/>
              </w:rPr>
              <w:t>​</w:t>
            </w:r>
          </w:p>
        </w:tc>
        <w:tc>
          <w:tcPr>
            <w:tcW w:w="2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right w:val="single" w:sz="8" w:color="0000EE"/>
            </w:tcBorders>
            <w:shd w:val="clear" w:color="auto" w:fill="CCEEFF"/>
          </w:tcPr>
          <w:p>
            <w:pPr>
              <w:spacing w:after="0"/>
              <w:rPr>
                <w:sz w:val="2"/>
                <w:szCs w:val="2"/>
                <w:color w:val="auto"/>
              </w:rPr>
            </w:pPr>
          </w:p>
        </w:tc>
        <w:tc>
          <w:tcPr>
            <w:tcW w:w="40" w:type="dxa"/>
            <w:vAlign w:val="bottom"/>
            <w:tcBorders>
              <w:bottom w:val="single" w:sz="8" w:color="CCEEFF"/>
              <w:right w:val="single" w:sz="8" w:color="0000EE"/>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tcPr>
          <w:p>
            <w:pPr>
              <w:jc w:val="right"/>
              <w:ind w:right="174"/>
              <w:spacing w:after="0" w:line="7" w:lineRule="exact"/>
              <w:rPr>
                <w:sz w:val="20"/>
                <w:szCs w:val="20"/>
                <w:color w:val="auto"/>
              </w:rPr>
            </w:pPr>
            <w:r>
              <w:rPr>
                <w:rFonts w:ascii="Arial" w:cs="Arial" w:eastAsia="Arial" w:hAnsi="Arial"/>
                <w:sz w:val="1"/>
                <w:szCs w:val="1"/>
                <w:color w:val="auto"/>
                <w:w w:val="4294942296"/>
              </w:rPr>
              <w:t>​</w:t>
            </w: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-3171190</wp:posOffset>
            </wp:positionV>
            <wp:extent cx="253746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37460" cy="16319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-2845435</wp:posOffset>
            </wp:positionV>
            <wp:extent cx="253746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7460" cy="30035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-2382520</wp:posOffset>
            </wp:positionV>
            <wp:extent cx="253746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37460" cy="16319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-2056765</wp:posOffset>
            </wp:positionV>
            <wp:extent cx="253746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37460" cy="14541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-1422400</wp:posOffset>
            </wp:positionV>
            <wp:extent cx="253746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37460" cy="12001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-1002665</wp:posOffset>
            </wp:positionV>
            <wp:extent cx="2537460"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37460" cy="30035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-539115</wp:posOffset>
            </wp:positionV>
            <wp:extent cx="253746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3746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 ​ Page ​</w:t>
      </w:r>
    </w:p>
    <w:p>
      <w:pPr>
        <w:spacing w:after="0" w:line="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S-12</w:t>
      </w:r>
      <w:r>
        <w:rPr>
          <w:rFonts w:ascii="Arial" w:cs="Arial" w:eastAsia="Arial" w:hAnsi="Arial"/>
          <w:sz w:val="18"/>
          <w:szCs w:val="18"/>
          <w:color w:val="auto"/>
        </w:rPr>
        <w:t>​</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S-26</w:t>
      </w:r>
      <w:r>
        <w:rPr>
          <w:rFonts w:ascii="Arial" w:cs="Arial" w:eastAsia="Arial" w:hAnsi="Arial"/>
          <w:sz w:val="18"/>
          <w:szCs w:val="18"/>
          <w:color w:val="auto"/>
        </w:rPr>
        <w:t>​</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S-29</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S-35</w:t>
      </w:r>
      <w:r>
        <w:rPr>
          <w:rFonts w:ascii="Arial" w:cs="Arial" w:eastAsia="Arial" w:hAnsi="Arial"/>
          <w:sz w:val="18"/>
          <w:szCs w:val="18"/>
          <w:color w:val="auto"/>
        </w:rPr>
        <w: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S-42</w:t>
      </w:r>
      <w:r>
        <w:rPr>
          <w:rFonts w:ascii="Arial" w:cs="Arial" w:eastAsia="Arial" w:hAnsi="Arial"/>
          <w:sz w:val="18"/>
          <w:szCs w:val="18"/>
          <w:color w:val="auto"/>
        </w:rPr>
        <w: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S-42</w:t>
      </w:r>
      <w:r>
        <w:rPr>
          <w:rFonts w:ascii="Arial" w:cs="Arial" w:eastAsia="Arial" w:hAnsi="Arial"/>
          <w:sz w:val="18"/>
          <w:szCs w:val="18"/>
          <w:color w:val="auto"/>
        </w:rPr>
        <w: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S-42</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17</w:t>
      </w:r>
      <w:r>
        <w:rPr>
          <w:rFonts w:ascii="Arial" w:cs="Arial" w:eastAsia="Arial" w:hAnsi="Arial"/>
          <w:sz w:val="18"/>
          <w:szCs w:val="18"/>
          <w:color w:val="auto"/>
        </w:rPr>
        <w:t>​</w:t>
      </w:r>
    </w:p>
    <w:p>
      <w:pPr>
        <w:spacing w:after="0" w:line="239"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19</w:t>
      </w:r>
      <w:r>
        <w:rPr>
          <w:rFonts w:ascii="Arial" w:cs="Arial" w:eastAsia="Arial" w:hAnsi="Arial"/>
          <w:sz w:val="18"/>
          <w:szCs w:val="18"/>
          <w:color w:val="auto"/>
        </w:rPr>
        <w:t>​</w:t>
      </w:r>
    </w:p>
    <w:p>
      <w:pPr>
        <w:spacing w:after="0" w:line="266"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24</w:t>
      </w:r>
      <w:r>
        <w:rPr>
          <w:rFonts w:ascii="Arial" w:cs="Arial" w:eastAsia="Arial" w:hAnsi="Arial"/>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40</w:t>
      </w:r>
      <w:r>
        <w:rPr>
          <w:rFonts w:ascii="Arial" w:cs="Arial" w:eastAsia="Arial" w:hAnsi="Arial"/>
          <w:sz w:val="18"/>
          <w:szCs w:val="18"/>
          <w:color w:val="auto"/>
        </w:rPr>
        <w:t>​</w:t>
      </w:r>
    </w:p>
    <w:p>
      <w:pPr>
        <w:spacing w:after="0" w:line="59"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42</w:t>
      </w:r>
      <w:r>
        <w:rPr>
          <w:rFonts w:ascii="Arial" w:cs="Arial" w:eastAsia="Arial" w:hAnsi="Arial"/>
          <w:sz w:val="18"/>
          <w:szCs w:val="18"/>
          <w:color w:val="auto"/>
        </w:rPr>
        <w:t>​</w:t>
      </w:r>
    </w:p>
    <w:p>
      <w:pPr>
        <w:spacing w:after="0" w:line="50"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42</w:t>
      </w:r>
      <w:r>
        <w:rPr>
          <w:rFonts w:ascii="Arial" w:cs="Arial" w:eastAsia="Arial" w:hAnsi="Arial"/>
          <w:sz w:val="18"/>
          <w:szCs w:val="18"/>
          <w:color w:val="auto"/>
        </w:rPr>
        <w:t>​</w:t>
      </w:r>
    </w:p>
    <w:p>
      <w:pPr>
        <w:sectPr>
          <w:pgSz w:w="11900" w:h="16838" w:orient="portrait"/>
          <w:cols w:equalWidth="0" w:num="2">
            <w:col w:w="8420" w:space="380"/>
            <w:col w:w="10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80" w:right="839" w:hanging="78"/>
        <w:spacing w:after="0" w:line="287" w:lineRule="auto"/>
        <w:rPr>
          <w:sz w:val="20"/>
          <w:szCs w:val="20"/>
          <w:color w:val="auto"/>
        </w:rPr>
      </w:pPr>
      <w:r>
        <w:rPr>
          <w:rFonts w:ascii="Arial" w:cs="Arial" w:eastAsia="Arial" w:hAnsi="Arial"/>
          <w:sz w:val="28"/>
          <w:szCs w:val="28"/>
          <w:b w:val="1"/>
          <w:bCs w:val="1"/>
          <w:color w:val="auto"/>
        </w:rPr>
        <w:t>Important notice about information in this prospectus supplement and the accompanying base prospectus</w:t>
      </w:r>
    </w:p>
    <w:p>
      <w:pPr>
        <w:spacing w:after="0" w:line="28" w:lineRule="exact"/>
        <w:rPr>
          <w:sz w:val="20"/>
          <w:szCs w:val="20"/>
          <w:color w:val="auto"/>
        </w:rPr>
      </w:pPr>
    </w:p>
    <w:p>
      <w:pPr>
        <w:ind w:left="1260" w:right="559"/>
        <w:spacing w:after="0" w:line="276" w:lineRule="auto"/>
        <w:rPr>
          <w:sz w:val="20"/>
          <w:szCs w:val="20"/>
          <w:color w:val="auto"/>
        </w:rPr>
      </w:pPr>
      <w:r>
        <w:rPr>
          <w:rFonts w:ascii="Arial" w:cs="Arial" w:eastAsia="Arial" w:hAnsi="Arial"/>
          <w:sz w:val="18"/>
          <w:szCs w:val="18"/>
          <w:color w:val="auto"/>
        </w:rPr>
        <w:t>This document is in two parts. The first part is the prospectus supplement, which describes our business and the specific terms of this offering and also adds to and updates information contained in the accompanying base prospectus and the documents incorporated by reference in this prospectus supplement and the accompanying base prospectus. The second part, the accompanying base prospectus, gives more general information and includes disclosures regarding the Notes and additional disclosures that would pertain if at some time in the future we were to offer other series of our debt securities or our common units or preferred units. Accordingly, the accompanying base prospectus may contain information that does not apply to this offering. Generally, when we refer only to the “prospectus,” we are referring to both parts combined.</w:t>
      </w:r>
    </w:p>
    <w:p>
      <w:pPr>
        <w:spacing w:after="0" w:line="112" w:lineRule="exact"/>
        <w:rPr>
          <w:sz w:val="20"/>
          <w:szCs w:val="20"/>
          <w:color w:val="auto"/>
        </w:rPr>
      </w:pPr>
    </w:p>
    <w:p>
      <w:pPr>
        <w:ind w:left="1260" w:right="819"/>
        <w:spacing w:after="0" w:line="303" w:lineRule="auto"/>
        <w:rPr>
          <w:sz w:val="20"/>
          <w:szCs w:val="20"/>
          <w:color w:val="auto"/>
        </w:rPr>
      </w:pPr>
      <w:r>
        <w:rPr>
          <w:rFonts w:ascii="Arial" w:cs="Arial" w:eastAsia="Arial" w:hAnsi="Arial"/>
          <w:sz w:val="18"/>
          <w:szCs w:val="18"/>
          <w:color w:val="auto"/>
        </w:rPr>
        <w:t>If the description of the offering varies between the prospectus supplement and the accompanying base prospectus, you should rely on the information in the prospectus supplement.</w:t>
      </w:r>
    </w:p>
    <w:p>
      <w:pPr>
        <w:spacing w:after="0" w:line="85" w:lineRule="exact"/>
        <w:rPr>
          <w:sz w:val="20"/>
          <w:szCs w:val="20"/>
          <w:color w:val="auto"/>
        </w:rPr>
      </w:pPr>
    </w:p>
    <w:p>
      <w:pPr>
        <w:ind w:left="1260" w:right="439"/>
        <w:spacing w:after="0" w:line="275" w:lineRule="auto"/>
        <w:rPr>
          <w:sz w:val="20"/>
          <w:szCs w:val="20"/>
          <w:color w:val="auto"/>
        </w:rPr>
      </w:pPr>
      <w:r>
        <w:rPr>
          <w:rFonts w:ascii="Arial" w:cs="Arial" w:eastAsia="Arial" w:hAnsi="Arial"/>
          <w:sz w:val="18"/>
          <w:szCs w:val="18"/>
          <w:color w:val="auto"/>
        </w:rPr>
        <w:t>Neither we nor the underwriters have authorized anyone to provide you any information or to make any representations other than those contained or incorporated by reference in this prospectus supplement or the accompanying base prospectus. We take no responsibility for, and can provide no assurance as to the reliability of, any other information that others may give you. Neither we nor the underwriters are making an offer of the Notes in any jurisdiction where the offer is not permitted. Except for information that is specifically tied to a particular date,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12" w:lineRule="exact"/>
        <w:rPr>
          <w:sz w:val="20"/>
          <w:szCs w:val="20"/>
          <w:color w:val="auto"/>
        </w:rPr>
      </w:pPr>
    </w:p>
    <w:p>
      <w:pPr>
        <w:ind w:left="1260" w:right="439"/>
        <w:spacing w:after="0" w:line="283" w:lineRule="auto"/>
        <w:rPr>
          <w:sz w:val="20"/>
          <w:szCs w:val="20"/>
          <w:color w:val="auto"/>
        </w:rPr>
      </w:pPr>
      <w:r>
        <w:rPr>
          <w:rFonts w:ascii="Arial" w:cs="Arial" w:eastAsia="Arial" w:hAnsi="Arial"/>
          <w:sz w:val="18"/>
          <w:szCs w:val="18"/>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104" w:lineRule="exact"/>
        <w:rPr>
          <w:sz w:val="20"/>
          <w:szCs w:val="20"/>
          <w:color w:val="auto"/>
        </w:rPr>
      </w:pPr>
    </w:p>
    <w:p>
      <w:pPr>
        <w:ind w:left="1260" w:right="779"/>
        <w:spacing w:after="0" w:line="292" w:lineRule="auto"/>
        <w:rPr>
          <w:sz w:val="20"/>
          <w:szCs w:val="20"/>
          <w:color w:val="auto"/>
        </w:rPr>
      </w:pPr>
      <w:r>
        <w:rPr>
          <w:rFonts w:ascii="Arial" w:cs="Arial" w:eastAsia="Arial" w:hAnsi="Arial"/>
          <w:sz w:val="18"/>
          <w:szCs w:val="18"/>
          <w:color w:val="auto"/>
        </w:rPr>
        <w:t>This prospectus contains forward-looking statements that are subject to a number of risks and uncertainties, many of which are beyond our control. See “Forward-Looking Statements” and “Risk Factors.”</w:t>
      </w:r>
    </w:p>
    <w:p>
      <w:pPr>
        <w:spacing w:after="0" w:line="95" w:lineRule="exact"/>
        <w:rPr>
          <w:sz w:val="20"/>
          <w:szCs w:val="20"/>
          <w:color w:val="auto"/>
        </w:rPr>
      </w:pPr>
    </w:p>
    <w:p>
      <w:pPr>
        <w:ind w:left="1260" w:right="579"/>
        <w:spacing w:after="0" w:line="275" w:lineRule="auto"/>
        <w:rPr>
          <w:sz w:val="20"/>
          <w:szCs w:val="20"/>
          <w:color w:val="auto"/>
        </w:rPr>
      </w:pPr>
      <w:r>
        <w:rPr>
          <w:rFonts w:ascii="Arial" w:cs="Arial" w:eastAsia="Arial" w:hAnsi="Arial"/>
          <w:sz w:val="18"/>
          <w:szCs w:val="18"/>
          <w:color w:val="auto"/>
        </w:rPr>
        <w:t>We expect delivery of the Notes will be made against payment therefor on or about               , 2025, which is the second business day following the date of pricing of the Notes (such settlement being referred to as “T+2”). Under Rule 15c6-1 of the Securities Exchange Act of 1934, as amended (the “Exchange Act”),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T+2, to specify an alternate settlement cycle at the time of any such trade to prevent failed settlement and should consult their own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20"/>
        <w:spacing w:after="0"/>
        <w:rPr>
          <w:sz w:val="20"/>
          <w:szCs w:val="20"/>
          <w:color w:val="auto"/>
        </w:rPr>
      </w:pPr>
      <w:r>
        <w:rPr>
          <w:rFonts w:ascii="Arial" w:cs="Arial" w:eastAsia="Arial" w:hAnsi="Arial"/>
          <w:sz w:val="29"/>
          <w:szCs w:val="29"/>
          <w:b w:val="1"/>
          <w:bCs w:val="1"/>
          <w:color w:val="auto"/>
        </w:rPr>
        <w:t>Forward-looking statements</w:t>
      </w:r>
    </w:p>
    <w:p>
      <w:pPr>
        <w:spacing w:after="0" w:line="154" w:lineRule="exact"/>
        <w:rPr>
          <w:sz w:val="20"/>
          <w:szCs w:val="20"/>
          <w:color w:val="auto"/>
        </w:rPr>
      </w:pPr>
    </w:p>
    <w:p>
      <w:pPr>
        <w:ind w:left="1260" w:right="499"/>
        <w:spacing w:after="0" w:line="264" w:lineRule="auto"/>
        <w:rPr>
          <w:sz w:val="20"/>
          <w:szCs w:val="20"/>
          <w:color w:val="auto"/>
        </w:rPr>
      </w:pPr>
      <w:r>
        <w:rPr>
          <w:rFonts w:ascii="Arial" w:cs="Arial" w:eastAsia="Arial" w:hAnsi="Arial"/>
          <w:sz w:val="18"/>
          <w:szCs w:val="18"/>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86" w:lineRule="exact"/>
        <w:rPr>
          <w:sz w:val="20"/>
          <w:szCs w:val="20"/>
          <w:color w:val="auto"/>
        </w:rPr>
      </w:pPr>
    </w:p>
    <w:p>
      <w:pPr>
        <w:ind w:left="1400" w:right="619" w:hanging="140"/>
        <w:spacing w:after="0" w:line="279" w:lineRule="auto"/>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68" w:lineRule="exact"/>
        <w:rPr>
          <w:rFonts w:ascii="Arial" w:cs="Arial" w:eastAsia="Arial" w:hAnsi="Arial"/>
          <w:sz w:val="18"/>
          <w:szCs w:val="18"/>
          <w:color w:val="auto"/>
        </w:rPr>
      </w:pPr>
    </w:p>
    <w:p>
      <w:pPr>
        <w:ind w:left="1400" w:right="439" w:hanging="140"/>
        <w:spacing w:after="0" w:line="276" w:lineRule="auto"/>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71" w:lineRule="exact"/>
        <w:rPr>
          <w:rFonts w:ascii="Arial" w:cs="Arial" w:eastAsia="Arial" w:hAnsi="Arial"/>
          <w:sz w:val="18"/>
          <w:szCs w:val="18"/>
          <w:color w:val="auto"/>
        </w:rPr>
      </w:pPr>
    </w:p>
    <w:p>
      <w:pPr>
        <w:ind w:left="1400" w:right="419" w:hanging="140"/>
        <w:spacing w:after="0" w:line="303" w:lineRule="auto"/>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44" w:lineRule="exact"/>
        <w:rPr>
          <w:rFonts w:ascii="Arial" w:cs="Arial" w:eastAsia="Arial" w:hAnsi="Arial"/>
          <w:sz w:val="18"/>
          <w:szCs w:val="18"/>
          <w:color w:val="auto"/>
        </w:rPr>
      </w:pPr>
    </w:p>
    <w:p>
      <w:pPr>
        <w:ind w:left="1400" w:right="419" w:hanging="140"/>
        <w:spacing w:after="0" w:line="318" w:lineRule="auto"/>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31" w:lineRule="exact"/>
        <w:rPr>
          <w:rFonts w:ascii="Arial" w:cs="Arial" w:eastAsia="Arial" w:hAnsi="Arial"/>
          <w:sz w:val="18"/>
          <w:szCs w:val="18"/>
          <w:color w:val="auto"/>
        </w:rPr>
      </w:pPr>
    </w:p>
    <w:p>
      <w:pPr>
        <w:ind w:left="1400" w:right="659" w:hanging="140"/>
        <w:spacing w:after="0" w:line="283" w:lineRule="auto"/>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63" w:lineRule="exact"/>
        <w:rPr>
          <w:rFonts w:ascii="Arial" w:cs="Arial" w:eastAsia="Arial" w:hAnsi="Arial"/>
          <w:sz w:val="18"/>
          <w:szCs w:val="18"/>
          <w:color w:val="auto"/>
        </w:rPr>
      </w:pPr>
    </w:p>
    <w:p>
      <w:pPr>
        <w:ind w:left="1400" w:right="439" w:hanging="140"/>
        <w:spacing w:after="0" w:line="283" w:lineRule="auto"/>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 including the various transactions described below under “Prospectus Supplement Summary—Recent Developments”;</w:t>
      </w:r>
    </w:p>
    <w:p>
      <w:pPr>
        <w:spacing w:after="0" w:line="63" w:lineRule="exact"/>
        <w:rPr>
          <w:rFonts w:ascii="Arial" w:cs="Arial" w:eastAsia="Arial" w:hAnsi="Arial"/>
          <w:sz w:val="18"/>
          <w:szCs w:val="18"/>
          <w:color w:val="auto"/>
        </w:rPr>
      </w:pPr>
    </w:p>
    <w:p>
      <w:pPr>
        <w:jc w:val="both"/>
        <w:ind w:left="1400" w:right="699" w:hanging="140"/>
        <w:spacing w:after="0" w:line="292" w:lineRule="auto"/>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acquisitions, divestitures, joint ventures or other strategic opportunities and realize benefits therefrom, including the various transactions described below under “Prospectus Supplement Summary—Recent Developments”;</w:t>
      </w:r>
    </w:p>
    <w:p>
      <w:pPr>
        <w:spacing w:after="0" w:line="54" w:lineRule="exact"/>
        <w:rPr>
          <w:rFonts w:ascii="Arial" w:cs="Arial" w:eastAsia="Arial" w:hAnsi="Arial"/>
          <w:sz w:val="18"/>
          <w:szCs w:val="18"/>
          <w:color w:val="auto"/>
        </w:rPr>
      </w:pPr>
    </w:p>
    <w:p>
      <w:pPr>
        <w:ind w:left="1400" w:right="679" w:hanging="140"/>
        <w:spacing w:after="0" w:line="292" w:lineRule="auto"/>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36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400" w:right="559" w:hanging="140"/>
        <w:spacing w:after="0" w:line="318"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litigation or other events that are not covered by an indemnity, insurance or existing reserves;</w:t>
      </w:r>
    </w:p>
    <w:p>
      <w:pPr>
        <w:spacing w:after="0" w:line="18" w:lineRule="exact"/>
        <w:rPr>
          <w:rFonts w:ascii="Arial" w:cs="Arial" w:eastAsia="Arial" w:hAnsi="Arial"/>
          <w:sz w:val="18"/>
          <w:szCs w:val="18"/>
          <w:color w:val="auto"/>
        </w:rPr>
      </w:pPr>
    </w:p>
    <w:p>
      <w:pPr>
        <w:ind w:left="1400" w:right="659" w:hanging="140"/>
        <w:spacing w:after="0" w:line="292"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54" w:lineRule="exact"/>
        <w:rPr>
          <w:rFonts w:ascii="Arial" w:cs="Arial" w:eastAsia="Arial" w:hAnsi="Arial"/>
          <w:sz w:val="18"/>
          <w:szCs w:val="18"/>
          <w:color w:val="auto"/>
        </w:rPr>
      </w:pPr>
    </w:p>
    <w:p>
      <w:pPr>
        <w:ind w:left="1400" w:right="1099" w:hanging="140"/>
        <w:spacing w:after="0" w:line="303"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 (including wildfires and drought);</w:t>
      </w:r>
    </w:p>
    <w:p>
      <w:pPr>
        <w:spacing w:after="0" w:line="30" w:lineRule="exact"/>
        <w:rPr>
          <w:rFonts w:ascii="Arial" w:cs="Arial" w:eastAsia="Arial" w:hAnsi="Arial"/>
          <w:sz w:val="18"/>
          <w:szCs w:val="18"/>
          <w:color w:val="auto"/>
        </w:rPr>
      </w:pPr>
    </w:p>
    <w:p>
      <w:pPr>
        <w:ind w:left="1400" w:right="439" w:hanging="140"/>
        <w:spacing w:after="0" w:line="283"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and future laws, rulings, legislation, governmental regulations, executive orders, trade policies,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w:t>
      </w:r>
    </w:p>
    <w:p>
      <w:pPr>
        <w:spacing w:after="0" w:line="48" w:lineRule="exact"/>
        <w:rPr>
          <w:rFonts w:ascii="Arial" w:cs="Arial" w:eastAsia="Arial" w:hAnsi="Arial"/>
          <w:sz w:val="18"/>
          <w:szCs w:val="18"/>
          <w:color w:val="auto"/>
        </w:rPr>
      </w:pPr>
    </w:p>
    <w:p>
      <w:pPr>
        <w:ind w:left="1400" w:right="659" w:hanging="140"/>
        <w:spacing w:after="0" w:line="292"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41" w:lineRule="exact"/>
        <w:rPr>
          <w:rFonts w:ascii="Arial" w:cs="Arial" w:eastAsia="Arial" w:hAnsi="Arial"/>
          <w:sz w:val="18"/>
          <w:szCs w:val="18"/>
          <w:color w:val="auto"/>
        </w:rPr>
      </w:pPr>
    </w:p>
    <w:p>
      <w:pPr>
        <w:ind w:left="1400" w:right="679" w:hanging="140"/>
        <w:spacing w:after="0" w:line="318"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of development of natural gas or other infrastructure and its impact on expected crude oil production growth in the Permian Basin;</w:t>
      </w:r>
    </w:p>
    <w:p>
      <w:pPr>
        <w:spacing w:after="0" w:line="18" w:lineRule="exact"/>
        <w:rPr>
          <w:rFonts w:ascii="Arial" w:cs="Arial" w:eastAsia="Arial" w:hAnsi="Arial"/>
          <w:sz w:val="18"/>
          <w:szCs w:val="18"/>
          <w:color w:val="auto"/>
        </w:rPr>
      </w:pPr>
    </w:p>
    <w:p>
      <w:pPr>
        <w:ind w:left="1400" w:hanging="140"/>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key personnel and inability to attract and retain new talent;</w:t>
      </w:r>
    </w:p>
    <w:p>
      <w:pPr>
        <w:spacing w:after="0" w:line="130" w:lineRule="exact"/>
        <w:rPr>
          <w:rFonts w:ascii="Arial" w:cs="Arial" w:eastAsia="Arial" w:hAnsi="Arial"/>
          <w:sz w:val="18"/>
          <w:szCs w:val="18"/>
          <w:color w:val="auto"/>
        </w:rPr>
      </w:pPr>
    </w:p>
    <w:p>
      <w:pPr>
        <w:ind w:left="1400" w:right="459" w:hanging="140"/>
        <w:spacing w:after="0" w:line="303"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44" w:lineRule="exact"/>
        <w:rPr>
          <w:rFonts w:ascii="Arial" w:cs="Arial" w:eastAsia="Arial" w:hAnsi="Arial"/>
          <w:sz w:val="18"/>
          <w:szCs w:val="18"/>
          <w:color w:val="auto"/>
        </w:rPr>
      </w:pPr>
    </w:p>
    <w:p>
      <w:pPr>
        <w:ind w:left="1400" w:hanging="140"/>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1400" w:hanging="140"/>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30" w:lineRule="exact"/>
        <w:rPr>
          <w:rFonts w:ascii="Arial" w:cs="Arial" w:eastAsia="Arial" w:hAnsi="Arial"/>
          <w:sz w:val="18"/>
          <w:szCs w:val="18"/>
          <w:color w:val="auto"/>
        </w:rPr>
      </w:pPr>
    </w:p>
    <w:p>
      <w:pPr>
        <w:ind w:left="1400" w:right="919" w:hanging="140"/>
        <w:spacing w:after="0" w:line="303"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ratings and ability to receive open credit from our suppliers and trade counterparties;</w:t>
      </w:r>
    </w:p>
    <w:p>
      <w:pPr>
        <w:spacing w:after="0" w:line="44" w:lineRule="exact"/>
        <w:rPr>
          <w:rFonts w:ascii="Arial" w:cs="Arial" w:eastAsia="Arial" w:hAnsi="Arial"/>
          <w:sz w:val="18"/>
          <w:szCs w:val="18"/>
          <w:color w:val="auto"/>
        </w:rPr>
      </w:pPr>
    </w:p>
    <w:p>
      <w:pPr>
        <w:ind w:left="1400" w:right="459" w:hanging="140"/>
        <w:spacing w:after="0" w:line="276"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0" w:lineRule="exact"/>
        <w:rPr>
          <w:rFonts w:ascii="Arial" w:cs="Arial" w:eastAsia="Arial" w:hAnsi="Arial"/>
          <w:sz w:val="18"/>
          <w:szCs w:val="18"/>
          <w:color w:val="auto"/>
        </w:rPr>
      </w:pPr>
    </w:p>
    <w:p>
      <w:pPr>
        <w:ind w:left="1400" w:right="519" w:hanging="140"/>
        <w:spacing w:after="0" w:line="283"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49" w:lineRule="exact"/>
        <w:rPr>
          <w:rFonts w:ascii="Arial" w:cs="Arial" w:eastAsia="Arial" w:hAnsi="Arial"/>
          <w:sz w:val="18"/>
          <w:szCs w:val="18"/>
          <w:color w:val="auto"/>
        </w:rPr>
      </w:pPr>
    </w:p>
    <w:p>
      <w:pPr>
        <w:ind w:left="1400" w:right="759" w:hanging="140"/>
        <w:spacing w:after="0" w:line="318"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of costs and expenses related to unexpected or unplanned capital or maintenance expenditures, third-party claims or other factors;</w:t>
      </w:r>
    </w:p>
    <w:p>
      <w:pPr>
        <w:spacing w:after="0" w:line="18" w:lineRule="exact"/>
        <w:rPr>
          <w:rFonts w:ascii="Arial" w:cs="Arial" w:eastAsia="Arial" w:hAnsi="Arial"/>
          <w:sz w:val="18"/>
          <w:szCs w:val="18"/>
          <w:color w:val="auto"/>
        </w:rPr>
      </w:pPr>
    </w:p>
    <w:p>
      <w:pPr>
        <w:ind w:left="1400" w:right="819" w:hanging="140"/>
        <w:spacing w:after="0" w:line="303"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44" w:lineRule="exact"/>
        <w:rPr>
          <w:rFonts w:ascii="Arial" w:cs="Arial" w:eastAsia="Arial" w:hAnsi="Arial"/>
          <w:sz w:val="18"/>
          <w:szCs w:val="18"/>
          <w:color w:val="auto"/>
        </w:rPr>
      </w:pPr>
    </w:p>
    <w:p>
      <w:pPr>
        <w:ind w:left="1400" w:right="539" w:hanging="140"/>
        <w:spacing w:after="0" w:line="292"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41" w:lineRule="exact"/>
        <w:rPr>
          <w:rFonts w:ascii="Arial" w:cs="Arial" w:eastAsia="Arial" w:hAnsi="Arial"/>
          <w:sz w:val="18"/>
          <w:szCs w:val="18"/>
          <w:color w:val="auto"/>
        </w:rPr>
      </w:pPr>
    </w:p>
    <w:p>
      <w:pPr>
        <w:ind w:left="1400" w:right="839" w:hanging="140"/>
        <w:spacing w:after="0" w:line="303"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or closed financial markets, capital constraints, liquidity concerns and inflation;</w:t>
      </w: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400" w:right="819" w:hanging="140"/>
        <w:spacing w:after="0" w:line="318" w:lineRule="auto"/>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31" w:lineRule="exact"/>
        <w:rPr>
          <w:rFonts w:ascii="Arial" w:cs="Arial" w:eastAsia="Arial" w:hAnsi="Arial"/>
          <w:sz w:val="18"/>
          <w:szCs w:val="18"/>
          <w:color w:val="auto"/>
        </w:rPr>
      </w:pPr>
    </w:p>
    <w:p>
      <w:pPr>
        <w:ind w:left="1400" w:hanging="140"/>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30" w:lineRule="exact"/>
        <w:rPr>
          <w:rFonts w:ascii="Arial" w:cs="Arial" w:eastAsia="Arial" w:hAnsi="Arial"/>
          <w:sz w:val="18"/>
          <w:szCs w:val="18"/>
          <w:color w:val="auto"/>
        </w:rPr>
      </w:pPr>
    </w:p>
    <w:p>
      <w:pPr>
        <w:ind w:left="1400" w:right="419" w:hanging="140"/>
        <w:spacing w:after="0" w:line="292" w:lineRule="auto"/>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54" w:lineRule="exact"/>
        <w:rPr>
          <w:rFonts w:ascii="Arial" w:cs="Arial" w:eastAsia="Arial" w:hAnsi="Arial"/>
          <w:sz w:val="18"/>
          <w:szCs w:val="18"/>
          <w:color w:val="auto"/>
        </w:rPr>
      </w:pPr>
    </w:p>
    <w:p>
      <w:pPr>
        <w:ind w:left="1400" w:hanging="140"/>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44" w:lineRule="exact"/>
        <w:rPr>
          <w:rFonts w:ascii="Arial" w:cs="Arial" w:eastAsia="Arial" w:hAnsi="Arial"/>
          <w:sz w:val="18"/>
          <w:szCs w:val="18"/>
          <w:color w:val="auto"/>
        </w:rPr>
      </w:pPr>
    </w:p>
    <w:p>
      <w:pPr>
        <w:ind w:left="1400" w:hanging="140"/>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30" w:lineRule="exact"/>
        <w:rPr>
          <w:rFonts w:ascii="Arial" w:cs="Arial" w:eastAsia="Arial" w:hAnsi="Arial"/>
          <w:sz w:val="18"/>
          <w:szCs w:val="18"/>
          <w:color w:val="auto"/>
        </w:rPr>
      </w:pPr>
    </w:p>
    <w:p>
      <w:pPr>
        <w:ind w:left="1400" w:right="899" w:hanging="140"/>
        <w:spacing w:after="0" w:line="303" w:lineRule="auto"/>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57" w:lineRule="exact"/>
        <w:rPr>
          <w:rFonts w:ascii="Arial" w:cs="Arial" w:eastAsia="Arial" w:hAnsi="Arial"/>
          <w:sz w:val="18"/>
          <w:szCs w:val="18"/>
          <w:color w:val="auto"/>
        </w:rPr>
      </w:pPr>
    </w:p>
    <w:p>
      <w:pPr>
        <w:ind w:left="1400" w:hanging="140"/>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pacing w:after="0" w:line="130" w:lineRule="exact"/>
        <w:rPr>
          <w:rFonts w:ascii="Arial" w:cs="Arial" w:eastAsia="Arial" w:hAnsi="Arial"/>
          <w:sz w:val="18"/>
          <w:szCs w:val="18"/>
          <w:color w:val="auto"/>
        </w:rPr>
      </w:pPr>
    </w:p>
    <w:p>
      <w:pPr>
        <w:jc w:val="both"/>
        <w:ind w:left="1400" w:right="599" w:hanging="140"/>
        <w:spacing w:after="0" w:line="303" w:lineRule="auto"/>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85" w:lineRule="exact"/>
        <w:rPr>
          <w:sz w:val="20"/>
          <w:szCs w:val="20"/>
          <w:color w:val="auto"/>
        </w:rPr>
      </w:pPr>
    </w:p>
    <w:p>
      <w:pPr>
        <w:ind w:left="1260" w:right="419"/>
        <w:spacing w:after="0" w:line="278" w:lineRule="auto"/>
        <w:rPr>
          <w:rFonts w:ascii="Arial" w:cs="Arial" w:eastAsia="Arial" w:hAnsi="Arial"/>
          <w:sz w:val="18"/>
          <w:szCs w:val="18"/>
          <w:color w:val="0000EE"/>
        </w:rPr>
      </w:pPr>
      <w:r>
        <w:rPr>
          <w:rFonts w:ascii="Arial" w:cs="Arial" w:eastAsia="Arial" w:hAnsi="Arial"/>
          <w:sz w:val="18"/>
          <w:szCs w:val="18"/>
          <w:color w:val="auto"/>
        </w:rPr>
        <w:t xml:space="preserve">Other factors described or incorporated by reference herein, as well as factors that are unknown or unpredictable, could also have a material adverse effect on future results. See “Risk Factors” beginning </w:t>
      </w:r>
      <w:hyperlink r:id="rId26">
        <w:r>
          <w:rPr>
            <w:rFonts w:ascii="Arial" w:cs="Arial" w:eastAsia="Arial" w:hAnsi="Arial"/>
            <w:sz w:val="18"/>
            <w:szCs w:val="18"/>
            <w:color w:val="auto"/>
          </w:rPr>
          <w:t xml:space="preserve">on page </w:t>
        </w:r>
        <w:r>
          <w:rPr>
            <w:rFonts w:ascii="Arial" w:cs="Arial" w:eastAsia="Arial" w:hAnsi="Arial"/>
            <w:sz w:val="18"/>
            <w:szCs w:val="18"/>
            <w:u w:val="single" w:color="auto"/>
            <w:color w:val="0000EE"/>
          </w:rPr>
          <w:t>S-6</w:t>
        </w:r>
        <w:r>
          <w:rPr>
            <w:rFonts w:ascii="Arial" w:cs="Arial" w:eastAsia="Arial" w:hAnsi="Arial"/>
            <w:sz w:val="18"/>
            <w:szCs w:val="18"/>
            <w:color w:val="auto"/>
          </w:rPr>
          <w:t xml:space="preserve"> of this prospectus supplement and in Item 1A. “Risk Factors” in our </w:t>
        </w:r>
        <w:r>
          <w:rPr>
            <w:rFonts w:ascii="Arial" w:cs="Arial" w:eastAsia="Arial" w:hAnsi="Arial"/>
            <w:sz w:val="18"/>
            <w:szCs w:val="18"/>
            <w:u w:val="single" w:color="auto"/>
            <w:color w:val="0000EE"/>
          </w:rPr>
          <w:t>Annual Report on</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Form 10-K for the fiscal year ended December 31, 2023 (File No. 001-14569)</w:t>
        </w:r>
        <w:r>
          <w:rPr>
            <w:rFonts w:ascii="Arial" w:cs="Arial" w:eastAsia="Arial" w:hAnsi="Arial"/>
            <w:sz w:val="18"/>
            <w:szCs w:val="18"/>
            <w:color w:val="0000EE"/>
          </w:rPr>
          <w:t xml:space="preserve"> </w:t>
        </w:r>
        <w:r>
          <w:rPr>
            <w:rFonts w:ascii="Arial" w:cs="Arial" w:eastAsia="Arial" w:hAnsi="Arial"/>
            <w:sz w:val="18"/>
            <w:szCs w:val="18"/>
            <w:color w:val="000000"/>
          </w:rPr>
          <w:t>and in any of our</w:t>
        </w:r>
      </w:hyperlink>
      <w:r>
        <w:rPr>
          <w:rFonts w:ascii="Arial" w:cs="Arial" w:eastAsia="Arial" w:hAnsi="Arial"/>
          <w:sz w:val="18"/>
          <w:szCs w:val="18"/>
          <w:color w:val="0000EE"/>
        </w:rPr>
        <w:t xml:space="preserve"> </w:t>
      </w:r>
      <w:r>
        <w:rPr>
          <w:rFonts w:ascii="Arial" w:cs="Arial" w:eastAsia="Arial" w:hAnsi="Arial"/>
          <w:sz w:val="18"/>
          <w:szCs w:val="18"/>
          <w:color w:val="000000"/>
        </w:rPr>
        <w:t>subsequent quarterly or current reports, which are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280"/>
        <w:spacing w:after="0"/>
        <w:rPr>
          <w:sz w:val="20"/>
          <w:szCs w:val="20"/>
          <w:color w:val="auto"/>
        </w:rPr>
      </w:pPr>
      <w:r>
        <w:rPr>
          <w:rFonts w:ascii="Arial" w:cs="Arial" w:eastAsia="Arial" w:hAnsi="Arial"/>
          <w:sz w:val="29"/>
          <w:szCs w:val="29"/>
          <w:b w:val="1"/>
          <w:bCs w:val="1"/>
          <w:color w:val="auto"/>
        </w:rPr>
        <w:t>Prospectus supplement summary</w:t>
      </w:r>
    </w:p>
    <w:p>
      <w:pPr>
        <w:spacing w:after="0" w:line="156" w:lineRule="exact"/>
        <w:rPr>
          <w:sz w:val="20"/>
          <w:szCs w:val="20"/>
          <w:color w:val="auto"/>
        </w:rPr>
      </w:pPr>
    </w:p>
    <w:p>
      <w:pPr>
        <w:ind w:left="1280" w:right="419"/>
        <w:spacing w:after="0" w:line="264" w:lineRule="auto"/>
        <w:rPr>
          <w:rFonts w:ascii="Arial" w:cs="Arial" w:eastAsia="Arial" w:hAnsi="Arial"/>
          <w:sz w:val="18"/>
          <w:szCs w:val="18"/>
          <w:i w:val="1"/>
          <w:iCs w:val="1"/>
          <w:color w:val="0000EE"/>
        </w:rPr>
      </w:pPr>
      <w:r>
        <w:rPr>
          <w:rFonts w:ascii="Arial" w:cs="Arial" w:eastAsia="Arial" w:hAnsi="Arial"/>
          <w:sz w:val="18"/>
          <w:szCs w:val="18"/>
          <w:i w:val="1"/>
          <w:iCs w:val="1"/>
          <w:color w:val="auto"/>
        </w:rPr>
        <w:t xml:space="preserve">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See “Risk Factors” beginning on page </w:t>
      </w:r>
      <w:r>
        <w:rPr>
          <w:rFonts w:ascii="Arial" w:cs="Arial" w:eastAsia="Arial" w:hAnsi="Arial"/>
          <w:sz w:val="18"/>
          <w:szCs w:val="18"/>
          <w:i w:val="1"/>
          <w:iCs w:val="1"/>
          <w:u w:val="single" w:color="auto"/>
          <w:color w:val="0000EE"/>
        </w:rPr>
        <w:t>S-6</w:t>
      </w:r>
      <w:r>
        <w:rPr>
          <w:rFonts w:ascii="Arial" w:cs="Arial" w:eastAsia="Arial" w:hAnsi="Arial"/>
          <w:sz w:val="18"/>
          <w:szCs w:val="18"/>
          <w:i w:val="1"/>
          <w:iCs w:val="1"/>
          <w:color w:val="auto"/>
        </w:rPr>
        <w:t xml:space="preserve"> of this prospectus </w:t>
      </w:r>
      <w:hyperlink r:id="rId26">
        <w:r>
          <w:rPr>
            <w:rFonts w:ascii="Arial" w:cs="Arial" w:eastAsia="Arial" w:hAnsi="Arial"/>
            <w:sz w:val="18"/>
            <w:szCs w:val="18"/>
            <w:i w:val="1"/>
            <w:iCs w:val="1"/>
            <w:color w:val="auto"/>
          </w:rPr>
          <w:t xml:space="preserve">supplement and in our </w:t>
        </w:r>
        <w:r>
          <w:rPr>
            <w:rFonts w:ascii="Arial" w:cs="Arial" w:eastAsia="Arial" w:hAnsi="Arial"/>
            <w:sz w:val="18"/>
            <w:szCs w:val="18"/>
            <w:i w:val="1"/>
            <w:iCs w:val="1"/>
            <w:u w:val="single" w:color="auto"/>
            <w:color w:val="0000EE"/>
          </w:rPr>
          <w:t>Annual Report on Form 10-K for the fiscal year ended December 31, 2023 (File</w:t>
        </w:r>
      </w:hyperlink>
      <w:r>
        <w:rPr>
          <w:rFonts w:ascii="Arial" w:cs="Arial" w:eastAsia="Arial" w:hAnsi="Arial"/>
          <w:sz w:val="18"/>
          <w:szCs w:val="18"/>
          <w:i w:val="1"/>
          <w:iCs w:val="1"/>
          <w:color w:val="auto"/>
        </w:rPr>
        <w:t xml:space="preserve"> </w:t>
      </w:r>
      <w:hyperlink r:id="rId26">
        <w:r>
          <w:rPr>
            <w:rFonts w:ascii="Arial" w:cs="Arial" w:eastAsia="Arial" w:hAnsi="Arial"/>
            <w:sz w:val="18"/>
            <w:szCs w:val="18"/>
            <w:i w:val="1"/>
            <w:iCs w:val="1"/>
            <w:u w:val="single" w:color="auto"/>
            <w:color w:val="0000EE"/>
          </w:rPr>
          <w:t>No. 001-14569)</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and in any of our subsequent quarterly or current reports, which are incorporated in</w:t>
        </w:r>
      </w:hyperlink>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this prospectus supplement by reference, for information regarding risks you should consider before making a decision to purchase any Notes in this offering.</w:t>
      </w:r>
    </w:p>
    <w:p>
      <w:pPr>
        <w:spacing w:after="0" w:line="113" w:lineRule="exact"/>
        <w:rPr>
          <w:sz w:val="20"/>
          <w:szCs w:val="20"/>
          <w:color w:val="auto"/>
        </w:rPr>
      </w:pPr>
    </w:p>
    <w:p>
      <w:pPr>
        <w:ind w:left="1280" w:right="539"/>
        <w:spacing w:after="0" w:line="266" w:lineRule="auto"/>
        <w:rPr>
          <w:sz w:val="20"/>
          <w:szCs w:val="20"/>
          <w:color w:val="auto"/>
        </w:rPr>
      </w:pPr>
      <w:r>
        <w:rPr>
          <w:rFonts w:ascii="Arial" w:cs="Arial" w:eastAsia="Arial" w:hAnsi="Arial"/>
          <w:sz w:val="18"/>
          <w:szCs w:val="18"/>
          <w:i w:val="1"/>
          <w:iCs w:val="1"/>
          <w:color w:val="auto"/>
        </w:rPr>
        <w:t>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 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Plains All American Pipeline, L.P.</w:t>
      </w:r>
    </w:p>
    <w:p>
      <w:pPr>
        <w:spacing w:after="0" w:line="135" w:lineRule="exact"/>
        <w:rPr>
          <w:sz w:val="20"/>
          <w:szCs w:val="20"/>
          <w:color w:val="auto"/>
        </w:rPr>
      </w:pPr>
    </w:p>
    <w:p>
      <w:pPr>
        <w:ind w:left="1280" w:right="519"/>
        <w:spacing w:after="0" w:line="266" w:lineRule="auto"/>
        <w:rPr>
          <w:sz w:val="20"/>
          <w:szCs w:val="20"/>
          <w:color w:val="auto"/>
        </w:rPr>
      </w:pPr>
      <w:r>
        <w:rPr>
          <w:rFonts w:ascii="Arial" w:cs="Arial" w:eastAsia="Arial" w:hAnsi="Arial"/>
          <w:sz w:val="18"/>
          <w:szCs w:val="18"/>
          <w:color w:val="auto"/>
        </w:rPr>
        <w:t>We are a publicly traded Delaware limited partnership. 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 and conducted through two operating segments: Crude Oil and NGL.</w:t>
      </w:r>
    </w:p>
    <w:p>
      <w:pPr>
        <w:spacing w:after="0" w:line="167" w:lineRule="exact"/>
        <w:rPr>
          <w:sz w:val="20"/>
          <w:szCs w:val="20"/>
          <w:color w:val="auto"/>
        </w:rPr>
      </w:pPr>
    </w:p>
    <w:p>
      <w:pPr>
        <w:jc w:val="center"/>
        <w:ind w:right="4039"/>
        <w:spacing w:after="0"/>
        <w:rPr>
          <w:sz w:val="20"/>
          <w:szCs w:val="20"/>
          <w:color w:val="auto"/>
        </w:rPr>
      </w:pPr>
      <w:r>
        <w:rPr>
          <w:rFonts w:ascii="Arial" w:cs="Arial" w:eastAsia="Arial" w:hAnsi="Arial"/>
          <w:sz w:val="22"/>
          <w:szCs w:val="22"/>
          <w:b w:val="1"/>
          <w:bCs w:val="1"/>
          <w:color w:val="auto"/>
        </w:rPr>
        <w:t>Recent developments</w:t>
      </w:r>
    </w:p>
    <w:p>
      <w:pPr>
        <w:spacing w:after="0" w:line="204"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Bolt-on acquisitions</w:t>
      </w:r>
    </w:p>
    <w:p>
      <w:pPr>
        <w:spacing w:after="0" w:line="142" w:lineRule="exact"/>
        <w:rPr>
          <w:sz w:val="20"/>
          <w:szCs w:val="20"/>
          <w:color w:val="auto"/>
        </w:rPr>
      </w:pPr>
    </w:p>
    <w:p>
      <w:pPr>
        <w:ind w:left="1280" w:right="499"/>
        <w:spacing w:after="0" w:line="267" w:lineRule="auto"/>
        <w:rPr>
          <w:sz w:val="20"/>
          <w:szCs w:val="20"/>
          <w:color w:val="auto"/>
        </w:rPr>
      </w:pPr>
      <w:r>
        <w:rPr>
          <w:rFonts w:ascii="Arial" w:cs="Arial" w:eastAsia="Arial" w:hAnsi="Arial"/>
          <w:sz w:val="18"/>
          <w:szCs w:val="18"/>
          <w:color w:val="auto"/>
        </w:rPr>
        <w:t>On December 23, 2024, our subsidiary, Plains Pipeline L.P. (“PPLP”), acquired the remaining 50% interest in Midway Pipeline LLC (“Midway”) from a subsidiary of CVR Energy, Inc. (“CVR”) for a purchase price of approximately $90 million (the “Midway Acquisition”). As a result of the Midway Acquisition, PPLP now owns a 100% interest in Midway. In connection with the closing of the Midway Acquisition, another subsidiary of CVR entered into a long-term Pipeline Commitment Agreement with Midway and extended the term of an existing Terminalling Agreement with another of our subsidiaries, Plains Marketing, L.P.</w:t>
      </w:r>
    </w:p>
    <w:p>
      <w:pPr>
        <w:spacing w:after="0" w:line="103" w:lineRule="exact"/>
        <w:rPr>
          <w:sz w:val="20"/>
          <w:szCs w:val="20"/>
          <w:color w:val="auto"/>
        </w:rPr>
      </w:pPr>
    </w:p>
    <w:p>
      <w:pPr>
        <w:ind w:left="1280" w:right="419"/>
        <w:spacing w:after="0" w:line="273" w:lineRule="auto"/>
        <w:rPr>
          <w:sz w:val="20"/>
          <w:szCs w:val="20"/>
          <w:color w:val="auto"/>
        </w:rPr>
      </w:pPr>
      <w:r>
        <w:rPr>
          <w:rFonts w:ascii="Arial" w:cs="Arial" w:eastAsia="Arial" w:hAnsi="Arial"/>
          <w:sz w:val="18"/>
          <w:szCs w:val="18"/>
          <w:color w:val="auto"/>
        </w:rPr>
        <w:t>Effective January 1, 2025, a subsidiary of Plains Oryx Permian Basin LLC (the “Permian JV”), our subsidiary, acquired Medallion Midstream’s Delaware Basin crude oil gathering business from The Energy &amp; Minerals Group for approximately $160 million ($105 million net to our interest in the Permian JV) (the “Medallion Acquisition”).</w:t>
      </w:r>
    </w:p>
    <w:p>
      <w:pPr>
        <w:spacing w:after="0" w:line="111" w:lineRule="exact"/>
        <w:rPr>
          <w:sz w:val="20"/>
          <w:szCs w:val="20"/>
          <w:color w:val="auto"/>
        </w:rPr>
      </w:pPr>
    </w:p>
    <w:p>
      <w:pPr>
        <w:ind w:left="1280" w:right="799"/>
        <w:spacing w:after="0" w:line="300" w:lineRule="auto"/>
        <w:rPr>
          <w:sz w:val="20"/>
          <w:szCs w:val="20"/>
          <w:color w:val="auto"/>
        </w:rPr>
      </w:pPr>
      <w:r>
        <w:rPr>
          <w:rFonts w:ascii="Arial" w:cs="Arial" w:eastAsia="Arial" w:hAnsi="Arial"/>
          <w:sz w:val="17"/>
          <w:szCs w:val="17"/>
          <w:color w:val="auto"/>
        </w:rPr>
        <w:t>On January 7, 2025, PPLP entered into a Membership Interest Purchase Agreement with EnCap Flatrock Midstream Fund IV, L.P. to acquire all of the membership interests in Ironwood Midstream Energy Partners II, LLC (“Ironwood”) for approximately $475 million (the “Ironwood Acquisition”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80" w:right="479"/>
        <w:spacing w:after="0" w:line="283" w:lineRule="auto"/>
        <w:rPr>
          <w:sz w:val="20"/>
          <w:szCs w:val="20"/>
          <w:color w:val="auto"/>
        </w:rPr>
      </w:pPr>
      <w:r>
        <w:rPr>
          <w:rFonts w:ascii="Arial" w:cs="Arial" w:eastAsia="Arial" w:hAnsi="Arial"/>
          <w:sz w:val="18"/>
          <w:szCs w:val="18"/>
          <w:color w:val="auto"/>
        </w:rPr>
        <w:t>and, collectively with the Midway Acquisition and the Medallion Acquisition, the “Bolt-on Acquisitions”). Ironwood currently owns and operates approximately 500 miles of crude oil and natural gas gathering systems and related facilities located in the Eagle Ford Basin area of southern Texas. Subject to the satisfaction of customary closing conditions and regulatory approval, we anticipate that the Ironwood Acquisition will close during the first quarter of 2025.</w:t>
      </w:r>
    </w:p>
    <w:p>
      <w:pPr>
        <w:spacing w:after="0" w:line="145"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Preferred unit repurchase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On January 7, 2025, we entered into a Unit Repurchase Agreement with EnCap Flatrock Midstream</w:t>
      </w:r>
    </w:p>
    <w:p>
      <w:pPr>
        <w:spacing w:after="0" w:line="3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Fund III, L.P. to repurchase approximately 12.7 million Series A Preferred Units representing limited</w:t>
      </w:r>
    </w:p>
    <w:p>
      <w:pPr>
        <w:spacing w:after="0" w:line="3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partner interests in the Partnership at par ($26.25 per unit) for a purchase price of approximately</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$333 million, plus accrued and unpaid distributions (the “Preferred Unit Repurchase”). Subject to the</w:t>
      </w:r>
    </w:p>
    <w:p>
      <w:pPr>
        <w:spacing w:after="0" w:line="2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satisfaction of customary closing conditions, we anticipate that the Preferred Unit Repurchase will</w:t>
      </w:r>
    </w:p>
    <w:p>
      <w:pPr>
        <w:spacing w:after="0" w:line="3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close by the end of January 2025.</w:t>
      </w:r>
    </w:p>
    <w:p>
      <w:pPr>
        <w:spacing w:after="0" w:line="162" w:lineRule="exact"/>
        <w:rPr>
          <w:sz w:val="20"/>
          <w:szCs w:val="20"/>
          <w:color w:val="auto"/>
        </w:rPr>
      </w:pPr>
    </w:p>
    <w:p>
      <w:pPr>
        <w:ind w:left="1280" w:right="559"/>
        <w:spacing w:after="0" w:line="279" w:lineRule="auto"/>
        <w:rPr>
          <w:sz w:val="20"/>
          <w:szCs w:val="20"/>
          <w:color w:val="auto"/>
        </w:rPr>
      </w:pPr>
      <w:r>
        <w:rPr>
          <w:rFonts w:ascii="Arial" w:cs="Arial" w:eastAsia="Arial" w:hAnsi="Arial"/>
          <w:sz w:val="18"/>
          <w:szCs w:val="18"/>
          <w:color w:val="auto"/>
        </w:rPr>
        <w:t>We intend to use the net proceeds of this offering to fund the Ironwood Acquisition and to fund the Preferred Unit Repurchase. This offering is not conditioned on the consummation of either the Ironwood Acquisition or the Preferred Unit Repurchase. In addition, the consummation of this offering is not a condition to the consummation of either the Ironwood Acquisition or the Preferred Unit Repurchase. No assurance can be given that the Ironwood Acquisition or the Preferred Unit Repurchase will ultimately be completed on the terms currently contemplated or at all.</w:t>
      </w:r>
    </w:p>
    <w:p>
      <w:pPr>
        <w:spacing w:after="0" w:line="151" w:lineRule="exact"/>
        <w:rPr>
          <w:sz w:val="20"/>
          <w:szCs w:val="20"/>
          <w:color w:val="auto"/>
        </w:rPr>
      </w:pPr>
    </w:p>
    <w:p>
      <w:pPr>
        <w:ind w:left="1600"/>
        <w:spacing w:after="0"/>
        <w:rPr>
          <w:sz w:val="20"/>
          <w:szCs w:val="20"/>
          <w:color w:val="auto"/>
        </w:rPr>
      </w:pPr>
      <w:r>
        <w:rPr>
          <w:rFonts w:ascii="Arial" w:cs="Arial" w:eastAsia="Arial" w:hAnsi="Arial"/>
          <w:sz w:val="18"/>
          <w:szCs w:val="18"/>
          <w:i w:val="1"/>
          <w:iCs w:val="1"/>
          <w:color w:val="auto"/>
        </w:rPr>
        <w:t>Distribution increase</w:t>
      </w:r>
    </w:p>
    <w:p>
      <w:pPr>
        <w:spacing w:after="0" w:line="156" w:lineRule="exact"/>
        <w:rPr>
          <w:sz w:val="20"/>
          <w:szCs w:val="20"/>
          <w:color w:val="auto"/>
        </w:rPr>
      </w:pPr>
    </w:p>
    <w:p>
      <w:pPr>
        <w:jc w:val="both"/>
        <w:ind w:left="1280" w:right="419"/>
        <w:spacing w:after="0" w:line="292" w:lineRule="auto"/>
        <w:rPr>
          <w:sz w:val="20"/>
          <w:szCs w:val="20"/>
          <w:color w:val="auto"/>
        </w:rPr>
      </w:pPr>
      <w:r>
        <w:rPr>
          <w:rFonts w:ascii="Arial" w:cs="Arial" w:eastAsia="Arial" w:hAnsi="Arial"/>
          <w:sz w:val="18"/>
          <w:szCs w:val="18"/>
          <w:color w:val="auto"/>
        </w:rPr>
        <w:t>On January 7, 2025, we announced that the Partnership’s Board of Directors approved a 20% increase in the quarterly distribution payable in February 2025 for the common units of PAA and for the Class A shares of Plains GP Holdings, L.P. from $0.3175 per unit/share to $0.38 per unit/​share.</w:t>
      </w:r>
    </w:p>
    <w:p>
      <w:pPr>
        <w:spacing w:after="0" w:line="139"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Our principal executive offices</w:t>
      </w:r>
    </w:p>
    <w:p>
      <w:pPr>
        <w:spacing w:after="0" w:line="148" w:lineRule="exact"/>
        <w:rPr>
          <w:sz w:val="20"/>
          <w:szCs w:val="20"/>
          <w:color w:val="auto"/>
        </w:rPr>
      </w:pPr>
    </w:p>
    <w:p>
      <w:pPr>
        <w:ind w:left="1280" w:right="399"/>
        <w:spacing w:after="0" w:line="283" w:lineRule="auto"/>
        <w:rPr>
          <w:sz w:val="20"/>
          <w:szCs w:val="20"/>
          <w:color w:val="auto"/>
        </w:rPr>
      </w:pPr>
      <w:r>
        <w:rPr>
          <w:rFonts w:ascii="Arial" w:cs="Arial" w:eastAsia="Arial" w:hAnsi="Arial"/>
          <w:sz w:val="18"/>
          <w:szCs w:val="18"/>
          <w:color w:val="auto"/>
        </w:rPr>
        <w:t xml:space="preserve">Our executive offices are located at 333 Clay Street, Suite 1600, Houston, Texas 77002. Our telephone number is (713) 646-4100. We maintain a website at </w:t>
      </w:r>
      <w:r>
        <w:rPr>
          <w:rFonts w:ascii="Arial" w:cs="Arial" w:eastAsia="Arial" w:hAnsi="Arial"/>
          <w:sz w:val="18"/>
          <w:szCs w:val="18"/>
          <w:i w:val="1"/>
          <w:iCs w:val="1"/>
          <w:color w:val="auto"/>
        </w:rPr>
        <w:t>www.plains.com</w:t>
      </w:r>
      <w:r>
        <w:rPr>
          <w:rFonts w:ascii="Arial" w:cs="Arial" w:eastAsia="Arial" w:hAnsi="Arial"/>
          <w:sz w:val="18"/>
          <w:szCs w:val="18"/>
          <w:color w:val="auto"/>
        </w:rPr>
        <w:t xml:space="preserve"> where we routinely post important information about our business and operations. Information contained on or available through our website is not incorporated into or otherwise a part of this prospectus supplement or the accompanying base prospectus.</w:t>
      </w:r>
    </w:p>
    <w:p>
      <w:pPr>
        <w:spacing w:after="0" w:line="147"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Additional information</w:t>
      </w:r>
    </w:p>
    <w:p>
      <w:pPr>
        <w:spacing w:after="0" w:line="148" w:lineRule="exact"/>
        <w:rPr>
          <w:sz w:val="20"/>
          <w:szCs w:val="20"/>
          <w:color w:val="auto"/>
        </w:rPr>
      </w:pPr>
    </w:p>
    <w:p>
      <w:pPr>
        <w:ind w:left="1280" w:right="519"/>
        <w:spacing w:after="0" w:line="279" w:lineRule="auto"/>
        <w:rPr>
          <w:rFonts w:ascii="Arial" w:cs="Arial" w:eastAsia="Arial" w:hAnsi="Arial"/>
          <w:sz w:val="18"/>
          <w:szCs w:val="18"/>
          <w:color w:val="0000EE"/>
        </w:rPr>
      </w:pPr>
      <w:r>
        <w:rPr>
          <w:rFonts w:ascii="Arial" w:cs="Arial" w:eastAsia="Arial" w:hAnsi="Arial"/>
          <w:sz w:val="18"/>
          <w:szCs w:val="18"/>
          <w:color w:val="auto"/>
        </w:rPr>
        <w:t xml:space="preserve">For additional information about us, including our partnership structure and management, please refer to the documents set forth under “Where You Can Find More Information” in this prospectus supplement, including our </w:t>
      </w:r>
      <w:hyperlink r:id="rId26">
        <w:r>
          <w:rPr>
            <w:rFonts w:ascii="Arial" w:cs="Arial" w:eastAsia="Arial" w:hAnsi="Arial"/>
            <w:sz w:val="18"/>
            <w:szCs w:val="18"/>
            <w:u w:val="single" w:color="auto"/>
            <w:color w:val="0000EE"/>
          </w:rPr>
          <w:t>Annual Report on Form 10-K for the fiscal year ended December 31, 2023</w:t>
        </w:r>
      </w:hyperlink>
      <w:r>
        <w:rPr>
          <w:rFonts w:ascii="Arial" w:cs="Arial" w:eastAsia="Arial" w:hAnsi="Arial"/>
          <w:sz w:val="18"/>
          <w:szCs w:val="18"/>
          <w:color w:val="auto"/>
        </w:rPr>
        <w:t xml:space="preserve">, our Quarterly Reports on Form 10-Q for the periods ended </w:t>
      </w:r>
      <w:hyperlink r:id="rId31">
        <w:r>
          <w:rPr>
            <w:rFonts w:ascii="Arial" w:cs="Arial" w:eastAsia="Arial" w:hAnsi="Arial"/>
            <w:sz w:val="18"/>
            <w:szCs w:val="18"/>
            <w:u w:val="single" w:color="auto"/>
            <w:color w:val="0000EE"/>
          </w:rPr>
          <w:t>March 31, 2024</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June 30, 2024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3">
        <w:r>
          <w:rPr>
            <w:rFonts w:ascii="Arial" w:cs="Arial" w:eastAsia="Arial" w:hAnsi="Arial"/>
            <w:sz w:val="18"/>
            <w:szCs w:val="18"/>
            <w:u w:val="single" w:color="auto"/>
            <w:color w:val="0000EE"/>
          </w:rPr>
          <w:t>September 30, 2024</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color w:val="000000"/>
        </w:rPr>
        <w:t>any subsequent Current Reports on Form 8-K (other than, in each case,</w:t>
      </w:r>
      <w:r>
        <w:rPr>
          <w:rFonts w:ascii="Arial" w:cs="Arial" w:eastAsia="Arial" w:hAnsi="Arial"/>
          <w:sz w:val="18"/>
          <w:szCs w:val="18"/>
          <w:color w:val="0000EE"/>
        </w:rPr>
        <w:t xml:space="preserve"> </w:t>
      </w:r>
      <w:r>
        <w:rPr>
          <w:rFonts w:ascii="Arial" w:cs="Arial" w:eastAsia="Arial" w:hAnsi="Arial"/>
          <w:sz w:val="18"/>
          <w:szCs w:val="18"/>
          <w:color w:val="000000"/>
        </w:rPr>
        <w:t>information furnished rather than filed), each of which is incorporated by reference herein.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5" w:lineRule="exact"/>
        <w:rPr>
          <w:rFonts w:ascii="Arial" w:cs="Arial" w:eastAsia="Arial" w:hAnsi="Arial"/>
          <w:sz w:val="18"/>
          <w:szCs w:val="18"/>
          <w:color w:val="auto"/>
        </w:rPr>
      </w:pPr>
    </w:p>
    <w:p>
      <w:pPr>
        <w:ind w:left="5220"/>
        <w:spacing w:after="0"/>
        <w:rPr>
          <w:sz w:val="20"/>
          <w:szCs w:val="20"/>
          <w:color w:val="auto"/>
        </w:rPr>
      </w:pPr>
      <w:r>
        <w:rPr>
          <w:rFonts w:ascii="Arial" w:cs="Arial" w:eastAsia="Arial" w:hAnsi="Arial"/>
          <w:sz w:val="18"/>
          <w:szCs w:val="18"/>
          <w:color w:val="auto"/>
        </w:rPr>
        <w:t>S-2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The offering</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w:t>
      </w:r>
    </w:p>
    <w:p>
      <w:pPr>
        <w:spacing w:after="0" w:line="12" w:lineRule="exact"/>
        <w:rPr>
          <w:sz w:val="20"/>
          <w:szCs w:val="20"/>
          <w:color w:val="auto"/>
        </w:rPr>
      </w:pPr>
    </w:p>
    <w:p>
      <w:pPr>
        <w:ind w:left="1280" w:right="1280"/>
        <w:spacing w:after="0"/>
        <w:rPr>
          <w:sz w:val="20"/>
          <w:szCs w:val="20"/>
          <w:color w:val="auto"/>
        </w:rPr>
      </w:pPr>
      <w:r>
        <w:rPr>
          <w:rFonts w:ascii="Arial" w:cs="Arial" w:eastAsia="Arial" w:hAnsi="Arial"/>
          <w:sz w:val="17"/>
          <w:szCs w:val="17"/>
          <w:i w:val="1"/>
          <w:iCs w:val="1"/>
          <w:color w:val="auto"/>
        </w:rPr>
        <w:t>are subject to important limitations and exceptions. The “Description of Notes” section of this prospectus supplement and the “Description of Our Debt Securities” section of the accompanying base</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prospectus contain a more detailed description of the terms of the Notes.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Arial" w:cs="Arial" w:eastAsia="Arial" w:hAnsi="Arial"/>
                <w:sz w:val="18"/>
                <w:szCs w:val="18"/>
                <w:b w:val="1"/>
                <w:bCs w:val="1"/>
                <w:color w:val="auto"/>
              </w:rPr>
              <w:t>Issuers</w:t>
            </w:r>
          </w:p>
        </w:tc>
        <w:tc>
          <w:tcPr>
            <w:tcW w:w="5520" w:type="dxa"/>
            <w:vAlign w:val="bottom"/>
          </w:tcPr>
          <w:p>
            <w:pPr>
              <w:ind w:left="960"/>
              <w:spacing w:after="0"/>
              <w:rPr>
                <w:sz w:val="20"/>
                <w:szCs w:val="20"/>
                <w:color w:val="auto"/>
              </w:rPr>
            </w:pPr>
            <w:r>
              <w:rPr>
                <w:rFonts w:ascii="Arial" w:cs="Arial" w:eastAsia="Arial" w:hAnsi="Arial"/>
                <w:sz w:val="18"/>
                <w:szCs w:val="18"/>
                <w:color w:val="auto"/>
              </w:rPr>
              <w:t>Plains All American Pipeline, L.P. and PAA Finance</w:t>
            </w:r>
          </w:p>
        </w:tc>
        <w:tc>
          <w:tcPr>
            <w:tcW w:w="1000" w:type="dxa"/>
            <w:vAlign w:val="bottom"/>
          </w:tcPr>
          <w:p>
            <w:pPr>
              <w:spacing w:after="0"/>
              <w:rPr>
                <w:sz w:val="19"/>
                <w:szCs w:val="19"/>
                <w:color w:val="auto"/>
              </w:rPr>
            </w:pPr>
          </w:p>
        </w:tc>
      </w:tr>
      <w:tr>
        <w:trPr>
          <w:trHeight w:val="239"/>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Corp.</w:t>
            </w:r>
          </w:p>
        </w:tc>
        <w:tc>
          <w:tcPr>
            <w:tcW w:w="1000" w:type="dxa"/>
            <w:vAlign w:val="bottom"/>
          </w:tcPr>
          <w:p>
            <w:pPr>
              <w:spacing w:after="0"/>
              <w:rPr>
                <w:sz w:val="20"/>
                <w:szCs w:val="20"/>
                <w:color w:val="auto"/>
              </w:rPr>
            </w:pPr>
          </w:p>
        </w:tc>
      </w:tr>
      <w:tr>
        <w:trPr>
          <w:trHeight w:val="369"/>
        </w:trPr>
        <w:tc>
          <w:tcPr>
            <w:tcW w:w="10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PAA Finance Corp., a Delaware corporation, is a</w:t>
            </w:r>
          </w:p>
        </w:tc>
        <w:tc>
          <w:tcPr>
            <w:tcW w:w="1000" w:type="dxa"/>
            <w:vAlign w:val="bottom"/>
          </w:tcPr>
          <w:p>
            <w:pPr>
              <w:spacing w:after="0"/>
              <w:rPr>
                <w:sz w:val="24"/>
                <w:szCs w:val="24"/>
                <w:color w:val="auto"/>
              </w:rPr>
            </w:pPr>
          </w:p>
        </w:tc>
      </w:tr>
      <w:tr>
        <w:trPr>
          <w:trHeight w:val="239"/>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wholly owned subsidiary of Plains All American</w:t>
            </w:r>
          </w:p>
        </w:tc>
        <w:tc>
          <w:tcPr>
            <w:tcW w:w="1000" w:type="dxa"/>
            <w:vAlign w:val="bottom"/>
          </w:tcPr>
          <w:p>
            <w:pPr>
              <w:spacing w:after="0"/>
              <w:rPr>
                <w:sz w:val="20"/>
                <w:szCs w:val="20"/>
                <w:color w:val="auto"/>
              </w:rPr>
            </w:pPr>
          </w:p>
        </w:tc>
      </w:tr>
      <w:tr>
        <w:trPr>
          <w:trHeight w:val="234"/>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Pipeline, L.P. that has been organized for the purpose</w:t>
            </w:r>
          </w:p>
        </w:tc>
        <w:tc>
          <w:tcPr>
            <w:tcW w:w="1000" w:type="dxa"/>
            <w:vAlign w:val="bottom"/>
          </w:tcPr>
          <w:p>
            <w:pPr>
              <w:spacing w:after="0"/>
              <w:rPr>
                <w:sz w:val="20"/>
                <w:szCs w:val="20"/>
                <w:color w:val="auto"/>
              </w:rPr>
            </w:pPr>
          </w:p>
        </w:tc>
      </w:tr>
      <w:tr>
        <w:trPr>
          <w:trHeight w:val="230"/>
        </w:trPr>
        <w:tc>
          <w:tcPr>
            <w:tcW w:w="10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of co-issuing our existing notes, the Notes offered</w:t>
            </w:r>
          </w:p>
        </w:tc>
        <w:tc>
          <w:tcPr>
            <w:tcW w:w="1000" w:type="dxa"/>
            <w:vAlign w:val="bottom"/>
          </w:tcPr>
          <w:p>
            <w:pPr>
              <w:spacing w:after="0"/>
              <w:rPr>
                <w:sz w:val="19"/>
                <w:szCs w:val="19"/>
                <w:color w:val="auto"/>
              </w:rPr>
            </w:pPr>
          </w:p>
        </w:tc>
      </w:tr>
      <w:tr>
        <w:trPr>
          <w:trHeight w:val="239"/>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hereby and the notes issued in any future offerings.</w:t>
            </w:r>
          </w:p>
        </w:tc>
        <w:tc>
          <w:tcPr>
            <w:tcW w:w="1000" w:type="dxa"/>
            <w:vAlign w:val="bottom"/>
          </w:tcPr>
          <w:p>
            <w:pPr>
              <w:spacing w:after="0"/>
              <w:rPr>
                <w:sz w:val="20"/>
                <w:szCs w:val="20"/>
                <w:color w:val="auto"/>
              </w:rPr>
            </w:pPr>
          </w:p>
        </w:tc>
      </w:tr>
      <w:tr>
        <w:trPr>
          <w:trHeight w:val="234"/>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PAA Finance Corp. does not have operations of any</w:t>
            </w:r>
          </w:p>
        </w:tc>
        <w:tc>
          <w:tcPr>
            <w:tcW w:w="1000" w:type="dxa"/>
            <w:vAlign w:val="bottom"/>
          </w:tcPr>
          <w:p>
            <w:pPr>
              <w:spacing w:after="0"/>
              <w:rPr>
                <w:sz w:val="20"/>
                <w:szCs w:val="20"/>
                <w:color w:val="auto"/>
              </w:rPr>
            </w:pPr>
          </w:p>
        </w:tc>
      </w:tr>
      <w:tr>
        <w:trPr>
          <w:trHeight w:val="229"/>
        </w:trPr>
        <w:tc>
          <w:tcPr>
            <w:tcW w:w="10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kind and will not have any revenue other than as may</w:t>
            </w:r>
          </w:p>
        </w:tc>
        <w:tc>
          <w:tcPr>
            <w:tcW w:w="1000" w:type="dxa"/>
            <w:vAlign w:val="bottom"/>
          </w:tcPr>
          <w:p>
            <w:pPr>
              <w:spacing w:after="0"/>
              <w:rPr>
                <w:sz w:val="19"/>
                <w:szCs w:val="19"/>
                <w:color w:val="auto"/>
              </w:rPr>
            </w:pPr>
          </w:p>
        </w:tc>
      </w:tr>
      <w:tr>
        <w:trPr>
          <w:trHeight w:val="239"/>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be incidental to its activities as a co-issuer of our debt</w:t>
            </w:r>
          </w:p>
        </w:tc>
        <w:tc>
          <w:tcPr>
            <w:tcW w:w="1000" w:type="dxa"/>
            <w:vAlign w:val="bottom"/>
          </w:tcPr>
          <w:p>
            <w:pPr>
              <w:spacing w:after="0"/>
              <w:rPr>
                <w:sz w:val="20"/>
                <w:szCs w:val="20"/>
                <w:color w:val="auto"/>
              </w:rPr>
            </w:pPr>
          </w:p>
        </w:tc>
      </w:tr>
      <w:tr>
        <w:trPr>
          <w:trHeight w:val="243"/>
        </w:trPr>
        <w:tc>
          <w:tcPr>
            <w:tcW w:w="10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securities.</w:t>
            </w:r>
          </w:p>
        </w:tc>
        <w:tc>
          <w:tcPr>
            <w:tcW w:w="1000" w:type="dxa"/>
            <w:vAlign w:val="bottom"/>
          </w:tcPr>
          <w:p>
            <w:pPr>
              <w:spacing w:after="0"/>
              <w:rPr>
                <w:sz w:val="21"/>
                <w:szCs w:val="21"/>
                <w:color w:val="auto"/>
              </w:rPr>
            </w:pPr>
          </w:p>
        </w:tc>
      </w:tr>
      <w:tr>
        <w:trPr>
          <w:trHeight w:val="328"/>
        </w:trPr>
        <w:tc>
          <w:tcPr>
            <w:tcW w:w="1040" w:type="dxa"/>
            <w:vAlign w:val="bottom"/>
          </w:tcPr>
          <w:p>
            <w:pPr>
              <w:spacing w:after="0"/>
              <w:rPr>
                <w:sz w:val="24"/>
                <w:szCs w:val="24"/>
                <w:color w:val="auto"/>
              </w:rPr>
            </w:pPr>
          </w:p>
        </w:tc>
        <w:tc>
          <w:tcPr>
            <w:tcW w:w="3160" w:type="dxa"/>
            <w:vAlign w:val="bottom"/>
          </w:tcPr>
          <w:p>
            <w:pPr>
              <w:ind w:left="240"/>
              <w:spacing w:after="0"/>
              <w:rPr>
                <w:sz w:val="20"/>
                <w:szCs w:val="20"/>
                <w:color w:val="auto"/>
              </w:rPr>
            </w:pPr>
            <w:r>
              <w:rPr>
                <w:rFonts w:ascii="Arial" w:cs="Arial" w:eastAsia="Arial" w:hAnsi="Arial"/>
                <w:sz w:val="18"/>
                <w:szCs w:val="18"/>
                <w:b w:val="1"/>
                <w:bCs w:val="1"/>
                <w:color w:val="auto"/>
              </w:rPr>
              <w:t>Future guarantees</w:t>
            </w:r>
          </w:p>
        </w:tc>
        <w:tc>
          <w:tcPr>
            <w:tcW w:w="5520" w:type="dxa"/>
            <w:vAlign w:val="bottom"/>
          </w:tcPr>
          <w:p>
            <w:pPr>
              <w:ind w:left="960"/>
              <w:spacing w:after="0"/>
              <w:rPr>
                <w:sz w:val="20"/>
                <w:szCs w:val="20"/>
                <w:color w:val="auto"/>
              </w:rPr>
            </w:pPr>
            <w:r>
              <w:rPr>
                <w:rFonts w:ascii="Arial" w:cs="Arial" w:eastAsia="Arial" w:hAnsi="Arial"/>
                <w:sz w:val="18"/>
                <w:szCs w:val="18"/>
                <w:color w:val="auto"/>
              </w:rPr>
              <w:t>Initially, the Notes will not be guaranteed by any</w:t>
            </w:r>
          </w:p>
        </w:tc>
        <w:tc>
          <w:tcPr>
            <w:tcW w:w="1000" w:type="dxa"/>
            <w:vAlign w:val="bottom"/>
          </w:tcPr>
          <w:p>
            <w:pPr>
              <w:spacing w:after="0"/>
              <w:rPr>
                <w:sz w:val="24"/>
                <w:szCs w:val="24"/>
                <w:color w:val="auto"/>
              </w:rPr>
            </w:pPr>
          </w:p>
        </w:tc>
      </w:tr>
      <w:tr>
        <w:trPr>
          <w:trHeight w:val="239"/>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subsidiaries of the issuers. In the future, however, if</w:t>
            </w:r>
          </w:p>
        </w:tc>
        <w:tc>
          <w:tcPr>
            <w:tcW w:w="1000" w:type="dxa"/>
            <w:vAlign w:val="bottom"/>
          </w:tcPr>
          <w:p>
            <w:pPr>
              <w:spacing w:after="0"/>
              <w:rPr>
                <w:sz w:val="20"/>
                <w:szCs w:val="20"/>
                <w:color w:val="auto"/>
              </w:rPr>
            </w:pPr>
          </w:p>
        </w:tc>
      </w:tr>
      <w:tr>
        <w:trPr>
          <w:trHeight w:val="234"/>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any subsidiary guarantees any of the issuers’ other</w:t>
            </w:r>
          </w:p>
        </w:tc>
        <w:tc>
          <w:tcPr>
            <w:tcW w:w="1000" w:type="dxa"/>
            <w:vAlign w:val="bottom"/>
          </w:tcPr>
          <w:p>
            <w:pPr>
              <w:spacing w:after="0"/>
              <w:rPr>
                <w:sz w:val="20"/>
                <w:szCs w:val="20"/>
                <w:color w:val="auto"/>
              </w:rPr>
            </w:pPr>
          </w:p>
        </w:tc>
      </w:tr>
      <w:tr>
        <w:trPr>
          <w:trHeight w:val="229"/>
        </w:trPr>
        <w:tc>
          <w:tcPr>
            <w:tcW w:w="10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debt, then such subsidiary will, jointly and severally,</w:t>
            </w:r>
          </w:p>
        </w:tc>
        <w:tc>
          <w:tcPr>
            <w:tcW w:w="1000" w:type="dxa"/>
            <w:vAlign w:val="bottom"/>
          </w:tcPr>
          <w:p>
            <w:pPr>
              <w:spacing w:after="0"/>
              <w:rPr>
                <w:sz w:val="19"/>
                <w:szCs w:val="19"/>
                <w:color w:val="auto"/>
              </w:rPr>
            </w:pPr>
          </w:p>
        </w:tc>
      </w:tr>
      <w:tr>
        <w:trPr>
          <w:trHeight w:val="239"/>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fully and unconditionally guarantee the issuers’</w:t>
            </w:r>
          </w:p>
        </w:tc>
        <w:tc>
          <w:tcPr>
            <w:tcW w:w="1000" w:type="dxa"/>
            <w:vAlign w:val="bottom"/>
          </w:tcPr>
          <w:p>
            <w:pPr>
              <w:spacing w:after="0"/>
              <w:rPr>
                <w:sz w:val="20"/>
                <w:szCs w:val="20"/>
                <w:color w:val="auto"/>
              </w:rPr>
            </w:pPr>
          </w:p>
        </w:tc>
      </w:tr>
      <w:tr>
        <w:trPr>
          <w:trHeight w:val="234"/>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payment obligations under the Notes. See</w:t>
            </w:r>
          </w:p>
        </w:tc>
        <w:tc>
          <w:tcPr>
            <w:tcW w:w="1000" w:type="dxa"/>
            <w:vAlign w:val="bottom"/>
          </w:tcPr>
          <w:p>
            <w:pPr>
              <w:spacing w:after="0"/>
              <w:rPr>
                <w:sz w:val="20"/>
                <w:szCs w:val="20"/>
                <w:color w:val="auto"/>
              </w:rPr>
            </w:pPr>
          </w:p>
        </w:tc>
      </w:tr>
      <w:tr>
        <w:trPr>
          <w:trHeight w:val="239"/>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“Description of Notes—Possible Future Guarantees.”</w:t>
            </w:r>
          </w:p>
        </w:tc>
        <w:tc>
          <w:tcPr>
            <w:tcW w:w="1000" w:type="dxa"/>
            <w:vAlign w:val="bottom"/>
          </w:tcPr>
          <w:p>
            <w:pPr>
              <w:spacing w:after="0"/>
              <w:rPr>
                <w:sz w:val="20"/>
                <w:szCs w:val="20"/>
                <w:color w:val="auto"/>
              </w:rPr>
            </w:pPr>
          </w:p>
        </w:tc>
      </w:tr>
      <w:tr>
        <w:trPr>
          <w:trHeight w:val="342"/>
        </w:trPr>
        <w:tc>
          <w:tcPr>
            <w:tcW w:w="1040" w:type="dxa"/>
            <w:vAlign w:val="bottom"/>
          </w:tcPr>
          <w:p>
            <w:pPr>
              <w:spacing w:after="0"/>
              <w:rPr>
                <w:sz w:val="24"/>
                <w:szCs w:val="24"/>
                <w:color w:val="auto"/>
              </w:rPr>
            </w:pPr>
          </w:p>
        </w:tc>
        <w:tc>
          <w:tcPr>
            <w:tcW w:w="3160" w:type="dxa"/>
            <w:vAlign w:val="bottom"/>
          </w:tcPr>
          <w:p>
            <w:pPr>
              <w:ind w:left="240"/>
              <w:spacing w:after="0"/>
              <w:rPr>
                <w:sz w:val="20"/>
                <w:szCs w:val="20"/>
                <w:color w:val="auto"/>
              </w:rPr>
            </w:pPr>
            <w:r>
              <w:rPr>
                <w:rFonts w:ascii="Arial" w:cs="Arial" w:eastAsia="Arial" w:hAnsi="Arial"/>
                <w:sz w:val="18"/>
                <w:szCs w:val="18"/>
                <w:b w:val="1"/>
                <w:bCs w:val="1"/>
                <w:color w:val="auto"/>
              </w:rPr>
              <w:t>Notes offered</w:t>
            </w:r>
          </w:p>
        </w:tc>
        <w:tc>
          <w:tcPr>
            <w:tcW w:w="5520" w:type="dxa"/>
            <w:vAlign w:val="bottom"/>
          </w:tcPr>
          <w:p>
            <w:pPr>
              <w:ind w:left="960"/>
              <w:spacing w:after="0"/>
              <w:rPr>
                <w:sz w:val="20"/>
                <w:szCs w:val="20"/>
                <w:color w:val="auto"/>
              </w:rPr>
            </w:pPr>
            <w:r>
              <w:rPr>
                <w:rFonts w:ascii="Arial" w:cs="Arial" w:eastAsia="Arial" w:hAnsi="Arial"/>
                <w:sz w:val="18"/>
                <w:szCs w:val="18"/>
                <w:color w:val="auto"/>
              </w:rPr>
              <w:t>$            aggregate principal amount of        % Senior</w:t>
            </w:r>
          </w:p>
        </w:tc>
        <w:tc>
          <w:tcPr>
            <w:tcW w:w="1000" w:type="dxa"/>
            <w:vAlign w:val="bottom"/>
          </w:tcPr>
          <w:p>
            <w:pPr>
              <w:spacing w:after="0"/>
              <w:rPr>
                <w:sz w:val="24"/>
                <w:szCs w:val="24"/>
                <w:color w:val="auto"/>
              </w:rPr>
            </w:pPr>
          </w:p>
        </w:tc>
      </w:tr>
      <w:tr>
        <w:trPr>
          <w:trHeight w:val="239"/>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Notes due 2035.</w:t>
            </w:r>
          </w:p>
        </w:tc>
        <w:tc>
          <w:tcPr>
            <w:tcW w:w="1000" w:type="dxa"/>
            <w:vAlign w:val="bottom"/>
          </w:tcPr>
          <w:p>
            <w:pPr>
              <w:spacing w:after="0"/>
              <w:rPr>
                <w:sz w:val="20"/>
                <w:szCs w:val="20"/>
                <w:color w:val="auto"/>
              </w:rPr>
            </w:pPr>
          </w:p>
        </w:tc>
      </w:tr>
      <w:tr>
        <w:trPr>
          <w:trHeight w:val="345"/>
        </w:trPr>
        <w:tc>
          <w:tcPr>
            <w:tcW w:w="1040" w:type="dxa"/>
            <w:vAlign w:val="bottom"/>
          </w:tcPr>
          <w:p>
            <w:pPr>
              <w:spacing w:after="0"/>
              <w:rPr>
                <w:sz w:val="24"/>
                <w:szCs w:val="24"/>
                <w:color w:val="auto"/>
              </w:rPr>
            </w:pPr>
          </w:p>
        </w:tc>
        <w:tc>
          <w:tcPr>
            <w:tcW w:w="3160" w:type="dxa"/>
            <w:vAlign w:val="bottom"/>
          </w:tcPr>
          <w:p>
            <w:pPr>
              <w:ind w:left="240"/>
              <w:spacing w:after="0"/>
              <w:rPr>
                <w:sz w:val="20"/>
                <w:szCs w:val="20"/>
                <w:color w:val="auto"/>
              </w:rPr>
            </w:pPr>
            <w:r>
              <w:rPr>
                <w:rFonts w:ascii="Arial" w:cs="Arial" w:eastAsia="Arial" w:hAnsi="Arial"/>
                <w:sz w:val="18"/>
                <w:szCs w:val="18"/>
                <w:b w:val="1"/>
                <w:bCs w:val="1"/>
                <w:color w:val="auto"/>
              </w:rPr>
              <w:t>Maturity date</w:t>
            </w:r>
          </w:p>
        </w:tc>
        <w:tc>
          <w:tcPr>
            <w:tcW w:w="5520" w:type="dxa"/>
            <w:vAlign w:val="bottom"/>
          </w:tcPr>
          <w:p>
            <w:pPr>
              <w:ind w:left="960"/>
              <w:spacing w:after="0"/>
              <w:rPr>
                <w:sz w:val="20"/>
                <w:szCs w:val="20"/>
                <w:color w:val="auto"/>
              </w:rPr>
            </w:pPr>
            <w:r>
              <w:rPr>
                <w:rFonts w:ascii="Arial" w:cs="Arial" w:eastAsia="Arial" w:hAnsi="Arial"/>
                <w:sz w:val="18"/>
                <w:szCs w:val="18"/>
                <w:color w:val="auto"/>
              </w:rPr>
              <w:t>                , 2035.</w:t>
            </w:r>
          </w:p>
        </w:tc>
        <w:tc>
          <w:tcPr>
            <w:tcW w:w="1000" w:type="dxa"/>
            <w:vAlign w:val="bottom"/>
          </w:tcPr>
          <w:p>
            <w:pPr>
              <w:spacing w:after="0"/>
              <w:rPr>
                <w:sz w:val="24"/>
                <w:szCs w:val="24"/>
                <w:color w:val="auto"/>
              </w:rPr>
            </w:pPr>
          </w:p>
        </w:tc>
      </w:tr>
      <w:tr>
        <w:trPr>
          <w:trHeight w:val="338"/>
        </w:trPr>
        <w:tc>
          <w:tcPr>
            <w:tcW w:w="1040" w:type="dxa"/>
            <w:vAlign w:val="bottom"/>
          </w:tcPr>
          <w:p>
            <w:pPr>
              <w:spacing w:after="0"/>
              <w:rPr>
                <w:sz w:val="24"/>
                <w:szCs w:val="24"/>
                <w:color w:val="auto"/>
              </w:rPr>
            </w:pPr>
          </w:p>
        </w:tc>
        <w:tc>
          <w:tcPr>
            <w:tcW w:w="3160" w:type="dxa"/>
            <w:vAlign w:val="bottom"/>
          </w:tcPr>
          <w:p>
            <w:pPr>
              <w:ind w:left="240"/>
              <w:spacing w:after="0"/>
              <w:rPr>
                <w:sz w:val="20"/>
                <w:szCs w:val="20"/>
                <w:color w:val="auto"/>
              </w:rPr>
            </w:pPr>
            <w:r>
              <w:rPr>
                <w:rFonts w:ascii="Arial" w:cs="Arial" w:eastAsia="Arial" w:hAnsi="Arial"/>
                <w:sz w:val="18"/>
                <w:szCs w:val="18"/>
                <w:b w:val="1"/>
                <w:bCs w:val="1"/>
                <w:color w:val="auto"/>
              </w:rPr>
              <w:t>Interest rate</w:t>
            </w:r>
          </w:p>
        </w:tc>
        <w:tc>
          <w:tcPr>
            <w:tcW w:w="5520" w:type="dxa"/>
            <w:vAlign w:val="bottom"/>
          </w:tcPr>
          <w:p>
            <w:pPr>
              <w:ind w:left="960"/>
              <w:spacing w:after="0"/>
              <w:rPr>
                <w:sz w:val="20"/>
                <w:szCs w:val="20"/>
                <w:color w:val="auto"/>
              </w:rPr>
            </w:pPr>
            <w:r>
              <w:rPr>
                <w:rFonts w:ascii="Arial" w:cs="Arial" w:eastAsia="Arial" w:hAnsi="Arial"/>
                <w:sz w:val="18"/>
                <w:szCs w:val="18"/>
                <w:color w:val="auto"/>
              </w:rPr>
              <w:t>      %.</w:t>
            </w:r>
          </w:p>
        </w:tc>
        <w:tc>
          <w:tcPr>
            <w:tcW w:w="1000" w:type="dxa"/>
            <w:vAlign w:val="bottom"/>
          </w:tcPr>
          <w:p>
            <w:pPr>
              <w:spacing w:after="0"/>
              <w:rPr>
                <w:sz w:val="24"/>
                <w:szCs w:val="24"/>
                <w:color w:val="auto"/>
              </w:rPr>
            </w:pPr>
          </w:p>
        </w:tc>
      </w:tr>
      <w:tr>
        <w:trPr>
          <w:trHeight w:val="334"/>
        </w:trPr>
        <w:tc>
          <w:tcPr>
            <w:tcW w:w="1040" w:type="dxa"/>
            <w:vAlign w:val="bottom"/>
          </w:tcPr>
          <w:p>
            <w:pPr>
              <w:spacing w:after="0"/>
              <w:rPr>
                <w:sz w:val="24"/>
                <w:szCs w:val="24"/>
                <w:color w:val="auto"/>
              </w:rPr>
            </w:pPr>
          </w:p>
        </w:tc>
        <w:tc>
          <w:tcPr>
            <w:tcW w:w="3160" w:type="dxa"/>
            <w:vAlign w:val="bottom"/>
          </w:tcPr>
          <w:p>
            <w:pPr>
              <w:ind w:left="240"/>
              <w:spacing w:after="0"/>
              <w:rPr>
                <w:sz w:val="20"/>
                <w:szCs w:val="20"/>
                <w:color w:val="auto"/>
              </w:rPr>
            </w:pPr>
            <w:r>
              <w:rPr>
                <w:rFonts w:ascii="Arial" w:cs="Arial" w:eastAsia="Arial" w:hAnsi="Arial"/>
                <w:sz w:val="18"/>
                <w:szCs w:val="18"/>
                <w:b w:val="1"/>
                <w:bCs w:val="1"/>
                <w:color w:val="auto"/>
              </w:rPr>
              <w:t>Interest payment dates</w:t>
            </w:r>
          </w:p>
        </w:tc>
        <w:tc>
          <w:tcPr>
            <w:tcW w:w="5520" w:type="dxa"/>
            <w:vAlign w:val="bottom"/>
          </w:tcPr>
          <w:p>
            <w:pPr>
              <w:ind w:left="960"/>
              <w:spacing w:after="0"/>
              <w:rPr>
                <w:sz w:val="20"/>
                <w:szCs w:val="20"/>
                <w:color w:val="auto"/>
              </w:rPr>
            </w:pPr>
            <w:r>
              <w:rPr>
                <w:rFonts w:ascii="Arial" w:cs="Arial" w:eastAsia="Arial" w:hAnsi="Arial"/>
                <w:sz w:val="18"/>
                <w:szCs w:val="18"/>
                <w:color w:val="auto"/>
              </w:rPr>
              <w:t>We will pay interest on the Notes semi-annually in</w:t>
            </w:r>
          </w:p>
        </w:tc>
        <w:tc>
          <w:tcPr>
            <w:tcW w:w="1000" w:type="dxa"/>
            <w:vAlign w:val="bottom"/>
          </w:tcPr>
          <w:p>
            <w:pPr>
              <w:spacing w:after="0"/>
              <w:rPr>
                <w:sz w:val="24"/>
                <w:szCs w:val="24"/>
                <w:color w:val="auto"/>
              </w:rPr>
            </w:pPr>
          </w:p>
        </w:tc>
      </w:tr>
      <w:tr>
        <w:trPr>
          <w:trHeight w:val="230"/>
        </w:trPr>
        <w:tc>
          <w:tcPr>
            <w:tcW w:w="10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arrears on and                of each year, beginning</w:t>
            </w:r>
          </w:p>
        </w:tc>
        <w:tc>
          <w:tcPr>
            <w:tcW w:w="1000" w:type="dxa"/>
            <w:vAlign w:val="bottom"/>
          </w:tcPr>
          <w:p>
            <w:pPr>
              <w:spacing w:after="0"/>
              <w:rPr>
                <w:sz w:val="19"/>
                <w:szCs w:val="19"/>
                <w:color w:val="auto"/>
              </w:rPr>
            </w:pPr>
          </w:p>
        </w:tc>
      </w:tr>
      <w:tr>
        <w:trPr>
          <w:trHeight w:val="239"/>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on                  , 20    .</w:t>
            </w:r>
          </w:p>
        </w:tc>
        <w:tc>
          <w:tcPr>
            <w:tcW w:w="1000" w:type="dxa"/>
            <w:vAlign w:val="bottom"/>
          </w:tcPr>
          <w:p>
            <w:pPr>
              <w:spacing w:after="0"/>
              <w:rPr>
                <w:sz w:val="20"/>
                <w:szCs w:val="20"/>
                <w:color w:val="auto"/>
              </w:rPr>
            </w:pPr>
          </w:p>
        </w:tc>
      </w:tr>
      <w:tr>
        <w:trPr>
          <w:trHeight w:val="342"/>
        </w:trPr>
        <w:tc>
          <w:tcPr>
            <w:tcW w:w="1040" w:type="dxa"/>
            <w:vAlign w:val="bottom"/>
          </w:tcPr>
          <w:p>
            <w:pPr>
              <w:spacing w:after="0"/>
              <w:rPr>
                <w:sz w:val="24"/>
                <w:szCs w:val="24"/>
                <w:color w:val="auto"/>
              </w:rPr>
            </w:pPr>
          </w:p>
        </w:tc>
        <w:tc>
          <w:tcPr>
            <w:tcW w:w="3160" w:type="dxa"/>
            <w:vAlign w:val="bottom"/>
          </w:tcPr>
          <w:p>
            <w:pPr>
              <w:ind w:left="240"/>
              <w:spacing w:after="0"/>
              <w:rPr>
                <w:sz w:val="20"/>
                <w:szCs w:val="20"/>
                <w:color w:val="auto"/>
              </w:rPr>
            </w:pPr>
            <w:r>
              <w:rPr>
                <w:rFonts w:ascii="Arial" w:cs="Arial" w:eastAsia="Arial" w:hAnsi="Arial"/>
                <w:sz w:val="18"/>
                <w:szCs w:val="18"/>
                <w:b w:val="1"/>
                <w:bCs w:val="1"/>
                <w:color w:val="auto"/>
              </w:rPr>
              <w:t>Optional redemption</w:t>
            </w:r>
          </w:p>
        </w:tc>
        <w:tc>
          <w:tcPr>
            <w:tcW w:w="5520" w:type="dxa"/>
            <w:vAlign w:val="bottom"/>
          </w:tcPr>
          <w:p>
            <w:pPr>
              <w:ind w:left="960"/>
              <w:spacing w:after="0"/>
              <w:rPr>
                <w:sz w:val="20"/>
                <w:szCs w:val="20"/>
                <w:color w:val="auto"/>
              </w:rPr>
            </w:pPr>
            <w:r>
              <w:rPr>
                <w:rFonts w:ascii="Arial" w:cs="Arial" w:eastAsia="Arial" w:hAnsi="Arial"/>
                <w:sz w:val="18"/>
                <w:szCs w:val="18"/>
                <w:color w:val="auto"/>
              </w:rPr>
              <w:t>We may redeem the Notes, in whole or in part, at any</w:t>
            </w:r>
          </w:p>
        </w:tc>
        <w:tc>
          <w:tcPr>
            <w:tcW w:w="1000" w:type="dxa"/>
            <w:vAlign w:val="bottom"/>
          </w:tcPr>
          <w:p>
            <w:pPr>
              <w:spacing w:after="0"/>
              <w:rPr>
                <w:sz w:val="24"/>
                <w:szCs w:val="24"/>
                <w:color w:val="auto"/>
              </w:rPr>
            </w:pPr>
          </w:p>
        </w:tc>
      </w:tr>
      <w:tr>
        <w:trPr>
          <w:trHeight w:val="230"/>
        </w:trPr>
        <w:tc>
          <w:tcPr>
            <w:tcW w:w="10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time and from time to time prior to maturity. If we</w:t>
            </w:r>
          </w:p>
        </w:tc>
        <w:tc>
          <w:tcPr>
            <w:tcW w:w="1000" w:type="dxa"/>
            <w:vAlign w:val="bottom"/>
          </w:tcPr>
          <w:p>
            <w:pPr>
              <w:spacing w:after="0"/>
              <w:rPr>
                <w:sz w:val="19"/>
                <w:szCs w:val="19"/>
                <w:color w:val="auto"/>
              </w:rPr>
            </w:pPr>
          </w:p>
        </w:tc>
      </w:tr>
      <w:tr>
        <w:trPr>
          <w:trHeight w:val="239"/>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redeem the Notes before                    , 2035</w:t>
            </w:r>
          </w:p>
        </w:tc>
        <w:tc>
          <w:tcPr>
            <w:tcW w:w="1000" w:type="dxa"/>
            <w:vAlign w:val="bottom"/>
          </w:tcPr>
          <w:p>
            <w:pPr>
              <w:spacing w:after="0"/>
              <w:rPr>
                <w:sz w:val="20"/>
                <w:szCs w:val="20"/>
                <w:color w:val="auto"/>
              </w:rPr>
            </w:pPr>
          </w:p>
        </w:tc>
      </w:tr>
      <w:tr>
        <w:trPr>
          <w:trHeight w:val="234"/>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(three months prior to the maturity date, which we</w:t>
            </w:r>
          </w:p>
        </w:tc>
        <w:tc>
          <w:tcPr>
            <w:tcW w:w="1000" w:type="dxa"/>
            <w:vAlign w:val="bottom"/>
          </w:tcPr>
          <w:p>
            <w:pPr>
              <w:spacing w:after="0"/>
              <w:rPr>
                <w:sz w:val="20"/>
                <w:szCs w:val="20"/>
                <w:color w:val="auto"/>
              </w:rPr>
            </w:pPr>
          </w:p>
        </w:tc>
      </w:tr>
      <w:tr>
        <w:trPr>
          <w:trHeight w:val="230"/>
        </w:trPr>
        <w:tc>
          <w:tcPr>
            <w:tcW w:w="10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refer to as the “Par Call Date”), then the redemption</w:t>
            </w:r>
          </w:p>
        </w:tc>
        <w:tc>
          <w:tcPr>
            <w:tcW w:w="1000" w:type="dxa"/>
            <w:vAlign w:val="bottom"/>
          </w:tcPr>
          <w:p>
            <w:pPr>
              <w:spacing w:after="0"/>
              <w:rPr>
                <w:sz w:val="19"/>
                <w:szCs w:val="19"/>
                <w:color w:val="auto"/>
              </w:rPr>
            </w:pPr>
          </w:p>
        </w:tc>
      </w:tr>
      <w:tr>
        <w:trPr>
          <w:trHeight w:val="239"/>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price will equal the applicable make-whole price</w:t>
            </w:r>
          </w:p>
        </w:tc>
        <w:tc>
          <w:tcPr>
            <w:tcW w:w="1000" w:type="dxa"/>
            <w:vAlign w:val="bottom"/>
          </w:tcPr>
          <w:p>
            <w:pPr>
              <w:spacing w:after="0"/>
              <w:rPr>
                <w:sz w:val="20"/>
                <w:szCs w:val="20"/>
                <w:color w:val="auto"/>
              </w:rPr>
            </w:pPr>
          </w:p>
        </w:tc>
      </w:tr>
      <w:tr>
        <w:trPr>
          <w:trHeight w:val="234"/>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described in this prospectus supplement under</w:t>
            </w:r>
          </w:p>
        </w:tc>
        <w:tc>
          <w:tcPr>
            <w:tcW w:w="1000" w:type="dxa"/>
            <w:vAlign w:val="bottom"/>
          </w:tcPr>
          <w:p>
            <w:pPr>
              <w:spacing w:after="0"/>
              <w:rPr>
                <w:sz w:val="20"/>
                <w:szCs w:val="20"/>
                <w:color w:val="auto"/>
              </w:rPr>
            </w:pPr>
          </w:p>
        </w:tc>
      </w:tr>
      <w:tr>
        <w:trPr>
          <w:trHeight w:val="230"/>
        </w:trPr>
        <w:tc>
          <w:tcPr>
            <w:tcW w:w="10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“Description of Notes—Optional Redemption.” If we</w:t>
            </w:r>
          </w:p>
        </w:tc>
        <w:tc>
          <w:tcPr>
            <w:tcW w:w="1000" w:type="dxa"/>
            <w:vAlign w:val="bottom"/>
          </w:tcPr>
          <w:p>
            <w:pPr>
              <w:spacing w:after="0"/>
              <w:rPr>
                <w:sz w:val="19"/>
                <w:szCs w:val="19"/>
                <w:color w:val="auto"/>
              </w:rPr>
            </w:pPr>
          </w:p>
        </w:tc>
      </w:tr>
      <w:tr>
        <w:trPr>
          <w:trHeight w:val="239"/>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redeem the Notes on or after the Par Call Date, we</w:t>
            </w:r>
          </w:p>
        </w:tc>
        <w:tc>
          <w:tcPr>
            <w:tcW w:w="1000" w:type="dxa"/>
            <w:vAlign w:val="bottom"/>
          </w:tcPr>
          <w:p>
            <w:pPr>
              <w:spacing w:after="0"/>
              <w:rPr>
                <w:sz w:val="20"/>
                <w:szCs w:val="20"/>
                <w:color w:val="auto"/>
              </w:rPr>
            </w:pPr>
          </w:p>
        </w:tc>
      </w:tr>
      <w:tr>
        <w:trPr>
          <w:trHeight w:val="234"/>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will pay an amount equal to 100% of the principal</w:t>
            </w:r>
          </w:p>
        </w:tc>
        <w:tc>
          <w:tcPr>
            <w:tcW w:w="1000" w:type="dxa"/>
            <w:vAlign w:val="bottom"/>
          </w:tcPr>
          <w:p>
            <w:pPr>
              <w:spacing w:after="0"/>
              <w:rPr>
                <w:sz w:val="20"/>
                <w:szCs w:val="20"/>
                <w:color w:val="auto"/>
              </w:rPr>
            </w:pPr>
          </w:p>
        </w:tc>
      </w:tr>
      <w:tr>
        <w:trPr>
          <w:trHeight w:val="229"/>
        </w:trPr>
        <w:tc>
          <w:tcPr>
            <w:tcW w:w="10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amount of the Notes to be redeemed plus accrued</w:t>
            </w:r>
          </w:p>
        </w:tc>
        <w:tc>
          <w:tcPr>
            <w:tcW w:w="1000" w:type="dxa"/>
            <w:vAlign w:val="bottom"/>
          </w:tcPr>
          <w:p>
            <w:pPr>
              <w:spacing w:after="0"/>
              <w:rPr>
                <w:sz w:val="19"/>
                <w:szCs w:val="19"/>
                <w:color w:val="auto"/>
              </w:rPr>
            </w:pPr>
          </w:p>
        </w:tc>
      </w:tr>
      <w:tr>
        <w:trPr>
          <w:trHeight w:val="239"/>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and unpaid interest to the redemption date. See</w:t>
            </w:r>
          </w:p>
        </w:tc>
        <w:tc>
          <w:tcPr>
            <w:tcW w:w="1000" w:type="dxa"/>
            <w:vAlign w:val="bottom"/>
          </w:tcPr>
          <w:p>
            <w:pPr>
              <w:spacing w:after="0"/>
              <w:rPr>
                <w:sz w:val="20"/>
                <w:szCs w:val="20"/>
                <w:color w:val="auto"/>
              </w:rPr>
            </w:pPr>
          </w:p>
        </w:tc>
      </w:tr>
      <w:tr>
        <w:trPr>
          <w:trHeight w:val="243"/>
        </w:trPr>
        <w:tc>
          <w:tcPr>
            <w:tcW w:w="10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“Description of Notes—Optional​ Redemption.”</w:t>
            </w:r>
          </w:p>
        </w:tc>
        <w:tc>
          <w:tcPr>
            <w:tcW w:w="1000" w:type="dxa"/>
            <w:vAlign w:val="bottom"/>
          </w:tcPr>
          <w:p>
            <w:pPr>
              <w:spacing w:after="0"/>
              <w:rPr>
                <w:sz w:val="21"/>
                <w:szCs w:val="21"/>
                <w:color w:val="auto"/>
              </w:rPr>
            </w:pPr>
          </w:p>
        </w:tc>
      </w:tr>
      <w:tr>
        <w:trPr>
          <w:trHeight w:val="328"/>
        </w:trPr>
        <w:tc>
          <w:tcPr>
            <w:tcW w:w="1040" w:type="dxa"/>
            <w:vAlign w:val="bottom"/>
          </w:tcPr>
          <w:p>
            <w:pPr>
              <w:spacing w:after="0"/>
              <w:rPr>
                <w:sz w:val="24"/>
                <w:szCs w:val="24"/>
                <w:color w:val="auto"/>
              </w:rPr>
            </w:pPr>
          </w:p>
        </w:tc>
        <w:tc>
          <w:tcPr>
            <w:tcW w:w="3160" w:type="dxa"/>
            <w:vAlign w:val="bottom"/>
          </w:tcPr>
          <w:p>
            <w:pPr>
              <w:ind w:left="240"/>
              <w:spacing w:after="0"/>
              <w:rPr>
                <w:sz w:val="20"/>
                <w:szCs w:val="20"/>
                <w:color w:val="auto"/>
              </w:rPr>
            </w:pPr>
            <w:r>
              <w:rPr>
                <w:rFonts w:ascii="Arial" w:cs="Arial" w:eastAsia="Arial" w:hAnsi="Arial"/>
                <w:sz w:val="18"/>
                <w:szCs w:val="18"/>
                <w:b w:val="1"/>
                <w:bCs w:val="1"/>
                <w:color w:val="auto"/>
              </w:rPr>
              <w:t>Ranking</w:t>
            </w:r>
          </w:p>
        </w:tc>
        <w:tc>
          <w:tcPr>
            <w:tcW w:w="5520" w:type="dxa"/>
            <w:vAlign w:val="bottom"/>
          </w:tcPr>
          <w:p>
            <w:pPr>
              <w:ind w:left="960"/>
              <w:spacing w:after="0"/>
              <w:rPr>
                <w:sz w:val="20"/>
                <w:szCs w:val="20"/>
                <w:color w:val="auto"/>
              </w:rPr>
            </w:pPr>
            <w:r>
              <w:rPr>
                <w:rFonts w:ascii="Arial" w:cs="Arial" w:eastAsia="Arial" w:hAnsi="Arial"/>
                <w:sz w:val="18"/>
                <w:szCs w:val="18"/>
                <w:color w:val="auto"/>
              </w:rPr>
              <w:t>The Notes will be senior unsecured obligations of the</w:t>
            </w:r>
          </w:p>
        </w:tc>
        <w:tc>
          <w:tcPr>
            <w:tcW w:w="1000" w:type="dxa"/>
            <w:vAlign w:val="bottom"/>
          </w:tcPr>
          <w:p>
            <w:pPr>
              <w:spacing w:after="0"/>
              <w:rPr>
                <w:sz w:val="24"/>
                <w:szCs w:val="24"/>
                <w:color w:val="auto"/>
              </w:rPr>
            </w:pPr>
          </w:p>
        </w:tc>
      </w:tr>
      <w:tr>
        <w:trPr>
          <w:trHeight w:val="239"/>
        </w:trPr>
        <w:tc>
          <w:tcPr>
            <w:tcW w:w="1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20" w:type="dxa"/>
            <w:vAlign w:val="bottom"/>
          </w:tcPr>
          <w:p>
            <w:pPr>
              <w:ind w:left="960"/>
              <w:spacing w:after="0"/>
              <w:rPr>
                <w:sz w:val="20"/>
                <w:szCs w:val="20"/>
                <w:color w:val="auto"/>
              </w:rPr>
            </w:pPr>
            <w:r>
              <w:rPr>
                <w:rFonts w:ascii="Arial" w:cs="Arial" w:eastAsia="Arial" w:hAnsi="Arial"/>
                <w:sz w:val="18"/>
                <w:szCs w:val="18"/>
                <w:color w:val="auto"/>
              </w:rPr>
              <w:t>issuers and will rank equally in right of payment</w:t>
            </w:r>
          </w:p>
        </w:tc>
        <w:tc>
          <w:tcPr>
            <w:tcW w:w="1000" w:type="dxa"/>
            <w:vAlign w:val="bottom"/>
          </w:tcPr>
          <w:p>
            <w:pPr>
              <w:spacing w:after="0"/>
              <w:rPr>
                <w:sz w:val="20"/>
                <w:szCs w:val="20"/>
                <w:color w:val="auto"/>
              </w:rPr>
            </w:pPr>
          </w:p>
        </w:tc>
      </w:tr>
      <w:tr>
        <w:trPr>
          <w:trHeight w:val="506"/>
        </w:trPr>
        <w:tc>
          <w:tcPr>
            <w:tcW w:w="104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r>
        <w:trPr>
          <w:trHeight w:val="298"/>
        </w:trPr>
        <w:tc>
          <w:tcPr>
            <w:tcW w:w="10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520" w:type="dxa"/>
            <w:vAlign w:val="bottom"/>
          </w:tcPr>
          <w:p>
            <w:pPr>
              <w:ind w:left="1020"/>
              <w:spacing w:after="0"/>
              <w:rPr>
                <w:sz w:val="20"/>
                <w:szCs w:val="20"/>
                <w:color w:val="auto"/>
              </w:rPr>
            </w:pPr>
            <w:r>
              <w:rPr>
                <w:rFonts w:ascii="Arial" w:cs="Arial" w:eastAsia="Arial" w:hAnsi="Arial"/>
                <w:sz w:val="18"/>
                <w:szCs w:val="18"/>
                <w:color w:val="auto"/>
              </w:rPr>
              <w:t>S-3</w:t>
            </w:r>
          </w:p>
        </w:tc>
        <w:tc>
          <w:tcPr>
            <w:tcW w:w="1000" w:type="dxa"/>
            <w:vAlign w:val="bottom"/>
          </w:tcPr>
          <w:p>
            <w:pPr>
              <w:spacing w:after="0"/>
              <w:rPr>
                <w:sz w:val="24"/>
                <w:szCs w:val="24"/>
                <w:color w:val="auto"/>
              </w:rPr>
            </w:pPr>
          </w:p>
        </w:tc>
      </w:tr>
      <w:tr>
        <w:trPr>
          <w:trHeight w:val="408"/>
        </w:trPr>
        <w:tc>
          <w:tcPr>
            <w:tcW w:w="104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with the existing and future senior indebtedness of the</w:t>
      </w:r>
    </w:p>
    <w:p>
      <w:pPr>
        <w:spacing w:after="0" w:line="4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issuers.</w:t>
      </w:r>
    </w:p>
    <w:p>
      <w:pPr>
        <w:sectPr>
          <w:pgSz w:w="11900" w:h="16838" w:orient="portrait"/>
          <w:cols w:equalWidth="0" w:num="1">
            <w:col w:w="9879"/>
          </w:cols>
          <w:pgMar w:left="580" w:top="97" w:right="1440" w:bottom="1440" w:gutter="0" w:footer="0" w:header="0"/>
        </w:sectPr>
      </w:pPr>
    </w:p>
    <w:p>
      <w:pPr>
        <w:spacing w:after="0" w:line="131"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Certain covenants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519"/>
        <w:spacing w:after="0" w:line="283" w:lineRule="auto"/>
        <w:rPr>
          <w:sz w:val="20"/>
          <w:szCs w:val="20"/>
          <w:color w:val="auto"/>
        </w:rPr>
      </w:pPr>
      <w:r>
        <w:rPr>
          <w:rFonts w:ascii="Arial" w:cs="Arial" w:eastAsia="Arial" w:hAnsi="Arial"/>
          <w:sz w:val="18"/>
          <w:szCs w:val="18"/>
          <w:color w:val="auto"/>
        </w:rPr>
        <w:t>The Notes will be issued under an indenture containing covenants for your benefit. These covenants restrict our ability, with certain exceptions, to:</w:t>
      </w:r>
    </w:p>
    <w:p>
      <w:pPr>
        <w:spacing w:after="0" w:line="117" w:lineRule="exact"/>
        <w:rPr>
          <w:sz w:val="20"/>
          <w:szCs w:val="20"/>
          <w:color w:val="auto"/>
        </w:rPr>
      </w:pPr>
    </w:p>
    <w:p>
      <w:pPr>
        <w:sectPr>
          <w:pgSz w:w="11900" w:h="16838" w:orient="portrait"/>
          <w:cols w:equalWidth="0" w:num="2">
            <w:col w:w="4440" w:space="720"/>
            <w:col w:w="4719"/>
          </w:cols>
          <w:pgMar w:left="580" w:top="97" w:right="1440" w:bottom="1440" w:gutter="0" w:footer="0" w:header="0"/>
          <w:type w:val="continuous"/>
        </w:sectPr>
      </w:pPr>
    </w:p>
    <w:p>
      <w:pPr>
        <w:ind w:left="51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incur liens on principal properties to secure debt;</w:t>
      </w:r>
    </w:p>
    <w:p>
      <w:pPr>
        <w:spacing w:after="0" w:line="196" w:lineRule="exact"/>
        <w:rPr>
          <w:sz w:val="20"/>
          <w:szCs w:val="20"/>
          <w:color w:val="auto"/>
        </w:rPr>
      </w:pPr>
    </w:p>
    <w:p>
      <w:pPr>
        <w:sectPr>
          <w:pgSz w:w="11900" w:h="16838" w:orient="portrait"/>
          <w:cols w:equalWidth="0" w:num="2">
            <w:col w:w="5220" w:space="280"/>
            <w:col w:w="4379"/>
          </w:cols>
          <w:pgMar w:left="580" w:top="97" w:right="1440" w:bottom="1440" w:gutter="0" w:footer="0" w:header="0"/>
          <w:type w:val="continuous"/>
        </w:sectPr>
      </w:pPr>
    </w:p>
    <w:p>
      <w:pPr>
        <w:ind w:left="51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engage in sale-leaseback transactions; and</w:t>
      </w:r>
    </w:p>
    <w:p>
      <w:pPr>
        <w:spacing w:after="0" w:line="183" w:lineRule="exact"/>
        <w:rPr>
          <w:sz w:val="20"/>
          <w:szCs w:val="20"/>
          <w:color w:val="auto"/>
        </w:rPr>
      </w:pPr>
    </w:p>
    <w:p>
      <w:pPr>
        <w:sectPr>
          <w:pgSz w:w="11900" w:h="16838" w:orient="portrait"/>
          <w:cols w:equalWidth="0" w:num="2">
            <w:col w:w="5220" w:space="280"/>
            <w:col w:w="4379"/>
          </w:cols>
          <w:pgMar w:left="580" w:top="97" w:right="1440" w:bottom="1440" w:gutter="0" w:footer="0" w:header="0"/>
          <w:type w:val="continuous"/>
        </w:sectPr>
      </w:pPr>
    </w:p>
    <w:p>
      <w:pPr>
        <w:ind w:left="51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459"/>
        <w:spacing w:after="0" w:line="292" w:lineRule="auto"/>
        <w:rPr>
          <w:sz w:val="20"/>
          <w:szCs w:val="20"/>
          <w:color w:val="auto"/>
        </w:rPr>
      </w:pPr>
      <w:r>
        <w:rPr>
          <w:rFonts w:ascii="Arial" w:cs="Arial" w:eastAsia="Arial" w:hAnsi="Arial"/>
          <w:sz w:val="18"/>
          <w:szCs w:val="18"/>
          <w:color w:val="auto"/>
        </w:rPr>
        <w:t>merge or consolidate with another entity or sell, lease or transfer substantially all of our properties or assets to another entity.</w:t>
      </w:r>
    </w:p>
    <w:p>
      <w:pPr>
        <w:spacing w:after="0" w:line="95" w:lineRule="exact"/>
        <w:rPr>
          <w:sz w:val="20"/>
          <w:szCs w:val="20"/>
          <w:color w:val="auto"/>
        </w:rPr>
      </w:pPr>
    </w:p>
    <w:p>
      <w:pPr>
        <w:sectPr>
          <w:pgSz w:w="11900" w:h="16838" w:orient="portrait"/>
          <w:cols w:equalWidth="0" w:num="2">
            <w:col w:w="5220" w:space="280"/>
            <w:col w:w="4379"/>
          </w:cols>
          <w:pgMar w:left="580" w:top="97" w:right="1440" w:bottom="1440" w:gutter="0" w:footer="0" w:header="0"/>
          <w:type w:val="continuous"/>
        </w:sectPr>
      </w:pPr>
    </w:p>
    <w:p>
      <w:pPr>
        <w:ind w:left="5160"/>
        <w:spacing w:after="0"/>
        <w:rPr>
          <w:sz w:val="20"/>
          <w:szCs w:val="20"/>
          <w:color w:val="auto"/>
        </w:rPr>
      </w:pPr>
      <w:r>
        <w:rPr>
          <w:rFonts w:ascii="Arial" w:cs="Arial" w:eastAsia="Arial" w:hAnsi="Arial"/>
          <w:sz w:val="17"/>
          <w:szCs w:val="17"/>
          <w:color w:val="auto"/>
        </w:rPr>
        <w:t>See “Description of Notes—Covenants.”</w:t>
      </w:r>
    </w:p>
    <w:p>
      <w:pPr>
        <w:sectPr>
          <w:pgSz w:w="11900" w:h="16838" w:orient="portrait"/>
          <w:cols w:equalWidth="0" w:num="1">
            <w:col w:w="9879"/>
          </w:cols>
          <w:pgMar w:left="580" w:top="97" w:right="1440" w:bottom="1440" w:gutter="0" w:footer="0" w:header="0"/>
          <w:type w:val="continuous"/>
        </w:sectPr>
      </w:pPr>
    </w:p>
    <w:p>
      <w:pPr>
        <w:spacing w:after="0" w:line="142"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419"/>
        <w:spacing w:after="0" w:line="273" w:lineRule="auto"/>
        <w:rPr>
          <w:sz w:val="20"/>
          <w:szCs w:val="20"/>
          <w:color w:val="auto"/>
        </w:rPr>
      </w:pPr>
      <w:r>
        <w:rPr>
          <w:rFonts w:ascii="Arial" w:cs="Arial" w:eastAsia="Arial" w:hAnsi="Arial"/>
          <w:sz w:val="18"/>
          <w:szCs w:val="18"/>
          <w:color w:val="auto"/>
        </w:rPr>
        <w:t>The net proceeds of this offering will be approximately $            million after deducting the underwriting discount and our estimated offering expenses. We intend to use the net proceeds from the offering to (i) fund the Ironwood Acquisition, (ii) fund the Preferred Unit Repurchase and (iii) repay amounts outstanding under our credit facilities and commercial paper program, and, pending such uses, for general partnership purposes, which may include, among other things, intra-group lending and related transactions, repayment of indebtedness, acquisitions, capital expenditures and additions to working capital. If we do not complete the Ironwood Acquisition and/or the Preferred Unit Repurchase, we expect to use the net proceeds from this offering for general partnership purposes as described above, including refinancing our 4.65% Senior Notes due October 2025 (the “2025 Notes”).</w:t>
      </w:r>
    </w:p>
    <w:p>
      <w:pPr>
        <w:spacing w:after="0" w:line="123" w:lineRule="exact"/>
        <w:rPr>
          <w:sz w:val="20"/>
          <w:szCs w:val="20"/>
          <w:color w:val="auto"/>
        </w:rPr>
      </w:pPr>
    </w:p>
    <w:p>
      <w:pPr>
        <w:sectPr>
          <w:pgSz w:w="11900" w:h="16838" w:orient="portrait"/>
          <w:cols w:equalWidth="0" w:num="2">
            <w:col w:w="4440" w:space="720"/>
            <w:col w:w="4719"/>
          </w:cols>
          <w:pgMar w:left="580" w:top="97" w:right="1440" w:bottom="1440" w:gutter="0" w:footer="0" w:header="0"/>
          <w:type w:val="continuous"/>
        </w:sectPr>
      </w:pPr>
    </w:p>
    <w:p>
      <w:pPr>
        <w:ind w:left="5160"/>
        <w:spacing w:after="0"/>
        <w:rPr>
          <w:sz w:val="20"/>
          <w:szCs w:val="20"/>
          <w:color w:val="auto"/>
        </w:rPr>
      </w:pPr>
      <w:r>
        <w:rPr>
          <w:rFonts w:ascii="Arial" w:cs="Arial" w:eastAsia="Arial" w:hAnsi="Arial"/>
          <w:sz w:val="17"/>
          <w:szCs w:val="17"/>
          <w:color w:val="auto"/>
        </w:rPr>
        <w:t>Affiliates of certain underwriters are lenders under our</w:t>
      </w:r>
    </w:p>
    <w:p>
      <w:pPr>
        <w:spacing w:after="0" w:line="4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credit facilities or dealers under our commercial paper</w:t>
      </w:r>
    </w:p>
    <w:p>
      <w:pPr>
        <w:spacing w:after="0" w:line="4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program and may hold commercial paper notes</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thereunder. Additionally, certain of the underwriters or</w:t>
      </w:r>
    </w:p>
    <w:p>
      <w:pPr>
        <w:spacing w:after="0" w:line="4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their affiliates may hold the 2025 Notes. To the extent</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we use proceeds from this offering to repay</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indebtedness under our credit facilities or commercial</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paper program or refinance the 2025 Notes, such</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underwriters and/or their affiliates may receive</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proceeds from this offering. See “Use of Proceeds.”</w:t>
      </w:r>
    </w:p>
    <w:p>
      <w:pPr>
        <w:sectPr>
          <w:pgSz w:w="11900" w:h="16838" w:orient="portrait"/>
          <w:cols w:equalWidth="0" w:num="1">
            <w:col w:w="9879"/>
          </w:cols>
          <w:pgMar w:left="580" w:top="97" w:right="1440" w:bottom="1440" w:gutter="0" w:footer="0" w:header="0"/>
          <w:type w:val="continuous"/>
        </w:sectPr>
      </w:pPr>
    </w:p>
    <w:p>
      <w:pPr>
        <w:spacing w:after="0" w:line="144" w:lineRule="exact"/>
        <w:rPr>
          <w:sz w:val="20"/>
          <w:szCs w:val="20"/>
          <w:color w:val="auto"/>
        </w:rPr>
      </w:pPr>
    </w:p>
    <w:p>
      <w:pPr>
        <w:jc w:val="center"/>
        <w:ind w:left="640"/>
        <w:spacing w:after="0"/>
        <w:rPr>
          <w:sz w:val="20"/>
          <w:szCs w:val="20"/>
          <w:color w:val="auto"/>
        </w:rPr>
      </w:pPr>
      <w:r>
        <w:rPr>
          <w:rFonts w:ascii="Arial" w:cs="Arial" w:eastAsia="Arial" w:hAnsi="Arial"/>
          <w:sz w:val="17"/>
          <w:szCs w:val="17"/>
          <w:b w:val="1"/>
          <w:bCs w:val="1"/>
          <w:color w:val="auto"/>
        </w:rPr>
        <w:t>Book-entry, delivery and form</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599"/>
        <w:spacing w:after="0" w:line="292" w:lineRule="auto"/>
        <w:rPr>
          <w:sz w:val="20"/>
          <w:szCs w:val="20"/>
          <w:color w:val="auto"/>
        </w:rPr>
      </w:pPr>
      <w:r>
        <w:rPr>
          <w:rFonts w:ascii="Arial" w:cs="Arial" w:eastAsia="Arial" w:hAnsi="Arial"/>
          <w:sz w:val="18"/>
          <w:szCs w:val="18"/>
          <w:color w:val="auto"/>
        </w:rPr>
        <w:t>The Notes will be represented by one or more permanent global certificates in fully registered form deposited with a custodian for, and registered</w:t>
      </w:r>
    </w:p>
    <w:p>
      <w:pPr>
        <w:spacing w:after="0" w:line="200" w:lineRule="exact"/>
        <w:rPr>
          <w:sz w:val="20"/>
          <w:szCs w:val="20"/>
          <w:color w:val="auto"/>
        </w:rPr>
      </w:pPr>
    </w:p>
    <w:p>
      <w:pPr>
        <w:sectPr>
          <w:pgSz w:w="11900" w:h="16838" w:orient="portrait"/>
          <w:cols w:equalWidth="0" w:num="2">
            <w:col w:w="4440" w:space="720"/>
            <w:col w:w="47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280" w:type="dxa"/>
        <w:tblCellMar>
          <w:top w:w="0" w:type="dxa"/>
          <w:left w:w="0" w:type="dxa"/>
          <w:bottom w:w="0" w:type="dxa"/>
          <w:right w:w="0" w:type="dxa"/>
        </w:tblCellMar>
      </w:tblPr>
      <w:tr>
        <w:trPr>
          <w:trHeight w:val="239"/>
        </w:trPr>
        <w:tc>
          <w:tcPr>
            <w:tcW w:w="2720" w:type="dxa"/>
            <w:vAlign w:val="bottom"/>
          </w:tcPr>
          <w:p>
            <w:pPr>
              <w:spacing w:after="0"/>
              <w:rPr>
                <w:sz w:val="20"/>
                <w:szCs w:val="20"/>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in the name of, a nominee of The Depository Trust</w:t>
            </w:r>
          </w:p>
        </w:tc>
      </w:tr>
      <w:tr>
        <w:trPr>
          <w:trHeight w:val="243"/>
        </w:trPr>
        <w:tc>
          <w:tcPr>
            <w:tcW w:w="2720" w:type="dxa"/>
            <w:vAlign w:val="bottom"/>
          </w:tcPr>
          <w:p>
            <w:pPr>
              <w:spacing w:after="0"/>
              <w:rPr>
                <w:sz w:val="21"/>
                <w:szCs w:val="21"/>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Company.</w:t>
            </w:r>
          </w:p>
        </w:tc>
      </w:tr>
      <w:tr>
        <w:trPr>
          <w:trHeight w:val="328"/>
        </w:trPr>
        <w:tc>
          <w:tcPr>
            <w:tcW w:w="2720" w:type="dxa"/>
            <w:vAlign w:val="bottom"/>
          </w:tcPr>
          <w:p>
            <w:pPr>
              <w:spacing w:after="0"/>
              <w:rPr>
                <w:sz w:val="20"/>
                <w:szCs w:val="20"/>
                <w:color w:val="auto"/>
              </w:rPr>
            </w:pPr>
            <w:r>
              <w:rPr>
                <w:rFonts w:ascii="Arial" w:cs="Arial" w:eastAsia="Arial" w:hAnsi="Arial"/>
                <w:sz w:val="18"/>
                <w:szCs w:val="18"/>
                <w:b w:val="1"/>
                <w:bCs w:val="1"/>
                <w:color w:val="auto"/>
              </w:rPr>
              <w:t>Further issuances</w:t>
            </w: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We may create and issue additional Notes ranking</w:t>
            </w:r>
          </w:p>
        </w:tc>
      </w:tr>
      <w:tr>
        <w:trPr>
          <w:trHeight w:val="239"/>
        </w:trPr>
        <w:tc>
          <w:tcPr>
            <w:tcW w:w="2720" w:type="dxa"/>
            <w:vAlign w:val="bottom"/>
          </w:tcPr>
          <w:p>
            <w:pPr>
              <w:spacing w:after="0"/>
              <w:rPr>
                <w:sz w:val="20"/>
                <w:szCs w:val="20"/>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equally and ratably with the Notes offered by this</w:t>
            </w:r>
          </w:p>
        </w:tc>
      </w:tr>
      <w:tr>
        <w:trPr>
          <w:trHeight w:val="234"/>
        </w:trPr>
        <w:tc>
          <w:tcPr>
            <w:tcW w:w="2720" w:type="dxa"/>
            <w:vAlign w:val="bottom"/>
          </w:tcPr>
          <w:p>
            <w:pPr>
              <w:spacing w:after="0"/>
              <w:rPr>
                <w:sz w:val="20"/>
                <w:szCs w:val="20"/>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prospectus supplement in all respects, so that such</w:t>
            </w:r>
          </w:p>
        </w:tc>
      </w:tr>
      <w:tr>
        <w:trPr>
          <w:trHeight w:val="229"/>
        </w:trPr>
        <w:tc>
          <w:tcPr>
            <w:tcW w:w="2720" w:type="dxa"/>
            <w:vAlign w:val="bottom"/>
          </w:tcPr>
          <w:p>
            <w:pPr>
              <w:spacing w:after="0"/>
              <w:rPr>
                <w:sz w:val="19"/>
                <w:szCs w:val="19"/>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additional Notes will be consolidated and form a</w:t>
            </w:r>
          </w:p>
        </w:tc>
      </w:tr>
      <w:tr>
        <w:trPr>
          <w:trHeight w:val="239"/>
        </w:trPr>
        <w:tc>
          <w:tcPr>
            <w:tcW w:w="2720" w:type="dxa"/>
            <w:vAlign w:val="bottom"/>
          </w:tcPr>
          <w:p>
            <w:pPr>
              <w:spacing w:after="0"/>
              <w:rPr>
                <w:sz w:val="20"/>
                <w:szCs w:val="20"/>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single series with such Notes and will have the same</w:t>
            </w:r>
          </w:p>
        </w:tc>
      </w:tr>
      <w:tr>
        <w:trPr>
          <w:trHeight w:val="234"/>
        </w:trPr>
        <w:tc>
          <w:tcPr>
            <w:tcW w:w="2720" w:type="dxa"/>
            <w:vAlign w:val="bottom"/>
          </w:tcPr>
          <w:p>
            <w:pPr>
              <w:spacing w:after="0"/>
              <w:rPr>
                <w:sz w:val="20"/>
                <w:szCs w:val="20"/>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terms, as to status, redemption or otherwise except</w:t>
            </w:r>
          </w:p>
        </w:tc>
      </w:tr>
      <w:tr>
        <w:trPr>
          <w:trHeight w:val="230"/>
        </w:trPr>
        <w:tc>
          <w:tcPr>
            <w:tcW w:w="2720" w:type="dxa"/>
            <w:vAlign w:val="bottom"/>
          </w:tcPr>
          <w:p>
            <w:pPr>
              <w:spacing w:after="0"/>
              <w:rPr>
                <w:sz w:val="19"/>
                <w:szCs w:val="19"/>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for the issue date, the initial interest payment date, if</w:t>
            </w:r>
          </w:p>
        </w:tc>
      </w:tr>
      <w:tr>
        <w:trPr>
          <w:trHeight w:val="239"/>
        </w:trPr>
        <w:tc>
          <w:tcPr>
            <w:tcW w:w="2720" w:type="dxa"/>
            <w:vAlign w:val="bottom"/>
          </w:tcPr>
          <w:p>
            <w:pPr>
              <w:spacing w:after="0"/>
              <w:rPr>
                <w:sz w:val="20"/>
                <w:szCs w:val="20"/>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applicable, and the payment of interest accruing prior</w:t>
            </w:r>
          </w:p>
        </w:tc>
      </w:tr>
      <w:tr>
        <w:trPr>
          <w:trHeight w:val="243"/>
        </w:trPr>
        <w:tc>
          <w:tcPr>
            <w:tcW w:w="2720" w:type="dxa"/>
            <w:vAlign w:val="bottom"/>
          </w:tcPr>
          <w:p>
            <w:pPr>
              <w:spacing w:after="0"/>
              <w:rPr>
                <w:sz w:val="21"/>
                <w:szCs w:val="21"/>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to the issue date of such additional Notes.</w:t>
            </w:r>
          </w:p>
        </w:tc>
      </w:tr>
      <w:tr>
        <w:trPr>
          <w:trHeight w:val="328"/>
        </w:trPr>
        <w:tc>
          <w:tcPr>
            <w:tcW w:w="2720" w:type="dxa"/>
            <w:vAlign w:val="bottom"/>
          </w:tcPr>
          <w:p>
            <w:pPr>
              <w:spacing w:after="0"/>
              <w:rPr>
                <w:sz w:val="20"/>
                <w:szCs w:val="20"/>
                <w:color w:val="auto"/>
              </w:rPr>
            </w:pPr>
            <w:r>
              <w:rPr>
                <w:rFonts w:ascii="Arial" w:cs="Arial" w:eastAsia="Arial" w:hAnsi="Arial"/>
                <w:sz w:val="18"/>
                <w:szCs w:val="18"/>
                <w:b w:val="1"/>
                <w:bCs w:val="1"/>
                <w:color w:val="auto"/>
              </w:rPr>
              <w:t>No listing</w:t>
            </w: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The Notes are a new issue of securities with no</w:t>
            </w:r>
          </w:p>
        </w:tc>
      </w:tr>
      <w:tr>
        <w:trPr>
          <w:trHeight w:val="239"/>
        </w:trPr>
        <w:tc>
          <w:tcPr>
            <w:tcW w:w="2720" w:type="dxa"/>
            <w:vAlign w:val="bottom"/>
          </w:tcPr>
          <w:p>
            <w:pPr>
              <w:spacing w:after="0"/>
              <w:rPr>
                <w:sz w:val="20"/>
                <w:szCs w:val="20"/>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w w:val="99"/>
              </w:rPr>
              <w:t>established trading market. We do not currently intend</w:t>
            </w:r>
          </w:p>
        </w:tc>
      </w:tr>
      <w:tr>
        <w:trPr>
          <w:trHeight w:val="234"/>
        </w:trPr>
        <w:tc>
          <w:tcPr>
            <w:tcW w:w="2720" w:type="dxa"/>
            <w:vAlign w:val="bottom"/>
          </w:tcPr>
          <w:p>
            <w:pPr>
              <w:spacing w:after="0"/>
              <w:rPr>
                <w:sz w:val="20"/>
                <w:szCs w:val="20"/>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to apply for listing of the Notes on any securities</w:t>
            </w:r>
          </w:p>
        </w:tc>
      </w:tr>
      <w:tr>
        <w:trPr>
          <w:trHeight w:val="230"/>
        </w:trPr>
        <w:tc>
          <w:tcPr>
            <w:tcW w:w="2720" w:type="dxa"/>
            <w:vAlign w:val="bottom"/>
          </w:tcPr>
          <w:p>
            <w:pPr>
              <w:spacing w:after="0"/>
              <w:rPr>
                <w:sz w:val="19"/>
                <w:szCs w:val="19"/>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exchange or have the Notes quoted on any</w:t>
            </w:r>
          </w:p>
        </w:tc>
      </w:tr>
      <w:tr>
        <w:trPr>
          <w:trHeight w:val="239"/>
        </w:trPr>
        <w:tc>
          <w:tcPr>
            <w:tcW w:w="2720" w:type="dxa"/>
            <w:vAlign w:val="bottom"/>
          </w:tcPr>
          <w:p>
            <w:pPr>
              <w:spacing w:after="0"/>
              <w:rPr>
                <w:sz w:val="20"/>
                <w:szCs w:val="20"/>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automated quotation system. See “Risk Factors—</w:t>
            </w:r>
          </w:p>
        </w:tc>
      </w:tr>
      <w:tr>
        <w:trPr>
          <w:trHeight w:val="234"/>
        </w:trPr>
        <w:tc>
          <w:tcPr>
            <w:tcW w:w="2720" w:type="dxa"/>
            <w:vAlign w:val="bottom"/>
          </w:tcPr>
          <w:p>
            <w:pPr>
              <w:spacing w:after="0"/>
              <w:rPr>
                <w:sz w:val="20"/>
                <w:szCs w:val="20"/>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Risks Related to the Notes—Your ability to transfer</w:t>
            </w:r>
          </w:p>
        </w:tc>
      </w:tr>
      <w:tr>
        <w:trPr>
          <w:trHeight w:val="229"/>
        </w:trPr>
        <w:tc>
          <w:tcPr>
            <w:tcW w:w="2720" w:type="dxa"/>
            <w:vAlign w:val="bottom"/>
          </w:tcPr>
          <w:p>
            <w:pPr>
              <w:spacing w:after="0"/>
              <w:rPr>
                <w:sz w:val="19"/>
                <w:szCs w:val="19"/>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the Notes may be limited by the absence of an</w:t>
            </w:r>
          </w:p>
        </w:tc>
      </w:tr>
      <w:tr>
        <w:trPr>
          <w:trHeight w:val="239"/>
        </w:trPr>
        <w:tc>
          <w:tcPr>
            <w:tcW w:w="2720" w:type="dxa"/>
            <w:vAlign w:val="bottom"/>
          </w:tcPr>
          <w:p>
            <w:pPr>
              <w:spacing w:after="0"/>
              <w:rPr>
                <w:sz w:val="20"/>
                <w:szCs w:val="20"/>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organized trading market.”</w:t>
            </w:r>
          </w:p>
        </w:tc>
      </w:tr>
      <w:tr>
        <w:trPr>
          <w:trHeight w:val="359"/>
        </w:trPr>
        <w:tc>
          <w:tcPr>
            <w:tcW w:w="2720" w:type="dxa"/>
            <w:vAlign w:val="bottom"/>
          </w:tcPr>
          <w:p>
            <w:pPr>
              <w:spacing w:after="0"/>
              <w:rPr>
                <w:sz w:val="20"/>
                <w:szCs w:val="20"/>
                <w:color w:val="auto"/>
              </w:rPr>
            </w:pPr>
            <w:r>
              <w:rPr>
                <w:rFonts w:ascii="Arial" w:cs="Arial" w:eastAsia="Arial" w:hAnsi="Arial"/>
                <w:sz w:val="18"/>
                <w:szCs w:val="18"/>
                <w:b w:val="1"/>
                <w:bCs w:val="1"/>
                <w:color w:val="auto"/>
              </w:rPr>
              <w:t>Governing law</w:t>
            </w: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State of New York.</w:t>
            </w:r>
          </w:p>
        </w:tc>
      </w:tr>
      <w:tr>
        <w:trPr>
          <w:trHeight w:val="338"/>
        </w:trPr>
        <w:tc>
          <w:tcPr>
            <w:tcW w:w="2720" w:type="dxa"/>
            <w:vAlign w:val="bottom"/>
          </w:tcPr>
          <w:p>
            <w:pPr>
              <w:spacing w:after="0"/>
              <w:rPr>
                <w:sz w:val="20"/>
                <w:szCs w:val="20"/>
                <w:color w:val="auto"/>
              </w:rPr>
            </w:pPr>
            <w:r>
              <w:rPr>
                <w:rFonts w:ascii="Arial" w:cs="Arial" w:eastAsia="Arial" w:hAnsi="Arial"/>
                <w:sz w:val="18"/>
                <w:szCs w:val="18"/>
                <w:b w:val="1"/>
                <w:bCs w:val="1"/>
                <w:color w:val="auto"/>
              </w:rPr>
              <w:t>Trustee</w:t>
            </w: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U.S. Bank Trust Company, National Association.</w:t>
            </w:r>
          </w:p>
        </w:tc>
      </w:tr>
      <w:tr>
        <w:trPr>
          <w:trHeight w:val="334"/>
        </w:trPr>
        <w:tc>
          <w:tcPr>
            <w:tcW w:w="272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Investing in the Notes involves risks. You should</w:t>
            </w:r>
          </w:p>
        </w:tc>
      </w:tr>
      <w:tr>
        <w:trPr>
          <w:trHeight w:val="229"/>
        </w:trPr>
        <w:tc>
          <w:tcPr>
            <w:tcW w:w="2720" w:type="dxa"/>
            <w:vAlign w:val="bottom"/>
          </w:tcPr>
          <w:p>
            <w:pPr>
              <w:spacing w:after="0"/>
              <w:rPr>
                <w:sz w:val="19"/>
                <w:szCs w:val="19"/>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consider carefully all of the information in this</w:t>
            </w:r>
          </w:p>
        </w:tc>
      </w:tr>
      <w:tr>
        <w:trPr>
          <w:trHeight w:val="230"/>
        </w:trPr>
        <w:tc>
          <w:tcPr>
            <w:tcW w:w="2720" w:type="dxa"/>
            <w:vAlign w:val="bottom"/>
          </w:tcPr>
          <w:p>
            <w:pPr>
              <w:spacing w:after="0"/>
              <w:rPr>
                <w:sz w:val="19"/>
                <w:szCs w:val="19"/>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prospectus supplement, the accompanying base</w:t>
            </w:r>
          </w:p>
        </w:tc>
      </w:tr>
      <w:tr>
        <w:trPr>
          <w:trHeight w:val="239"/>
        </w:trPr>
        <w:tc>
          <w:tcPr>
            <w:tcW w:w="2720" w:type="dxa"/>
            <w:vAlign w:val="bottom"/>
          </w:tcPr>
          <w:p>
            <w:pPr>
              <w:spacing w:after="0"/>
              <w:rPr>
                <w:sz w:val="20"/>
                <w:szCs w:val="20"/>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w w:val="99"/>
              </w:rPr>
              <w:t>prospectus, any free writing prospectus relating to this</w:t>
            </w:r>
          </w:p>
        </w:tc>
      </w:tr>
      <w:tr>
        <w:trPr>
          <w:trHeight w:val="234"/>
        </w:trPr>
        <w:tc>
          <w:tcPr>
            <w:tcW w:w="2720" w:type="dxa"/>
            <w:vAlign w:val="bottom"/>
          </w:tcPr>
          <w:p>
            <w:pPr>
              <w:spacing w:after="0"/>
              <w:rPr>
                <w:sz w:val="20"/>
                <w:szCs w:val="20"/>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offering and the documents incorporated by reference</w:t>
            </w:r>
          </w:p>
        </w:tc>
      </w:tr>
      <w:tr>
        <w:trPr>
          <w:trHeight w:val="230"/>
        </w:trPr>
        <w:tc>
          <w:tcPr>
            <w:tcW w:w="2720" w:type="dxa"/>
            <w:vAlign w:val="bottom"/>
          </w:tcPr>
          <w:p>
            <w:pPr>
              <w:spacing w:after="0"/>
              <w:rPr>
                <w:sz w:val="19"/>
                <w:szCs w:val="19"/>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herein and therein. In particular, you should consider</w:t>
            </w:r>
          </w:p>
        </w:tc>
      </w:tr>
      <w:tr>
        <w:trPr>
          <w:trHeight w:val="239"/>
        </w:trPr>
        <w:tc>
          <w:tcPr>
            <w:tcW w:w="2720" w:type="dxa"/>
            <w:vAlign w:val="bottom"/>
          </w:tcPr>
          <w:p>
            <w:pPr>
              <w:spacing w:after="0"/>
              <w:rPr>
                <w:sz w:val="20"/>
                <w:szCs w:val="20"/>
                <w:color w:val="auto"/>
              </w:rPr>
            </w:pPr>
          </w:p>
        </w:tc>
        <w:tc>
          <w:tcPr>
            <w:tcW w:w="5480" w:type="dxa"/>
            <w:vAlign w:val="bottom"/>
            <w:gridSpan w:val="3"/>
          </w:tcPr>
          <w:p>
            <w:pPr>
              <w:ind w:left="1160"/>
              <w:spacing w:after="0"/>
              <w:rPr>
                <w:sz w:val="20"/>
                <w:szCs w:val="20"/>
                <w:color w:val="auto"/>
              </w:rPr>
            </w:pPr>
            <w:r>
              <w:rPr>
                <w:rFonts w:ascii="Arial" w:cs="Arial" w:eastAsia="Arial" w:hAnsi="Arial"/>
                <w:sz w:val="18"/>
                <w:szCs w:val="18"/>
                <w:color w:val="auto"/>
              </w:rPr>
              <w:t>carefully the specific risks set forth in “Risk Factors”</w:t>
            </w:r>
          </w:p>
        </w:tc>
      </w:tr>
      <w:tr>
        <w:trPr>
          <w:trHeight w:val="199"/>
        </w:trPr>
        <w:tc>
          <w:tcPr>
            <w:tcW w:w="2720" w:type="dxa"/>
            <w:vAlign w:val="bottom"/>
          </w:tcPr>
          <w:p>
            <w:pPr>
              <w:spacing w:after="0"/>
              <w:rPr>
                <w:sz w:val="17"/>
                <w:szCs w:val="17"/>
                <w:color w:val="auto"/>
              </w:rPr>
            </w:pPr>
          </w:p>
        </w:tc>
        <w:tc>
          <w:tcPr>
            <w:tcW w:w="5480" w:type="dxa"/>
            <w:vAlign w:val="bottom"/>
            <w:gridSpan w:val="3"/>
          </w:tcPr>
          <w:p>
            <w:pPr>
              <w:ind w:left="1160"/>
              <w:spacing w:after="0" w:line="199" w:lineRule="exact"/>
              <w:rPr>
                <w:sz w:val="20"/>
                <w:szCs w:val="20"/>
                <w:color w:val="auto"/>
              </w:rPr>
            </w:pPr>
            <w:r>
              <w:rPr>
                <w:rFonts w:ascii="Arial" w:cs="Arial" w:eastAsia="Arial" w:hAnsi="Arial"/>
                <w:sz w:val="18"/>
                <w:szCs w:val="18"/>
                <w:color w:val="auto"/>
                <w:w w:val="99"/>
              </w:rPr>
              <w:t xml:space="preserve">beginning on page </w:t>
            </w:r>
            <w:r>
              <w:rPr>
                <w:rFonts w:ascii="Arial" w:cs="Arial" w:eastAsia="Arial" w:hAnsi="Arial"/>
                <w:sz w:val="18"/>
                <w:szCs w:val="18"/>
                <w:color w:val="0000EE"/>
                <w:w w:val="99"/>
              </w:rPr>
              <w:t>S-6</w:t>
            </w:r>
            <w:r>
              <w:rPr>
                <w:rFonts w:ascii="Arial" w:cs="Arial" w:eastAsia="Arial" w:hAnsi="Arial"/>
                <w:sz w:val="18"/>
                <w:szCs w:val="18"/>
                <w:color w:val="auto"/>
                <w:w w:val="99"/>
              </w:rPr>
              <w:t xml:space="preserve"> of this prospectus supplement.</w:t>
            </w:r>
          </w:p>
        </w:tc>
      </w:tr>
      <w:tr>
        <w:trPr>
          <w:trHeight w:val="20"/>
        </w:trPr>
        <w:tc>
          <w:tcPr>
            <w:tcW w:w="2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60"/>
        <w:spacing w:after="0"/>
        <w:rPr>
          <w:sz w:val="20"/>
          <w:szCs w:val="20"/>
          <w:color w:val="auto"/>
        </w:rPr>
      </w:pPr>
      <w:r>
        <w:rPr>
          <w:rFonts w:ascii="Arial" w:cs="Arial" w:eastAsia="Arial" w:hAnsi="Arial"/>
          <w:sz w:val="29"/>
          <w:szCs w:val="29"/>
          <w:b w:val="1"/>
          <w:bCs w:val="1"/>
          <w:color w:val="auto"/>
        </w:rPr>
        <w:t>Risk factors</w:t>
      </w:r>
    </w:p>
    <w:p>
      <w:pPr>
        <w:spacing w:after="0" w:line="170" w:lineRule="exact"/>
        <w:rPr>
          <w:sz w:val="20"/>
          <w:szCs w:val="20"/>
          <w:color w:val="auto"/>
        </w:rPr>
      </w:pPr>
    </w:p>
    <w:p>
      <w:pPr>
        <w:ind w:left="1260" w:right="439"/>
        <w:spacing w:after="0" w:line="275" w:lineRule="auto"/>
        <w:rPr>
          <w:rFonts w:ascii="Arial" w:cs="Arial" w:eastAsia="Arial" w:hAnsi="Arial"/>
          <w:sz w:val="18"/>
          <w:szCs w:val="18"/>
          <w:i w:val="1"/>
          <w:iCs w:val="1"/>
          <w:color w:val="0000EE"/>
        </w:rPr>
      </w:pPr>
      <w:r>
        <w:rPr>
          <w:rFonts w:ascii="Arial" w:cs="Arial" w:eastAsia="Arial" w:hAnsi="Arial"/>
          <w:sz w:val="18"/>
          <w:szCs w:val="18"/>
          <w:i w:val="1"/>
          <w:iCs w:val="1"/>
          <w:color w:val="auto"/>
        </w:rPr>
        <w:t xml:space="preserve">Before making an investment in the Notes offered hereby, you should carefully consider the risk factors </w:t>
      </w:r>
      <w:hyperlink r:id="rId26">
        <w:r>
          <w:rPr>
            <w:rFonts w:ascii="Arial" w:cs="Arial" w:eastAsia="Arial" w:hAnsi="Arial"/>
            <w:sz w:val="18"/>
            <w:szCs w:val="18"/>
            <w:i w:val="1"/>
            <w:iCs w:val="1"/>
            <w:color w:val="auto"/>
          </w:rPr>
          <w:t xml:space="preserve">discussed herein and those included in Item 1A. “Risk Factors” in our </w:t>
        </w:r>
        <w:r>
          <w:rPr>
            <w:rFonts w:ascii="Arial" w:cs="Arial" w:eastAsia="Arial" w:hAnsi="Arial"/>
            <w:sz w:val="18"/>
            <w:szCs w:val="18"/>
            <w:i w:val="1"/>
            <w:iCs w:val="1"/>
            <w:u w:val="single" w:color="auto"/>
            <w:color w:val="0000EE"/>
          </w:rPr>
          <w:t>Annual Report on Form 10-K for</w:t>
        </w:r>
      </w:hyperlink>
      <w:r>
        <w:rPr>
          <w:rFonts w:ascii="Arial" w:cs="Arial" w:eastAsia="Arial" w:hAnsi="Arial"/>
          <w:sz w:val="18"/>
          <w:szCs w:val="18"/>
          <w:i w:val="1"/>
          <w:iCs w:val="1"/>
          <w:color w:val="auto"/>
        </w:rPr>
        <w:t xml:space="preserve"> </w:t>
      </w:r>
      <w:hyperlink r:id="rId26">
        <w:r>
          <w:rPr>
            <w:rFonts w:ascii="Arial" w:cs="Arial" w:eastAsia="Arial" w:hAnsi="Arial"/>
            <w:sz w:val="18"/>
            <w:szCs w:val="18"/>
            <w:i w:val="1"/>
            <w:iCs w:val="1"/>
            <w:u w:val="single" w:color="auto"/>
            <w:color w:val="0000EE"/>
          </w:rPr>
          <w:t>the fiscal year ended December 31, 2023 (File No. 001-14569)</w:t>
        </w:r>
        <w:r>
          <w:rPr>
            <w:rFonts w:ascii="Arial" w:cs="Arial" w:eastAsia="Arial" w:hAnsi="Arial"/>
            <w:sz w:val="18"/>
            <w:szCs w:val="18"/>
            <w:i w:val="1"/>
            <w:iCs w:val="1"/>
            <w:color w:val="000000"/>
          </w:rPr>
          <w:t>, and in any of our subsequent quarterly</w:t>
        </w:r>
      </w:hyperlink>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or current reports, which are incorporated by reference herein, together with all of the other information included or incorporated by reference in this prospectus supplement and the accompanying base prospectus. If any of these risks were to occur, our business, financial condition or results of operations could be materially adversely affected. In such case, the value of the Notes could decline, and you could lose all or part of your investment.</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Risks related to the notes</w:t>
      </w:r>
    </w:p>
    <w:p>
      <w:pPr>
        <w:spacing w:after="0" w:line="204" w:lineRule="exact"/>
        <w:rPr>
          <w:sz w:val="20"/>
          <w:szCs w:val="20"/>
          <w:color w:val="auto"/>
        </w:rPr>
      </w:pPr>
    </w:p>
    <w:p>
      <w:pPr>
        <w:ind w:left="1260" w:right="479"/>
        <w:spacing w:after="0" w:line="250" w:lineRule="auto"/>
        <w:rPr>
          <w:sz w:val="20"/>
          <w:szCs w:val="20"/>
          <w:color w:val="auto"/>
        </w:rPr>
      </w:pPr>
      <w:r>
        <w:rPr>
          <w:rFonts w:ascii="Arial" w:cs="Arial" w:eastAsia="Arial" w:hAnsi="Arial"/>
          <w:sz w:val="17"/>
          <w:szCs w:val="17"/>
          <w:b w:val="1"/>
          <w:bCs w:val="1"/>
          <w:i w:val="1"/>
          <w:iCs w:val="1"/>
          <w:color w:val="auto"/>
        </w:rPr>
        <w:t>Your right to receive payments on the Notes is unsecured and will be effectively subordinated to our existing and future secured indebtedness and will be structurally subordinated as to any</w:t>
      </w:r>
    </w:p>
    <w:p>
      <w:pPr>
        <w:ind w:left="1260" w:right="1279"/>
        <w:spacing w:after="0" w:line="260" w:lineRule="auto"/>
        <w:rPr>
          <w:sz w:val="20"/>
          <w:szCs w:val="20"/>
          <w:color w:val="auto"/>
        </w:rPr>
      </w:pPr>
      <w:r>
        <w:rPr>
          <w:rFonts w:ascii="Arial" w:cs="Arial" w:eastAsia="Arial" w:hAnsi="Arial"/>
          <w:sz w:val="18"/>
          <w:szCs w:val="18"/>
          <w:b w:val="1"/>
          <w:bCs w:val="1"/>
          <w:i w:val="1"/>
          <w:iCs w:val="1"/>
          <w:color w:val="auto"/>
        </w:rPr>
        <w:t>existing and future indebtedness and other obligations of our subsidiaries, other than subsidiaries that may guarantee the Notes in the future.</w:t>
      </w:r>
    </w:p>
    <w:p>
      <w:pPr>
        <w:spacing w:after="0" w:line="101" w:lineRule="exact"/>
        <w:rPr>
          <w:sz w:val="20"/>
          <w:szCs w:val="20"/>
          <w:color w:val="auto"/>
        </w:rPr>
      </w:pPr>
    </w:p>
    <w:p>
      <w:pPr>
        <w:ind w:left="1260" w:right="439"/>
        <w:spacing w:after="0" w:line="274" w:lineRule="auto"/>
        <w:rPr>
          <w:sz w:val="20"/>
          <w:szCs w:val="20"/>
          <w:color w:val="auto"/>
        </w:rPr>
      </w:pPr>
      <w:r>
        <w:rPr>
          <w:rFonts w:ascii="Arial" w:cs="Arial" w:eastAsia="Arial" w:hAnsi="Arial"/>
          <w:sz w:val="18"/>
          <w:szCs w:val="18"/>
          <w:color w:val="auto"/>
        </w:rPr>
        <w:t>The Notes are effectively subordinated to claims of our secured creditors and to any existing and future indebtedness and other obligations of our subsidiaries, including trade payables, other than subsidiaries that guarantee the Notes in the future. As of September 30, 2024, on an as adjusted basis as described under “Capitalization,” the Notes would not have been effectively subordinated to any secured indebtedness and would not have been structurally subordinated to any of our subsidiaries’ indebtedness. In the event of the insolvency, bankruptcy, liquidation, reorganization, dissolution or winding up of the business of a subsidiary, other than a subsidiary that guarantees the Notes in the future, creditors of that subsidiary would generally have the right to be paid in full before any distribution is made to us or the holders of the Notes.</w:t>
      </w:r>
    </w:p>
    <w:p>
      <w:pPr>
        <w:spacing w:after="0" w:line="170" w:lineRule="exact"/>
        <w:rPr>
          <w:sz w:val="20"/>
          <w:szCs w:val="20"/>
          <w:color w:val="auto"/>
        </w:rPr>
      </w:pPr>
    </w:p>
    <w:p>
      <w:pPr>
        <w:ind w:left="1260" w:right="899"/>
        <w:spacing w:after="0" w:line="263" w:lineRule="auto"/>
        <w:rPr>
          <w:sz w:val="20"/>
          <w:szCs w:val="20"/>
          <w:color w:val="auto"/>
        </w:rPr>
      </w:pPr>
      <w:r>
        <w:rPr>
          <w:rFonts w:ascii="Arial" w:cs="Arial" w:eastAsia="Arial" w:hAnsi="Arial"/>
          <w:sz w:val="18"/>
          <w:szCs w:val="18"/>
          <w:b w:val="1"/>
          <w:bCs w:val="1"/>
          <w:i w:val="1"/>
          <w:iCs w:val="1"/>
          <w:color w:val="auto"/>
        </w:rPr>
        <w:t>Our leverage may limit our ability to borrow additional funds, comply with the terms of our indebtedness or capitalize on business opportunities.</w:t>
      </w:r>
    </w:p>
    <w:p>
      <w:pPr>
        <w:spacing w:after="0" w:line="111" w:lineRule="exact"/>
        <w:rPr>
          <w:sz w:val="20"/>
          <w:szCs w:val="20"/>
          <w:color w:val="auto"/>
        </w:rPr>
      </w:pPr>
    </w:p>
    <w:p>
      <w:pPr>
        <w:ind w:left="1260" w:right="899"/>
        <w:spacing w:after="0" w:line="271" w:lineRule="auto"/>
        <w:rPr>
          <w:sz w:val="20"/>
          <w:szCs w:val="20"/>
          <w:color w:val="auto"/>
        </w:rPr>
      </w:pPr>
      <w:r>
        <w:rPr>
          <w:rFonts w:ascii="Arial" w:cs="Arial" w:eastAsia="Arial" w:hAnsi="Arial"/>
          <w:sz w:val="18"/>
          <w:szCs w:val="18"/>
          <w:color w:val="auto"/>
        </w:rPr>
        <w:t>Our leverage is significant in relation to our partners’ capital. As of September 30, 2024, on an as adjusted basis as described under “Capitalization,” our total outstanding long-term debt was approximately $            billion, and our total outstanding short-term debt was approximately</w:t>
      </w:r>
    </w:p>
    <w:p>
      <w:pPr>
        <w:spacing w:after="0" w:line="1" w:lineRule="exact"/>
        <w:rPr>
          <w:sz w:val="20"/>
          <w:szCs w:val="20"/>
          <w:color w:val="auto"/>
        </w:rPr>
      </w:pPr>
    </w:p>
    <w:p>
      <w:pPr>
        <w:ind w:left="1260" w:right="439"/>
        <w:spacing w:after="0" w:line="283" w:lineRule="auto"/>
        <w:rPr>
          <w:sz w:val="20"/>
          <w:szCs w:val="20"/>
          <w:color w:val="auto"/>
        </w:rPr>
      </w:pPr>
      <w:r>
        <w:rPr>
          <w:rFonts w:ascii="Arial" w:cs="Arial" w:eastAsia="Arial" w:hAnsi="Arial"/>
          <w:sz w:val="18"/>
          <w:szCs w:val="18"/>
          <w:color w:val="auto"/>
        </w:rPr>
        <w:t>$765 million.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04" w:lineRule="exact"/>
        <w:rPr>
          <w:sz w:val="20"/>
          <w:szCs w:val="20"/>
          <w:color w:val="auto"/>
        </w:rPr>
      </w:pPr>
    </w:p>
    <w:p>
      <w:pPr>
        <w:ind w:left="1260" w:right="479"/>
        <w:spacing w:after="0" w:line="274" w:lineRule="auto"/>
        <w:rPr>
          <w:sz w:val="20"/>
          <w:szCs w:val="20"/>
          <w:color w:val="auto"/>
        </w:rPr>
      </w:pPr>
      <w:r>
        <w:rPr>
          <w:rFonts w:ascii="Arial" w:cs="Arial" w:eastAsia="Arial" w:hAnsi="Arial"/>
          <w:sz w:val="18"/>
          <w:szCs w:val="18"/>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credit facilities to service our indebtedness, although the principal amount of the Notes may need to be refinanced at or prior to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38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Your ability to transfer the Notes may be limited by the absence of an organized trading market.</w:t>
      </w:r>
    </w:p>
    <w:p>
      <w:pPr>
        <w:spacing w:after="0" w:line="142" w:lineRule="exact"/>
        <w:rPr>
          <w:sz w:val="20"/>
          <w:szCs w:val="20"/>
          <w:color w:val="auto"/>
        </w:rPr>
      </w:pPr>
    </w:p>
    <w:p>
      <w:pPr>
        <w:ind w:left="1260" w:right="439"/>
        <w:spacing w:after="0" w:line="264" w:lineRule="auto"/>
        <w:rPr>
          <w:sz w:val="20"/>
          <w:szCs w:val="20"/>
          <w:color w:val="auto"/>
        </w:rPr>
      </w:pPr>
      <w:r>
        <w:rPr>
          <w:rFonts w:ascii="Arial" w:cs="Arial" w:eastAsia="Arial" w:hAnsi="Arial"/>
          <w:sz w:val="18"/>
          <w:szCs w:val="18"/>
          <w:color w:val="auto"/>
        </w:rPr>
        <w:t>The Notes are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the Notes and other factors. Accordingly, we can give no assurance as to the development, continuation or liquidity of any market for the Notes.</w:t>
      </w:r>
    </w:p>
    <w:p>
      <w:pPr>
        <w:spacing w:after="0" w:line="179" w:lineRule="exact"/>
        <w:rPr>
          <w:sz w:val="20"/>
          <w:szCs w:val="20"/>
          <w:color w:val="auto"/>
        </w:rPr>
      </w:pPr>
    </w:p>
    <w:p>
      <w:pPr>
        <w:ind w:left="1260" w:right="739"/>
        <w:spacing w:after="0" w:line="263" w:lineRule="auto"/>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84" w:lineRule="exact"/>
        <w:rPr>
          <w:sz w:val="20"/>
          <w:szCs w:val="20"/>
          <w:color w:val="auto"/>
        </w:rPr>
      </w:pPr>
    </w:p>
    <w:p>
      <w:pPr>
        <w:ind w:left="1260" w:right="419"/>
        <w:spacing w:after="0" w:line="264" w:lineRule="auto"/>
        <w:rPr>
          <w:sz w:val="20"/>
          <w:szCs w:val="20"/>
          <w:color w:val="auto"/>
        </w:rPr>
      </w:pPr>
      <w:r>
        <w:rPr>
          <w:rFonts w:ascii="Arial" w:cs="Arial" w:eastAsia="Arial" w:hAnsi="Arial"/>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169"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b w:val="1"/>
          <w:bCs w:val="1"/>
          <w:i w:val="1"/>
          <w:iCs w:val="1"/>
          <w:color w:val="auto"/>
        </w:rPr>
        <w:t>Changes in our credit rating or outlook or in the rating assigned by a rating agency to the Notes could adversely affect the market price or liquidity of the Notes.</w:t>
      </w:r>
    </w:p>
    <w:p>
      <w:pPr>
        <w:spacing w:after="0" w:line="84" w:lineRule="exact"/>
        <w:rPr>
          <w:sz w:val="20"/>
          <w:szCs w:val="20"/>
          <w:color w:val="auto"/>
        </w:rPr>
      </w:pPr>
    </w:p>
    <w:p>
      <w:pPr>
        <w:ind w:left="1260" w:right="439"/>
        <w:spacing w:after="0" w:line="271" w:lineRule="auto"/>
        <w:rPr>
          <w:sz w:val="20"/>
          <w:szCs w:val="20"/>
          <w:color w:val="auto"/>
        </w:rPr>
      </w:pPr>
      <w:r>
        <w:rPr>
          <w:rFonts w:ascii="Arial" w:cs="Arial" w:eastAsia="Arial" w:hAnsi="Arial"/>
          <w:sz w:val="18"/>
          <w:szCs w:val="18"/>
          <w:color w:val="auto"/>
        </w:rPr>
        <w:t>Credit rating agencies continually revise their ratings and outlook for the companies that they follow, including us. The credit rating agencies also evaluate our industry as a whole and may change their credit ratings or outlook for us based on their overall view of our industry. We cannot be sure that credit rating agencies will maintain their ratings on the Notes. A negative change in our ratings or outlook could have an adverse effect on the price of the Notes.</w:t>
      </w:r>
    </w:p>
    <w:p>
      <w:pPr>
        <w:spacing w:after="0" w:line="100" w:lineRule="exact"/>
        <w:rPr>
          <w:sz w:val="20"/>
          <w:szCs w:val="20"/>
          <w:color w:val="auto"/>
        </w:rPr>
      </w:pPr>
    </w:p>
    <w:p>
      <w:pPr>
        <w:ind w:left="1260" w:right="579"/>
        <w:spacing w:after="0" w:line="271" w:lineRule="auto"/>
        <w:rPr>
          <w:sz w:val="20"/>
          <w:szCs w:val="20"/>
          <w:color w:val="auto"/>
        </w:rPr>
      </w:pPr>
      <w:r>
        <w:rPr>
          <w:rFonts w:ascii="Arial" w:cs="Arial" w:eastAsia="Arial" w:hAnsi="Arial"/>
          <w:sz w:val="18"/>
          <w:szCs w:val="18"/>
          <w:color w:val="auto"/>
        </w:rPr>
        <w:t>We expect that the Notes will be rated by nationally recognized statistical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lowering or withdrawal of a rating by a rating agency could reduce the liquidity or market value of the Notes.</w:t>
      </w:r>
    </w:p>
    <w:p>
      <w:pPr>
        <w:spacing w:after="0" w:line="156" w:lineRule="exact"/>
        <w:rPr>
          <w:sz w:val="20"/>
          <w:szCs w:val="20"/>
          <w:color w:val="auto"/>
        </w:rPr>
      </w:pPr>
    </w:p>
    <w:p>
      <w:pPr>
        <w:ind w:left="1260" w:right="599"/>
        <w:spacing w:after="0" w:line="263"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the Notes or to repay them at maturity.</w:t>
      </w:r>
    </w:p>
    <w:p>
      <w:pPr>
        <w:spacing w:after="0" w:line="84" w:lineRule="exact"/>
        <w:rPr>
          <w:sz w:val="20"/>
          <w:szCs w:val="20"/>
          <w:color w:val="auto"/>
        </w:rPr>
      </w:pPr>
    </w:p>
    <w:p>
      <w:pPr>
        <w:ind w:left="1260" w:right="439"/>
        <w:spacing w:after="0" w:line="303" w:lineRule="auto"/>
        <w:rPr>
          <w:sz w:val="20"/>
          <w:szCs w:val="20"/>
          <w:color w:val="auto"/>
        </w:rPr>
      </w:pPr>
      <w:r>
        <w:rPr>
          <w:rFonts w:ascii="Arial" w:cs="Arial" w:eastAsia="Arial" w:hAnsi="Arial"/>
          <w:sz w:val="18"/>
          <w:szCs w:val="18"/>
          <w:color w:val="auto"/>
        </w:rPr>
        <w:t>Unlike a corporation, our partnership agreement requires us to distribute, on a quarterly basis, 100% of our available cash to our unitholders of record. Available cash is generally defined as all</w:t>
      </w:r>
    </w:p>
    <w:p>
      <w:pPr>
        <w:spacing w:after="0" w:line="35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70" w:lineRule="auto"/>
        <w:rPr>
          <w:sz w:val="20"/>
          <w:szCs w:val="20"/>
          <w:color w:val="auto"/>
        </w:rPr>
      </w:pPr>
      <w:r>
        <w:rPr>
          <w:rFonts w:ascii="Arial" w:cs="Arial" w:eastAsia="Arial" w:hAnsi="Arial"/>
          <w:sz w:val="18"/>
          <w:szCs w:val="18"/>
          <w:color w:val="auto"/>
        </w:rPr>
        <w:t>of our cash receipts and cash equivalents on hand at the end of each quarter less reserves established in the discretion of our general partner for future requirements. Our available cash also includes cash on hand resulting from borrowings made after the end of the quarter.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74" w:lineRule="exact"/>
        <w:rPr>
          <w:sz w:val="20"/>
          <w:szCs w:val="20"/>
          <w:color w:val="auto"/>
        </w:rPr>
      </w:pPr>
    </w:p>
    <w:p>
      <w:pPr>
        <w:ind w:left="1400" w:right="839" w:hanging="140"/>
        <w:spacing w:after="0" w:line="303" w:lineRule="auto"/>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 of our operating partnerships (including reserves for future capital expenditures and for our anticipated future credit needs);</w:t>
      </w:r>
    </w:p>
    <w:p>
      <w:pPr>
        <w:spacing w:after="0" w:line="57" w:lineRule="exact"/>
        <w:rPr>
          <w:rFonts w:ascii="Arial" w:cs="Arial" w:eastAsia="Arial" w:hAnsi="Arial"/>
          <w:sz w:val="18"/>
          <w:szCs w:val="18"/>
          <w:color w:val="auto"/>
        </w:rPr>
      </w:pPr>
    </w:p>
    <w:p>
      <w:pPr>
        <w:ind w:left="1400" w:right="479" w:hanging="140"/>
        <w:spacing w:after="0" w:line="303" w:lineRule="auto"/>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comply with applicable law or any loan agreement, security agreement, mortgage, debt instrument or other agreement or obligation;</w:t>
      </w:r>
    </w:p>
    <w:p>
      <w:pPr>
        <w:spacing w:after="0" w:line="44" w:lineRule="exact"/>
        <w:rPr>
          <w:rFonts w:ascii="Arial" w:cs="Arial" w:eastAsia="Arial" w:hAnsi="Arial"/>
          <w:sz w:val="18"/>
          <w:szCs w:val="18"/>
          <w:color w:val="auto"/>
        </w:rPr>
      </w:pPr>
    </w:p>
    <w:p>
      <w:pPr>
        <w:ind w:left="1400" w:hanging="140"/>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provide funds for distributions to our preferred unitholders; or</w:t>
      </w:r>
    </w:p>
    <w:p>
      <w:pPr>
        <w:spacing w:after="0" w:line="130" w:lineRule="exact"/>
        <w:rPr>
          <w:rFonts w:ascii="Arial" w:cs="Arial" w:eastAsia="Arial" w:hAnsi="Arial"/>
          <w:sz w:val="18"/>
          <w:szCs w:val="18"/>
          <w:color w:val="auto"/>
        </w:rPr>
      </w:pPr>
    </w:p>
    <w:p>
      <w:pPr>
        <w:ind w:left="1400" w:right="879" w:hanging="140"/>
        <w:spacing w:after="0" w:line="318" w:lineRule="auto"/>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provide funds for distributions to our common unitholders for any one or more of the next four calendar quarters.</w:t>
      </w:r>
    </w:p>
    <w:p>
      <w:pPr>
        <w:spacing w:after="0" w:line="59" w:lineRule="exact"/>
        <w:rPr>
          <w:sz w:val="20"/>
          <w:szCs w:val="20"/>
          <w:color w:val="auto"/>
        </w:rPr>
      </w:pPr>
    </w:p>
    <w:p>
      <w:pPr>
        <w:ind w:left="1260" w:right="439"/>
        <w:spacing w:after="0" w:line="273" w:lineRule="auto"/>
        <w:rPr>
          <w:sz w:val="20"/>
          <w:szCs w:val="20"/>
          <w:color w:val="auto"/>
        </w:rPr>
      </w:pPr>
      <w:r>
        <w:rPr>
          <w:rFonts w:ascii="Arial" w:cs="Arial" w:eastAsia="Arial" w:hAnsi="Arial"/>
          <w:sz w:val="18"/>
          <w:szCs w:val="18"/>
          <w:color w:val="auto"/>
        </w:rPr>
        <w:t>Although our payment obligations to our unitholders are subordinate to our payment obligations to you, the value of our units may decrease in direct correlation with decreases in the amount we distribute per unit. Accordingly, if we experience a liquidity problem in the future, we may not be able to issue equity to recapitalize.</w:t>
      </w:r>
    </w:p>
    <w:p>
      <w:pPr>
        <w:spacing w:after="0" w:line="154" w:lineRule="exact"/>
        <w:rPr>
          <w:sz w:val="20"/>
          <w:szCs w:val="20"/>
          <w:color w:val="auto"/>
        </w:rPr>
      </w:pPr>
    </w:p>
    <w:p>
      <w:pPr>
        <w:ind w:left="1260" w:right="519"/>
        <w:spacing w:after="0" w:line="229" w:lineRule="auto"/>
        <w:rPr>
          <w:sz w:val="20"/>
          <w:szCs w:val="20"/>
          <w:color w:val="auto"/>
        </w:rPr>
      </w:pPr>
      <w:r>
        <w:rPr>
          <w:rFonts w:ascii="Arial" w:cs="Arial" w:eastAsia="Arial" w:hAnsi="Arial"/>
          <w:sz w:val="18"/>
          <w:szCs w:val="18"/>
          <w:b w:val="1"/>
          <w:bCs w:val="1"/>
          <w:i w:val="1"/>
          <w:iCs w:val="1"/>
          <w:color w:val="auto"/>
        </w:rPr>
        <w:t>Our tax treatment depends on our status as a partnership for U.S. federal income tax purposes and not being subject to a material amount of entity-level taxation by individual states. If the Internal Revenue Service (“IRS”) were to treat us as a corporation for U.S. federal income tax purposes, or if we become subject to entity-level taxation for state or foreign tax purposes, our cash available for payment of principal and interest on the Notes and our other indebtedness could be substantially reduced.</w:t>
      </w:r>
    </w:p>
    <w:p>
      <w:pPr>
        <w:spacing w:after="0" w:line="109" w:lineRule="exact"/>
        <w:rPr>
          <w:sz w:val="20"/>
          <w:szCs w:val="20"/>
          <w:color w:val="auto"/>
        </w:rPr>
      </w:pPr>
    </w:p>
    <w:p>
      <w:pPr>
        <w:ind w:left="1260" w:right="419"/>
        <w:spacing w:after="0" w:line="264" w:lineRule="auto"/>
        <w:rPr>
          <w:sz w:val="20"/>
          <w:szCs w:val="20"/>
          <w:color w:val="auto"/>
        </w:rPr>
      </w:pPr>
      <w:r>
        <w:rPr>
          <w:rFonts w:ascii="Arial" w:cs="Arial" w:eastAsia="Arial" w:hAnsi="Arial"/>
          <w:sz w:val="18"/>
          <w:szCs w:val="18"/>
          <w:color w:val="auto"/>
        </w:rPr>
        <w:t>A publicly traded partnership such as us may be treated as a corporation for federal income tax purposes unless it satisfies a “qualifying income” requirement as defined in Section 7704 of the Internal Revenue Code of 1986, as amended (the “Code”). Based upon our current operations and current U.S.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 and our cash available for payment of principal and interest on the Notes and other indebtedness could be substantially reduced.</w:t>
      </w:r>
    </w:p>
    <w:p>
      <w:pPr>
        <w:spacing w:after="0" w:line="124" w:lineRule="exact"/>
        <w:rPr>
          <w:sz w:val="20"/>
          <w:szCs w:val="20"/>
          <w:color w:val="auto"/>
        </w:rPr>
      </w:pPr>
    </w:p>
    <w:p>
      <w:pPr>
        <w:ind w:left="1260" w:right="419"/>
        <w:spacing w:after="0" w:line="283" w:lineRule="auto"/>
        <w:rPr>
          <w:sz w:val="20"/>
          <w:szCs w:val="20"/>
          <w:color w:val="auto"/>
        </w:rPr>
      </w:pPr>
      <w:r>
        <w:rPr>
          <w:rFonts w:ascii="Arial" w:cs="Arial" w:eastAsia="Arial" w:hAnsi="Arial"/>
          <w:sz w:val="18"/>
          <w:szCs w:val="18"/>
          <w:color w:val="auto"/>
        </w:rPr>
        <w:t>In addition, several states impose and others have been evaluating ways to subject partnerships to entity-level taxation through the imposition of state income, franchise and other forms of taxation. For example, we are subject to entity-level tax on the portion of our income apportioned to Texas. Imposition of any similar or additional federal or foreign taxes on us could substantially reduce our cash available for payment of principal and interest on the Notes and our other indebtedness.</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If the IRS makes audit adjustments to our income tax returns for tax years beginning after</w:t>
      </w:r>
    </w:p>
    <w:p>
      <w:pPr>
        <w:spacing w:after="0" w:line="12" w:lineRule="exact"/>
        <w:rPr>
          <w:sz w:val="20"/>
          <w:szCs w:val="20"/>
          <w:color w:val="auto"/>
        </w:rPr>
      </w:pPr>
    </w:p>
    <w:p>
      <w:pPr>
        <w:ind w:left="1260" w:right="799"/>
        <w:spacing w:after="0"/>
        <w:rPr>
          <w:sz w:val="20"/>
          <w:szCs w:val="20"/>
          <w:color w:val="auto"/>
        </w:rPr>
      </w:pPr>
      <w:r>
        <w:rPr>
          <w:rFonts w:ascii="Arial" w:cs="Arial" w:eastAsia="Arial" w:hAnsi="Arial"/>
          <w:sz w:val="17"/>
          <w:szCs w:val="17"/>
          <w:b w:val="1"/>
          <w:bCs w:val="1"/>
          <w:i w:val="1"/>
          <w:iCs w:val="1"/>
          <w:color w:val="auto"/>
        </w:rPr>
        <w:t>December 31, 2017, it (and some states) may assess and collect any taxes (including any applicable penalties and interest) resulting from such audit adjustments directly from us, in</w:t>
      </w:r>
    </w:p>
    <w:p>
      <w:pPr>
        <w:spacing w:after="0" w:line="1" w:lineRule="exact"/>
        <w:rPr>
          <w:sz w:val="20"/>
          <w:szCs w:val="20"/>
          <w:color w:val="auto"/>
        </w:rPr>
      </w:pPr>
    </w:p>
    <w:p>
      <w:pPr>
        <w:ind w:left="1260" w:right="539"/>
        <w:spacing w:after="0" w:line="260" w:lineRule="auto"/>
        <w:rPr>
          <w:sz w:val="20"/>
          <w:szCs w:val="20"/>
          <w:color w:val="auto"/>
        </w:rPr>
      </w:pPr>
      <w:r>
        <w:rPr>
          <w:rFonts w:ascii="Arial" w:cs="Arial" w:eastAsia="Arial" w:hAnsi="Arial"/>
          <w:sz w:val="18"/>
          <w:szCs w:val="18"/>
          <w:b w:val="1"/>
          <w:bCs w:val="1"/>
          <w:i w:val="1"/>
          <w:iCs w:val="1"/>
          <w:color w:val="auto"/>
        </w:rPr>
        <w:t>which case our cash available for payment of principal and interest on the Notes and our other indebtedness could be substantially reduced.</w:t>
      </w:r>
    </w:p>
    <w:p>
      <w:pPr>
        <w:spacing w:after="0" w:line="101" w:lineRule="exact"/>
        <w:rPr>
          <w:sz w:val="20"/>
          <w:szCs w:val="20"/>
          <w:color w:val="auto"/>
        </w:rPr>
      </w:pPr>
    </w:p>
    <w:p>
      <w:pPr>
        <w:ind w:left="1260" w:right="519"/>
        <w:spacing w:after="0" w:line="283" w:lineRule="auto"/>
        <w:rPr>
          <w:sz w:val="20"/>
          <w:szCs w:val="20"/>
          <w:color w:val="auto"/>
        </w:rPr>
      </w:pPr>
      <w:r>
        <w:rPr>
          <w:rFonts w:ascii="Arial" w:cs="Arial" w:eastAsia="Arial" w:hAnsi="Arial"/>
          <w:sz w:val="18"/>
          <w:szCs w:val="18"/>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w:t>
      </w:r>
    </w:p>
    <w:p>
      <w:pPr>
        <w:spacing w:after="0" w:line="37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right="419"/>
        <w:spacing w:after="0" w:line="276" w:lineRule="auto"/>
        <w:rPr>
          <w:sz w:val="20"/>
          <w:szCs w:val="20"/>
          <w:color w:val="auto"/>
        </w:rPr>
      </w:pPr>
      <w:r>
        <w:rPr>
          <w:rFonts w:ascii="Arial" w:cs="Arial" w:eastAsia="Arial" w:hAnsi="Arial"/>
          <w:sz w:val="18"/>
          <w:szCs w:val="18"/>
          <w:color w:val="auto"/>
        </w:rPr>
        <w:t>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adjustments into account and pay any resulting taxes (including applicable penalties or interest) in accordance with their interests in us during the tax year under audit, there can be no assurance that such election will be practical, permissible or effective in all circumstances. If, as a result of any such audit adjustment, we are required to make payments of taxes, penalties and interest, our cash available for payment of principal and interest on the Notes and our other indebtedness could be substantially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60"/>
        <w:spacing w:after="0"/>
        <w:rPr>
          <w:sz w:val="20"/>
          <w:szCs w:val="20"/>
          <w:color w:val="auto"/>
        </w:rPr>
      </w:pPr>
      <w:r>
        <w:rPr>
          <w:rFonts w:ascii="Arial" w:cs="Arial" w:eastAsia="Arial" w:hAnsi="Arial"/>
          <w:sz w:val="29"/>
          <w:szCs w:val="29"/>
          <w:b w:val="1"/>
          <w:bCs w:val="1"/>
          <w:color w:val="auto"/>
        </w:rPr>
        <w:t>Use of proceeds</w:t>
      </w:r>
    </w:p>
    <w:p>
      <w:pPr>
        <w:spacing w:after="0" w:line="168" w:lineRule="exact"/>
        <w:rPr>
          <w:sz w:val="20"/>
          <w:szCs w:val="20"/>
          <w:color w:val="auto"/>
        </w:rPr>
      </w:pPr>
    </w:p>
    <w:p>
      <w:pPr>
        <w:ind w:left="1260" w:right="499"/>
        <w:spacing w:after="0" w:line="287" w:lineRule="auto"/>
        <w:rPr>
          <w:sz w:val="20"/>
          <w:szCs w:val="20"/>
          <w:color w:val="auto"/>
        </w:rPr>
      </w:pPr>
      <w:r>
        <w:rPr>
          <w:rFonts w:ascii="Arial" w:cs="Arial" w:eastAsia="Arial" w:hAnsi="Arial"/>
          <w:sz w:val="17"/>
          <w:szCs w:val="17"/>
          <w:color w:val="auto"/>
        </w:rPr>
        <w:t>The net proceeds of this offering will be approximately $            million after deducting the underwriting discount and our estimated offering expenses. We intend to use the net proceeds from the offering to</w:t>
      </w:r>
    </w:p>
    <w:p>
      <w:pPr>
        <w:spacing w:after="0" w:line="1" w:lineRule="exact"/>
        <w:rPr>
          <w:sz w:val="20"/>
          <w:szCs w:val="20"/>
          <w:color w:val="auto"/>
        </w:rPr>
      </w:pPr>
    </w:p>
    <w:p>
      <w:pPr>
        <w:ind w:left="1260" w:right="459"/>
        <w:spacing w:after="0" w:line="275" w:lineRule="auto"/>
        <w:tabs>
          <w:tab w:leader="none" w:pos="147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 the Ironwood Acquisition, (ii) fund the Preferred Unit Repurchase and (iii) repay amounts outstanding under our credit facilities and commercial paper program, and, pending such uses, for general partnership purposes, which may include, among other things, intra-group lending and related transactions, repayment of indebtedness, acquisitions, capital expenditures and additions to working capital. If we do not complete the Ironwood Acquisition and/or the Preferred Unit Repurchase, we expect to use the net proceeds from this offering for general partnership purposes as described above, including refinancing the 2025 Notes.</w:t>
      </w:r>
    </w:p>
    <w:p>
      <w:pPr>
        <w:spacing w:after="0" w:line="112" w:lineRule="exact"/>
        <w:rPr>
          <w:sz w:val="20"/>
          <w:szCs w:val="20"/>
          <w:color w:val="auto"/>
        </w:rPr>
      </w:pPr>
    </w:p>
    <w:p>
      <w:pPr>
        <w:ind w:left="1260" w:right="419"/>
        <w:spacing w:after="0" w:line="273" w:lineRule="auto"/>
        <w:rPr>
          <w:sz w:val="20"/>
          <w:szCs w:val="20"/>
          <w:color w:val="auto"/>
        </w:rPr>
      </w:pPr>
      <w:r>
        <w:rPr>
          <w:rFonts w:ascii="Arial" w:cs="Arial" w:eastAsia="Arial" w:hAnsi="Arial"/>
          <w:sz w:val="18"/>
          <w:szCs w:val="18"/>
          <w:color w:val="auto"/>
        </w:rPr>
        <w:t>As of September 30, 2024, we had no borrowings outstanding under our commercial paper program or our senior secured hedged inventory facility. As of December 31, 2024, we had an estimated $393 million in outstanding borrowings under our commercial paper program with a weighted average interest rate of 4.6% and a weighted average maturity of four days. The foregoing information is based on preliminary unaudited information and management estimates for the year ended December 31, 2024, is not a comprehensive statement of our financial results, and is subject to completion of our financial closing procedures. During our financial closing process our estimates can differ materially from our initial estimates presented herein based on our receipt of updated information. See the sections entitled “Risk Factors” and “Forward-Looking Statements” in this prospectus supplement and in the documents incorporated by reference herein for a discussion of certain factors that could result in differences between these preliminary unaudited estimates and the actual results. The preliminary financial data regarding December 31, 2024 outstanding borrowings under our commercial paper program included in this prospectus supplement has been prepared by, and is the responsibility of, our management. PricewaterhouseCoopers LLP has not audited, reviewed, examined, compiled, nor applied agreed-upon procedures with respect to the preliminary financial data. Accordingly, PricewaterhouseCoopers LLP does not express an opinion or any other form of assurance with respect thereto.</w:t>
      </w:r>
    </w:p>
    <w:p>
      <w:pPr>
        <w:spacing w:after="0" w:line="115" w:lineRule="exact"/>
        <w:rPr>
          <w:sz w:val="20"/>
          <w:szCs w:val="20"/>
          <w:color w:val="auto"/>
        </w:rPr>
      </w:pPr>
    </w:p>
    <w:p>
      <w:pPr>
        <w:ind w:left="1260" w:right="439"/>
        <w:spacing w:after="0" w:line="283" w:lineRule="auto"/>
        <w:rPr>
          <w:sz w:val="20"/>
          <w:szCs w:val="20"/>
          <w:color w:val="auto"/>
        </w:rPr>
      </w:pPr>
      <w:r>
        <w:rPr>
          <w:rFonts w:ascii="Arial" w:cs="Arial" w:eastAsia="Arial" w:hAnsi="Arial"/>
          <w:sz w:val="18"/>
          <w:szCs w:val="18"/>
          <w:color w:val="auto"/>
        </w:rPr>
        <w:t>Our commercial paper program is backstopped by our senior secured hedged inventory facility and our senior unsecured revolving credit facility that primarily mature in August 2027 and August 2029, respectively. Borrowings from our credit facilities and our commercial paper program were used to fund the Midway Acquisition and the Medallion Acquisition and are used to meet our ongoing operating, investing and financing needs.</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2025 Notes have an interest rate of 4.65% per annum and mature on October 15, 2025.</w:t>
      </w:r>
    </w:p>
    <w:p>
      <w:pPr>
        <w:spacing w:after="0" w:line="171" w:lineRule="exact"/>
        <w:rPr>
          <w:sz w:val="20"/>
          <w:szCs w:val="20"/>
          <w:color w:val="auto"/>
        </w:rPr>
      </w:pPr>
    </w:p>
    <w:p>
      <w:pPr>
        <w:ind w:left="1260" w:right="499"/>
        <w:spacing w:after="0" w:line="276" w:lineRule="auto"/>
        <w:rPr>
          <w:sz w:val="20"/>
          <w:szCs w:val="20"/>
          <w:color w:val="auto"/>
        </w:rPr>
      </w:pPr>
      <w:r>
        <w:rPr>
          <w:rFonts w:ascii="Arial" w:cs="Arial" w:eastAsia="Arial" w:hAnsi="Arial"/>
          <w:sz w:val="18"/>
          <w:szCs w:val="18"/>
          <w:color w:val="auto"/>
        </w:rPr>
        <w:t>Affiliates of certain underwriters are lenders under our credit facilities or dealers under our commercial paper program and may hold commercial paper notes thereunder. Additionally, certain of the underwriters or their affiliates may hold the 2025 Notes. To the extent we use proceeds from this offering to repay indebtedness under our credit facilities or commercial paper program or refinance the 2025 Notes, such underwriters and/or their affiliates may receive proceeds from this offering. See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20"/>
        <w:spacing w:after="0"/>
        <w:rPr>
          <w:sz w:val="20"/>
          <w:szCs w:val="20"/>
          <w:color w:val="auto"/>
        </w:rPr>
      </w:pPr>
      <w:r>
        <w:rPr>
          <w:rFonts w:ascii="Arial" w:cs="Arial" w:eastAsia="Arial" w:hAnsi="Arial"/>
          <w:sz w:val="29"/>
          <w:szCs w:val="29"/>
          <w:b w:val="1"/>
          <w:bCs w:val="1"/>
          <w:color w:val="auto"/>
        </w:rPr>
        <w:t>Capitalization</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sets forth our capitalization as of September 30, 2024:</w:t>
      </w:r>
    </w:p>
    <w:p>
      <w:pPr>
        <w:spacing w:after="0" w:line="131" w:lineRule="exact"/>
        <w:rPr>
          <w:sz w:val="20"/>
          <w:szCs w:val="20"/>
          <w:color w:val="auto"/>
        </w:rPr>
      </w:pPr>
    </w:p>
    <w:p>
      <w:pPr>
        <w:ind w:left="1400" w:hanging="140"/>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 historical basis; and</w:t>
      </w:r>
    </w:p>
    <w:p>
      <w:pPr>
        <w:spacing w:after="0" w:line="130" w:lineRule="exact"/>
        <w:rPr>
          <w:rFonts w:ascii="Arial" w:cs="Arial" w:eastAsia="Arial" w:hAnsi="Arial"/>
          <w:sz w:val="18"/>
          <w:szCs w:val="18"/>
          <w:color w:val="auto"/>
        </w:rPr>
      </w:pPr>
    </w:p>
    <w:p>
      <w:pPr>
        <w:ind w:left="1400" w:right="679" w:hanging="140"/>
        <w:spacing w:after="0" w:line="318" w:lineRule="auto"/>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of the Notes offered hereby and the receipt of the net proceeds therefrom.</w:t>
      </w:r>
    </w:p>
    <w:p>
      <w:pPr>
        <w:spacing w:after="0" w:line="72" w:lineRule="exact"/>
        <w:rPr>
          <w:sz w:val="20"/>
          <w:szCs w:val="20"/>
          <w:color w:val="auto"/>
        </w:rPr>
      </w:pPr>
    </w:p>
    <w:p>
      <w:pPr>
        <w:ind w:left="1260" w:right="819"/>
        <w:spacing w:after="0" w:line="303" w:lineRule="auto"/>
        <w:rPr>
          <w:sz w:val="20"/>
          <w:szCs w:val="20"/>
          <w:color w:val="auto"/>
        </w:rPr>
      </w:pPr>
      <w:r>
        <w:rPr>
          <w:rFonts w:ascii="Arial" w:cs="Arial" w:eastAsia="Arial" w:hAnsi="Arial"/>
          <w:sz w:val="18"/>
          <w:szCs w:val="18"/>
          <w:color w:val="auto"/>
        </w:rPr>
        <w:t>The table below does not reflect the application of the net proceeds from this offering as described under “Use of Proceeds.”</w:t>
      </w:r>
    </w:p>
    <w:p>
      <w:pPr>
        <w:spacing w:after="0" w:line="85" w:lineRule="exact"/>
        <w:rPr>
          <w:sz w:val="20"/>
          <w:szCs w:val="20"/>
          <w:color w:val="auto"/>
        </w:rPr>
      </w:pPr>
    </w:p>
    <w:p>
      <w:pPr>
        <w:ind w:left="1260" w:right="719"/>
        <w:spacing w:after="0" w:line="303" w:lineRule="auto"/>
        <w:rPr>
          <w:sz w:val="20"/>
          <w:szCs w:val="20"/>
          <w:color w:val="auto"/>
        </w:rPr>
      </w:pPr>
      <w:r>
        <w:rPr>
          <w:rFonts w:ascii="Arial" w:cs="Arial" w:eastAsia="Arial" w:hAnsi="Arial"/>
          <w:sz w:val="18"/>
          <w:szCs w:val="18"/>
          <w:color w:val="auto"/>
        </w:rPr>
        <w:t>This table should be read in conjunction with our financial statements and the notes thereto that are incorporated by reference into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91440</wp:posOffset>
            </wp:positionV>
            <wp:extent cx="52120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64"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6"/>
                <w:szCs w:val="16"/>
                <w:b w:val="1"/>
                <w:bCs w:val="1"/>
                <w:color w:val="auto"/>
              </w:rPr>
              <w:t>​</w:t>
            </w:r>
          </w:p>
        </w:tc>
        <w:tc>
          <w:tcPr>
            <w:tcW w:w="3140" w:type="dxa"/>
            <w:vAlign w:val="bottom"/>
            <w:gridSpan w:val="2"/>
          </w:tcPr>
          <w:p>
            <w:pPr>
              <w:jc w:val="right"/>
              <w:spacing w:after="0"/>
              <w:rPr>
                <w:sz w:val="20"/>
                <w:szCs w:val="20"/>
                <w:color w:val="auto"/>
              </w:rPr>
            </w:pPr>
            <w:r>
              <w:rPr>
                <w:rFonts w:ascii="Arial" w:cs="Arial" w:eastAsia="Arial" w:hAnsi="Arial"/>
                <w:sz w:val="16"/>
                <w:szCs w:val="16"/>
                <w:b w:val="1"/>
                <w:bCs w:val="1"/>
                <w:color w:val="auto"/>
              </w:rPr>
              <w:t>​ ​</w:t>
            </w:r>
          </w:p>
        </w:tc>
        <w:tc>
          <w:tcPr>
            <w:tcW w:w="2060" w:type="dxa"/>
            <w:vAlign w:val="bottom"/>
            <w:gridSpan w:val="2"/>
          </w:tcPr>
          <w:p>
            <w:pPr>
              <w:jc w:val="right"/>
              <w:spacing w:after="0"/>
              <w:rPr>
                <w:sz w:val="20"/>
                <w:szCs w:val="20"/>
                <w:color w:val="auto"/>
              </w:rPr>
            </w:pPr>
            <w:r>
              <w:rPr>
                <w:rFonts w:ascii="Arial" w:cs="Arial" w:eastAsia="Arial" w:hAnsi="Arial"/>
                <w:sz w:val="16"/>
                <w:szCs w:val="16"/>
                <w:b w:val="1"/>
                <w:bCs w:val="1"/>
                <w:color w:val="auto"/>
              </w:rPr>
              <w:t>As of September 30, 2024</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3000" w:type="dxa"/>
            <w:vAlign w:val="bottom"/>
          </w:tcPr>
          <w:p>
            <w:pPr>
              <w:spacing w:after="0" w:line="183" w:lineRule="exact"/>
              <w:rPr>
                <w:sz w:val="20"/>
                <w:szCs w:val="20"/>
                <w:color w:val="auto"/>
              </w:rPr>
            </w:pPr>
            <w:r>
              <w:rPr>
                <w:rFonts w:ascii="Arial" w:cs="Arial" w:eastAsia="Arial" w:hAnsi="Arial"/>
                <w:sz w:val="16"/>
                <w:szCs w:val="16"/>
                <w:b w:val="1"/>
                <w:bCs w:val="1"/>
                <w:color w:val="auto"/>
              </w:rPr>
              <w:t>​</w:t>
            </w:r>
          </w:p>
        </w:tc>
        <w:tc>
          <w:tcPr>
            <w:tcW w:w="3060" w:type="dxa"/>
            <w:vAlign w:val="bottom"/>
          </w:tcPr>
          <w:p>
            <w:pPr>
              <w:spacing w:after="0"/>
              <w:rPr>
                <w:sz w:val="15"/>
                <w:szCs w:val="15"/>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ind w:left="40"/>
              <w:spacing w:after="0" w:line="183" w:lineRule="exact"/>
              <w:rPr>
                <w:sz w:val="20"/>
                <w:szCs w:val="20"/>
                <w:color w:val="auto"/>
              </w:rPr>
            </w:pPr>
            <w:r>
              <w:rPr>
                <w:rFonts w:ascii="Arial" w:cs="Arial" w:eastAsia="Arial" w:hAnsi="Arial"/>
                <w:sz w:val="16"/>
                <w:szCs w:val="16"/>
                <w:b w:val="1"/>
                <w:bCs w:val="1"/>
                <w:color w:val="auto"/>
              </w:rPr>
              <w:t>Historical</w:t>
            </w:r>
          </w:p>
        </w:tc>
        <w:tc>
          <w:tcPr>
            <w:tcW w:w="12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As adjusted</w:t>
            </w:r>
            <w:r>
              <w:rPr>
                <w:rFonts w:ascii="Arial" w:cs="Arial" w:eastAsia="Arial" w:hAnsi="Arial"/>
                <w:sz w:val="19"/>
                <w:szCs w:val="19"/>
                <w:b w:val="1"/>
                <w:bCs w:val="1"/>
                <w:color w:val="auto"/>
                <w:vertAlign w:val="superscript"/>
              </w:rPr>
              <w:t>(1)</w:t>
            </w: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68"/>
        </w:trPr>
        <w:tc>
          <w:tcPr>
            <w:tcW w:w="300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vMerge w:val="continue"/>
          </w:tcPr>
          <w:p>
            <w:pPr>
              <w:spacing w:after="0"/>
              <w:rPr>
                <w:sz w:val="5"/>
                <w:szCs w:val="5"/>
                <w:color w:val="auto"/>
              </w:rPr>
            </w:pPr>
          </w:p>
        </w:tc>
        <w:tc>
          <w:tcPr>
            <w:tcW w:w="84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b w:val="1"/>
                <w:bCs w:val="1"/>
                <w:color w:val="auto"/>
              </w:rPr>
              <w:t>​</w:t>
            </w:r>
          </w:p>
        </w:tc>
        <w:tc>
          <w:tcPr>
            <w:tcW w:w="1220" w:type="dxa"/>
            <w:vAlign w:val="bottom"/>
            <w:tcBorders>
              <w:bottom w:val="single" w:sz="8" w:color="auto"/>
            </w:tcBorders>
          </w:tcPr>
          <w:p>
            <w:pPr>
              <w:jc w:val="right"/>
              <w:ind w:right="954"/>
              <w:spacing w:after="0" w:line="68" w:lineRule="exact"/>
              <w:rPr>
                <w:sz w:val="20"/>
                <w:szCs w:val="20"/>
                <w:color w:val="auto"/>
              </w:rPr>
            </w:pPr>
            <w:r>
              <w:rPr>
                <w:rFonts w:ascii="Arial" w:cs="Arial" w:eastAsia="Arial" w:hAnsi="Arial"/>
                <w:sz w:val="7"/>
                <w:szCs w:val="7"/>
                <w:b w:val="1"/>
                <w:bCs w:val="1"/>
                <w:color w:val="auto"/>
              </w:rPr>
              <w:t>​ ​</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000" w:type="dxa"/>
            <w:vAlign w:val="bottom"/>
          </w:tcPr>
          <w:p>
            <w:pPr>
              <w:spacing w:after="0"/>
              <w:rPr>
                <w:sz w:val="20"/>
                <w:szCs w:val="20"/>
                <w:color w:val="auto"/>
              </w:rPr>
            </w:pPr>
            <w:r>
              <w:rPr>
                <w:rFonts w:ascii="Arial" w:cs="Arial" w:eastAsia="Arial" w:hAnsi="Arial"/>
                <w:sz w:val="16"/>
                <w:szCs w:val="16"/>
                <w:b w:val="1"/>
                <w:bCs w:val="1"/>
                <w:color w:val="auto"/>
              </w:rPr>
              <w:t>​</w:t>
            </w:r>
          </w:p>
        </w:tc>
        <w:tc>
          <w:tcPr>
            <w:tcW w:w="3140" w:type="dxa"/>
            <w:vAlign w:val="bottom"/>
            <w:gridSpan w:val="2"/>
          </w:tcPr>
          <w:p>
            <w:pPr>
              <w:jc w:val="right"/>
              <w:spacing w:after="0"/>
              <w:rPr>
                <w:sz w:val="20"/>
                <w:szCs w:val="20"/>
                <w:color w:val="auto"/>
              </w:rPr>
            </w:pPr>
            <w:r>
              <w:rPr>
                <w:rFonts w:ascii="Arial" w:cs="Arial" w:eastAsia="Arial" w:hAnsi="Arial"/>
                <w:sz w:val="16"/>
                <w:szCs w:val="16"/>
                <w:b w:val="1"/>
                <w:bCs w:val="1"/>
                <w:color w:val="auto"/>
              </w:rPr>
              <w:t>​ ​</w:t>
            </w:r>
          </w:p>
        </w:tc>
        <w:tc>
          <w:tcPr>
            <w:tcW w:w="840" w:type="dxa"/>
            <w:vAlign w:val="bottom"/>
          </w:tcPr>
          <w:p>
            <w:pPr>
              <w:spacing w:after="0"/>
              <w:rPr>
                <w:sz w:val="24"/>
                <w:szCs w:val="24"/>
                <w:color w:val="auto"/>
              </w:rPr>
            </w:pPr>
          </w:p>
        </w:tc>
        <w:tc>
          <w:tcPr>
            <w:tcW w:w="1280" w:type="dxa"/>
            <w:vAlign w:val="bottom"/>
            <w:gridSpan w:val="2"/>
          </w:tcPr>
          <w:p>
            <w:pPr>
              <w:jc w:val="right"/>
              <w:spacing w:after="0" w:line="289" w:lineRule="exact"/>
              <w:rPr>
                <w:sz w:val="20"/>
                <w:szCs w:val="20"/>
                <w:color w:val="auto"/>
              </w:rPr>
            </w:pPr>
            <w:r>
              <w:rPr>
                <w:rFonts w:ascii="Arial" w:cs="Arial" w:eastAsia="Arial" w:hAnsi="Arial"/>
                <w:sz w:val="16"/>
                <w:szCs w:val="16"/>
                <w:b w:val="1"/>
                <w:bCs w:val="1"/>
                <w:color w:val="auto"/>
              </w:rPr>
              <w:t>(in millions)</w:t>
            </w:r>
            <w:r>
              <w:rPr>
                <w:rFonts w:ascii="Arial" w:cs="Arial" w:eastAsia="Arial" w:hAnsi="Arial"/>
                <w:sz w:val="32"/>
                <w:szCs w:val="32"/>
                <w:b w:val="1"/>
                <w:bCs w:val="1"/>
                <w:color w:val="auto"/>
                <w:vertAlign w:val="sub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-24765</wp:posOffset>
            </wp:positionV>
            <wp:extent cx="521208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wp:posOffset>
            </wp:positionV>
            <wp:extent cx="521208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Commercial paper notes</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spacing w:after="0" w:line="2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Senior notes:</w:t>
      </w:r>
    </w:p>
    <w:p>
      <w:pPr>
        <w:spacing w:after="0" w:line="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3.60% senior notes due November 2024</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521208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1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3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short-term debt</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308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43" w:lineRule="exact"/>
        <w:rPr>
          <w:sz w:val="20"/>
          <w:szCs w:val="20"/>
          <w:color w:val="auto"/>
        </w:rPr>
      </w:pPr>
    </w:p>
    <w:p>
      <w:pPr>
        <w:ind w:left="1620" w:right="140" w:hanging="179"/>
        <w:spacing w:after="0" w:line="263" w:lineRule="auto"/>
        <w:rPr>
          <w:sz w:val="20"/>
          <w:szCs w:val="20"/>
          <w:color w:val="auto"/>
        </w:rPr>
      </w:pPr>
      <w:r>
        <w:rPr>
          <w:rFonts w:ascii="Arial" w:cs="Arial" w:eastAsia="Arial" w:hAnsi="Arial"/>
          <w:sz w:val="18"/>
          <w:szCs w:val="18"/>
          <w:color w:val="auto"/>
        </w:rPr>
        <w:t>Senior notes, net of unamortized discounts and debt issuance costs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Notes offered hereby</w:t>
      </w:r>
    </w:p>
    <w:p>
      <w:pPr>
        <w:spacing w:after="0" w:line="4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-127635</wp:posOffset>
            </wp:positionV>
            <wp:extent cx="521208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34925</wp:posOffset>
            </wp:positionV>
            <wp:extent cx="521208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PARTNERS’ CAPITAL</w:t>
      </w:r>
    </w:p>
    <w:p>
      <w:pPr>
        <w:spacing w:after="0" w:line="1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Series A preferred unitholders</w:t>
      </w:r>
    </w:p>
    <w:p>
      <w:pPr>
        <w:spacing w:after="0" w:line="3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Series B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-127635</wp:posOffset>
            </wp:positionV>
            <wp:extent cx="521208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Common unitholders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gridSpan w:val="2"/>
          </w:tcPr>
          <w:p>
            <w:pPr>
              <w:ind w:left="40"/>
              <w:spacing w:after="0" w:line="210" w:lineRule="exact"/>
              <w:rPr>
                <w:sz w:val="20"/>
                <w:szCs w:val="20"/>
                <w:color w:val="auto"/>
              </w:rPr>
            </w:pPr>
            <w:r>
              <w:rPr>
                <w:rFonts w:ascii="Arial" w:cs="Arial" w:eastAsia="Arial" w:hAnsi="Arial"/>
                <w:sz w:val="14"/>
                <w:szCs w:val="14"/>
                <w:color w:val="auto"/>
              </w:rPr>
              <w:t>​ ​ ​</w:t>
            </w:r>
            <w:r>
              <w:rPr>
                <w:rFonts w:ascii="Arial" w:cs="Arial" w:eastAsia="Arial" w:hAnsi="Arial"/>
                <w:sz w:val="24"/>
                <w:szCs w:val="24"/>
                <w:color w:val="auto"/>
                <w:vertAlign w:val="superscript"/>
              </w:rPr>
              <w:t>$</w:t>
            </w:r>
          </w:p>
        </w:tc>
        <w:tc>
          <w:tcPr>
            <w:tcW w:w="900" w:type="dxa"/>
            <w:vAlign w:val="bottom"/>
          </w:tcPr>
          <w:p>
            <w:pPr>
              <w:jc w:val="right"/>
              <w:ind w:right="118"/>
              <w:spacing w:after="0" w:line="210" w:lineRule="exact"/>
              <w:rPr>
                <w:sz w:val="20"/>
                <w:szCs w:val="20"/>
                <w:color w:val="auto"/>
              </w:rPr>
            </w:pPr>
            <w:r>
              <w:rPr>
                <w:rFonts w:ascii="Arial" w:cs="Arial" w:eastAsia="Arial" w:hAnsi="Arial"/>
                <w:sz w:val="14"/>
                <w:szCs w:val="14"/>
                <w:color w:val="auto"/>
              </w:rPr>
              <w:t>640</w:t>
            </w:r>
            <w:r>
              <w:rPr>
                <w:rFonts w:ascii="Arial" w:cs="Arial" w:eastAsia="Arial" w:hAnsi="Arial"/>
                <w:sz w:val="24"/>
                <w:szCs w:val="24"/>
                <w:color w:val="auto"/>
                <w:vertAlign w:val="subscript"/>
              </w:rPr>
              <w:t>​​ ​</w:t>
            </w:r>
          </w:p>
        </w:tc>
        <w:tc>
          <w:tcPr>
            <w:tcW w:w="400" w:type="dxa"/>
            <w:vAlign w:val="bottom"/>
          </w:tcPr>
          <w:p>
            <w:pPr>
              <w:ind w:left="200"/>
              <w:spacing w:after="0" w:line="210" w:lineRule="exact"/>
              <w:rPr>
                <w:sz w:val="20"/>
                <w:szCs w:val="20"/>
                <w:color w:val="auto"/>
              </w:rPr>
            </w:pPr>
            <w:r>
              <w:rPr>
                <w:rFonts w:ascii="Arial" w:cs="Arial" w:eastAsia="Arial" w:hAnsi="Arial"/>
                <w:sz w:val="14"/>
                <w:szCs w:val="14"/>
                <w:color w:val="auto"/>
              </w:rPr>
              <w:t>​</w:t>
            </w:r>
            <w:r>
              <w:rPr>
                <w:rFonts w:ascii="Arial" w:cs="Arial" w:eastAsia="Arial" w:hAnsi="Arial"/>
                <w:sz w:val="24"/>
                <w:szCs w:val="24"/>
                <w:color w:val="auto"/>
                <w:vertAlign w:val="superscript"/>
              </w:rPr>
              <w:t>$</w:t>
            </w:r>
          </w:p>
        </w:tc>
        <w:tc>
          <w:tcPr>
            <w:tcW w:w="46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1"/>
        </w:trPr>
        <w:tc>
          <w:tcPr>
            <w:tcW w:w="480" w:type="dxa"/>
            <w:vAlign w:val="bottom"/>
            <w:gridSpan w:val="2"/>
          </w:tcPr>
          <w:p>
            <w:pPr>
              <w:ind w:left="40"/>
              <w:spacing w:after="0"/>
              <w:rPr>
                <w:sz w:val="20"/>
                <w:szCs w:val="20"/>
                <w:color w:val="auto"/>
              </w:rPr>
            </w:pPr>
            <w:r>
              <w:rPr>
                <w:rFonts w:ascii="Arial" w:cs="Arial" w:eastAsia="Arial" w:hAnsi="Arial"/>
                <w:sz w:val="18"/>
                <w:szCs w:val="18"/>
                <w:b w:val="1"/>
                <w:bCs w:val="1"/>
                <w:color w:val="auto"/>
              </w:rPr>
              <w:t>​ ​ ​ ​</w:t>
            </w:r>
          </w:p>
        </w:tc>
        <w:tc>
          <w:tcPr>
            <w:tcW w:w="900" w:type="dxa"/>
            <w:vAlign w:val="bottom"/>
          </w:tcPr>
          <w:p>
            <w:pPr>
              <w:jc w:val="right"/>
              <w:ind w:right="118"/>
              <w:spacing w:after="0"/>
              <w:rPr>
                <w:sz w:val="20"/>
                <w:szCs w:val="20"/>
                <w:color w:val="auto"/>
              </w:rPr>
            </w:pPr>
            <w:r>
              <w:rPr>
                <w:rFonts w:ascii="Arial" w:cs="Arial" w:eastAsia="Arial" w:hAnsi="Arial"/>
                <w:sz w:val="18"/>
                <w:szCs w:val="18"/>
                <w:b w:val="1"/>
                <w:bCs w:val="1"/>
                <w:color w:val="auto"/>
              </w:rPr>
              <w:t>​​ ​</w:t>
            </w:r>
          </w:p>
        </w:tc>
        <w:tc>
          <w:tcPr>
            <w:tcW w:w="400" w:type="dxa"/>
            <w:vAlign w:val="bottom"/>
          </w:tcPr>
          <w:p>
            <w:pPr>
              <w:ind w:left="200"/>
              <w:spacing w:after="0"/>
              <w:rPr>
                <w:sz w:val="20"/>
                <w:szCs w:val="20"/>
                <w:color w:val="auto"/>
              </w:rPr>
            </w:pPr>
            <w:r>
              <w:rPr>
                <w:rFonts w:ascii="Arial" w:cs="Arial" w:eastAsia="Arial" w:hAnsi="Arial"/>
                <w:sz w:val="18"/>
                <w:szCs w:val="18"/>
                <w:b w:val="1"/>
                <w:bCs w:val="1"/>
                <w:color w:val="auto"/>
              </w:rPr>
              <w:t>​ ​</w:t>
            </w:r>
          </w:p>
        </w:tc>
        <w:tc>
          <w:tcPr>
            <w:tcW w:w="46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80" w:type="dxa"/>
            <w:vAlign w:val="bottom"/>
            <w:gridSpan w:val="2"/>
          </w:tcPr>
          <w:p>
            <w:pPr>
              <w:ind w:left="40"/>
              <w:spacing w:after="0" w:line="311" w:lineRule="exact"/>
              <w:rPr>
                <w:sz w:val="20"/>
                <w:szCs w:val="20"/>
                <w:color w:val="auto"/>
              </w:rPr>
            </w:pPr>
            <w:r>
              <w:rPr>
                <w:rFonts w:ascii="Arial" w:cs="Arial" w:eastAsia="Arial" w:hAnsi="Arial"/>
                <w:sz w:val="18"/>
                <w:szCs w:val="18"/>
                <w:color w:val="auto"/>
              </w:rPr>
              <w:t xml:space="preserve">​ ​ ​ </w:t>
            </w:r>
            <w:r>
              <w:rPr>
                <w:rFonts w:ascii="Arial" w:cs="Arial" w:eastAsia="Arial" w:hAnsi="Arial"/>
                <w:sz w:val="35"/>
                <w:szCs w:val="35"/>
                <w:color w:val="auto"/>
                <w:vertAlign w:val="superscript"/>
              </w:rPr>
              <w:t>​</w:t>
            </w:r>
          </w:p>
        </w:tc>
        <w:tc>
          <w:tcPr>
            <w:tcW w:w="900" w:type="dxa"/>
            <w:vAlign w:val="bottom"/>
          </w:tcPr>
          <w:p>
            <w:pPr>
              <w:jc w:val="right"/>
              <w:ind w:right="118"/>
              <w:spacing w:after="0" w:line="311"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w:t>
            </w:r>
          </w:p>
        </w:tc>
        <w:tc>
          <w:tcPr>
            <w:tcW w:w="400" w:type="dxa"/>
            <w:vAlign w:val="bottom"/>
          </w:tcPr>
          <w:p>
            <w:pPr>
              <w:ind w:left="200"/>
              <w:spacing w:after="0" w:line="31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w:t>
            </w:r>
          </w:p>
        </w:tc>
        <w:tc>
          <w:tcPr>
            <w:tcW w:w="520" w:type="dxa"/>
            <w:vAlign w:val="bottom"/>
            <w:gridSpan w:val="2"/>
          </w:tcPr>
          <w:p>
            <w:pPr>
              <w:jc w:val="right"/>
              <w:spacing w:after="0" w:line="311" w:lineRule="exact"/>
              <w:rPr>
                <w:sz w:val="20"/>
                <w:szCs w:val="20"/>
                <w:color w:val="auto"/>
              </w:rPr>
            </w:pPr>
            <w:r>
              <w:rPr>
                <w:rFonts w:ascii="Arial" w:cs="Arial" w:eastAsia="Arial" w:hAnsi="Arial"/>
                <w:sz w:val="18"/>
                <w:szCs w:val="18"/>
                <w:color w:val="auto"/>
              </w:rPr>
              <w:t>—</w:t>
            </w:r>
            <w:r>
              <w:rPr>
                <w:rFonts w:ascii="Arial" w:cs="Arial" w:eastAsia="Arial" w:hAnsi="Arial"/>
                <w:sz w:val="35"/>
                <w:szCs w:val="35"/>
                <w:color w:val="auto"/>
                <w:vertAlign w:val="subscript"/>
              </w:rPr>
              <w:t>​</w:t>
            </w:r>
          </w:p>
        </w:tc>
        <w:tc>
          <w:tcPr>
            <w:tcW w:w="0" w:type="dxa"/>
            <w:vAlign w:val="bottom"/>
          </w:tcPr>
          <w:p>
            <w:pPr>
              <w:spacing w:after="0"/>
              <w:rPr>
                <w:sz w:val="1"/>
                <w:szCs w:val="1"/>
                <w:color w:val="auto"/>
              </w:rPr>
            </w:pPr>
          </w:p>
        </w:tc>
      </w:tr>
      <w:tr>
        <w:trPr>
          <w:trHeight w:val="229"/>
        </w:trPr>
        <w:tc>
          <w:tcPr>
            <w:tcW w:w="480" w:type="dxa"/>
            <w:vAlign w:val="bottom"/>
            <w:gridSpan w:val="2"/>
          </w:tcPr>
          <w:p>
            <w:pPr>
              <w:ind w:left="40"/>
              <w:spacing w:after="0"/>
              <w:rPr>
                <w:sz w:val="20"/>
                <w:szCs w:val="20"/>
                <w:color w:val="auto"/>
              </w:rPr>
            </w:pPr>
            <w:r>
              <w:rPr>
                <w:rFonts w:ascii="Arial" w:cs="Arial" w:eastAsia="Arial" w:hAnsi="Arial"/>
                <w:sz w:val="18"/>
                <w:szCs w:val="18"/>
                <w:color w:val="auto"/>
              </w:rPr>
              <w:t>​ ​ ​ ​</w:t>
            </w:r>
          </w:p>
        </w:tc>
        <w:tc>
          <w:tcPr>
            <w:tcW w:w="900" w:type="dxa"/>
            <w:vAlign w:val="bottom"/>
          </w:tcPr>
          <w:p>
            <w:pPr>
              <w:jc w:val="right"/>
              <w:ind w:right="118"/>
              <w:spacing w:after="0"/>
              <w:rPr>
                <w:sz w:val="20"/>
                <w:szCs w:val="20"/>
                <w:color w:val="auto"/>
              </w:rPr>
            </w:pPr>
            <w:r>
              <w:rPr>
                <w:rFonts w:ascii="Arial" w:cs="Arial" w:eastAsia="Arial" w:hAnsi="Arial"/>
                <w:sz w:val="18"/>
                <w:szCs w:val="18"/>
                <w:color w:val="auto"/>
              </w:rPr>
              <w:t>​​ ​</w:t>
            </w:r>
          </w:p>
        </w:tc>
        <w:tc>
          <w:tcPr>
            <w:tcW w:w="400" w:type="dxa"/>
            <w:vAlign w:val="bottom"/>
          </w:tcPr>
          <w:p>
            <w:pPr>
              <w:ind w:left="20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0" w:type="dxa"/>
            <w:vAlign w:val="bottom"/>
            <w:gridSpan w:val="2"/>
          </w:tcPr>
          <w:p>
            <w:pPr>
              <w:ind w:left="40"/>
              <w:spacing w:after="0" w:line="256" w:lineRule="exact"/>
              <w:rPr>
                <w:sz w:val="20"/>
                <w:szCs w:val="20"/>
                <w:color w:val="auto"/>
              </w:rPr>
            </w:pPr>
            <w:r>
              <w:rPr>
                <w:rFonts w:ascii="Arial" w:cs="Arial" w:eastAsia="Arial" w:hAnsi="Arial"/>
                <w:sz w:val="16"/>
                <w:szCs w:val="16"/>
                <w:color w:val="auto"/>
              </w:rPr>
              <w:t xml:space="preserve">​ ​ ​ </w:t>
            </w:r>
            <w:r>
              <w:rPr>
                <w:rFonts w:ascii="Arial" w:cs="Arial" w:eastAsia="Arial" w:hAnsi="Arial"/>
                <w:sz w:val="29"/>
                <w:szCs w:val="29"/>
                <w:color w:val="auto"/>
                <w:vertAlign w:val="superscript"/>
              </w:rPr>
              <w:t>​</w:t>
            </w:r>
          </w:p>
        </w:tc>
        <w:tc>
          <w:tcPr>
            <w:tcW w:w="900" w:type="dxa"/>
            <w:vAlign w:val="bottom"/>
          </w:tcPr>
          <w:p>
            <w:pPr>
              <w:jc w:val="right"/>
              <w:ind w:right="118"/>
              <w:spacing w:after="0" w:line="256" w:lineRule="exact"/>
              <w:rPr>
                <w:sz w:val="20"/>
                <w:szCs w:val="20"/>
                <w:color w:val="auto"/>
              </w:rPr>
            </w:pPr>
            <w:r>
              <w:rPr>
                <w:rFonts w:ascii="Arial" w:cs="Arial" w:eastAsia="Arial" w:hAnsi="Arial"/>
                <w:sz w:val="29"/>
                <w:szCs w:val="29"/>
                <w:color w:val="auto"/>
                <w:vertAlign w:val="superscript"/>
              </w:rPr>
              <w:t>750</w:t>
            </w:r>
            <w:r>
              <w:rPr>
                <w:rFonts w:ascii="Arial" w:cs="Arial" w:eastAsia="Arial" w:hAnsi="Arial"/>
                <w:sz w:val="16"/>
                <w:szCs w:val="16"/>
                <w:color w:val="auto"/>
              </w:rPr>
              <w:t>​​ ​</w:t>
            </w:r>
          </w:p>
        </w:tc>
        <w:tc>
          <w:tcPr>
            <w:tcW w:w="400" w:type="dxa"/>
            <w:vAlign w:val="bottom"/>
          </w:tcPr>
          <w:p>
            <w:pPr>
              <w:ind w:left="2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w:t>
            </w:r>
          </w:p>
        </w:tc>
        <w:tc>
          <w:tcPr>
            <w:tcW w:w="52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750</w:t>
            </w:r>
            <w:r>
              <w:rPr>
                <w:rFonts w:ascii="Arial" w:cs="Arial" w:eastAsia="Arial" w:hAnsi="Arial"/>
                <w:sz w:val="29"/>
                <w:szCs w:val="29"/>
                <w:color w:val="auto"/>
                <w:vertAlign w:val="subscript"/>
              </w:rPr>
              <w:t>​</w:t>
            </w:r>
          </w:p>
        </w:tc>
        <w:tc>
          <w:tcPr>
            <w:tcW w:w="0" w:type="dxa"/>
            <w:vAlign w:val="bottom"/>
          </w:tcPr>
          <w:p>
            <w:pPr>
              <w:spacing w:after="0"/>
              <w:rPr>
                <w:sz w:val="1"/>
                <w:szCs w:val="1"/>
                <w:color w:val="auto"/>
              </w:rPr>
            </w:pPr>
          </w:p>
        </w:tc>
      </w:tr>
      <w:tr>
        <w:trPr>
          <w:trHeight w:val="248"/>
        </w:trPr>
        <w:tc>
          <w:tcPr>
            <w:tcW w:w="480" w:type="dxa"/>
            <w:vAlign w:val="bottom"/>
            <w:gridSpan w:val="2"/>
          </w:tcPr>
          <w:p>
            <w:pPr>
              <w:ind w:left="40"/>
              <w:spacing w:after="0" w:line="249"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8"/>
                <w:szCs w:val="28"/>
                <w:color w:val="auto"/>
                <w:vertAlign w:val="superscript"/>
              </w:rPr>
              <w:t>​</w:t>
            </w:r>
          </w:p>
        </w:tc>
        <w:tc>
          <w:tcPr>
            <w:tcW w:w="900" w:type="dxa"/>
            <w:vAlign w:val="bottom"/>
          </w:tcPr>
          <w:p>
            <w:pPr>
              <w:jc w:val="right"/>
              <w:ind w:right="118"/>
              <w:spacing w:after="0" w:line="249" w:lineRule="exact"/>
              <w:rPr>
                <w:sz w:val="20"/>
                <w:szCs w:val="20"/>
                <w:color w:val="auto"/>
              </w:rPr>
            </w:pPr>
            <w:r>
              <w:rPr>
                <w:rFonts w:ascii="Arial" w:cs="Arial" w:eastAsia="Arial" w:hAnsi="Arial"/>
                <w:sz w:val="28"/>
                <w:szCs w:val="28"/>
                <w:color w:val="auto"/>
                <w:vertAlign w:val="superscript"/>
              </w:rPr>
              <w:t>15</w:t>
            </w:r>
            <w:r>
              <w:rPr>
                <w:rFonts w:ascii="Arial" w:cs="Arial" w:eastAsia="Arial" w:hAnsi="Arial"/>
                <w:sz w:val="15"/>
                <w:szCs w:val="15"/>
                <w:color w:val="auto"/>
              </w:rPr>
              <w:t>​​ ​</w:t>
            </w:r>
          </w:p>
        </w:tc>
        <w:tc>
          <w:tcPr>
            <w:tcW w:w="400" w:type="dxa"/>
            <w:vAlign w:val="bottom"/>
          </w:tcPr>
          <w:p>
            <w:pPr>
              <w:ind w:left="200"/>
              <w:spacing w:after="0" w:line="249"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520" w:type="dxa"/>
            <w:vAlign w:val="bottom"/>
            <w:gridSpan w:val="2"/>
          </w:tcPr>
          <w:p>
            <w:pPr>
              <w:jc w:val="right"/>
              <w:spacing w:after="0" w:line="249" w:lineRule="exact"/>
              <w:rPr>
                <w:sz w:val="20"/>
                <w:szCs w:val="20"/>
                <w:color w:val="auto"/>
              </w:rPr>
            </w:pPr>
            <w:r>
              <w:rPr>
                <w:rFonts w:ascii="Arial" w:cs="Arial" w:eastAsia="Arial" w:hAnsi="Arial"/>
                <w:sz w:val="15"/>
                <w:szCs w:val="15"/>
                <w:color w:val="auto"/>
              </w:rPr>
              <w:t>15</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0" w:type="dxa"/>
            <w:vAlign w:val="bottom"/>
            <w:gridSpan w:val="2"/>
          </w:tcPr>
          <w:p>
            <w:pPr>
              <w:ind w:left="40"/>
              <w:spacing w:after="0" w:line="264" w:lineRule="exact"/>
              <w:rPr>
                <w:sz w:val="20"/>
                <w:szCs w:val="20"/>
                <w:color w:val="auto"/>
              </w:rPr>
            </w:pPr>
            <w:r>
              <w:rPr>
                <w:rFonts w:ascii="Arial" w:cs="Arial" w:eastAsia="Arial" w:hAnsi="Arial"/>
                <w:sz w:val="16"/>
                <w:szCs w:val="16"/>
                <w:color w:val="auto"/>
              </w:rPr>
              <w:t>​ ​ ​</w:t>
            </w:r>
            <w:r>
              <w:rPr>
                <w:rFonts w:ascii="Arial" w:cs="Arial" w:eastAsia="Arial" w:hAnsi="Arial"/>
                <w:sz w:val="30"/>
                <w:szCs w:val="30"/>
                <w:color w:val="auto"/>
                <w:vertAlign w:val="superscript"/>
              </w:rPr>
              <w:t>$</w:t>
            </w:r>
          </w:p>
        </w:tc>
        <w:tc>
          <w:tcPr>
            <w:tcW w:w="900" w:type="dxa"/>
            <w:vAlign w:val="bottom"/>
          </w:tcPr>
          <w:p>
            <w:pPr>
              <w:jc w:val="right"/>
              <w:ind w:right="118"/>
              <w:spacing w:after="0" w:line="264" w:lineRule="exact"/>
              <w:rPr>
                <w:sz w:val="20"/>
                <w:szCs w:val="20"/>
                <w:color w:val="auto"/>
              </w:rPr>
            </w:pPr>
            <w:r>
              <w:rPr>
                <w:rFonts w:ascii="Arial" w:cs="Arial" w:eastAsia="Arial" w:hAnsi="Arial"/>
                <w:sz w:val="30"/>
                <w:szCs w:val="30"/>
                <w:color w:val="auto"/>
                <w:vertAlign w:val="superscript"/>
              </w:rPr>
              <w:t>765</w:t>
            </w:r>
            <w:r>
              <w:rPr>
                <w:rFonts w:ascii="Arial" w:cs="Arial" w:eastAsia="Arial" w:hAnsi="Arial"/>
                <w:sz w:val="16"/>
                <w:szCs w:val="16"/>
                <w:color w:val="auto"/>
              </w:rPr>
              <w:t>​​ ​</w:t>
            </w:r>
          </w:p>
        </w:tc>
        <w:tc>
          <w:tcPr>
            <w:tcW w:w="400" w:type="dxa"/>
            <w:vAlign w:val="bottom"/>
          </w:tcPr>
          <w:p>
            <w:pPr>
              <w:ind w:left="2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52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765</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80" w:type="dxa"/>
            <w:vAlign w:val="bottom"/>
            <w:gridSpan w:val="2"/>
          </w:tcPr>
          <w:p>
            <w:pPr>
              <w:ind w:left="40"/>
              <w:spacing w:after="0"/>
              <w:rPr>
                <w:sz w:val="20"/>
                <w:szCs w:val="20"/>
                <w:color w:val="auto"/>
              </w:rPr>
            </w:pPr>
            <w:r>
              <w:rPr>
                <w:rFonts w:ascii="Arial" w:cs="Arial" w:eastAsia="Arial" w:hAnsi="Arial"/>
                <w:sz w:val="18"/>
                <w:szCs w:val="18"/>
                <w:b w:val="1"/>
                <w:bCs w:val="1"/>
                <w:color w:val="auto"/>
              </w:rPr>
              <w:t>​ ​ ​ ​</w:t>
            </w:r>
          </w:p>
        </w:tc>
        <w:tc>
          <w:tcPr>
            <w:tcW w:w="900" w:type="dxa"/>
            <w:vAlign w:val="bottom"/>
          </w:tcPr>
          <w:p>
            <w:pPr>
              <w:jc w:val="right"/>
              <w:ind w:right="118"/>
              <w:spacing w:after="0"/>
              <w:rPr>
                <w:sz w:val="20"/>
                <w:szCs w:val="20"/>
                <w:color w:val="auto"/>
              </w:rPr>
            </w:pPr>
            <w:r>
              <w:rPr>
                <w:rFonts w:ascii="Arial" w:cs="Arial" w:eastAsia="Arial" w:hAnsi="Arial"/>
                <w:sz w:val="18"/>
                <w:szCs w:val="18"/>
                <w:b w:val="1"/>
                <w:bCs w:val="1"/>
                <w:color w:val="auto"/>
              </w:rPr>
              <w:t>​​ ​</w:t>
            </w:r>
          </w:p>
        </w:tc>
        <w:tc>
          <w:tcPr>
            <w:tcW w:w="400" w:type="dxa"/>
            <w:vAlign w:val="bottom"/>
          </w:tcPr>
          <w:p>
            <w:pPr>
              <w:ind w:left="200"/>
              <w:spacing w:after="0"/>
              <w:rPr>
                <w:sz w:val="20"/>
                <w:szCs w:val="20"/>
                <w:color w:val="auto"/>
              </w:rPr>
            </w:pPr>
            <w:r>
              <w:rPr>
                <w:rFonts w:ascii="Arial" w:cs="Arial" w:eastAsia="Arial" w:hAnsi="Arial"/>
                <w:sz w:val="18"/>
                <w:szCs w:val="18"/>
                <w:b w:val="1"/>
                <w:bCs w:val="1"/>
                <w:color w:val="auto"/>
              </w:rPr>
              <w:t>​ ​</w:t>
            </w:r>
          </w:p>
        </w:tc>
        <w:tc>
          <w:tcPr>
            <w:tcW w:w="46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42"/>
        </w:trPr>
        <w:tc>
          <w:tcPr>
            <w:tcW w:w="480" w:type="dxa"/>
            <w:vAlign w:val="bottom"/>
            <w:gridSpan w:val="2"/>
          </w:tcPr>
          <w:p>
            <w:pPr>
              <w:ind w:left="40"/>
              <w:spacing w:after="0"/>
              <w:rPr>
                <w:sz w:val="20"/>
                <w:szCs w:val="20"/>
                <w:color w:val="auto"/>
              </w:rPr>
            </w:pPr>
            <w:r>
              <w:rPr>
                <w:rFonts w:ascii="Arial" w:cs="Arial" w:eastAsia="Arial" w:hAnsi="Arial"/>
                <w:sz w:val="18"/>
                <w:szCs w:val="18"/>
                <w:color w:val="auto"/>
              </w:rPr>
              <w:t>​ ​ ​$</w:t>
            </w:r>
          </w:p>
        </w:tc>
        <w:tc>
          <w:tcPr>
            <w:tcW w:w="900" w:type="dxa"/>
            <w:vAlign w:val="bottom"/>
          </w:tcPr>
          <w:p>
            <w:pPr>
              <w:jc w:val="right"/>
              <w:ind w:right="118"/>
              <w:spacing w:after="0"/>
              <w:rPr>
                <w:sz w:val="20"/>
                <w:szCs w:val="20"/>
                <w:color w:val="auto"/>
              </w:rPr>
            </w:pPr>
            <w:r>
              <w:rPr>
                <w:rFonts w:ascii="Arial" w:cs="Arial" w:eastAsia="Arial" w:hAnsi="Arial"/>
                <w:sz w:val="18"/>
                <w:szCs w:val="18"/>
                <w:color w:val="auto"/>
              </w:rPr>
              <w:t>7,140​​ ​</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7,140​</w:t>
            </w:r>
          </w:p>
        </w:tc>
        <w:tc>
          <w:tcPr>
            <w:tcW w:w="0" w:type="dxa"/>
            <w:vAlign w:val="bottom"/>
          </w:tcPr>
          <w:p>
            <w:pPr>
              <w:spacing w:after="0"/>
              <w:rPr>
                <w:sz w:val="1"/>
                <w:szCs w:val="1"/>
                <w:color w:val="auto"/>
              </w:rPr>
            </w:pPr>
          </w:p>
        </w:tc>
      </w:tr>
      <w:tr>
        <w:trPr>
          <w:trHeight w:val="256"/>
        </w:trPr>
        <w:tc>
          <w:tcPr>
            <w:tcW w:w="480" w:type="dxa"/>
            <w:vAlign w:val="bottom"/>
            <w:gridSpan w:val="2"/>
          </w:tcPr>
          <w:p>
            <w:pPr>
              <w:ind w:left="40"/>
              <w:spacing w:after="0" w:line="256" w:lineRule="exact"/>
              <w:rPr>
                <w:sz w:val="20"/>
                <w:szCs w:val="20"/>
                <w:color w:val="auto"/>
              </w:rPr>
            </w:pPr>
            <w:r>
              <w:rPr>
                <w:rFonts w:ascii="Arial" w:cs="Arial" w:eastAsia="Arial" w:hAnsi="Arial"/>
                <w:sz w:val="16"/>
                <w:szCs w:val="16"/>
                <w:color w:val="auto"/>
              </w:rPr>
              <w:t xml:space="preserve">​ ​ ​ </w:t>
            </w:r>
            <w:r>
              <w:rPr>
                <w:rFonts w:ascii="Arial" w:cs="Arial" w:eastAsia="Arial" w:hAnsi="Arial"/>
                <w:sz w:val="29"/>
                <w:szCs w:val="29"/>
                <w:color w:val="auto"/>
                <w:vertAlign w:val="superscript"/>
              </w:rPr>
              <w:t>​</w:t>
            </w:r>
          </w:p>
        </w:tc>
        <w:tc>
          <w:tcPr>
            <w:tcW w:w="900" w:type="dxa"/>
            <w:vAlign w:val="bottom"/>
          </w:tcPr>
          <w:p>
            <w:pPr>
              <w:jc w:val="right"/>
              <w:ind w:right="118"/>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w:t>
            </w:r>
          </w:p>
        </w:tc>
        <w:tc>
          <w:tcPr>
            <w:tcW w:w="400" w:type="dxa"/>
            <w:vAlign w:val="bottom"/>
          </w:tcPr>
          <w:p>
            <w:pPr>
              <w:ind w:left="20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0" w:type="dxa"/>
            <w:vAlign w:val="bottom"/>
            <w:gridSpan w:val="2"/>
          </w:tcPr>
          <w:p>
            <w:pPr>
              <w:ind w:left="40"/>
              <w:spacing w:after="0" w:line="249"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8"/>
                <w:szCs w:val="28"/>
                <w:color w:val="auto"/>
                <w:vertAlign w:val="superscript"/>
              </w:rPr>
              <w:t>​</w:t>
            </w:r>
          </w:p>
        </w:tc>
        <w:tc>
          <w:tcPr>
            <w:tcW w:w="900" w:type="dxa"/>
            <w:vAlign w:val="bottom"/>
          </w:tcPr>
          <w:p>
            <w:pPr>
              <w:jc w:val="right"/>
              <w:ind w:right="118"/>
              <w:spacing w:after="0" w:line="249" w:lineRule="exact"/>
              <w:rPr>
                <w:sz w:val="20"/>
                <w:szCs w:val="20"/>
                <w:color w:val="auto"/>
              </w:rPr>
            </w:pPr>
            <w:r>
              <w:rPr>
                <w:rFonts w:ascii="Arial" w:cs="Arial" w:eastAsia="Arial" w:hAnsi="Arial"/>
                <w:sz w:val="28"/>
                <w:szCs w:val="28"/>
                <w:color w:val="auto"/>
                <w:vertAlign w:val="superscript"/>
              </w:rPr>
              <w:t>72</w:t>
            </w:r>
            <w:r>
              <w:rPr>
                <w:rFonts w:ascii="Arial" w:cs="Arial" w:eastAsia="Arial" w:hAnsi="Arial"/>
                <w:sz w:val="15"/>
                <w:szCs w:val="15"/>
                <w:color w:val="auto"/>
              </w:rPr>
              <w:t>​​ ​</w:t>
            </w:r>
          </w:p>
        </w:tc>
        <w:tc>
          <w:tcPr>
            <w:tcW w:w="400" w:type="dxa"/>
            <w:vAlign w:val="bottom"/>
          </w:tcPr>
          <w:p>
            <w:pPr>
              <w:ind w:left="200"/>
              <w:spacing w:after="0" w:line="249"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520" w:type="dxa"/>
            <w:vAlign w:val="bottom"/>
            <w:gridSpan w:val="2"/>
          </w:tcPr>
          <w:p>
            <w:pPr>
              <w:jc w:val="right"/>
              <w:spacing w:after="0" w:line="249" w:lineRule="exact"/>
              <w:rPr>
                <w:sz w:val="20"/>
                <w:szCs w:val="20"/>
                <w:color w:val="auto"/>
              </w:rPr>
            </w:pPr>
            <w:r>
              <w:rPr>
                <w:rFonts w:ascii="Arial" w:cs="Arial" w:eastAsia="Arial" w:hAnsi="Arial"/>
                <w:sz w:val="15"/>
                <w:szCs w:val="15"/>
                <w:color w:val="auto"/>
              </w:rPr>
              <w:t>72</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0" w:type="dxa"/>
            <w:vAlign w:val="bottom"/>
            <w:gridSpan w:val="2"/>
          </w:tcPr>
          <w:p>
            <w:pPr>
              <w:ind w:left="40"/>
              <w:spacing w:after="0" w:line="250" w:lineRule="exact"/>
              <w:rPr>
                <w:sz w:val="20"/>
                <w:szCs w:val="20"/>
                <w:color w:val="auto"/>
              </w:rPr>
            </w:pP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900" w:type="dxa"/>
            <w:vAlign w:val="bottom"/>
          </w:tcPr>
          <w:p>
            <w:pPr>
              <w:jc w:val="right"/>
              <w:ind w:right="118"/>
              <w:spacing w:after="0" w:line="250" w:lineRule="exact"/>
              <w:rPr>
                <w:sz w:val="20"/>
                <w:szCs w:val="20"/>
                <w:color w:val="auto"/>
              </w:rPr>
            </w:pPr>
            <w:r>
              <w:rPr>
                <w:rFonts w:ascii="Arial" w:cs="Arial" w:eastAsia="Arial" w:hAnsi="Arial"/>
                <w:sz w:val="15"/>
                <w:szCs w:val="15"/>
                <w:color w:val="auto"/>
              </w:rPr>
              <w:t>7,212</w:t>
            </w:r>
            <w:r>
              <w:rPr>
                <w:rFonts w:ascii="Arial" w:cs="Arial" w:eastAsia="Arial" w:hAnsi="Arial"/>
                <w:sz w:val="28"/>
                <w:szCs w:val="28"/>
                <w:color w:val="auto"/>
                <w:vertAlign w:val="subscript"/>
              </w:rPr>
              <w:t>​​ ​</w:t>
            </w:r>
          </w:p>
        </w:tc>
        <w:tc>
          <w:tcPr>
            <w:tcW w:w="400" w:type="dxa"/>
            <w:vAlign w:val="bottom"/>
          </w:tcPr>
          <w:p>
            <w:pPr>
              <w:ind w:left="2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46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4"/>
        </w:trPr>
        <w:tc>
          <w:tcPr>
            <w:tcW w:w="480" w:type="dxa"/>
            <w:vAlign w:val="bottom"/>
            <w:gridSpan w:val="2"/>
          </w:tcPr>
          <w:p>
            <w:pPr>
              <w:ind w:left="40"/>
              <w:spacing w:after="0" w:line="204" w:lineRule="exact"/>
              <w:rPr>
                <w:sz w:val="20"/>
                <w:szCs w:val="20"/>
                <w:color w:val="auto"/>
              </w:rPr>
            </w:pPr>
            <w:r>
              <w:rPr>
                <w:rFonts w:ascii="Arial" w:cs="Arial" w:eastAsia="Arial" w:hAnsi="Arial"/>
                <w:sz w:val="18"/>
                <w:szCs w:val="18"/>
                <w:b w:val="1"/>
                <w:bCs w:val="1"/>
                <w:color w:val="auto"/>
              </w:rPr>
              <w:t>​ ​ ​ ​</w:t>
            </w:r>
          </w:p>
        </w:tc>
        <w:tc>
          <w:tcPr>
            <w:tcW w:w="900" w:type="dxa"/>
            <w:vAlign w:val="bottom"/>
          </w:tcPr>
          <w:p>
            <w:pPr>
              <w:jc w:val="right"/>
              <w:ind w:right="118"/>
              <w:spacing w:after="0" w:line="204" w:lineRule="exact"/>
              <w:rPr>
                <w:sz w:val="20"/>
                <w:szCs w:val="20"/>
                <w:color w:val="auto"/>
              </w:rPr>
            </w:pPr>
            <w:r>
              <w:rPr>
                <w:rFonts w:ascii="Arial" w:cs="Arial" w:eastAsia="Arial" w:hAnsi="Arial"/>
                <w:sz w:val="18"/>
                <w:szCs w:val="18"/>
                <w:b w:val="1"/>
                <w:bCs w:val="1"/>
                <w:color w:val="auto"/>
              </w:rPr>
              <w:t>​​ ​</w:t>
            </w:r>
          </w:p>
        </w:tc>
        <w:tc>
          <w:tcPr>
            <w:tcW w:w="400" w:type="dxa"/>
            <w:vAlign w:val="bottom"/>
          </w:tcPr>
          <w:p>
            <w:pPr>
              <w:ind w:left="200"/>
              <w:spacing w:after="0" w:line="204" w:lineRule="exact"/>
              <w:rPr>
                <w:sz w:val="20"/>
                <w:szCs w:val="20"/>
                <w:color w:val="auto"/>
              </w:rPr>
            </w:pPr>
            <w:r>
              <w:rPr>
                <w:rFonts w:ascii="Arial" w:cs="Arial" w:eastAsia="Arial" w:hAnsi="Arial"/>
                <w:sz w:val="18"/>
                <w:szCs w:val="18"/>
                <w:b w:val="1"/>
                <w:bCs w:val="1"/>
                <w:color w:val="auto"/>
              </w:rPr>
              <w:t>​ ​</w:t>
            </w:r>
          </w:p>
        </w:tc>
        <w:tc>
          <w:tcPr>
            <w:tcW w:w="46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 w:type="dxa"/>
            <w:vAlign w:val="bottom"/>
            <w:gridSpan w:val="2"/>
          </w:tcPr>
          <w:p>
            <w:pPr>
              <w:ind w:left="40"/>
              <w:spacing w:after="0" w:line="256" w:lineRule="exact"/>
              <w:rPr>
                <w:sz w:val="20"/>
                <w:szCs w:val="20"/>
                <w:color w:val="auto"/>
              </w:rPr>
            </w:pPr>
            <w:r>
              <w:rPr>
                <w:rFonts w:ascii="Arial" w:cs="Arial" w:eastAsia="Arial" w:hAnsi="Arial"/>
                <w:sz w:val="16"/>
                <w:szCs w:val="16"/>
                <w:color w:val="auto"/>
              </w:rPr>
              <w:t>​ ​ ​</w:t>
            </w:r>
            <w:r>
              <w:rPr>
                <w:rFonts w:ascii="Arial" w:cs="Arial" w:eastAsia="Arial" w:hAnsi="Arial"/>
                <w:sz w:val="29"/>
                <w:szCs w:val="29"/>
                <w:color w:val="auto"/>
                <w:vertAlign w:val="superscript"/>
              </w:rPr>
              <w:t>$</w:t>
            </w:r>
          </w:p>
        </w:tc>
        <w:tc>
          <w:tcPr>
            <w:tcW w:w="900" w:type="dxa"/>
            <w:vAlign w:val="bottom"/>
          </w:tcPr>
          <w:p>
            <w:pPr>
              <w:jc w:val="right"/>
              <w:ind w:right="118"/>
              <w:spacing w:after="0" w:line="256" w:lineRule="exact"/>
              <w:rPr>
                <w:sz w:val="20"/>
                <w:szCs w:val="20"/>
                <w:color w:val="auto"/>
              </w:rPr>
            </w:pPr>
            <w:r>
              <w:rPr>
                <w:rFonts w:ascii="Arial" w:cs="Arial" w:eastAsia="Arial" w:hAnsi="Arial"/>
                <w:sz w:val="16"/>
                <w:szCs w:val="16"/>
                <w:color w:val="auto"/>
              </w:rPr>
              <w:t>1,513</w:t>
            </w:r>
            <w:r>
              <w:rPr>
                <w:rFonts w:ascii="Arial" w:cs="Arial" w:eastAsia="Arial" w:hAnsi="Arial"/>
                <w:sz w:val="29"/>
                <w:szCs w:val="29"/>
                <w:color w:val="auto"/>
                <w:vertAlign w:val="subscript"/>
              </w:rPr>
              <w:t>​​ ​</w:t>
            </w:r>
          </w:p>
        </w:tc>
        <w:tc>
          <w:tcPr>
            <w:tcW w:w="400" w:type="dxa"/>
            <w:vAlign w:val="bottom"/>
          </w:tcPr>
          <w:p>
            <w:pPr>
              <w:ind w:left="20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52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1,513</w:t>
            </w:r>
            <w:r>
              <w:rPr>
                <w:rFonts w:ascii="Arial" w:cs="Arial" w:eastAsia="Arial" w:hAnsi="Arial"/>
                <w:sz w:val="29"/>
                <w:szCs w:val="29"/>
                <w:color w:val="auto"/>
                <w:vertAlign w:val="subscript"/>
              </w:rPr>
              <w:t>​</w:t>
            </w:r>
          </w:p>
        </w:tc>
        <w:tc>
          <w:tcPr>
            <w:tcW w:w="0" w:type="dxa"/>
            <w:vAlign w:val="bottom"/>
          </w:tcPr>
          <w:p>
            <w:pPr>
              <w:spacing w:after="0"/>
              <w:rPr>
                <w:sz w:val="1"/>
                <w:szCs w:val="1"/>
                <w:color w:val="auto"/>
              </w:rPr>
            </w:pPr>
          </w:p>
        </w:tc>
      </w:tr>
      <w:tr>
        <w:trPr>
          <w:trHeight w:val="257"/>
        </w:trPr>
        <w:tc>
          <w:tcPr>
            <w:tcW w:w="480" w:type="dxa"/>
            <w:vAlign w:val="bottom"/>
            <w:gridSpan w:val="2"/>
          </w:tcPr>
          <w:p>
            <w:pPr>
              <w:ind w:left="40"/>
              <w:spacing w:after="0" w:line="256" w:lineRule="exact"/>
              <w:rPr>
                <w:sz w:val="20"/>
                <w:szCs w:val="20"/>
                <w:color w:val="auto"/>
              </w:rPr>
            </w:pPr>
            <w:r>
              <w:rPr>
                <w:rFonts w:ascii="Arial" w:cs="Arial" w:eastAsia="Arial" w:hAnsi="Arial"/>
                <w:sz w:val="16"/>
                <w:szCs w:val="16"/>
                <w:color w:val="auto"/>
              </w:rPr>
              <w:t xml:space="preserve">​ ​ ​ </w:t>
            </w:r>
            <w:r>
              <w:rPr>
                <w:rFonts w:ascii="Arial" w:cs="Arial" w:eastAsia="Arial" w:hAnsi="Arial"/>
                <w:sz w:val="29"/>
                <w:szCs w:val="29"/>
                <w:color w:val="auto"/>
                <w:vertAlign w:val="superscript"/>
              </w:rPr>
              <w:t>​</w:t>
            </w:r>
          </w:p>
        </w:tc>
        <w:tc>
          <w:tcPr>
            <w:tcW w:w="900" w:type="dxa"/>
            <w:vAlign w:val="bottom"/>
          </w:tcPr>
          <w:p>
            <w:pPr>
              <w:jc w:val="right"/>
              <w:ind w:right="118"/>
              <w:spacing w:after="0" w:line="256" w:lineRule="exact"/>
              <w:rPr>
                <w:sz w:val="20"/>
                <w:szCs w:val="20"/>
                <w:color w:val="auto"/>
              </w:rPr>
            </w:pPr>
            <w:r>
              <w:rPr>
                <w:rFonts w:ascii="Arial" w:cs="Arial" w:eastAsia="Arial" w:hAnsi="Arial"/>
                <w:sz w:val="29"/>
                <w:szCs w:val="29"/>
                <w:color w:val="auto"/>
                <w:vertAlign w:val="superscript"/>
              </w:rPr>
              <w:t>787</w:t>
            </w:r>
            <w:r>
              <w:rPr>
                <w:rFonts w:ascii="Arial" w:cs="Arial" w:eastAsia="Arial" w:hAnsi="Arial"/>
                <w:sz w:val="16"/>
                <w:szCs w:val="16"/>
                <w:color w:val="auto"/>
              </w:rPr>
              <w:t>​​ ​</w:t>
            </w:r>
          </w:p>
        </w:tc>
        <w:tc>
          <w:tcPr>
            <w:tcW w:w="400" w:type="dxa"/>
            <w:vAlign w:val="bottom"/>
          </w:tcPr>
          <w:p>
            <w:pPr>
              <w:ind w:left="200"/>
              <w:spacing w:after="0" w:line="256"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perscript"/>
              </w:rPr>
              <w:t>​</w:t>
            </w:r>
          </w:p>
        </w:tc>
        <w:tc>
          <w:tcPr>
            <w:tcW w:w="52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787</w:t>
            </w:r>
            <w:r>
              <w:rPr>
                <w:rFonts w:ascii="Arial" w:cs="Arial" w:eastAsia="Arial" w:hAnsi="Arial"/>
                <w:sz w:val="29"/>
                <w:szCs w:val="29"/>
                <w:color w:val="auto"/>
                <w:vertAlign w:val="subscript"/>
              </w:rPr>
              <w:t>​</w:t>
            </w:r>
          </w:p>
        </w:tc>
        <w:tc>
          <w:tcPr>
            <w:tcW w:w="0" w:type="dxa"/>
            <w:vAlign w:val="bottom"/>
          </w:tcPr>
          <w:p>
            <w:pPr>
              <w:spacing w:after="0"/>
              <w:rPr>
                <w:sz w:val="1"/>
                <w:szCs w:val="1"/>
                <w:color w:val="auto"/>
              </w:rPr>
            </w:pPr>
          </w:p>
        </w:tc>
      </w:tr>
      <w:tr>
        <w:trPr>
          <w:trHeight w:val="260"/>
        </w:trPr>
        <w:tc>
          <w:tcPr>
            <w:tcW w:w="480" w:type="dxa"/>
            <w:vAlign w:val="bottom"/>
            <w:gridSpan w:val="2"/>
          </w:tcPr>
          <w:p>
            <w:pPr>
              <w:ind w:left="40"/>
              <w:spacing w:after="0" w:line="259" w:lineRule="exact"/>
              <w:rPr>
                <w:sz w:val="20"/>
                <w:szCs w:val="20"/>
                <w:color w:val="auto"/>
              </w:rPr>
            </w:pPr>
            <w:r>
              <w:rPr>
                <w:rFonts w:ascii="Arial" w:cs="Arial" w:eastAsia="Arial" w:hAnsi="Arial"/>
                <w:sz w:val="16"/>
                <w:szCs w:val="16"/>
                <w:color w:val="auto"/>
              </w:rPr>
              <w:t xml:space="preserve">​ ​ ​ </w:t>
            </w:r>
            <w:r>
              <w:rPr>
                <w:rFonts w:ascii="Arial" w:cs="Arial" w:eastAsia="Arial" w:hAnsi="Arial"/>
                <w:sz w:val="30"/>
                <w:szCs w:val="30"/>
                <w:color w:val="auto"/>
                <w:vertAlign w:val="superscript"/>
              </w:rPr>
              <w:t>​</w:t>
            </w:r>
          </w:p>
        </w:tc>
        <w:tc>
          <w:tcPr>
            <w:tcW w:w="900" w:type="dxa"/>
            <w:vAlign w:val="bottom"/>
          </w:tcPr>
          <w:p>
            <w:pPr>
              <w:jc w:val="right"/>
              <w:ind w:right="118"/>
              <w:spacing w:after="0" w:line="259" w:lineRule="exact"/>
              <w:rPr>
                <w:sz w:val="20"/>
                <w:szCs w:val="20"/>
                <w:color w:val="auto"/>
              </w:rPr>
            </w:pPr>
            <w:r>
              <w:rPr>
                <w:rFonts w:ascii="Arial" w:cs="Arial" w:eastAsia="Arial" w:hAnsi="Arial"/>
                <w:sz w:val="16"/>
                <w:szCs w:val="16"/>
                <w:color w:val="auto"/>
              </w:rPr>
              <w:t>7,935</w:t>
            </w:r>
            <w:r>
              <w:rPr>
                <w:rFonts w:ascii="Arial" w:cs="Arial" w:eastAsia="Arial" w:hAnsi="Arial"/>
                <w:sz w:val="30"/>
                <w:szCs w:val="30"/>
                <w:color w:val="auto"/>
                <w:vertAlign w:val="subscript"/>
              </w:rPr>
              <w:t>​​ ​</w:t>
            </w:r>
          </w:p>
        </w:tc>
        <w:tc>
          <w:tcPr>
            <w:tcW w:w="920" w:type="dxa"/>
            <w:vAlign w:val="bottom"/>
            <w:gridSpan w:val="3"/>
          </w:tcPr>
          <w:p>
            <w:pPr>
              <w:jc w:val="right"/>
              <w:spacing w:after="0" w:line="259"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 7,935</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500" w:space="720"/>
            <w:col w:w="265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45"/>
        </w:trPr>
        <w:tc>
          <w:tcPr>
            <w:tcW w:w="5960" w:type="dxa"/>
            <w:vAlign w:val="bottom"/>
            <w:shd w:val="clear" w:color="auto" w:fill="CCEEFF"/>
          </w:tcPr>
          <w:p>
            <w:pPr>
              <w:jc w:val="right"/>
              <w:ind w:right="3810"/>
              <w:spacing w:after="0"/>
              <w:rPr>
                <w:sz w:val="20"/>
                <w:szCs w:val="20"/>
                <w:color w:val="auto"/>
              </w:rPr>
            </w:pPr>
            <w:r>
              <w:rPr>
                <w:rFonts w:ascii="Arial" w:cs="Arial" w:eastAsia="Arial" w:hAnsi="Arial"/>
                <w:sz w:val="18"/>
                <w:szCs w:val="18"/>
                <w:color w:val="auto"/>
              </w:rPr>
              <w:t>Noncontrolling interests</w:t>
            </w:r>
          </w:p>
        </w:tc>
        <w:tc>
          <w:tcPr>
            <w:tcW w:w="1380" w:type="dxa"/>
            <w:vAlign w:val="bottom"/>
            <w:gridSpan w:val="3"/>
            <w:shd w:val="clear" w:color="auto" w:fill="CCEEFF"/>
          </w:tcPr>
          <w:p>
            <w:pPr>
              <w:jc w:val="right"/>
              <w:ind w:right="126"/>
              <w:spacing w:after="0" w:line="245"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8"/>
                <w:szCs w:val="28"/>
                <w:color w:val="auto"/>
                <w:vertAlign w:val="superscript"/>
              </w:rPr>
              <w:t>​ 3,297</w:t>
            </w:r>
            <w:r>
              <w:rPr>
                <w:rFonts w:ascii="Arial" w:cs="Arial" w:eastAsia="Arial" w:hAnsi="Arial"/>
                <w:sz w:val="15"/>
                <w:szCs w:val="15"/>
                <w:color w:val="auto"/>
              </w:rPr>
              <w:t>​​ ​</w:t>
            </w:r>
          </w:p>
        </w:tc>
        <w:tc>
          <w:tcPr>
            <w:tcW w:w="860" w:type="dxa"/>
            <w:vAlign w:val="bottom"/>
            <w:shd w:val="clear" w:color="auto" w:fill="CCEEFF"/>
          </w:tcPr>
          <w:p>
            <w:pPr>
              <w:ind w:left="200"/>
              <w:spacing w:after="0" w:line="245"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3,297</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960" w:type="dxa"/>
            <w:vAlign w:val="bottom"/>
          </w:tcPr>
          <w:p>
            <w:pPr>
              <w:jc w:val="right"/>
              <w:ind w:right="3810"/>
              <w:spacing w:after="0"/>
              <w:rPr>
                <w:sz w:val="20"/>
                <w:szCs w:val="20"/>
                <w:color w:val="auto"/>
              </w:rPr>
            </w:pPr>
            <w:r>
              <w:rPr>
                <w:rFonts w:ascii="Arial" w:cs="Arial" w:eastAsia="Arial" w:hAnsi="Arial"/>
                <w:sz w:val="18"/>
                <w:szCs w:val="18"/>
                <w:color w:val="auto"/>
              </w:rPr>
              <w:t>Total partners’ capital</w:t>
            </w:r>
          </w:p>
        </w:tc>
        <w:tc>
          <w:tcPr>
            <w:tcW w:w="40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 ​ ​</w:t>
            </w:r>
            <w:r>
              <w:rPr>
                <w:rFonts w:ascii="Arial" w:cs="Arial" w:eastAsia="Arial" w:hAnsi="Arial"/>
                <w:sz w:val="30"/>
                <w:szCs w:val="30"/>
                <w:color w:val="auto"/>
                <w:vertAlign w:val="superscript"/>
              </w:rPr>
              <w:t>$</w:t>
            </w:r>
          </w:p>
        </w:tc>
        <w:tc>
          <w:tcPr>
            <w:tcW w:w="980" w:type="dxa"/>
            <w:vAlign w:val="bottom"/>
          </w:tcPr>
          <w:p>
            <w:pPr>
              <w:jc w:val="right"/>
              <w:ind w:right="126"/>
              <w:spacing w:after="0" w:line="264" w:lineRule="exact"/>
              <w:rPr>
                <w:sz w:val="20"/>
                <w:szCs w:val="20"/>
                <w:color w:val="auto"/>
              </w:rPr>
            </w:pPr>
            <w:r>
              <w:rPr>
                <w:rFonts w:ascii="Arial" w:cs="Arial" w:eastAsia="Arial" w:hAnsi="Arial"/>
                <w:sz w:val="16"/>
                <w:szCs w:val="16"/>
                <w:color w:val="auto"/>
              </w:rPr>
              <w:t>13,532</w:t>
            </w:r>
            <w:r>
              <w:rPr>
                <w:rFonts w:ascii="Arial" w:cs="Arial" w:eastAsia="Arial" w:hAnsi="Arial"/>
                <w:sz w:val="30"/>
                <w:szCs w:val="30"/>
                <w:color w:val="auto"/>
                <w:vertAlign w:val="subscript"/>
              </w:rPr>
              <w:t>​​ ​</w:t>
            </w:r>
          </w:p>
        </w:tc>
        <w:tc>
          <w:tcPr>
            <w:tcW w:w="92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$13,532</w:t>
            </w:r>
            <w:r>
              <w:rPr>
                <w:rFonts w:ascii="Arial" w:cs="Arial" w:eastAsia="Arial" w:hAnsi="Arial"/>
                <w:sz w:val="30"/>
                <w:szCs w:val="30"/>
                <w:color w:val="auto"/>
                <w:vertAlign w:val="subscript"/>
              </w:rPr>
              <w:t>​</w:t>
            </w:r>
          </w:p>
        </w:tc>
      </w:tr>
      <w:tr>
        <w:trPr>
          <w:trHeight w:val="196"/>
        </w:trPr>
        <w:tc>
          <w:tcPr>
            <w:tcW w:w="5960" w:type="dxa"/>
            <w:vAlign w:val="bottom"/>
            <w:tcBorders>
              <w:top w:val="single" w:sz="8" w:color="CCEEFF"/>
            </w:tcBorders>
            <w:shd w:val="clear" w:color="auto" w:fill="CCEEFF"/>
          </w:tcPr>
          <w:p>
            <w:pPr>
              <w:jc w:val="right"/>
              <w:ind w:right="3850"/>
              <w:spacing w:after="0" w:line="196" w:lineRule="exact"/>
              <w:rPr>
                <w:sz w:val="20"/>
                <w:szCs w:val="20"/>
                <w:color w:val="auto"/>
              </w:rPr>
            </w:pPr>
            <w:r>
              <w:rPr>
                <w:rFonts w:ascii="Arial" w:cs="Arial" w:eastAsia="Arial" w:hAnsi="Arial"/>
                <w:sz w:val="18"/>
                <w:szCs w:val="18"/>
                <w:color w:val="auto"/>
              </w:rPr>
              <w:t>Total capitalization</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346"/>
              <w:spacing w:after="0" w:line="196" w:lineRule="exact"/>
              <w:rPr>
                <w:sz w:val="20"/>
                <w:szCs w:val="20"/>
                <w:color w:val="auto"/>
              </w:rPr>
            </w:pPr>
            <w:r>
              <w:rPr>
                <w:rFonts w:ascii="Arial" w:cs="Arial" w:eastAsia="Arial" w:hAnsi="Arial"/>
                <w:sz w:val="18"/>
                <w:szCs w:val="18"/>
                <w:color w:val="auto"/>
                <w:w w:val="98"/>
              </w:rPr>
              <w:t>20,744</w:t>
            </w:r>
          </w:p>
        </w:tc>
        <w:tc>
          <w:tcPr>
            <w:tcW w:w="860" w:type="dxa"/>
            <w:vAlign w:val="bottom"/>
            <w:tcBorders>
              <w:top w:val="single" w:sz="8" w:color="auto"/>
            </w:tcBorders>
            <w:shd w:val="clear" w:color="auto" w:fill="CCEEFF"/>
          </w:tcPr>
          <w:p>
            <w:pPr>
              <w:jc w:val="right"/>
              <w:ind w:right="465"/>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95"/>
        </w:trPr>
        <w:tc>
          <w:tcPr>
            <w:tcW w:w="596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 ​ ​</w:t>
            </w:r>
          </w:p>
        </w:tc>
        <w:tc>
          <w:tcPr>
            <w:tcW w:w="980" w:type="dxa"/>
            <w:vAlign w:val="bottom"/>
            <w:tcBorders>
              <w:bottom w:val="single" w:sz="8" w:color="auto"/>
            </w:tcBorders>
            <w:shd w:val="clear" w:color="auto" w:fill="CCEEFF"/>
          </w:tcPr>
          <w:p>
            <w:pPr>
              <w:jc w:val="right"/>
              <w:ind w:right="126"/>
              <w:spacing w:after="0" w:line="95" w:lineRule="exact"/>
              <w:rPr>
                <w:sz w:val="20"/>
                <w:szCs w:val="20"/>
                <w:color w:val="auto"/>
              </w:rPr>
            </w:pPr>
            <w:r>
              <w:rPr>
                <w:rFonts w:ascii="Arial" w:cs="Arial" w:eastAsia="Arial" w:hAnsi="Arial"/>
                <w:sz w:val="10"/>
                <w:szCs w:val="10"/>
                <w:color w:val="auto"/>
              </w:rPr>
              <w:t>​​ ​</w:t>
            </w:r>
          </w:p>
        </w:tc>
        <w:tc>
          <w:tcPr>
            <w:tcW w:w="860" w:type="dxa"/>
            <w:vAlign w:val="bottom"/>
            <w:tcBorders>
              <w:bottom w:val="single" w:sz="8" w:color="auto"/>
            </w:tcBorders>
            <w:shd w:val="clear" w:color="auto" w:fill="CCEEFF"/>
          </w:tcPr>
          <w:p>
            <w:pPr>
              <w:ind w:left="200"/>
              <w:spacing w:after="0" w:line="95" w:lineRule="exact"/>
              <w:rPr>
                <w:sz w:val="20"/>
                <w:szCs w:val="20"/>
                <w:color w:val="auto"/>
              </w:rPr>
            </w:pPr>
            <w:r>
              <w:rPr>
                <w:rFonts w:ascii="Arial" w:cs="Arial" w:eastAsia="Arial" w:hAnsi="Arial"/>
                <w:sz w:val="10"/>
                <w:szCs w:val="10"/>
                <w:color w:val="auto"/>
              </w:rPr>
              <w:t>​</w:t>
            </w:r>
          </w:p>
        </w:tc>
        <w:tc>
          <w:tcPr>
            <w:tcW w:w="60" w:type="dxa"/>
            <w:vAlign w:val="bottom"/>
          </w:tcPr>
          <w:p>
            <w:pPr>
              <w:jc w:val="right"/>
              <w:spacing w:after="0" w:line="95" w:lineRule="exact"/>
              <w:rPr>
                <w:sz w:val="20"/>
                <w:szCs w:val="20"/>
                <w:color w:val="auto"/>
              </w:rPr>
            </w:pPr>
            <w:r>
              <w:rPr>
                <w:rFonts w:ascii="Arial" w:cs="Arial" w:eastAsia="Arial" w:hAnsi="Arial"/>
                <w:sz w:val="10"/>
                <w:szCs w:val="1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-205105</wp:posOffset>
            </wp:positionV>
            <wp:extent cx="38487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75" w:lineRule="exact"/>
        <w:rPr>
          <w:sz w:val="20"/>
          <w:szCs w:val="20"/>
          <w:color w:val="auto"/>
        </w:rPr>
      </w:pPr>
    </w:p>
    <w:p>
      <w:pPr>
        <w:ind w:left="1260" w:right="1059"/>
        <w:spacing w:after="0" w:line="302" w:lineRule="auto"/>
        <w:tabs>
          <w:tab w:leader="none" w:pos="1463" w:val="left"/>
        </w:tabs>
        <w:numPr>
          <w:ilvl w:val="0"/>
          <w:numId w:val="8"/>
        </w:numPr>
        <w:rPr>
          <w:rFonts w:ascii="Arial" w:cs="Arial" w:eastAsia="Arial" w:hAnsi="Arial"/>
          <w:sz w:val="13"/>
          <w:szCs w:val="13"/>
          <w:color w:val="auto"/>
        </w:rPr>
      </w:pPr>
      <w:r>
        <w:rPr>
          <w:rFonts w:ascii="Arial" w:cs="Arial" w:eastAsia="Arial" w:hAnsi="Arial"/>
          <w:sz w:val="13"/>
          <w:szCs w:val="13"/>
          <w:color w:val="auto"/>
        </w:rPr>
        <w:t>Does not give effect to the transactions described under “Prospectus Supplement Summary—Recent Developments” or the application of the net proceeds from this offering as described under “Use of Proceeds.”</w:t>
      </w:r>
    </w:p>
    <w:p>
      <w:pPr>
        <w:spacing w:after="0" w:line="1" w:lineRule="exact"/>
        <w:rPr>
          <w:rFonts w:ascii="Arial" w:cs="Arial" w:eastAsia="Arial" w:hAnsi="Arial"/>
          <w:sz w:val="13"/>
          <w:szCs w:val="13"/>
          <w:color w:val="auto"/>
        </w:rPr>
      </w:pPr>
    </w:p>
    <w:p>
      <w:pPr>
        <w:ind w:left="1260" w:right="419"/>
        <w:spacing w:after="0" w:line="281" w:lineRule="auto"/>
        <w:tabs>
          <w:tab w:leader="none" w:pos="1463" w:val="left"/>
        </w:tabs>
        <w:numPr>
          <w:ilvl w:val="0"/>
          <w:numId w:val="8"/>
        </w:numPr>
        <w:rPr>
          <w:rFonts w:ascii="Arial" w:cs="Arial" w:eastAsia="Arial" w:hAnsi="Arial"/>
          <w:sz w:val="13"/>
          <w:szCs w:val="13"/>
          <w:color w:val="auto"/>
        </w:rPr>
      </w:pPr>
      <w:r>
        <w:rPr>
          <w:rFonts w:ascii="Arial" w:cs="Arial" w:eastAsia="Arial" w:hAnsi="Arial"/>
          <w:sz w:val="13"/>
          <w:szCs w:val="13"/>
          <w:color w:val="auto"/>
        </w:rPr>
        <w:t>As of December 31, 2024, we had $393 million in outstanding borrowings under our commercial paper program, which is backstopped by our senior secured hedged inventory facility and our senior unsecured revolving credit facility, and $2.290 billion in available credit capacity under such facilities.</w:t>
      </w:r>
    </w:p>
    <w:p>
      <w:pPr>
        <w:spacing w:after="0" w:line="1" w:lineRule="exact"/>
        <w:rPr>
          <w:rFonts w:ascii="Arial" w:cs="Arial" w:eastAsia="Arial" w:hAnsi="Arial"/>
          <w:sz w:val="13"/>
          <w:szCs w:val="13"/>
          <w:color w:val="auto"/>
        </w:rPr>
      </w:pPr>
    </w:p>
    <w:p>
      <w:pPr>
        <w:ind w:left="1260" w:right="699"/>
        <w:spacing w:after="0" w:line="302" w:lineRule="auto"/>
        <w:tabs>
          <w:tab w:leader="none" w:pos="1463"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repaid these senior notes on November 1, 2024 using a combination of cash on hand and commercial paper borrowings. This repayment is not reflected in the “As Adjusted” column.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Arial" w:cs="Arial" w:eastAsia="Arial" w:hAnsi="Arial"/>
          <w:sz w:val="29"/>
          <w:szCs w:val="29"/>
          <w:b w:val="1"/>
          <w:bCs w:val="1"/>
          <w:color w:val="auto"/>
        </w:rPr>
        <w:t>Description of notes</w:t>
      </w:r>
    </w:p>
    <w:p>
      <w:pPr>
        <w:spacing w:after="0" w:line="156" w:lineRule="exact"/>
        <w:rPr>
          <w:sz w:val="20"/>
          <w:szCs w:val="20"/>
          <w:color w:val="auto"/>
        </w:rPr>
      </w:pPr>
    </w:p>
    <w:p>
      <w:pPr>
        <w:ind w:left="1260" w:right="539"/>
        <w:spacing w:after="0" w:line="266" w:lineRule="auto"/>
        <w:rPr>
          <w:sz w:val="20"/>
          <w:szCs w:val="20"/>
          <w:color w:val="auto"/>
        </w:rPr>
      </w:pPr>
      <w:r>
        <w:rPr>
          <w:rFonts w:ascii="Arial" w:cs="Arial" w:eastAsia="Arial" w:hAnsi="Arial"/>
          <w:sz w:val="18"/>
          <w:szCs w:val="18"/>
          <w:i w:val="1"/>
          <w:iCs w:val="1"/>
          <w:color w:val="auto"/>
        </w:rPr>
        <w:t>We will issue the Notes under an indenture (the “Base Indenture”) dated as of September 25, 2002, among us and U.S. Bank Trust Company, National Association, as successor trustee, and a supplemental indenture thereto with respect to the Notes to be dated as of                     , 2025 (the Base Indenture, as supplemented by such supplemental indenture, the “Indenture”). The Notes will constitute a new series of debt securities under the Base Indenture, and multiple other series are now outstanding under the Base Indenture, issued under various supplemental indentures.</w:t>
      </w:r>
    </w:p>
    <w:p>
      <w:pPr>
        <w:spacing w:after="0" w:line="109" w:lineRule="exact"/>
        <w:rPr>
          <w:sz w:val="20"/>
          <w:szCs w:val="20"/>
          <w:color w:val="auto"/>
        </w:rPr>
      </w:pPr>
    </w:p>
    <w:p>
      <w:pPr>
        <w:ind w:left="1260" w:right="439"/>
        <w:spacing w:after="0" w:line="264" w:lineRule="auto"/>
        <w:rPr>
          <w:sz w:val="20"/>
          <w:szCs w:val="20"/>
          <w:color w:val="auto"/>
        </w:rPr>
      </w:pPr>
      <w:r>
        <w:rPr>
          <w:rFonts w:ascii="Arial" w:cs="Arial" w:eastAsia="Arial" w:hAnsi="Arial"/>
          <w:sz w:val="18"/>
          <w:szCs w:val="18"/>
          <w:i w:val="1"/>
          <w:iCs w:val="1"/>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“Book-Entry, Delivery and Form.”</w:t>
      </w:r>
    </w:p>
    <w:p>
      <w:pPr>
        <w:spacing w:after="0" w:line="124" w:lineRule="exact"/>
        <w:rPr>
          <w:sz w:val="20"/>
          <w:szCs w:val="20"/>
          <w:color w:val="auto"/>
        </w:rPr>
      </w:pPr>
    </w:p>
    <w:p>
      <w:pPr>
        <w:ind w:left="1260" w:right="479"/>
        <w:spacing w:after="0" w:line="266" w:lineRule="auto"/>
        <w:rPr>
          <w:sz w:val="20"/>
          <w:szCs w:val="20"/>
          <w:color w:val="auto"/>
        </w:rPr>
      </w:pPr>
      <w:r>
        <w:rPr>
          <w:rFonts w:ascii="Arial" w:cs="Arial" w:eastAsia="Arial" w:hAnsi="Arial"/>
          <w:sz w:val="18"/>
          <w:szCs w:val="18"/>
          <w:i w:val="1"/>
          <w:iCs w:val="1"/>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 creating the Notes from us as set forth under “Where You Can Find More Information.”</w:t>
      </w:r>
    </w:p>
    <w:p>
      <w:pPr>
        <w:spacing w:after="0" w:line="122" w:lineRule="exact"/>
        <w:rPr>
          <w:sz w:val="20"/>
          <w:szCs w:val="20"/>
          <w:color w:val="auto"/>
        </w:rPr>
      </w:pPr>
    </w:p>
    <w:p>
      <w:pPr>
        <w:ind w:left="1260" w:right="419"/>
        <w:spacing w:after="0" w:line="266" w:lineRule="auto"/>
        <w:rPr>
          <w:sz w:val="20"/>
          <w:szCs w:val="20"/>
          <w:color w:val="auto"/>
        </w:rPr>
      </w:pPr>
      <w:r>
        <w:rPr>
          <w:rFonts w:ascii="Arial" w:cs="Arial" w:eastAsia="Arial" w:hAnsi="Arial"/>
          <w:sz w:val="18"/>
          <w:szCs w:val="18"/>
          <w:i w:val="1"/>
          <w:iCs w:val="1"/>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General description of the notes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Notes will be:</w:t>
      </w:r>
    </w:p>
    <w:p>
      <w:pPr>
        <w:spacing w:after="0" w:line="131" w:lineRule="exact"/>
        <w:rPr>
          <w:sz w:val="20"/>
          <w:szCs w:val="20"/>
          <w:color w:val="auto"/>
        </w:rPr>
      </w:pPr>
    </w:p>
    <w:p>
      <w:pPr>
        <w:ind w:left="1400" w:right="759" w:hanging="140"/>
        <w:spacing w:after="0" w:line="318"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senior unsecured indebtedness ranking equally in right of payment with all of our existing and future unsubordinated indebtedness;</w:t>
      </w:r>
    </w:p>
    <w:p>
      <w:pPr>
        <w:spacing w:after="0" w:line="31" w:lineRule="exact"/>
        <w:rPr>
          <w:rFonts w:ascii="Arial" w:cs="Arial" w:eastAsia="Arial" w:hAnsi="Arial"/>
          <w:sz w:val="18"/>
          <w:szCs w:val="18"/>
          <w:color w:val="auto"/>
        </w:rPr>
      </w:pPr>
    </w:p>
    <w:p>
      <w:pPr>
        <w:ind w:left="1400" w:hanging="140"/>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new series of debt securities issued under the Base Indenture;</w:t>
      </w:r>
    </w:p>
    <w:p>
      <w:pPr>
        <w:spacing w:after="0" w:line="130" w:lineRule="exact"/>
        <w:rPr>
          <w:rFonts w:ascii="Arial" w:cs="Arial" w:eastAsia="Arial" w:hAnsi="Arial"/>
          <w:sz w:val="18"/>
          <w:szCs w:val="18"/>
          <w:color w:val="auto"/>
        </w:rPr>
      </w:pPr>
    </w:p>
    <w:p>
      <w:pPr>
        <w:ind w:left="1400" w:hanging="140"/>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non-recourse to our general partner;</w:t>
      </w:r>
    </w:p>
    <w:p>
      <w:pPr>
        <w:spacing w:after="0" w:line="130" w:lineRule="exact"/>
        <w:rPr>
          <w:rFonts w:ascii="Arial" w:cs="Arial" w:eastAsia="Arial" w:hAnsi="Arial"/>
          <w:sz w:val="18"/>
          <w:szCs w:val="18"/>
          <w:color w:val="auto"/>
        </w:rPr>
      </w:pPr>
    </w:p>
    <w:p>
      <w:pPr>
        <w:ind w:left="1400" w:hanging="140"/>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in right of payment to any of our future subordinated indebtedness;</w:t>
      </w:r>
    </w:p>
    <w:p>
      <w:pPr>
        <w:spacing w:after="0" w:line="130" w:lineRule="exact"/>
        <w:rPr>
          <w:rFonts w:ascii="Arial" w:cs="Arial" w:eastAsia="Arial" w:hAnsi="Arial"/>
          <w:sz w:val="18"/>
          <w:szCs w:val="18"/>
          <w:color w:val="auto"/>
        </w:rPr>
      </w:pPr>
    </w:p>
    <w:p>
      <w:pPr>
        <w:ind w:left="1400" w:right="539" w:hanging="140"/>
        <w:spacing w:after="0" w:line="318"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junior to any of our existing and future secured indebtedness, to the extent of the security for that debt; and</w:t>
      </w:r>
    </w:p>
    <w:p>
      <w:pPr>
        <w:spacing w:after="0" w:line="31" w:lineRule="exact"/>
        <w:rPr>
          <w:rFonts w:ascii="Arial" w:cs="Arial" w:eastAsia="Arial" w:hAnsi="Arial"/>
          <w:sz w:val="18"/>
          <w:szCs w:val="18"/>
          <w:color w:val="auto"/>
        </w:rPr>
      </w:pPr>
    </w:p>
    <w:p>
      <w:pPr>
        <w:ind w:left="1400" w:right="959" w:hanging="140"/>
        <w:spacing w:after="0" w:line="303"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structurally junior to existing and future indebtedness and other obligations of our Subsidiaries, including trade payables, other than Subsidiaries that guarantee the Notes in the future.</w:t>
      </w:r>
    </w:p>
    <w:p>
      <w:pPr>
        <w:spacing w:after="0" w:line="71" w:lineRule="exact"/>
        <w:rPr>
          <w:sz w:val="20"/>
          <w:szCs w:val="20"/>
          <w:color w:val="auto"/>
        </w:rPr>
      </w:pPr>
    </w:p>
    <w:p>
      <w:pPr>
        <w:ind w:left="1260" w:right="419"/>
        <w:spacing w:after="0" w:line="267" w:lineRule="auto"/>
        <w:rPr>
          <w:sz w:val="20"/>
          <w:szCs w:val="20"/>
          <w:color w:val="auto"/>
        </w:rPr>
      </w:pPr>
      <w:r>
        <w:rPr>
          <w:rFonts w:ascii="Arial" w:cs="Arial" w:eastAsia="Arial" w:hAnsi="Arial"/>
          <w:sz w:val="18"/>
          <w:szCs w:val="18"/>
          <w:color w:val="auto"/>
        </w:rPr>
        <w:t>As of September 30, 2024, on an as adjusted basis as described under “Capitalization,” the Notes would not have been effectively subordinated to any secured indebtedness and would not have been structurally subordinated to any of our subsidiaries’ indebtedness.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40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right="699"/>
        <w:spacing w:after="0" w:line="283" w:lineRule="auto"/>
        <w:rPr>
          <w:sz w:val="20"/>
          <w:szCs w:val="20"/>
          <w:color w:val="auto"/>
        </w:rPr>
      </w:pPr>
      <w:r>
        <w:rPr>
          <w:rFonts w:ascii="Arial" w:cs="Arial" w:eastAsia="Arial" w:hAnsi="Arial"/>
          <w:sz w:val="18"/>
          <w:szCs w:val="18"/>
          <w:color w:val="auto"/>
        </w:rPr>
        <w:t>The Indenture will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Further issuances</w:t>
      </w:r>
    </w:p>
    <w:p>
      <w:pPr>
        <w:spacing w:after="0" w:line="148" w:lineRule="exact"/>
        <w:rPr>
          <w:sz w:val="20"/>
          <w:szCs w:val="20"/>
          <w:color w:val="auto"/>
        </w:rPr>
      </w:pPr>
    </w:p>
    <w:p>
      <w:pPr>
        <w:ind w:left="1260" w:right="419"/>
        <w:spacing w:after="0" w:line="276" w:lineRule="auto"/>
        <w:rPr>
          <w:sz w:val="20"/>
          <w:szCs w:val="20"/>
          <w:color w:val="auto"/>
        </w:rPr>
      </w:pPr>
      <w:r>
        <w:rPr>
          <w:rFonts w:ascii="Arial" w:cs="Arial" w:eastAsia="Arial" w:hAnsi="Arial"/>
          <w:sz w:val="18"/>
          <w:szCs w:val="18"/>
          <w:color w:val="auto"/>
        </w:rPr>
        <w:t>We may, from time to time, without notice to or the consent of the holders of the Notes, create and issue additional Notes ranking equally and ratably with the Notes offered hereby in all respects, so that such additional Notes will be consolidated and form a single series with the Notes and will have the same terms as to status, redemption or otherwise as the Notes (except for the issue date, the initial interest payment date, if applicable, and the payment of interest accruing prior to the issue date of such additional Notes).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Principal, maturity and interest</w:t>
      </w:r>
    </w:p>
    <w:p>
      <w:pPr>
        <w:spacing w:after="0" w:line="148" w:lineRule="exact"/>
        <w:rPr>
          <w:sz w:val="20"/>
          <w:szCs w:val="20"/>
          <w:color w:val="auto"/>
        </w:rPr>
      </w:pPr>
    </w:p>
    <w:p>
      <w:pPr>
        <w:ind w:left="1260" w:right="559"/>
        <w:spacing w:after="0" w:line="271" w:lineRule="auto"/>
        <w:rPr>
          <w:sz w:val="20"/>
          <w:szCs w:val="20"/>
          <w:color w:val="auto"/>
        </w:rPr>
      </w:pPr>
      <w:r>
        <w:rPr>
          <w:rFonts w:ascii="Arial" w:cs="Arial" w:eastAsia="Arial" w:hAnsi="Arial"/>
          <w:sz w:val="18"/>
          <w:szCs w:val="18"/>
          <w:color w:val="auto"/>
        </w:rPr>
        <w:t xml:space="preserve">We will issue the Notes in an initial aggregate principal amount of  $            million. The Notes will mature on                     , 2035. The Notes will bear interest at an annual rate of        %. Interest on the Notes will accrue from                     , 2025 and will be payable semi-annually in arrears on               </w:t>
      </w:r>
    </w:p>
    <w:p>
      <w:pPr>
        <w:spacing w:after="0" w:line="1" w:lineRule="exact"/>
        <w:rPr>
          <w:sz w:val="20"/>
          <w:szCs w:val="20"/>
          <w:color w:val="auto"/>
        </w:rPr>
      </w:pPr>
    </w:p>
    <w:p>
      <w:pPr>
        <w:ind w:left="1260" w:right="539"/>
        <w:spacing w:after="0" w:line="279" w:lineRule="auto"/>
        <w:rPr>
          <w:sz w:val="20"/>
          <w:szCs w:val="20"/>
          <w:color w:val="auto"/>
        </w:rPr>
      </w:pPr>
      <w:r>
        <w:rPr>
          <w:rFonts w:ascii="Arial" w:cs="Arial" w:eastAsia="Arial" w:hAnsi="Arial"/>
          <w:sz w:val="18"/>
          <w:szCs w:val="18"/>
          <w:color w:val="auto"/>
        </w:rPr>
        <w:t>    and                     of each year, beginning                     , 20 . We will make each interest payment to the holders of record at the close of business on                     and                   preceding such interest payment dates. Interest will be computed on the basis of a 360-day year consisting of twelve 30-day months. We will issue the Notes in minimum denominations of  $2,000 and integral multiples of $1,000 in excess thereof.</w:t>
      </w:r>
    </w:p>
    <w:p>
      <w:pPr>
        <w:spacing w:after="0" w:line="106" w:lineRule="exact"/>
        <w:rPr>
          <w:sz w:val="20"/>
          <w:szCs w:val="20"/>
          <w:color w:val="auto"/>
        </w:rPr>
      </w:pPr>
    </w:p>
    <w:p>
      <w:pPr>
        <w:ind w:left="1260" w:right="419"/>
        <w:spacing w:after="0" w:line="283" w:lineRule="auto"/>
        <w:rPr>
          <w:sz w:val="20"/>
          <w:szCs w:val="20"/>
          <w:color w:val="auto"/>
        </w:rPr>
      </w:pPr>
      <w:r>
        <w:rPr>
          <w:rFonts w:ascii="Arial" w:cs="Arial" w:eastAsia="Arial" w:hAnsi="Arial"/>
          <w:sz w:val="18"/>
          <w:szCs w:val="18"/>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 liability of general partner</w:t>
      </w:r>
    </w:p>
    <w:p>
      <w:pPr>
        <w:spacing w:after="0" w:line="148" w:lineRule="exact"/>
        <w:rPr>
          <w:sz w:val="20"/>
          <w:szCs w:val="20"/>
          <w:color w:val="auto"/>
        </w:rPr>
      </w:pPr>
    </w:p>
    <w:p>
      <w:pPr>
        <w:ind w:left="1260" w:right="439"/>
        <w:spacing w:after="0" w:line="277" w:lineRule="auto"/>
        <w:rPr>
          <w:sz w:val="20"/>
          <w:szCs w:val="20"/>
          <w:color w:val="auto"/>
        </w:rPr>
      </w:pPr>
      <w:r>
        <w:rPr>
          <w:rFonts w:ascii="Arial" w:cs="Arial" w:eastAsia="Arial" w:hAnsi="Arial"/>
          <w:sz w:val="18"/>
          <w:szCs w:val="18"/>
          <w:color w:val="auto"/>
        </w:rPr>
        <w:t>Plains All American Pipeline’s general partner and its directors, officers, employees and members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Possible future guarantees</w:t>
      </w:r>
    </w:p>
    <w:p>
      <w:pPr>
        <w:spacing w:after="0" w:line="148" w:lineRule="exact"/>
        <w:rPr>
          <w:sz w:val="20"/>
          <w:szCs w:val="20"/>
          <w:color w:val="auto"/>
        </w:rPr>
      </w:pPr>
    </w:p>
    <w:p>
      <w:pPr>
        <w:ind w:left="1260" w:right="479"/>
        <w:spacing w:after="0" w:line="283" w:lineRule="auto"/>
        <w:rPr>
          <w:sz w:val="20"/>
          <w:szCs w:val="20"/>
          <w:color w:val="auto"/>
        </w:rPr>
      </w:pPr>
      <w:r>
        <w:rPr>
          <w:rFonts w:ascii="Arial" w:cs="Arial" w:eastAsia="Arial" w:hAnsi="Arial"/>
          <w:sz w:val="18"/>
          <w:szCs w:val="18"/>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38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Provided that no default shall have occurred and shall be continuing under the Indenture, a future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Subsidiary Guarantor will be unconditionally released and discharged from its guarantee:</w:t>
      </w:r>
    </w:p>
    <w:p>
      <w:pPr>
        <w:spacing w:after="0" w:line="121" w:lineRule="exact"/>
        <w:rPr>
          <w:sz w:val="20"/>
          <w:szCs w:val="20"/>
          <w:color w:val="auto"/>
        </w:rPr>
      </w:pPr>
    </w:p>
    <w:p>
      <w:pPr>
        <w:ind w:left="1400" w:right="459" w:hanging="140"/>
        <w:spacing w:after="0" w:line="292" w:lineRule="auto"/>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54" w:lineRule="exact"/>
        <w:rPr>
          <w:rFonts w:ascii="Arial" w:cs="Arial" w:eastAsia="Arial" w:hAnsi="Arial"/>
          <w:sz w:val="18"/>
          <w:szCs w:val="18"/>
          <w:color w:val="auto"/>
        </w:rPr>
      </w:pPr>
    </w:p>
    <w:p>
      <w:pPr>
        <w:ind w:left="1400" w:right="819" w:hanging="140"/>
        <w:spacing w:after="0" w:line="318" w:lineRule="auto"/>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any sale or other disposition of all of our direct or indirect equity interests in that Subsidiary Guarantor to any Person that is not our affiliate; or</w:t>
      </w:r>
    </w:p>
    <w:p>
      <w:pPr>
        <w:spacing w:after="0" w:line="31" w:lineRule="exact"/>
        <w:rPr>
          <w:rFonts w:ascii="Arial" w:cs="Arial" w:eastAsia="Arial" w:hAnsi="Arial"/>
          <w:sz w:val="18"/>
          <w:szCs w:val="18"/>
          <w:color w:val="auto"/>
        </w:rPr>
      </w:pPr>
    </w:p>
    <w:p>
      <w:pPr>
        <w:jc w:val="both"/>
        <w:ind w:left="1400" w:right="539" w:hanging="140"/>
        <w:spacing w:after="0" w:line="292" w:lineRule="auto"/>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following delivery of a written notice of the release from the guarantee by us to the trustee, upon the release of all guarantees by the Subsidiary Guarantor of any debt of ours (other than debt securities issued under the Base Indenture).</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Optional redemption</w:t>
      </w:r>
    </w:p>
    <w:p>
      <w:pPr>
        <w:spacing w:after="0" w:line="135" w:lineRule="exact"/>
        <w:rPr>
          <w:sz w:val="20"/>
          <w:szCs w:val="20"/>
          <w:color w:val="auto"/>
        </w:rPr>
      </w:pPr>
    </w:p>
    <w:p>
      <w:pPr>
        <w:ind w:left="1260" w:right="419"/>
        <w:spacing w:after="0" w:line="264" w:lineRule="auto"/>
        <w:rPr>
          <w:sz w:val="20"/>
          <w:szCs w:val="20"/>
          <w:color w:val="auto"/>
        </w:rPr>
      </w:pPr>
      <w:r>
        <w:rPr>
          <w:rFonts w:ascii="Arial" w:cs="Arial" w:eastAsia="Arial" w:hAnsi="Arial"/>
          <w:sz w:val="18"/>
          <w:szCs w:val="18"/>
          <w:color w:val="auto"/>
        </w:rPr>
        <w:t>The Notes will be redeemable, in whole or in part, at our option at any time and from time to time prior to maturity. If we redeem the Notes before the Par Call Date, we will pay an amount equal to the greater of  (i) 100% of the principal amount of the Notes to be redeemed and (ii)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basis points less (b) interest accrued to the date of redemption, plus, in either case, accrued and unpaid interest thereon to the date of redemption.</w:t>
      </w:r>
    </w:p>
    <w:p>
      <w:pPr>
        <w:spacing w:after="0" w:line="123" w:lineRule="exact"/>
        <w:rPr>
          <w:sz w:val="20"/>
          <w:szCs w:val="20"/>
          <w:color w:val="auto"/>
        </w:rPr>
      </w:pPr>
    </w:p>
    <w:p>
      <w:pPr>
        <w:ind w:left="1260" w:right="419"/>
        <w:spacing w:after="0" w:line="318" w:lineRule="auto"/>
        <w:rPr>
          <w:sz w:val="20"/>
          <w:szCs w:val="20"/>
          <w:color w:val="auto"/>
        </w:rPr>
      </w:pPr>
      <w:r>
        <w:rPr>
          <w:rFonts w:ascii="Arial" w:cs="Arial" w:eastAsia="Arial" w:hAnsi="Arial"/>
          <w:sz w:val="17"/>
          <w:szCs w:val="17"/>
          <w:color w:val="auto"/>
        </w:rPr>
        <w:t>If we redeem the Notes on or after the Par Call Date, we will pay an amount equal to 100% of the principal amount of the Notes to be redeemed plus accrued and unpaid interest to the redemption date.</w:t>
      </w:r>
    </w:p>
    <w:p>
      <w:pPr>
        <w:spacing w:after="0" w:line="89" w:lineRule="exact"/>
        <w:rPr>
          <w:sz w:val="20"/>
          <w:szCs w:val="20"/>
          <w:color w:val="auto"/>
        </w:rPr>
      </w:pPr>
    </w:p>
    <w:p>
      <w:pPr>
        <w:ind w:left="1260" w:right="459"/>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yield determined by us in accordance with the following two paragraphs.</w:t>
      </w:r>
    </w:p>
    <w:p>
      <w:pPr>
        <w:spacing w:after="0" w:line="85" w:lineRule="exact"/>
        <w:rPr>
          <w:sz w:val="20"/>
          <w:szCs w:val="20"/>
          <w:color w:val="auto"/>
        </w:rPr>
      </w:pPr>
    </w:p>
    <w:p>
      <w:pPr>
        <w:ind w:left="1260" w:right="419"/>
        <w:spacing w:after="0" w:line="273" w:lineRule="auto"/>
        <w:rPr>
          <w:sz w:val="20"/>
          <w:szCs w:val="20"/>
          <w:color w:val="auto"/>
        </w:rPr>
      </w:pPr>
      <w:r>
        <w:rPr>
          <w:rFonts w:ascii="Arial" w:cs="Arial" w:eastAsia="Arial" w:hAnsi="Arial"/>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17" w:lineRule="exact"/>
        <w:rPr>
          <w:sz w:val="20"/>
          <w:szCs w:val="20"/>
          <w:color w:val="auto"/>
        </w:rPr>
      </w:pPr>
    </w:p>
    <w:p>
      <w:pPr>
        <w:ind w:left="1260" w:right="559"/>
        <w:spacing w:after="0" w:line="303" w:lineRule="auto"/>
        <w:rPr>
          <w:sz w:val="20"/>
          <w:szCs w:val="20"/>
          <w:color w:val="auto"/>
        </w:rPr>
      </w:pPr>
      <w:r>
        <w:rPr>
          <w:rFonts w:ascii="Arial" w:cs="Arial" w:eastAsia="Arial" w:hAnsi="Arial"/>
          <w:sz w:val="18"/>
          <w:szCs w:val="18"/>
          <w:color w:val="auto"/>
        </w:rPr>
        <w:t>If on the third business day preceding the redemption date H.15 TCM is no longer published, we shall calculate the Treasury Rate based on the rate per annum equal to the semi-annual equivalent</w:t>
      </w:r>
    </w:p>
    <w:p>
      <w:pPr>
        <w:spacing w:after="0" w:line="36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64" w:lineRule="auto"/>
        <w:rPr>
          <w:sz w:val="20"/>
          <w:szCs w:val="20"/>
          <w:color w:val="auto"/>
        </w:rPr>
      </w:pPr>
      <w:r>
        <w:rPr>
          <w:rFonts w:ascii="Arial" w:cs="Arial" w:eastAsia="Arial" w:hAnsi="Arial"/>
          <w:sz w:val="18"/>
          <w:szCs w:val="18"/>
          <w:color w:val="auto"/>
        </w:rPr>
        <w:t>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08" w:lineRule="exact"/>
        <w:rPr>
          <w:sz w:val="20"/>
          <w:szCs w:val="20"/>
          <w:color w:val="auto"/>
        </w:rPr>
      </w:pPr>
    </w:p>
    <w:p>
      <w:pPr>
        <w:ind w:left="1260" w:right="439"/>
        <w:spacing w:after="0" w:line="287" w:lineRule="auto"/>
        <w:rPr>
          <w:sz w:val="20"/>
          <w:szCs w:val="20"/>
          <w:color w:val="auto"/>
        </w:rPr>
      </w:pPr>
      <w:r>
        <w:rPr>
          <w:rFonts w:ascii="Arial" w:cs="Arial" w:eastAsia="Arial" w:hAnsi="Arial"/>
          <w:sz w:val="18"/>
          <w:szCs w:val="18"/>
          <w:color w:val="auto"/>
        </w:rPr>
        <w:t>Our actions and determinations in determining the redemption price shall be conclusive and binding for all purposes, absent manifest error.</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means                     , 2035 (three months prior to the maturity date).</w:t>
      </w:r>
    </w:p>
    <w:p>
      <w:pPr>
        <w:spacing w:after="0" w:line="158" w:lineRule="exact"/>
        <w:rPr>
          <w:sz w:val="20"/>
          <w:szCs w:val="20"/>
          <w:color w:val="auto"/>
        </w:rPr>
      </w:pPr>
    </w:p>
    <w:p>
      <w:pPr>
        <w:ind w:left="1260" w:right="479"/>
        <w:spacing w:after="0" w:line="287" w:lineRule="auto"/>
        <w:rPr>
          <w:sz w:val="20"/>
          <w:szCs w:val="20"/>
          <w:color w:val="auto"/>
        </w:rPr>
      </w:pPr>
      <w:r>
        <w:rPr>
          <w:rFonts w:ascii="Arial" w:cs="Arial" w:eastAsia="Arial" w:hAnsi="Arial"/>
          <w:sz w:val="18"/>
          <w:szCs w:val="18"/>
          <w:color w:val="auto"/>
        </w:rPr>
        <w:t>Unless we default in payment of the redemption price, on and after the date of redemption, interest will cease to accrue on the Notes or portions thereof called for redemption.</w:t>
      </w:r>
    </w:p>
    <w:p>
      <w:pPr>
        <w:spacing w:after="0" w:line="99" w:lineRule="exact"/>
        <w:rPr>
          <w:sz w:val="20"/>
          <w:szCs w:val="20"/>
          <w:color w:val="auto"/>
        </w:rPr>
      </w:pPr>
    </w:p>
    <w:p>
      <w:pPr>
        <w:ind w:left="1260" w:right="899"/>
        <w:spacing w:after="0" w:line="287" w:lineRule="auto"/>
        <w:rPr>
          <w:sz w:val="20"/>
          <w:szCs w:val="20"/>
          <w:color w:val="auto"/>
        </w:rPr>
      </w:pPr>
      <w:r>
        <w:rPr>
          <w:rFonts w:ascii="Arial" w:cs="Arial" w:eastAsia="Arial" w:hAnsi="Arial"/>
          <w:sz w:val="18"/>
          <w:szCs w:val="18"/>
          <w:color w:val="auto"/>
        </w:rPr>
        <w:t>On or before a redemption date, we will deposit with a paying agent (or with the trustee) sufficient money to pay the redemption price and accrued interest on the Notes to be redeemed.</w:t>
      </w:r>
    </w:p>
    <w:p>
      <w:pPr>
        <w:spacing w:after="0" w:line="99" w:lineRule="exact"/>
        <w:rPr>
          <w:sz w:val="20"/>
          <w:szCs w:val="20"/>
          <w:color w:val="auto"/>
        </w:rPr>
      </w:pPr>
    </w:p>
    <w:p>
      <w:pPr>
        <w:ind w:left="1260" w:right="439"/>
        <w:spacing w:after="0" w:line="287" w:lineRule="auto"/>
        <w:rPr>
          <w:sz w:val="20"/>
          <w:szCs w:val="20"/>
          <w:color w:val="auto"/>
        </w:rPr>
      </w:pPr>
      <w:r>
        <w:rPr>
          <w:rFonts w:ascii="Arial" w:cs="Arial" w:eastAsia="Arial" w:hAnsi="Arial"/>
          <w:sz w:val="18"/>
          <w:szCs w:val="18"/>
          <w:color w:val="auto"/>
        </w:rPr>
        <w:t>If less than all of the Notes are to be redeemed at any time, the trustee will select Notes (or any portion of Notes in integral multiples of  $1,000) for redemption as follows:</w:t>
      </w:r>
    </w:p>
    <w:p>
      <w:pPr>
        <w:spacing w:after="0" w:line="72" w:lineRule="exact"/>
        <w:rPr>
          <w:sz w:val="20"/>
          <w:szCs w:val="20"/>
          <w:color w:val="auto"/>
        </w:rPr>
      </w:pPr>
    </w:p>
    <w:p>
      <w:pPr>
        <w:ind w:left="1400" w:right="1099" w:hanging="140"/>
        <w:spacing w:after="0" w:line="303"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Notes are listed, in compliance with the requirements of the principal national securities exchange on which such Notes are listed; or</w:t>
      </w:r>
    </w:p>
    <w:p>
      <w:pPr>
        <w:spacing w:after="0" w:line="44" w:lineRule="exact"/>
        <w:rPr>
          <w:rFonts w:ascii="Arial" w:cs="Arial" w:eastAsia="Arial" w:hAnsi="Arial"/>
          <w:sz w:val="18"/>
          <w:szCs w:val="18"/>
          <w:color w:val="auto"/>
        </w:rPr>
      </w:pPr>
    </w:p>
    <w:p>
      <w:pPr>
        <w:ind w:left="1400" w:right="679" w:hanging="140"/>
        <w:spacing w:after="0" w:line="318"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Notes are not so listed or there are no such requirements, on a pro rata basis, by lot or, if the Notes are in the form of Global Notes, by such method as the depositary shall require.</w:t>
      </w:r>
    </w:p>
    <w:p>
      <w:pPr>
        <w:spacing w:after="0" w:line="59" w:lineRule="exact"/>
        <w:rPr>
          <w:sz w:val="20"/>
          <w:szCs w:val="20"/>
          <w:color w:val="auto"/>
        </w:rPr>
      </w:pPr>
    </w:p>
    <w:p>
      <w:pPr>
        <w:ind w:left="1260" w:right="599"/>
        <w:spacing w:after="0" w:line="267" w:lineRule="auto"/>
        <w:rPr>
          <w:sz w:val="20"/>
          <w:szCs w:val="20"/>
          <w:color w:val="auto"/>
        </w:rPr>
      </w:pPr>
      <w:r>
        <w:rPr>
          <w:rFonts w:ascii="Arial" w:cs="Arial" w:eastAsia="Arial" w:hAnsi="Arial"/>
          <w:sz w:val="18"/>
          <w:szCs w:val="18"/>
          <w:color w:val="auto"/>
        </w:rPr>
        <w:t>However, no Note with a principal amount of  $2,000 or less will be redeemed in part. Notice of any such optional redemption will be mailed by first class mail at least 10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Events of default</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1400" w:right="1059" w:hanging="140"/>
        <w:spacing w:after="0" w:line="318"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any premium on any Note at maturity, upon redemption or otherwise;</w:t>
      </w:r>
    </w:p>
    <w:p>
      <w:pPr>
        <w:spacing w:after="0" w:line="31" w:lineRule="exact"/>
        <w:rPr>
          <w:rFonts w:ascii="Arial" w:cs="Arial" w:eastAsia="Arial" w:hAnsi="Arial"/>
          <w:sz w:val="18"/>
          <w:szCs w:val="18"/>
          <w:color w:val="auto"/>
        </w:rPr>
      </w:pPr>
    </w:p>
    <w:p>
      <w:pPr>
        <w:ind w:left="1400" w:hanging="140"/>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 for 60 days in the payment when due of interest on any Note;</w:t>
      </w:r>
    </w:p>
    <w:p>
      <w:pPr>
        <w:spacing w:after="0" w:line="130" w:lineRule="exact"/>
        <w:rPr>
          <w:rFonts w:ascii="Arial" w:cs="Arial" w:eastAsia="Arial" w:hAnsi="Arial"/>
          <w:sz w:val="18"/>
          <w:szCs w:val="18"/>
          <w:color w:val="auto"/>
        </w:rPr>
      </w:pPr>
    </w:p>
    <w:p>
      <w:pPr>
        <w:ind w:left="1400" w:right="419" w:hanging="140"/>
        <w:spacing w:after="0" w:line="279"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by us or, if and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“—Consolidation, Merger or Sale”);</w:t>
      </w:r>
    </w:p>
    <w:p>
      <w:pPr>
        <w:spacing w:after="0" w:line="39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400" w:right="439" w:hanging="140"/>
        <w:spacing w:after="0" w:line="273" w:lineRule="auto"/>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debt of ours or any of the Subsidiaries of Plains All American Pipeline (or the payment of which is guaranteed by Plains All American Pipeline or any of its Subsidiaries), whether such debt or guarantee now exists or is created after the Issue Date, if</w:t>
      </w:r>
    </w:p>
    <w:p>
      <w:pPr>
        <w:spacing w:after="0" w:line="3" w:lineRule="exact"/>
        <w:rPr>
          <w:rFonts w:ascii="Arial" w:cs="Arial" w:eastAsia="Arial" w:hAnsi="Arial"/>
          <w:sz w:val="18"/>
          <w:szCs w:val="18"/>
          <w:color w:val="auto"/>
        </w:rPr>
      </w:pPr>
    </w:p>
    <w:p>
      <w:pPr>
        <w:ind w:left="1400" w:right="799" w:firstLine="4"/>
        <w:spacing w:after="0" w:line="287" w:lineRule="auto"/>
        <w:tabs>
          <w:tab w:leader="none" w:pos="167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that default (x) is caused by a failure to pay principal of or premium, if any, or interest on such debt prior to the expiration of any grace period provided in such debt (a “Payment Default”), or</w:t>
      </w:r>
    </w:p>
    <w:p>
      <w:pPr>
        <w:ind w:left="1400" w:right="499" w:firstLine="4"/>
        <w:spacing w:after="0" w:line="275" w:lineRule="auto"/>
        <w:tabs>
          <w:tab w:leader="none" w:pos="1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$150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83" w:lineRule="exact"/>
        <w:rPr>
          <w:rFonts w:ascii="Arial" w:cs="Arial" w:eastAsia="Arial" w:hAnsi="Arial"/>
          <w:sz w:val="18"/>
          <w:szCs w:val="18"/>
          <w:color w:val="auto"/>
        </w:rPr>
      </w:pPr>
    </w:p>
    <w:p>
      <w:pPr>
        <w:ind w:left="1400" w:right="559" w:hanging="140"/>
        <w:spacing w:after="0" w:line="303" w:lineRule="auto"/>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specified events in bankruptcy, insolvency or reorganization of us or, if and so long as the Notes are guaranteed by a Subsidiary Guarantor, by such Subsidiary Guarantor; or</w:t>
      </w:r>
    </w:p>
    <w:p>
      <w:pPr>
        <w:spacing w:after="0" w:line="44" w:lineRule="exact"/>
        <w:rPr>
          <w:rFonts w:ascii="Arial" w:cs="Arial" w:eastAsia="Arial" w:hAnsi="Arial"/>
          <w:sz w:val="18"/>
          <w:szCs w:val="18"/>
          <w:color w:val="auto"/>
        </w:rPr>
      </w:pPr>
    </w:p>
    <w:p>
      <w:pPr>
        <w:ind w:left="1400" w:hanging="140"/>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and so long as the Notes are guaranteed by a Subsidiary Guarantor:</w:t>
      </w:r>
    </w:p>
    <w:p>
      <w:pPr>
        <w:spacing w:after="0" w:line="171" w:lineRule="exact"/>
        <w:rPr>
          <w:rFonts w:ascii="Arial" w:cs="Arial" w:eastAsia="Arial" w:hAnsi="Arial"/>
          <w:sz w:val="18"/>
          <w:szCs w:val="18"/>
          <w:color w:val="auto"/>
        </w:rPr>
      </w:pPr>
    </w:p>
    <w:p>
      <w:pPr>
        <w:ind w:left="1580" w:right="799" w:firstLine="4"/>
        <w:spacing w:after="0" w:line="318" w:lineRule="auto"/>
        <w:tabs>
          <w:tab w:leader="none" w:pos="185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guarantee by such Subsidiary Guarantor ceases to be in full force and effect, except as otherwise provided in the Indenture;</w:t>
      </w:r>
    </w:p>
    <w:p>
      <w:pPr>
        <w:spacing w:after="0" w:line="72" w:lineRule="exact"/>
        <w:rPr>
          <w:rFonts w:ascii="Arial" w:cs="Arial" w:eastAsia="Arial" w:hAnsi="Arial"/>
          <w:sz w:val="18"/>
          <w:szCs w:val="18"/>
          <w:color w:val="auto"/>
        </w:rPr>
      </w:pPr>
    </w:p>
    <w:p>
      <w:pPr>
        <w:ind w:left="1860" w:hanging="276"/>
        <w:spacing w:after="0"/>
        <w:tabs>
          <w:tab w:leader="none" w:pos="18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w:t>
      </w:r>
    </w:p>
    <w:p>
      <w:pPr>
        <w:spacing w:after="0" w:line="31"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161" w:lineRule="exact"/>
        <w:rPr>
          <w:rFonts w:ascii="Arial" w:cs="Arial" w:eastAsia="Arial" w:hAnsi="Arial"/>
          <w:sz w:val="18"/>
          <w:szCs w:val="18"/>
          <w:color w:val="auto"/>
        </w:rPr>
      </w:pPr>
    </w:p>
    <w:p>
      <w:pPr>
        <w:ind w:left="1580" w:right="1099" w:firstLine="4"/>
        <w:spacing w:after="0" w:line="303" w:lineRule="auto"/>
        <w:tabs>
          <w:tab w:leader="none" w:pos="184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85" w:lineRule="exact"/>
        <w:rPr>
          <w:sz w:val="20"/>
          <w:szCs w:val="20"/>
          <w:color w:val="auto"/>
        </w:rPr>
      </w:pPr>
    </w:p>
    <w:p>
      <w:pPr>
        <w:ind w:left="1260" w:right="419"/>
        <w:spacing w:after="0" w:line="277" w:lineRule="auto"/>
        <w:rPr>
          <w:sz w:val="20"/>
          <w:szCs w:val="20"/>
          <w:color w:val="auto"/>
        </w:rPr>
      </w:pPr>
      <w:r>
        <w:rPr>
          <w:rFonts w:ascii="Arial" w:cs="Arial" w:eastAsia="Arial" w:hAnsi="Arial"/>
          <w:sz w:val="18"/>
          <w:szCs w:val="18"/>
          <w:color w:val="auto"/>
        </w:rPr>
        <w:t>An Event of Default regarding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110" w:lineRule="exact"/>
        <w:rPr>
          <w:sz w:val="20"/>
          <w:szCs w:val="20"/>
          <w:color w:val="auto"/>
        </w:rPr>
      </w:pPr>
    </w:p>
    <w:p>
      <w:pPr>
        <w:ind w:left="1260" w:right="419"/>
        <w:spacing w:after="0" w:line="277" w:lineRule="auto"/>
        <w:rPr>
          <w:sz w:val="20"/>
          <w:szCs w:val="20"/>
          <w:color w:val="auto"/>
        </w:rPr>
      </w:pPr>
      <w:r>
        <w:rPr>
          <w:rFonts w:ascii="Arial" w:cs="Arial" w:eastAsia="Arial" w:hAnsi="Arial"/>
          <w:sz w:val="18"/>
          <w:szCs w:val="18"/>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110" w:lineRule="exact"/>
        <w:rPr>
          <w:sz w:val="20"/>
          <w:szCs w:val="20"/>
          <w:color w:val="auto"/>
        </w:rPr>
      </w:pPr>
    </w:p>
    <w:p>
      <w:pPr>
        <w:ind w:left="1260" w:right="599"/>
        <w:spacing w:after="0" w:line="283" w:lineRule="auto"/>
        <w:rPr>
          <w:sz w:val="20"/>
          <w:szCs w:val="20"/>
          <w:color w:val="auto"/>
        </w:rPr>
      </w:pPr>
      <w:r>
        <w:rPr>
          <w:rFonts w:ascii="Arial" w:cs="Arial" w:eastAsia="Arial" w:hAnsi="Arial"/>
          <w:sz w:val="18"/>
          <w:szCs w:val="18"/>
          <w:color w:val="auto"/>
        </w:rPr>
        <w:t>If a Default occurs and is continuing and is known to the trustee, the trustee must mail to each holder of the Notes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such holders.</w:t>
      </w:r>
    </w:p>
    <w:p>
      <w:pPr>
        <w:spacing w:after="0" w:line="37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Consolidation, merger or sale</w:t>
      </w:r>
    </w:p>
    <w:p>
      <w:pPr>
        <w:spacing w:after="0" w:line="135" w:lineRule="exact"/>
        <w:rPr>
          <w:sz w:val="20"/>
          <w:szCs w:val="20"/>
          <w:color w:val="auto"/>
        </w:rPr>
      </w:pPr>
    </w:p>
    <w:p>
      <w:pPr>
        <w:ind w:left="1260" w:right="559"/>
        <w:spacing w:after="0" w:line="273" w:lineRule="auto"/>
        <w:rPr>
          <w:sz w:val="20"/>
          <w:szCs w:val="20"/>
          <w:color w:val="auto"/>
        </w:rPr>
      </w:pPr>
      <w:r>
        <w:rPr>
          <w:rFonts w:ascii="Arial" w:cs="Arial" w:eastAsia="Arial" w:hAnsi="Arial"/>
          <w:sz w:val="18"/>
          <w:szCs w:val="18"/>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84" w:lineRule="exact"/>
        <w:rPr>
          <w:sz w:val="20"/>
          <w:szCs w:val="20"/>
          <w:color w:val="auto"/>
        </w:rPr>
      </w:pPr>
    </w:p>
    <w:p>
      <w:pPr>
        <w:ind w:left="1400" w:hanging="140"/>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the surviving Person in the case of a merger, or the surviving Person:</w:t>
      </w:r>
    </w:p>
    <w:p>
      <w:pPr>
        <w:spacing w:after="0" w:line="157" w:lineRule="exact"/>
        <w:rPr>
          <w:rFonts w:ascii="Arial" w:cs="Arial" w:eastAsia="Arial" w:hAnsi="Arial"/>
          <w:sz w:val="18"/>
          <w:szCs w:val="18"/>
          <w:color w:val="auto"/>
        </w:rPr>
      </w:pPr>
    </w:p>
    <w:p>
      <w:pPr>
        <w:ind w:left="1580" w:right="519" w:firstLine="4"/>
        <w:spacing w:after="0" w:line="267" w:lineRule="auto"/>
        <w:tabs>
          <w:tab w:leader="none" w:pos="185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118" w:lineRule="exact"/>
        <w:rPr>
          <w:rFonts w:ascii="Arial" w:cs="Arial" w:eastAsia="Arial" w:hAnsi="Arial"/>
          <w:sz w:val="18"/>
          <w:szCs w:val="18"/>
          <w:color w:val="auto"/>
        </w:rPr>
      </w:pPr>
    </w:p>
    <w:p>
      <w:pPr>
        <w:ind w:left="1580" w:right="539" w:firstLine="4"/>
        <w:spacing w:after="0" w:line="273" w:lineRule="auto"/>
        <w:tabs>
          <w:tab w:leader="none" w:pos="185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70" w:lineRule="exact"/>
        <w:rPr>
          <w:rFonts w:ascii="Arial" w:cs="Arial" w:eastAsia="Arial" w:hAnsi="Arial"/>
          <w:sz w:val="18"/>
          <w:szCs w:val="18"/>
          <w:color w:val="auto"/>
        </w:rPr>
      </w:pPr>
    </w:p>
    <w:p>
      <w:pPr>
        <w:ind w:left="1400" w:right="859" w:hanging="140"/>
        <w:spacing w:after="0" w:line="303"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or series of transactions, no Default or Event of Default has occurred and is continuing;</w:t>
      </w:r>
    </w:p>
    <w:p>
      <w:pPr>
        <w:spacing w:after="0" w:line="44" w:lineRule="exact"/>
        <w:rPr>
          <w:rFonts w:ascii="Arial" w:cs="Arial" w:eastAsia="Arial" w:hAnsi="Arial"/>
          <w:sz w:val="18"/>
          <w:szCs w:val="18"/>
          <w:color w:val="auto"/>
        </w:rPr>
      </w:pPr>
    </w:p>
    <w:p>
      <w:pPr>
        <w:ind w:left="1400" w:right="479" w:hanging="140"/>
        <w:spacing w:after="0" w:line="283"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63" w:lineRule="exact"/>
        <w:rPr>
          <w:rFonts w:ascii="Arial" w:cs="Arial" w:eastAsia="Arial" w:hAnsi="Arial"/>
          <w:sz w:val="18"/>
          <w:szCs w:val="18"/>
          <w:color w:val="auto"/>
        </w:rPr>
      </w:pPr>
    </w:p>
    <w:p>
      <w:pPr>
        <w:ind w:left="1400" w:right="559" w:hanging="140"/>
        <w:spacing w:after="0" w:line="283"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90" w:lineRule="exact"/>
        <w:rPr>
          <w:sz w:val="20"/>
          <w:szCs w:val="20"/>
          <w:color w:val="auto"/>
        </w:rPr>
      </w:pPr>
    </w:p>
    <w:p>
      <w:pPr>
        <w:ind w:left="1260" w:right="419"/>
        <w:spacing w:after="0" w:line="294" w:lineRule="auto"/>
        <w:rPr>
          <w:sz w:val="20"/>
          <w:szCs w:val="20"/>
          <w:color w:val="auto"/>
        </w:rPr>
      </w:pPr>
      <w:r>
        <w:rPr>
          <w:rFonts w:ascii="Arial" w:cs="Arial" w:eastAsia="Arial" w:hAnsi="Arial"/>
          <w:sz w:val="17"/>
          <w:szCs w:val="17"/>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Modification of the indenture</w:t>
      </w:r>
    </w:p>
    <w:p>
      <w:pPr>
        <w:spacing w:after="0" w:line="135" w:lineRule="exact"/>
        <w:rPr>
          <w:sz w:val="20"/>
          <w:szCs w:val="20"/>
          <w:color w:val="auto"/>
        </w:rPr>
      </w:pPr>
    </w:p>
    <w:p>
      <w:pPr>
        <w:ind w:left="1260" w:right="499"/>
        <w:spacing w:after="0" w:line="294" w:lineRule="auto"/>
        <w:rPr>
          <w:sz w:val="20"/>
          <w:szCs w:val="20"/>
          <w:color w:val="auto"/>
        </w:rPr>
      </w:pPr>
      <w:r>
        <w:rPr>
          <w:rFonts w:ascii="Arial" w:cs="Arial" w:eastAsia="Arial" w:hAnsi="Arial"/>
          <w:sz w:val="17"/>
          <w:szCs w:val="17"/>
          <w:color w:val="auto"/>
        </w:rPr>
        <w:t>Generally, we, any Subsidiary Guarantors and the trustee may amend or supplement the Indenture, any guarantees and the Notes with the consent of the holders of at least a majority in principal amount of the then outstanding Notes. However, without the consent of each holder affected, an amendment, supplement or waiver may not (with respect to any Notes held by a nonconsenting holder):</w:t>
      </w:r>
    </w:p>
    <w:p>
      <w:pPr>
        <w:spacing w:after="0" w:line="55" w:lineRule="exact"/>
        <w:rPr>
          <w:sz w:val="20"/>
          <w:szCs w:val="20"/>
          <w:color w:val="auto"/>
        </w:rPr>
      </w:pPr>
    </w:p>
    <w:p>
      <w:pPr>
        <w:ind w:left="1400" w:right="519" w:hanging="140"/>
        <w:spacing w:after="0" w:line="303"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44" w:lineRule="exact"/>
        <w:rPr>
          <w:rFonts w:ascii="Arial" w:cs="Arial" w:eastAsia="Arial" w:hAnsi="Arial"/>
          <w:sz w:val="18"/>
          <w:szCs w:val="18"/>
          <w:color w:val="auto"/>
        </w:rPr>
      </w:pPr>
    </w:p>
    <w:p>
      <w:pPr>
        <w:ind w:left="1400" w:hanging="140"/>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w:t>
      </w:r>
    </w:p>
    <w:p>
      <w:pPr>
        <w:spacing w:after="0" w:line="130" w:lineRule="exact"/>
        <w:rPr>
          <w:rFonts w:ascii="Arial" w:cs="Arial" w:eastAsia="Arial" w:hAnsi="Arial"/>
          <w:sz w:val="18"/>
          <w:szCs w:val="18"/>
          <w:color w:val="auto"/>
        </w:rPr>
      </w:pPr>
    </w:p>
    <w:p>
      <w:pPr>
        <w:ind w:left="1400" w:right="759" w:hanging="140"/>
        <w:spacing w:after="0" w:line="303"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other provisions with respect to the redemption of any Notes;</w:t>
      </w:r>
    </w:p>
    <w:p>
      <w:pPr>
        <w:spacing w:after="0" w:line="57" w:lineRule="exact"/>
        <w:rPr>
          <w:rFonts w:ascii="Arial" w:cs="Arial" w:eastAsia="Arial" w:hAnsi="Arial"/>
          <w:sz w:val="18"/>
          <w:szCs w:val="18"/>
          <w:color w:val="auto"/>
        </w:rPr>
      </w:pPr>
    </w:p>
    <w:p>
      <w:pPr>
        <w:ind w:left="1400" w:hanging="140"/>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130" w:lineRule="exact"/>
        <w:rPr>
          <w:rFonts w:ascii="Arial" w:cs="Arial" w:eastAsia="Arial" w:hAnsi="Arial"/>
          <w:sz w:val="18"/>
          <w:szCs w:val="18"/>
          <w:color w:val="auto"/>
        </w:rPr>
      </w:pPr>
    </w:p>
    <w:p>
      <w:pPr>
        <w:ind w:left="1400" w:right="419" w:hanging="140"/>
        <w:spacing w:after="0" w:line="303"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any Notes (except a rescission of acceleration of the Notes by the holders of at least</w:t>
      </w:r>
    </w:p>
    <w:p>
      <w:pPr>
        <w:spacing w:after="0" w:line="35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0" w:right="499"/>
        <w:spacing w:after="0" w:line="303" w:lineRule="auto"/>
        <w:rPr>
          <w:sz w:val="20"/>
          <w:szCs w:val="20"/>
          <w:color w:val="auto"/>
        </w:rPr>
      </w:pPr>
      <w:r>
        <w:rPr>
          <w:rFonts w:ascii="Arial" w:cs="Arial" w:eastAsia="Arial" w:hAnsi="Arial"/>
          <w:sz w:val="18"/>
          <w:szCs w:val="18"/>
          <w:color w:val="auto"/>
        </w:rPr>
        <w:t>a majority in aggregate principal amount and a waiver of the payment default that resulted from such acceleration);</w:t>
      </w:r>
    </w:p>
    <w:p>
      <w:pPr>
        <w:spacing w:after="0" w:line="44" w:lineRule="exact"/>
        <w:rPr>
          <w:sz w:val="20"/>
          <w:szCs w:val="20"/>
          <w:color w:val="auto"/>
        </w:rPr>
      </w:pPr>
    </w:p>
    <w:p>
      <w:pPr>
        <w:ind w:left="1400" w:hanging="140"/>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release any security that may have been granted with respect to the Notes;</w:t>
      </w:r>
    </w:p>
    <w:p>
      <w:pPr>
        <w:spacing w:after="0" w:line="117" w:lineRule="exact"/>
        <w:rPr>
          <w:rFonts w:ascii="Arial" w:cs="Arial" w:eastAsia="Arial" w:hAnsi="Arial"/>
          <w:sz w:val="18"/>
          <w:szCs w:val="18"/>
          <w:color w:val="auto"/>
        </w:rPr>
      </w:pPr>
    </w:p>
    <w:p>
      <w:pPr>
        <w:ind w:left="1400" w:hanging="140"/>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note payable in currency other than that stated in the Notes;</w:t>
      </w:r>
    </w:p>
    <w:p>
      <w:pPr>
        <w:spacing w:after="0" w:line="117" w:lineRule="exact"/>
        <w:rPr>
          <w:rFonts w:ascii="Arial" w:cs="Arial" w:eastAsia="Arial" w:hAnsi="Arial"/>
          <w:sz w:val="18"/>
          <w:szCs w:val="18"/>
          <w:color w:val="auto"/>
        </w:rPr>
      </w:pPr>
    </w:p>
    <w:p>
      <w:pPr>
        <w:ind w:left="1400" w:right="599" w:hanging="140"/>
        <w:spacing w:after="0" w:line="335" w:lineRule="auto"/>
        <w:tabs>
          <w:tab w:leader="none" w:pos="1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make any change in the provisions of the Indenture relating to waivers of past Defaults or the rights of holders of Notes to receive payments of principal of or premium, if any, or interest on the Notes;</w:t>
      </w:r>
    </w:p>
    <w:p>
      <w:pPr>
        <w:spacing w:after="0" w:line="21" w:lineRule="exact"/>
        <w:rPr>
          <w:rFonts w:ascii="Arial" w:cs="Arial" w:eastAsia="Arial" w:hAnsi="Arial"/>
          <w:sz w:val="17"/>
          <w:szCs w:val="17"/>
          <w:color w:val="auto"/>
        </w:rPr>
      </w:pPr>
    </w:p>
    <w:p>
      <w:pPr>
        <w:ind w:left="1400" w:hanging="140"/>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w:t>
      </w:r>
    </w:p>
    <w:p>
      <w:pPr>
        <w:spacing w:after="0" w:line="117" w:lineRule="exact"/>
        <w:rPr>
          <w:rFonts w:ascii="Arial" w:cs="Arial" w:eastAsia="Arial" w:hAnsi="Arial"/>
          <w:sz w:val="18"/>
          <w:szCs w:val="18"/>
          <w:color w:val="auto"/>
        </w:rPr>
      </w:pPr>
    </w:p>
    <w:p>
      <w:pPr>
        <w:ind w:left="1400" w:right="459" w:hanging="140"/>
        <w:spacing w:after="0" w:line="292"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41" w:lineRule="exact"/>
        <w:rPr>
          <w:rFonts w:ascii="Arial" w:cs="Arial" w:eastAsia="Arial" w:hAnsi="Arial"/>
          <w:sz w:val="18"/>
          <w:szCs w:val="18"/>
          <w:color w:val="auto"/>
        </w:rPr>
      </w:pPr>
    </w:p>
    <w:p>
      <w:pPr>
        <w:ind w:left="1400" w:right="1079" w:hanging="140"/>
        <w:spacing w:after="0" w:line="303"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change in the preceding amendment, supplement and waiver provisions (except to increase any percentage set forth therein).</w:t>
      </w:r>
    </w:p>
    <w:p>
      <w:pPr>
        <w:spacing w:after="0" w:line="7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Notwithstanding the preceding paragraph, without the consent of any holder of Notes, we, any</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Subsidiary Guarantors and the trustee may amend or supplement the Indenture or the Notes:</w:t>
      </w:r>
    </w:p>
    <w:p>
      <w:pPr>
        <w:spacing w:after="0" w:line="121" w:lineRule="exact"/>
        <w:rPr>
          <w:sz w:val="20"/>
          <w:szCs w:val="20"/>
          <w:color w:val="auto"/>
        </w:rPr>
      </w:pPr>
    </w:p>
    <w:p>
      <w:pPr>
        <w:ind w:left="1400" w:hanging="140"/>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400" w:hanging="140"/>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1400" w:right="579" w:hanging="140"/>
        <w:spacing w:after="0" w:line="292"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for the assumption of our or the confirmation of any Subsidiary Guarantor’s obligations to holders of Notes in the case of a merger or consolidation or sale of all or substantially all of our assets;</w:t>
      </w:r>
    </w:p>
    <w:p>
      <w:pPr>
        <w:spacing w:after="0" w:line="41" w:lineRule="exact"/>
        <w:rPr>
          <w:rFonts w:ascii="Arial" w:cs="Arial" w:eastAsia="Arial" w:hAnsi="Arial"/>
          <w:sz w:val="18"/>
          <w:szCs w:val="18"/>
          <w:color w:val="auto"/>
        </w:rPr>
      </w:pPr>
    </w:p>
    <w:p>
      <w:pPr>
        <w:ind w:left="1400" w:right="439" w:hanging="140"/>
        <w:spacing w:after="0" w:line="318"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add or release any Subsidiary Guarantors as permitted pursuant to the terms of the Indenture (see “—Possible Future Guarantees”);</w:t>
      </w:r>
    </w:p>
    <w:p>
      <w:pPr>
        <w:spacing w:after="0" w:line="18" w:lineRule="exact"/>
        <w:rPr>
          <w:rFonts w:ascii="Arial" w:cs="Arial" w:eastAsia="Arial" w:hAnsi="Arial"/>
          <w:sz w:val="18"/>
          <w:szCs w:val="18"/>
          <w:color w:val="auto"/>
        </w:rPr>
      </w:pPr>
    </w:p>
    <w:p>
      <w:pPr>
        <w:ind w:left="1400" w:right="499" w:hanging="140"/>
        <w:spacing w:after="0" w:line="303"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Notes that do not, taken as a whole, adversely affect the rights under the Indenture of any holder of the Notes;</w:t>
      </w:r>
    </w:p>
    <w:p>
      <w:pPr>
        <w:spacing w:after="0" w:line="30" w:lineRule="exact"/>
        <w:rPr>
          <w:rFonts w:ascii="Arial" w:cs="Arial" w:eastAsia="Arial" w:hAnsi="Arial"/>
          <w:sz w:val="18"/>
          <w:szCs w:val="18"/>
          <w:color w:val="auto"/>
        </w:rPr>
      </w:pPr>
    </w:p>
    <w:p>
      <w:pPr>
        <w:ind w:left="1400" w:right="419" w:hanging="140"/>
        <w:spacing w:after="0" w:line="303"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44" w:lineRule="exact"/>
        <w:rPr>
          <w:rFonts w:ascii="Arial" w:cs="Arial" w:eastAsia="Arial" w:hAnsi="Arial"/>
          <w:sz w:val="18"/>
          <w:szCs w:val="18"/>
          <w:color w:val="auto"/>
        </w:rPr>
      </w:pPr>
    </w:p>
    <w:p>
      <w:pPr>
        <w:ind w:left="1400" w:hanging="140"/>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117" w:lineRule="exact"/>
        <w:rPr>
          <w:rFonts w:ascii="Arial" w:cs="Arial" w:eastAsia="Arial" w:hAnsi="Arial"/>
          <w:sz w:val="18"/>
          <w:szCs w:val="18"/>
          <w:color w:val="auto"/>
        </w:rPr>
      </w:pPr>
    </w:p>
    <w:p>
      <w:pPr>
        <w:ind w:left="1400" w:hanging="140"/>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117" w:lineRule="exact"/>
        <w:rPr>
          <w:rFonts w:ascii="Arial" w:cs="Arial" w:eastAsia="Arial" w:hAnsi="Arial"/>
          <w:sz w:val="18"/>
          <w:szCs w:val="18"/>
          <w:color w:val="auto"/>
        </w:rPr>
      </w:pPr>
    </w:p>
    <w:p>
      <w:pPr>
        <w:ind w:left="1400" w:hanging="140"/>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secure the Notes and/or any guarantees; or</w:t>
      </w:r>
    </w:p>
    <w:p>
      <w:pPr>
        <w:spacing w:after="0" w:line="117" w:lineRule="exact"/>
        <w:rPr>
          <w:rFonts w:ascii="Arial" w:cs="Arial" w:eastAsia="Arial" w:hAnsi="Arial"/>
          <w:sz w:val="18"/>
          <w:szCs w:val="18"/>
          <w:color w:val="auto"/>
        </w:rPr>
      </w:pPr>
    </w:p>
    <w:p>
      <w:pPr>
        <w:ind w:left="1400" w:hanging="140"/>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establish the form or terms of any other series of debt securities under the Base Indenture.</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Covenants</w:t>
      </w: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142" w:lineRule="exact"/>
        <w:rPr>
          <w:sz w:val="20"/>
          <w:szCs w:val="20"/>
          <w:color w:val="auto"/>
        </w:rPr>
      </w:pPr>
    </w:p>
    <w:p>
      <w:pPr>
        <w:ind w:left="1260" w:right="519"/>
        <w:spacing w:after="0" w:line="267" w:lineRule="auto"/>
        <w:rPr>
          <w:sz w:val="20"/>
          <w:szCs w:val="20"/>
          <w:color w:val="auto"/>
        </w:rPr>
      </w:pPr>
      <w:r>
        <w:rPr>
          <w:rFonts w:ascii="Arial" w:cs="Arial" w:eastAsia="Arial" w:hAnsi="Arial"/>
          <w:sz w:val="18"/>
          <w:szCs w:val="18"/>
          <w:color w:val="auto"/>
        </w:rPr>
        <w:t>We will not, nor will we permit any Subsidiary of Plains All American Pipeline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Base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7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Permitted Liens;</w:t>
      </w:r>
    </w:p>
    <w:p>
      <w:pPr>
        <w:spacing w:after="0" w:line="200" w:lineRule="exact"/>
        <w:rPr>
          <w:sz w:val="20"/>
          <w:szCs w:val="20"/>
          <w:color w:val="auto"/>
        </w:rPr>
      </w:pPr>
    </w:p>
    <w:p>
      <w:pPr>
        <w:spacing w:after="0" w:line="25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400" w:right="579" w:hanging="140"/>
        <w:spacing w:after="0" w:line="305" w:lineRule="auto"/>
        <w:tabs>
          <w:tab w:leader="none" w:pos="1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59" w:lineRule="exact"/>
        <w:rPr>
          <w:rFonts w:ascii="Arial" w:cs="Arial" w:eastAsia="Arial" w:hAnsi="Arial"/>
          <w:sz w:val="17"/>
          <w:szCs w:val="17"/>
          <w:color w:val="auto"/>
        </w:rPr>
      </w:pPr>
    </w:p>
    <w:p>
      <w:pPr>
        <w:ind w:left="1400" w:right="419" w:hanging="140"/>
        <w:spacing w:after="0" w:line="283"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63" w:lineRule="exact"/>
        <w:rPr>
          <w:rFonts w:ascii="Arial" w:cs="Arial" w:eastAsia="Arial" w:hAnsi="Arial"/>
          <w:sz w:val="18"/>
          <w:szCs w:val="18"/>
          <w:color w:val="auto"/>
        </w:rPr>
      </w:pPr>
    </w:p>
    <w:p>
      <w:pPr>
        <w:ind w:left="1400" w:right="499" w:hanging="140"/>
        <w:spacing w:after="0" w:line="283"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63" w:lineRule="exact"/>
        <w:rPr>
          <w:rFonts w:ascii="Arial" w:cs="Arial" w:eastAsia="Arial" w:hAnsi="Arial"/>
          <w:sz w:val="18"/>
          <w:szCs w:val="18"/>
          <w:color w:val="auto"/>
        </w:rPr>
      </w:pPr>
    </w:p>
    <w:p>
      <w:pPr>
        <w:ind w:left="1400" w:right="419" w:hanging="140"/>
        <w:spacing w:after="0" w:line="283"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76" w:lineRule="exact"/>
        <w:rPr>
          <w:rFonts w:ascii="Arial" w:cs="Arial" w:eastAsia="Arial" w:hAnsi="Arial"/>
          <w:sz w:val="18"/>
          <w:szCs w:val="18"/>
          <w:color w:val="auto"/>
        </w:rPr>
      </w:pPr>
    </w:p>
    <w:p>
      <w:pPr>
        <w:jc w:val="both"/>
        <w:ind w:left="1400" w:right="579" w:hanging="140"/>
        <w:spacing w:after="0" w:line="284"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lien upon any of our property or assets or the property or assets of any Restricted Subsidiary in existence on December 10, 2003 or provided for pursuant to agreements existing on December 10, 2003;</w:t>
      </w:r>
    </w:p>
    <w:p>
      <w:pPr>
        <w:spacing w:after="0" w:line="75" w:lineRule="exact"/>
        <w:rPr>
          <w:rFonts w:ascii="Arial" w:cs="Arial" w:eastAsia="Arial" w:hAnsi="Arial"/>
          <w:sz w:val="18"/>
          <w:szCs w:val="18"/>
          <w:color w:val="auto"/>
        </w:rPr>
      </w:pPr>
    </w:p>
    <w:p>
      <w:pPr>
        <w:ind w:left="1400" w:right="579" w:hanging="140"/>
        <w:spacing w:after="0" w:line="283"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63" w:lineRule="exact"/>
        <w:rPr>
          <w:rFonts w:ascii="Arial" w:cs="Arial" w:eastAsia="Arial" w:hAnsi="Arial"/>
          <w:sz w:val="18"/>
          <w:szCs w:val="18"/>
          <w:color w:val="auto"/>
        </w:rPr>
      </w:pPr>
    </w:p>
    <w:p>
      <w:pPr>
        <w:ind w:left="1400" w:right="419" w:hanging="140"/>
        <w:spacing w:after="0" w:line="274"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87" w:lineRule="exact"/>
        <w:rPr>
          <w:rFonts w:ascii="Arial" w:cs="Arial" w:eastAsia="Arial" w:hAnsi="Arial"/>
          <w:sz w:val="18"/>
          <w:szCs w:val="18"/>
          <w:color w:val="auto"/>
        </w:rPr>
      </w:pPr>
    </w:p>
    <w:p>
      <w:pPr>
        <w:ind w:left="1400" w:right="559" w:hanging="140"/>
        <w:spacing w:after="0" w:line="303"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lien resulting from the deposit of moneys or evidence of indebtedness in trust for the purpose of defeasing our debt or debt of any Restricted Subsidiary.</w:t>
      </w:r>
    </w:p>
    <w:p>
      <w:pPr>
        <w:spacing w:after="0" w:line="85" w:lineRule="exact"/>
        <w:rPr>
          <w:sz w:val="20"/>
          <w:szCs w:val="20"/>
          <w:color w:val="auto"/>
        </w:rPr>
      </w:pPr>
    </w:p>
    <w:p>
      <w:pPr>
        <w:ind w:left="1260" w:right="479"/>
        <w:spacing w:after="0" w:line="275" w:lineRule="auto"/>
        <w:rPr>
          <w:sz w:val="20"/>
          <w:szCs w:val="20"/>
          <w:color w:val="auto"/>
        </w:rPr>
      </w:pPr>
      <w:r>
        <w:rPr>
          <w:rFonts w:ascii="Arial" w:cs="Arial" w:eastAsia="Arial" w:hAnsi="Arial"/>
          <w:sz w:val="18"/>
          <w:szCs w:val="18"/>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Base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15% of Consolidated Net Tangible Assets.</w:t>
      </w:r>
    </w:p>
    <w:p>
      <w:pPr>
        <w:spacing w:after="0" w:line="39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Limitations on Sale-leasebacks</w:t>
      </w:r>
    </w:p>
    <w:p>
      <w:pPr>
        <w:spacing w:after="0" w:line="169" w:lineRule="exact"/>
        <w:rPr>
          <w:sz w:val="20"/>
          <w:szCs w:val="20"/>
          <w:color w:val="auto"/>
        </w:rPr>
      </w:pPr>
    </w:p>
    <w:p>
      <w:pPr>
        <w:ind w:left="1260" w:right="779"/>
        <w:spacing w:after="0" w:line="303" w:lineRule="auto"/>
        <w:rPr>
          <w:sz w:val="20"/>
          <w:szCs w:val="20"/>
          <w:color w:val="auto"/>
        </w:rPr>
      </w:pPr>
      <w:r>
        <w:rPr>
          <w:rFonts w:ascii="Arial" w:cs="Arial" w:eastAsia="Arial" w:hAnsi="Arial"/>
          <w:sz w:val="18"/>
          <w:szCs w:val="18"/>
          <w:color w:val="auto"/>
        </w:rPr>
        <w:t>We will not, and will not permit any Subsidiary of Plains All American Pipeline to, engage in a Sale-leaseback Transaction, unless:</w:t>
      </w:r>
    </w:p>
    <w:p>
      <w:pPr>
        <w:spacing w:after="0" w:line="58" w:lineRule="exact"/>
        <w:rPr>
          <w:sz w:val="20"/>
          <w:szCs w:val="20"/>
          <w:color w:val="auto"/>
        </w:rPr>
      </w:pPr>
    </w:p>
    <w:p>
      <w:pPr>
        <w:ind w:left="1400" w:right="819" w:hanging="140"/>
        <w:spacing w:after="0" w:line="283"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63" w:lineRule="exact"/>
        <w:rPr>
          <w:rFonts w:ascii="Arial" w:cs="Arial" w:eastAsia="Arial" w:hAnsi="Arial"/>
          <w:sz w:val="18"/>
          <w:szCs w:val="18"/>
          <w:color w:val="auto"/>
        </w:rPr>
      </w:pPr>
    </w:p>
    <w:p>
      <w:pPr>
        <w:ind w:left="1400" w:right="679" w:hanging="140"/>
        <w:spacing w:after="0" w:line="303"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57" w:lineRule="exact"/>
        <w:rPr>
          <w:rFonts w:ascii="Arial" w:cs="Arial" w:eastAsia="Arial" w:hAnsi="Arial"/>
          <w:sz w:val="18"/>
          <w:szCs w:val="18"/>
          <w:color w:val="auto"/>
        </w:rPr>
      </w:pPr>
    </w:p>
    <w:p>
      <w:pPr>
        <w:ind w:left="1400" w:right="639" w:hanging="140"/>
        <w:spacing w:after="0" w:line="292"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54" w:lineRule="exact"/>
        <w:rPr>
          <w:rFonts w:ascii="Arial" w:cs="Arial" w:eastAsia="Arial" w:hAnsi="Arial"/>
          <w:sz w:val="18"/>
          <w:szCs w:val="18"/>
          <w:color w:val="auto"/>
        </w:rPr>
      </w:pPr>
    </w:p>
    <w:p>
      <w:pPr>
        <w:ind w:left="1400" w:right="439" w:hanging="140"/>
        <w:spacing w:after="0" w:line="279"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109" w:lineRule="exact"/>
        <w:rPr>
          <w:sz w:val="20"/>
          <w:szCs w:val="20"/>
          <w:color w:val="auto"/>
        </w:rPr>
      </w:pPr>
    </w:p>
    <w:p>
      <w:pPr>
        <w:ind w:left="1260" w:right="439"/>
        <w:spacing w:after="0" w:line="279" w:lineRule="auto"/>
        <w:rPr>
          <w:sz w:val="20"/>
          <w:szCs w:val="20"/>
          <w:color w:val="auto"/>
        </w:rPr>
      </w:pPr>
      <w:r>
        <w:rPr>
          <w:rFonts w:ascii="Arial" w:cs="Arial" w:eastAsia="Arial" w:hAnsi="Arial"/>
          <w:sz w:val="18"/>
          <w:szCs w:val="18"/>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Base Indenture) secured by liens upon Principal Properties not excepted in the first paragraph under “—Limitations on Liens,” does not exceed 15% of Consolidated Net Tangible Assets.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SEC reports</w:t>
      </w:r>
    </w:p>
    <w:p>
      <w:pPr>
        <w:spacing w:after="0" w:line="148" w:lineRule="exact"/>
        <w:rPr>
          <w:sz w:val="20"/>
          <w:szCs w:val="20"/>
          <w:color w:val="auto"/>
        </w:rPr>
      </w:pPr>
    </w:p>
    <w:p>
      <w:pPr>
        <w:ind w:left="1260" w:right="499"/>
        <w:spacing w:after="0" w:line="277" w:lineRule="auto"/>
        <w:rPr>
          <w:sz w:val="20"/>
          <w:szCs w:val="20"/>
          <w:color w:val="auto"/>
        </w:rPr>
      </w:pPr>
      <w:r>
        <w:rPr>
          <w:rFonts w:ascii="Arial" w:cs="Arial" w:eastAsia="Arial" w:hAnsi="Arial"/>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110" w:lineRule="exact"/>
        <w:rPr>
          <w:sz w:val="20"/>
          <w:szCs w:val="20"/>
          <w:color w:val="auto"/>
        </w:rPr>
      </w:pPr>
    </w:p>
    <w:p>
      <w:pPr>
        <w:ind w:left="1260" w:right="419"/>
        <w:spacing w:after="0" w:line="283" w:lineRule="auto"/>
        <w:rPr>
          <w:sz w:val="20"/>
          <w:szCs w:val="20"/>
          <w:color w:val="auto"/>
        </w:rPr>
      </w:pPr>
      <w:r>
        <w:rPr>
          <w:rFonts w:ascii="Arial" w:cs="Arial" w:eastAsia="Arial" w:hAnsi="Arial"/>
          <w:sz w:val="18"/>
          <w:szCs w:val="18"/>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Defeasance and discharge</w:t>
      </w:r>
    </w:p>
    <w:p>
      <w:pPr>
        <w:spacing w:after="0" w:line="148" w:lineRule="exact"/>
        <w:rPr>
          <w:sz w:val="20"/>
          <w:szCs w:val="20"/>
          <w:color w:val="auto"/>
        </w:rPr>
      </w:pPr>
    </w:p>
    <w:p>
      <w:pPr>
        <w:ind w:left="1260" w:right="439"/>
        <w:spacing w:after="0" w:line="283" w:lineRule="auto"/>
        <w:rPr>
          <w:sz w:val="20"/>
          <w:szCs w:val="20"/>
          <w:color w:val="auto"/>
        </w:rPr>
      </w:pPr>
      <w:r>
        <w:rPr>
          <w:rFonts w:ascii="Arial" w:cs="Arial" w:eastAsia="Arial" w:hAnsi="Arial"/>
          <w:sz w:val="18"/>
          <w:szCs w:val="18"/>
          <w:color w:val="auto"/>
        </w:rPr>
        <w:t>At any time we may terminate all our obligations under the Indenture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w:t>
      </w:r>
    </w:p>
    <w:p>
      <w:pPr>
        <w:spacing w:after="0" w:line="37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79"/>
        <w:spacing w:after="0" w:line="273" w:lineRule="auto"/>
        <w:rPr>
          <w:sz w:val="20"/>
          <w:szCs w:val="20"/>
          <w:color w:val="auto"/>
        </w:rPr>
      </w:pPr>
      <w:r>
        <w:rPr>
          <w:rFonts w:ascii="Arial" w:cs="Arial" w:eastAsia="Arial" w:hAnsi="Arial"/>
          <w:sz w:val="18"/>
          <w:szCs w:val="18"/>
          <w:color w:val="auto"/>
        </w:rPr>
        <w:t>Also, at any time, we may terminate our obligations under covenants described in the first paragraph of  “—Possible Future Guarantees,” under “—Covenants” and under “—SEC Reports” (“covenant defeasance”), and thereafter our failure to comply with any of such covenants would not constitute an Event of Default.</w:t>
      </w:r>
    </w:p>
    <w:p>
      <w:pPr>
        <w:spacing w:after="0" w:line="111" w:lineRule="exact"/>
        <w:rPr>
          <w:sz w:val="20"/>
          <w:szCs w:val="20"/>
          <w:color w:val="auto"/>
        </w:rPr>
      </w:pPr>
    </w:p>
    <w:p>
      <w:pPr>
        <w:ind w:left="1260" w:right="599"/>
        <w:spacing w:after="0" w:line="276"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legal defeasance option, any guarantee obligation with respect to the Notes will be deemed to have been discharged.</w:t>
      </w:r>
    </w:p>
    <w:p>
      <w:pPr>
        <w:spacing w:after="0" w:line="96" w:lineRule="exact"/>
        <w:rPr>
          <w:sz w:val="20"/>
          <w:szCs w:val="20"/>
          <w:color w:val="auto"/>
        </w:rPr>
      </w:pPr>
    </w:p>
    <w:p>
      <w:pPr>
        <w:ind w:left="1260" w:right="459"/>
        <w:spacing w:after="0" w:line="264" w:lineRule="auto"/>
        <w:rPr>
          <w:sz w:val="20"/>
          <w:szCs w:val="20"/>
          <w:color w:val="auto"/>
        </w:rPr>
      </w:pPr>
      <w:r>
        <w:rPr>
          <w:rFonts w:ascii="Arial" w:cs="Arial" w:eastAsia="Arial" w:hAnsi="Arial"/>
          <w:sz w:val="18"/>
          <w:szCs w:val="18"/>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defeased Notes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113" w:lineRule="exact"/>
        <w:rPr>
          <w:sz w:val="20"/>
          <w:szCs w:val="20"/>
          <w:color w:val="auto"/>
        </w:rPr>
      </w:pPr>
    </w:p>
    <w:p>
      <w:pPr>
        <w:ind w:left="1260" w:right="659"/>
        <w:spacing w:after="0" w:line="284" w:lineRule="auto"/>
        <w:rPr>
          <w:sz w:val="20"/>
          <w:szCs w:val="20"/>
          <w:color w:val="auto"/>
        </w:rPr>
      </w:pPr>
      <w:r>
        <w:rPr>
          <w:rFonts w:ascii="Arial" w:cs="Arial" w:eastAsia="Arial" w:hAnsi="Arial"/>
          <w:sz w:val="18"/>
          <w:szCs w:val="18"/>
          <w:color w:val="auto"/>
        </w:rPr>
        <w:t>In the event of any legal defeasance, holders of the defeased Notes would be entitled to look only to the defeasance trust for payment of principal of and any premium and interest on their Notes until maturity.</w:t>
      </w:r>
    </w:p>
    <w:p>
      <w:pPr>
        <w:spacing w:after="0" w:line="89" w:lineRule="exact"/>
        <w:rPr>
          <w:sz w:val="20"/>
          <w:szCs w:val="20"/>
          <w:color w:val="auto"/>
        </w:rPr>
      </w:pPr>
    </w:p>
    <w:p>
      <w:pPr>
        <w:ind w:left="1260" w:right="479"/>
        <w:spacing w:after="0" w:line="267" w:lineRule="auto"/>
        <w:rPr>
          <w:sz w:val="20"/>
          <w:szCs w:val="20"/>
          <w:color w:val="auto"/>
        </w:rPr>
      </w:pPr>
      <w:r>
        <w:rPr>
          <w:rFonts w:ascii="Arial" w:cs="Arial" w:eastAsia="Arial" w:hAnsi="Arial"/>
          <w:sz w:val="18"/>
          <w:szCs w:val="18"/>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117" w:lineRule="exact"/>
        <w:rPr>
          <w:sz w:val="20"/>
          <w:szCs w:val="20"/>
          <w:color w:val="auto"/>
        </w:rPr>
      </w:pPr>
    </w:p>
    <w:p>
      <w:pPr>
        <w:ind w:left="1260" w:right="519"/>
        <w:spacing w:after="0" w:line="276" w:lineRule="auto"/>
        <w:rPr>
          <w:sz w:val="20"/>
          <w:szCs w:val="20"/>
          <w:color w:val="auto"/>
        </w:rPr>
      </w:pPr>
      <w:r>
        <w:rPr>
          <w:rFonts w:ascii="Arial" w:cs="Arial" w:eastAsia="Arial" w:hAnsi="Arial"/>
          <w:sz w:val="18"/>
          <w:szCs w:val="18"/>
          <w:color w:val="auto"/>
        </w:rPr>
        <w:t>In addition, we may satisfy and discharge all our obligations under the Indenture, other than certain obligations to the trustee and our obligation to register the transfer of or exchange the Notes, provided that we either:</w:t>
      </w:r>
    </w:p>
    <w:p>
      <w:pPr>
        <w:spacing w:after="0" w:line="69" w:lineRule="exact"/>
        <w:rPr>
          <w:sz w:val="20"/>
          <w:szCs w:val="20"/>
          <w:color w:val="auto"/>
        </w:rPr>
      </w:pPr>
    </w:p>
    <w:p>
      <w:pPr>
        <w:ind w:left="1400" w:hanging="140"/>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deliver all outstanding Notes to the trustee for cancellation; or</w:t>
      </w:r>
    </w:p>
    <w:p>
      <w:pPr>
        <w:spacing w:after="0" w:line="144" w:lineRule="exact"/>
        <w:rPr>
          <w:rFonts w:ascii="Arial" w:cs="Arial" w:eastAsia="Arial" w:hAnsi="Arial"/>
          <w:sz w:val="18"/>
          <w:szCs w:val="18"/>
          <w:color w:val="auto"/>
        </w:rPr>
      </w:pPr>
    </w:p>
    <w:p>
      <w:pPr>
        <w:ind w:left="1400" w:right="459" w:hanging="140"/>
        <w:spacing w:after="0" w:line="277"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 and comply with the other requirements of the Indenture in relation to satisfaction and discharge.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Definitions</w:t>
      </w:r>
    </w:p>
    <w:p>
      <w:pPr>
        <w:spacing w:after="0" w:line="148" w:lineRule="exact"/>
        <w:rPr>
          <w:sz w:val="20"/>
          <w:szCs w:val="20"/>
          <w:color w:val="auto"/>
        </w:rPr>
      </w:pPr>
    </w:p>
    <w:p>
      <w:pPr>
        <w:ind w:left="1260" w:right="5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Indebtedness</w:t>
      </w:r>
      <w:r>
        <w:rPr>
          <w:rFonts w:ascii="Arial" w:cs="Arial" w:eastAsia="Arial" w:hAnsi="Arial"/>
          <w:sz w:val="18"/>
          <w:szCs w:val="18"/>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w:t>
      </w:r>
    </w:p>
    <w:p>
      <w:pPr>
        <w:spacing w:after="0" w:line="39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right="479"/>
        <w:spacing w:after="0" w:line="283" w:lineRule="auto"/>
        <w:rPr>
          <w:sz w:val="20"/>
          <w:szCs w:val="20"/>
          <w:color w:val="auto"/>
        </w:rPr>
      </w:pPr>
      <w:r>
        <w:rPr>
          <w:rFonts w:ascii="Arial" w:cs="Arial" w:eastAsia="Arial" w:hAnsi="Arial"/>
          <w:sz w:val="18"/>
          <w:szCs w:val="18"/>
          <w:color w:val="auto"/>
        </w:rPr>
        <w:t>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03" w:lineRule="exact"/>
        <w:rPr>
          <w:sz w:val="20"/>
          <w:szCs w:val="20"/>
          <w:color w:val="auto"/>
        </w:rPr>
      </w:pPr>
    </w:p>
    <w:p>
      <w:pPr>
        <w:ind w:left="1260" w:right="579"/>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104" w:lineRule="exact"/>
        <w:rPr>
          <w:sz w:val="20"/>
          <w:szCs w:val="20"/>
          <w:color w:val="auto"/>
        </w:rPr>
      </w:pPr>
    </w:p>
    <w:p>
      <w:pPr>
        <w:ind w:left="1260" w:right="479"/>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Interests</w:t>
      </w:r>
      <w:r>
        <w:rPr>
          <w:rFonts w:ascii="Arial" w:cs="Arial" w:eastAsia="Arial" w:hAnsi="Arial"/>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06" w:lineRule="exact"/>
        <w:rPr>
          <w:sz w:val="20"/>
          <w:szCs w:val="20"/>
          <w:color w:val="auto"/>
        </w:rPr>
      </w:pPr>
    </w:p>
    <w:p>
      <w:pPr>
        <w:ind w:left="1260" w:right="719"/>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at any date of determination, the total amount of assets after deducting therefrom:</w:t>
      </w:r>
    </w:p>
    <w:p>
      <w:pPr>
        <w:spacing w:after="0" w:line="85" w:lineRule="exact"/>
        <w:rPr>
          <w:sz w:val="20"/>
          <w:szCs w:val="20"/>
          <w:color w:val="auto"/>
        </w:rPr>
      </w:pPr>
    </w:p>
    <w:p>
      <w:pPr>
        <w:ind w:left="1540" w:hanging="280"/>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current liabilities excluding:</w:t>
      </w:r>
    </w:p>
    <w:p>
      <w:pPr>
        <w:spacing w:after="0" w:line="171" w:lineRule="exact"/>
        <w:rPr>
          <w:rFonts w:ascii="Arial" w:cs="Arial" w:eastAsia="Arial" w:hAnsi="Arial"/>
          <w:sz w:val="18"/>
          <w:szCs w:val="18"/>
          <w:color w:val="auto"/>
        </w:rPr>
      </w:pPr>
    </w:p>
    <w:p>
      <w:pPr>
        <w:ind w:left="1580" w:right="499" w:firstLine="4"/>
        <w:spacing w:after="0" w:line="292" w:lineRule="auto"/>
        <w:tabs>
          <w:tab w:leader="none" w:pos="18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95" w:lineRule="exact"/>
        <w:rPr>
          <w:rFonts w:ascii="Arial" w:cs="Arial" w:eastAsia="Arial" w:hAnsi="Arial"/>
          <w:sz w:val="18"/>
          <w:szCs w:val="18"/>
          <w:color w:val="auto"/>
        </w:rPr>
      </w:pPr>
    </w:p>
    <w:p>
      <w:pPr>
        <w:ind w:left="1860" w:hanging="276"/>
        <w:spacing w:after="0"/>
        <w:tabs>
          <w:tab w:leader="none" w:pos="18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current maturities of long-term debt; and</w:t>
      </w:r>
    </w:p>
    <w:p>
      <w:pPr>
        <w:spacing w:after="0" w:line="171" w:lineRule="exact"/>
        <w:rPr>
          <w:rFonts w:ascii="Arial" w:cs="Arial" w:eastAsia="Arial" w:hAnsi="Arial"/>
          <w:sz w:val="18"/>
          <w:szCs w:val="18"/>
          <w:color w:val="auto"/>
        </w:rPr>
      </w:pPr>
    </w:p>
    <w:p>
      <w:pPr>
        <w:ind w:left="1260" w:right="639"/>
        <w:spacing w:after="0" w:line="303" w:lineRule="auto"/>
        <w:tabs>
          <w:tab w:leader="none" w:pos="15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net of any applicable reserves, of all goodwill, trade names, trademarks, patents and other like intangible assets,</w:t>
      </w:r>
    </w:p>
    <w:p>
      <w:pPr>
        <w:spacing w:after="0" w:line="85" w:lineRule="exact"/>
        <w:rPr>
          <w:sz w:val="20"/>
          <w:szCs w:val="20"/>
          <w:color w:val="auto"/>
        </w:rPr>
      </w:pPr>
    </w:p>
    <w:p>
      <w:pPr>
        <w:ind w:left="1260" w:right="619"/>
        <w:spacing w:after="0" w:line="335" w:lineRule="auto"/>
        <w:rPr>
          <w:sz w:val="20"/>
          <w:szCs w:val="20"/>
          <w:color w:val="auto"/>
        </w:rPr>
      </w:pPr>
      <w:r>
        <w:rPr>
          <w:rFonts w:ascii="Arial" w:cs="Arial" w:eastAsia="Arial" w:hAnsi="Arial"/>
          <w:sz w:val="17"/>
          <w:szCs w:val="17"/>
          <w:color w:val="auto"/>
        </w:rPr>
        <w:t>all as set forth on the consolidated balance sheet of Plains All American Pipeline for its most recently completed fiscal quarter, prepared in accordance with generally accepted accounting principles.</w:t>
      </w:r>
    </w:p>
    <w:p>
      <w:pPr>
        <w:spacing w:after="0" w:line="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left="1260" w:right="479"/>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Funded Debt</w:t>
      </w:r>
      <w:r>
        <w:rPr>
          <w:rFonts w:ascii="Arial" w:cs="Arial" w:eastAsia="Arial" w:hAnsi="Arial"/>
          <w:sz w:val="18"/>
          <w:szCs w:val="18"/>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are initially issued.</w:t>
      </w:r>
    </w:p>
    <w:p>
      <w:pPr>
        <w:spacing w:after="0" w:line="171" w:lineRule="exact"/>
        <w:rPr>
          <w:sz w:val="20"/>
          <w:szCs w:val="20"/>
          <w:color w:val="auto"/>
        </w:rPr>
      </w:pPr>
    </w:p>
    <w:p>
      <w:pPr>
        <w:ind w:left="1260" w:right="559"/>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Managing General Partner</w:t>
      </w:r>
      <w:r>
        <w:rPr>
          <w:rFonts w:ascii="Arial" w:cs="Arial" w:eastAsia="Arial" w:hAnsi="Arial"/>
          <w:sz w:val="18"/>
          <w:szCs w:val="18"/>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w:t>
      </w:r>
    </w:p>
    <w:p>
      <w:pPr>
        <w:spacing w:after="0" w:line="3" w:lineRule="exact"/>
        <w:rPr>
          <w:sz w:val="20"/>
          <w:szCs w:val="20"/>
          <w:color w:val="auto"/>
        </w:rPr>
      </w:pPr>
    </w:p>
    <w:p>
      <w:pPr>
        <w:ind w:left="1260" w:right="599"/>
        <w:spacing w:after="0" w:line="292" w:lineRule="auto"/>
        <w:tabs>
          <w:tab w:leader="none" w:pos="15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business entity with the ultimate authority to manage the business and operations of Plains All American Pipeline.</w:t>
      </w:r>
    </w:p>
    <w:p>
      <w:pPr>
        <w:spacing w:after="0" w:line="94" w:lineRule="exact"/>
        <w:rPr>
          <w:sz w:val="20"/>
          <w:szCs w:val="20"/>
          <w:color w:val="auto"/>
        </w:rPr>
      </w:pPr>
    </w:p>
    <w:p>
      <w:pPr>
        <w:ind w:left="1260" w:right="459"/>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Debt</w:t>
      </w:r>
      <w:r>
        <w:rPr>
          <w:rFonts w:ascii="Arial" w:cs="Arial" w:eastAsia="Arial" w:hAnsi="Arial"/>
          <w:sz w:val="18"/>
          <w:szCs w:val="18"/>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38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71" w:lineRule="exact"/>
        <w:rPr>
          <w:sz w:val="20"/>
          <w:szCs w:val="20"/>
          <w:color w:val="auto"/>
        </w:rPr>
      </w:pPr>
    </w:p>
    <w:p>
      <w:pPr>
        <w:ind w:left="1540" w:hanging="280"/>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157" w:lineRule="exact"/>
        <w:rPr>
          <w:rFonts w:ascii="Arial" w:cs="Arial" w:eastAsia="Arial" w:hAnsi="Arial"/>
          <w:sz w:val="18"/>
          <w:szCs w:val="18"/>
          <w:color w:val="auto"/>
        </w:rPr>
      </w:pPr>
    </w:p>
    <w:p>
      <w:pPr>
        <w:ind w:left="1260" w:right="539"/>
        <w:spacing w:after="0" w:line="271" w:lineRule="auto"/>
        <w:tabs>
          <w:tab w:leader="none" w:pos="15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00" w:lineRule="exact"/>
        <w:rPr>
          <w:rFonts w:ascii="Arial" w:cs="Arial" w:eastAsia="Arial" w:hAnsi="Arial"/>
          <w:sz w:val="18"/>
          <w:szCs w:val="18"/>
          <w:color w:val="auto"/>
        </w:rPr>
      </w:pPr>
    </w:p>
    <w:p>
      <w:pPr>
        <w:ind w:left="1260" w:right="839"/>
        <w:spacing w:after="0" w:line="284" w:lineRule="auto"/>
        <w:tabs>
          <w:tab w:leader="none" w:pos="15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88" w:lineRule="exact"/>
        <w:rPr>
          <w:rFonts w:ascii="Arial" w:cs="Arial" w:eastAsia="Arial" w:hAnsi="Arial"/>
          <w:sz w:val="18"/>
          <w:szCs w:val="18"/>
          <w:color w:val="auto"/>
        </w:rPr>
      </w:pPr>
    </w:p>
    <w:p>
      <w:pPr>
        <w:ind w:left="1260" w:right="1059"/>
        <w:spacing w:after="0" w:line="276" w:lineRule="auto"/>
        <w:tabs>
          <w:tab w:leader="none" w:pos="15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109" w:lineRule="exact"/>
        <w:rPr>
          <w:rFonts w:ascii="Arial" w:cs="Arial" w:eastAsia="Arial" w:hAnsi="Arial"/>
          <w:sz w:val="18"/>
          <w:szCs w:val="18"/>
          <w:color w:val="auto"/>
        </w:rPr>
      </w:pPr>
    </w:p>
    <w:p>
      <w:pPr>
        <w:ind w:left="1540" w:hanging="280"/>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157" w:lineRule="exact"/>
        <w:rPr>
          <w:rFonts w:ascii="Arial" w:cs="Arial" w:eastAsia="Arial" w:hAnsi="Arial"/>
          <w:sz w:val="18"/>
          <w:szCs w:val="18"/>
          <w:color w:val="auto"/>
        </w:rPr>
      </w:pPr>
    </w:p>
    <w:p>
      <w:pPr>
        <w:ind w:left="1260" w:right="779"/>
        <w:spacing w:after="0" w:line="303" w:lineRule="auto"/>
        <w:tabs>
          <w:tab w:leader="none" w:pos="15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71" w:lineRule="exact"/>
        <w:rPr>
          <w:rFonts w:ascii="Arial" w:cs="Arial" w:eastAsia="Arial" w:hAnsi="Arial"/>
          <w:sz w:val="18"/>
          <w:szCs w:val="18"/>
          <w:color w:val="auto"/>
        </w:rPr>
      </w:pPr>
    </w:p>
    <w:p>
      <w:pPr>
        <w:ind w:left="1260" w:right="539"/>
        <w:spacing w:after="0" w:line="303" w:lineRule="auto"/>
        <w:tabs>
          <w:tab w:leader="none" w:pos="15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us or any Restricted Subsidiary resulting from the exercise of any rights arising out of defaults on receivables;</w:t>
      </w:r>
    </w:p>
    <w:p>
      <w:pPr>
        <w:spacing w:after="0" w:line="71" w:lineRule="exact"/>
        <w:rPr>
          <w:rFonts w:ascii="Arial" w:cs="Arial" w:eastAsia="Arial" w:hAnsi="Arial"/>
          <w:sz w:val="18"/>
          <w:szCs w:val="18"/>
          <w:color w:val="auto"/>
        </w:rPr>
      </w:pPr>
    </w:p>
    <w:p>
      <w:pPr>
        <w:ind w:left="1260" w:right="859"/>
        <w:spacing w:after="0" w:line="284" w:lineRule="auto"/>
        <w:tabs>
          <w:tab w:leader="none" w:pos="15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02" w:lineRule="exact"/>
        <w:rPr>
          <w:rFonts w:ascii="Arial" w:cs="Arial" w:eastAsia="Arial" w:hAnsi="Arial"/>
          <w:sz w:val="18"/>
          <w:szCs w:val="18"/>
          <w:color w:val="auto"/>
        </w:rPr>
      </w:pPr>
    </w:p>
    <w:p>
      <w:pPr>
        <w:ind w:left="1540" w:hanging="280"/>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in favor of us or any Restricted Subsidiary;</w:t>
      </w:r>
    </w:p>
    <w:p>
      <w:pPr>
        <w:spacing w:after="0" w:line="157" w:lineRule="exact"/>
        <w:rPr>
          <w:rFonts w:ascii="Arial" w:cs="Arial" w:eastAsia="Arial" w:hAnsi="Arial"/>
          <w:sz w:val="18"/>
          <w:szCs w:val="18"/>
          <w:color w:val="auto"/>
        </w:rPr>
      </w:pPr>
    </w:p>
    <w:p>
      <w:pPr>
        <w:ind w:left="1260" w:right="459"/>
        <w:spacing w:after="0" w:line="267" w:lineRule="auto"/>
        <w:tabs>
          <w:tab w:leader="none" w:pos="16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130" w:lineRule="exact"/>
        <w:rPr>
          <w:rFonts w:ascii="Arial" w:cs="Arial" w:eastAsia="Arial" w:hAnsi="Arial"/>
          <w:sz w:val="18"/>
          <w:szCs w:val="18"/>
          <w:color w:val="auto"/>
        </w:rPr>
      </w:pPr>
    </w:p>
    <w:p>
      <w:pPr>
        <w:ind w:left="1620" w:hanging="36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157" w:lineRule="exact"/>
        <w:rPr>
          <w:rFonts w:ascii="Arial" w:cs="Arial" w:eastAsia="Arial" w:hAnsi="Arial"/>
          <w:sz w:val="18"/>
          <w:szCs w:val="18"/>
          <w:color w:val="auto"/>
        </w:rPr>
      </w:pPr>
    </w:p>
    <w:p>
      <w:pPr>
        <w:ind w:left="1260" w:right="479"/>
        <w:spacing w:after="0" w:line="282" w:lineRule="auto"/>
        <w:tabs>
          <w:tab w:leader="none" w:pos="163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Base Indenture (including the Notes) in connection with such refunding, refinancing or repurchase, and the required corresponding durations thereof), to refinance, refund or repurchase all outstanding debt securities under the Base Indenture (including the Notes), including the amount of all accrued interest thereon and reasonable fees and expenses and premium, if any, incurred by us or any Restricted Subsidiary in connection therewith;</w:t>
      </w:r>
    </w:p>
    <w:p>
      <w:pPr>
        <w:spacing w:after="0" w:line="93" w:lineRule="exact"/>
        <w:rPr>
          <w:rFonts w:ascii="Arial" w:cs="Arial" w:eastAsia="Arial" w:hAnsi="Arial"/>
          <w:sz w:val="17"/>
          <w:szCs w:val="17"/>
          <w:color w:val="auto"/>
        </w:rPr>
      </w:pPr>
    </w:p>
    <w:p>
      <w:pPr>
        <w:ind w:left="1260" w:right="439"/>
        <w:spacing w:after="0" w:line="284" w:lineRule="auto"/>
        <w:tabs>
          <w:tab w:leader="none" w:pos="16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88" w:lineRule="exact"/>
        <w:rPr>
          <w:rFonts w:ascii="Arial" w:cs="Arial" w:eastAsia="Arial" w:hAnsi="Arial"/>
          <w:sz w:val="18"/>
          <w:szCs w:val="18"/>
          <w:color w:val="auto"/>
        </w:rPr>
      </w:pPr>
    </w:p>
    <w:p>
      <w:pPr>
        <w:ind w:left="1260" w:right="579"/>
        <w:spacing w:after="0" w:line="303" w:lineRule="auto"/>
        <w:tabs>
          <w:tab w:leader="none" w:pos="16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upon or deposits of any assets to secure performance of bids, trade contracts, leases or statutory obligations;</w:t>
      </w:r>
    </w:p>
    <w:p>
      <w:pPr>
        <w:spacing w:after="0" w:line="35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right="499"/>
        <w:spacing w:after="0" w:line="279" w:lineRule="auto"/>
        <w:tabs>
          <w:tab w:leader="none" w:pos="16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08" w:lineRule="exact"/>
        <w:rPr>
          <w:rFonts w:ascii="Arial" w:cs="Arial" w:eastAsia="Arial" w:hAnsi="Arial"/>
          <w:sz w:val="18"/>
          <w:szCs w:val="18"/>
          <w:color w:val="auto"/>
        </w:rPr>
      </w:pPr>
    </w:p>
    <w:p>
      <w:pPr>
        <w:ind w:left="1260" w:right="559"/>
        <w:spacing w:after="0" w:line="279" w:lineRule="auto"/>
        <w:tabs>
          <w:tab w:leader="none" w:pos="16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108" w:lineRule="exact"/>
        <w:rPr>
          <w:rFonts w:ascii="Arial" w:cs="Arial" w:eastAsia="Arial" w:hAnsi="Arial"/>
          <w:sz w:val="18"/>
          <w:szCs w:val="18"/>
          <w:color w:val="auto"/>
        </w:rPr>
      </w:pPr>
    </w:p>
    <w:p>
      <w:pPr>
        <w:ind w:left="1260" w:right="519"/>
        <w:spacing w:after="0" w:line="276" w:lineRule="auto"/>
        <w:tabs>
          <w:tab w:leader="none" w:pos="16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110" w:lineRule="exact"/>
        <w:rPr>
          <w:rFonts w:ascii="Arial" w:cs="Arial" w:eastAsia="Arial" w:hAnsi="Arial"/>
          <w:sz w:val="18"/>
          <w:szCs w:val="18"/>
          <w:color w:val="auto"/>
        </w:rPr>
      </w:pPr>
    </w:p>
    <w:p>
      <w:pPr>
        <w:ind w:left="1260" w:right="1219"/>
        <w:spacing w:after="0" w:line="318" w:lineRule="auto"/>
        <w:tabs>
          <w:tab w:leader="none" w:pos="16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72" w:lineRule="exact"/>
        <w:rPr>
          <w:sz w:val="20"/>
          <w:szCs w:val="20"/>
          <w:color w:val="auto"/>
        </w:rPr>
      </w:pPr>
    </w:p>
    <w:p>
      <w:pPr>
        <w:ind w:left="1260" w:right="539"/>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1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whether owned or leased on the Issue Date or thereafter acquired:</w:t>
      </w:r>
    </w:p>
    <w:p>
      <w:pPr>
        <w:spacing w:after="0" w:line="171" w:lineRule="exact"/>
        <w:rPr>
          <w:sz w:val="20"/>
          <w:szCs w:val="20"/>
          <w:color w:val="auto"/>
        </w:rPr>
      </w:pPr>
    </w:p>
    <w:p>
      <w:pPr>
        <w:jc w:val="both"/>
        <w:ind w:left="1260" w:right="439"/>
        <w:spacing w:after="0" w:line="283" w:lineRule="auto"/>
        <w:tabs>
          <w:tab w:leader="none" w:pos="153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03" w:lineRule="exact"/>
        <w:rPr>
          <w:rFonts w:ascii="Arial" w:cs="Arial" w:eastAsia="Arial" w:hAnsi="Arial"/>
          <w:sz w:val="18"/>
          <w:szCs w:val="18"/>
          <w:color w:val="auto"/>
        </w:rPr>
      </w:pPr>
    </w:p>
    <w:p>
      <w:pPr>
        <w:ind w:left="1260" w:right="479"/>
        <w:spacing w:after="0" w:line="277" w:lineRule="auto"/>
        <w:tabs>
          <w:tab w:leader="none" w:pos="153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110" w:lineRule="exact"/>
        <w:rPr>
          <w:sz w:val="20"/>
          <w:szCs w:val="20"/>
          <w:color w:val="auto"/>
        </w:rPr>
      </w:pPr>
    </w:p>
    <w:p>
      <w:pPr>
        <w:ind w:left="1260" w:right="979"/>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Plains All American Pipeline owning or leasing, directly or indirectly through ownership in another Subsidiary, any Principal Property.</w:t>
      </w:r>
    </w:p>
    <w:p>
      <w:pPr>
        <w:spacing w:after="0" w:line="85" w:lineRule="exact"/>
        <w:rPr>
          <w:sz w:val="20"/>
          <w:szCs w:val="20"/>
          <w:color w:val="auto"/>
        </w:rPr>
      </w:pPr>
    </w:p>
    <w:p>
      <w:pPr>
        <w:ind w:left="1260" w:right="439"/>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200" w:lineRule="exact"/>
        <w:rPr>
          <w:sz w:val="20"/>
          <w:szCs w:val="20"/>
          <w:color w:val="auto"/>
        </w:rPr>
      </w:pPr>
    </w:p>
    <w:p>
      <w:pPr>
        <w:spacing w:after="0" w:line="25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“Subsidiary” means, with respect to any Person:</w:t>
      </w:r>
    </w:p>
    <w:p>
      <w:pPr>
        <w:spacing w:after="0" w:line="171" w:lineRule="exact"/>
        <w:rPr>
          <w:sz w:val="20"/>
          <w:szCs w:val="20"/>
          <w:color w:val="auto"/>
        </w:rPr>
      </w:pPr>
    </w:p>
    <w:p>
      <w:pPr>
        <w:ind w:left="1260" w:right="879"/>
        <w:spacing w:after="0" w:line="283" w:lineRule="auto"/>
        <w:tabs>
          <w:tab w:leader="none" w:pos="15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102" w:lineRule="exact"/>
        <w:rPr>
          <w:rFonts w:ascii="Arial" w:cs="Arial" w:eastAsia="Arial" w:hAnsi="Arial"/>
          <w:sz w:val="18"/>
          <w:szCs w:val="18"/>
          <w:color w:val="auto"/>
        </w:rPr>
      </w:pPr>
    </w:p>
    <w:p>
      <w:pPr>
        <w:ind w:left="1260" w:right="539"/>
        <w:spacing w:after="0" w:line="284" w:lineRule="auto"/>
        <w:tabs>
          <w:tab w:leader="none" w:pos="15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02" w:lineRule="exact"/>
        <w:rPr>
          <w:sz w:val="20"/>
          <w:szCs w:val="20"/>
          <w:color w:val="auto"/>
        </w:rPr>
      </w:pPr>
    </w:p>
    <w:p>
      <w:pPr>
        <w:ind w:left="1260" w:right="679"/>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w:t>
      </w:r>
      <w:r>
        <w:rPr>
          <w:rFonts w:ascii="Arial" w:cs="Arial" w:eastAsia="Arial" w:hAnsi="Arial"/>
          <w:sz w:val="18"/>
          <w:szCs w:val="18"/>
          <w:color w:val="auto"/>
        </w:rPr>
        <w:t>” means any Subsidiary of Plains All American Pipeline that executes a supplemental indenture to provide a guarantee of the Notes in accordance with the provisions of the Indenture and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80"/>
        <w:spacing w:after="0"/>
        <w:rPr>
          <w:sz w:val="20"/>
          <w:szCs w:val="20"/>
          <w:color w:val="auto"/>
        </w:rPr>
      </w:pPr>
      <w:r>
        <w:rPr>
          <w:rFonts w:ascii="Arial" w:cs="Arial" w:eastAsia="Arial" w:hAnsi="Arial"/>
          <w:sz w:val="29"/>
          <w:szCs w:val="29"/>
          <w:b w:val="1"/>
          <w:bCs w:val="1"/>
          <w:color w:val="auto"/>
        </w:rPr>
        <w:t>Book-entry, delivery and form</w:t>
      </w:r>
    </w:p>
    <w:p>
      <w:pPr>
        <w:spacing w:after="0" w:line="168" w:lineRule="exact"/>
        <w:rPr>
          <w:sz w:val="20"/>
          <w:szCs w:val="20"/>
          <w:color w:val="auto"/>
        </w:rPr>
      </w:pPr>
    </w:p>
    <w:p>
      <w:pPr>
        <w:ind w:left="1260" w:right="439"/>
        <w:spacing w:after="0" w:line="274" w:lineRule="auto"/>
        <w:rPr>
          <w:sz w:val="20"/>
          <w:szCs w:val="20"/>
          <w:color w:val="auto"/>
        </w:rPr>
      </w:pPr>
      <w:r>
        <w:rPr>
          <w:rFonts w:ascii="Arial" w:cs="Arial" w:eastAsia="Arial" w:hAnsi="Arial"/>
          <w:sz w:val="18"/>
          <w:szCs w:val="18"/>
          <w:color w:val="auto"/>
        </w:rPr>
        <w:t>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(“DTC”) in the United States and by Euroclear Bank SA/NV (the “Euroclear Operator”), as an operator of the Euroclear System (“Euroclear”), and Clearstream Banking, société anonyme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w:t>
      </w:r>
    </w:p>
    <w:p>
      <w:pPr>
        <w:spacing w:after="0" w:line="114" w:lineRule="exact"/>
        <w:rPr>
          <w:sz w:val="20"/>
          <w:szCs w:val="20"/>
          <w:color w:val="auto"/>
        </w:rPr>
      </w:pPr>
    </w:p>
    <w:p>
      <w:pPr>
        <w:ind w:left="1260" w:right="439"/>
        <w:spacing w:after="0" w:line="292" w:lineRule="auto"/>
        <w:rPr>
          <w:sz w:val="20"/>
          <w:szCs w:val="20"/>
          <w:color w:val="auto"/>
        </w:rPr>
      </w:pPr>
      <w:r>
        <w:rPr>
          <w:rFonts w:ascii="Arial" w:cs="Arial" w:eastAsia="Arial" w:hAnsi="Arial"/>
          <w:sz w:val="18"/>
          <w:szCs w:val="18"/>
          <w:color w:val="auto"/>
        </w:rPr>
        <w:t>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95" w:lineRule="exact"/>
        <w:rPr>
          <w:sz w:val="20"/>
          <w:szCs w:val="20"/>
          <w:color w:val="auto"/>
        </w:rPr>
      </w:pPr>
    </w:p>
    <w:p>
      <w:pPr>
        <w:ind w:left="1260" w:right="419"/>
        <w:spacing w:after="0" w:line="277"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96" w:lineRule="exact"/>
        <w:rPr>
          <w:sz w:val="20"/>
          <w:szCs w:val="20"/>
          <w:color w:val="auto"/>
        </w:rPr>
      </w:pPr>
    </w:p>
    <w:p>
      <w:pPr>
        <w:ind w:left="1260" w:right="459"/>
        <w:spacing w:after="0" w:line="279" w:lineRule="auto"/>
        <w:rPr>
          <w:sz w:val="20"/>
          <w:szCs w:val="20"/>
          <w:color w:val="auto"/>
        </w:rPr>
      </w:pPr>
      <w:r>
        <w:rPr>
          <w:rFonts w:ascii="Arial" w:cs="Arial" w:eastAsia="Arial" w:hAnsi="Arial"/>
          <w:sz w:val="18"/>
          <w:szCs w:val="18"/>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Depository procedures</w:t>
      </w:r>
    </w:p>
    <w:p>
      <w:pPr>
        <w:spacing w:after="0" w:line="148" w:lineRule="exact"/>
        <w:rPr>
          <w:sz w:val="20"/>
          <w:szCs w:val="20"/>
          <w:color w:val="auto"/>
        </w:rPr>
      </w:pPr>
    </w:p>
    <w:p>
      <w:pPr>
        <w:ind w:left="1260" w:right="499"/>
        <w:spacing w:after="0" w:line="274" w:lineRule="auto"/>
        <w:rPr>
          <w:sz w:val="20"/>
          <w:szCs w:val="20"/>
          <w:color w:val="auto"/>
        </w:rPr>
      </w:pPr>
      <w:r>
        <w:rPr>
          <w:rFonts w:ascii="Arial" w:cs="Arial" w:eastAsia="Arial" w:hAnsi="Arial"/>
          <w:sz w:val="18"/>
          <w:szCs w:val="18"/>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direct Participants.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w:t>
      </w:r>
    </w:p>
    <w:p>
      <w:pPr>
        <w:spacing w:after="0" w:line="38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spacing w:after="0" w:line="335" w:lineRule="auto"/>
        <w:rPr>
          <w:sz w:val="20"/>
          <w:szCs w:val="20"/>
          <w:color w:val="auto"/>
        </w:rPr>
      </w:pPr>
      <w:r>
        <w:rPr>
          <w:rFonts w:ascii="Arial" w:cs="Arial" w:eastAsia="Arial" w:hAnsi="Arial"/>
          <w:sz w:val="17"/>
          <w:szCs w:val="17"/>
          <w:color w:val="auto"/>
        </w:rPr>
        <w:t>The ownership interest and transfer of ownership interest of each actual purchaser of each security held by or on behalf of DTC is recorded on the records of the Participants and the Indirect Participants.</w:t>
      </w:r>
    </w:p>
    <w:p>
      <w:pPr>
        <w:spacing w:after="0" w:line="48" w:lineRule="exact"/>
        <w:rPr>
          <w:sz w:val="20"/>
          <w:szCs w:val="20"/>
          <w:color w:val="auto"/>
        </w:rPr>
      </w:pPr>
    </w:p>
    <w:p>
      <w:pPr>
        <w:ind w:left="1260" w:right="539"/>
        <w:spacing w:after="0" w:line="270" w:lineRule="auto"/>
        <w:rPr>
          <w:sz w:val="20"/>
          <w:szCs w:val="20"/>
          <w:color w:val="auto"/>
        </w:rPr>
      </w:pPr>
      <w:r>
        <w:rPr>
          <w:rFonts w:ascii="Arial" w:cs="Arial" w:eastAsia="Arial" w:hAnsi="Arial"/>
          <w:sz w:val="18"/>
          <w:szCs w:val="18"/>
          <w:color w:val="auto"/>
        </w:rPr>
        <w:t>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pacing w:after="0" w:line="101" w:lineRule="exact"/>
        <w:rPr>
          <w:sz w:val="20"/>
          <w:szCs w:val="20"/>
          <w:color w:val="auto"/>
        </w:rPr>
      </w:pPr>
    </w:p>
    <w:p>
      <w:pPr>
        <w:ind w:left="1260" w:right="559"/>
        <w:spacing w:after="0" w:line="285" w:lineRule="auto"/>
        <w:rPr>
          <w:sz w:val="20"/>
          <w:szCs w:val="20"/>
          <w:color w:val="auto"/>
        </w:rPr>
      </w:pPr>
      <w:r>
        <w:rPr>
          <w:rFonts w:ascii="Arial" w:cs="Arial" w:eastAsia="Arial" w:hAnsi="Arial"/>
          <w:sz w:val="17"/>
          <w:szCs w:val="17"/>
          <w:color w:val="auto"/>
        </w:rPr>
        <w:t>Investors in the Global Notes may hold their interests therein directly through DTC, if they are Participants in such system, or indirectly through organizations (including Euroclear and Clearstream) that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90" w:lineRule="exact"/>
        <w:rPr>
          <w:sz w:val="20"/>
          <w:szCs w:val="20"/>
          <w:color w:val="auto"/>
        </w:rPr>
      </w:pPr>
    </w:p>
    <w:p>
      <w:pPr>
        <w:ind w:left="1260" w:right="459"/>
        <w:spacing w:after="0" w:line="266"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Book-Entry Notes for Certificated Notes.”</w:t>
      </w:r>
    </w:p>
    <w:p>
      <w:pPr>
        <w:spacing w:after="0" w:line="153" w:lineRule="exact"/>
        <w:rPr>
          <w:sz w:val="20"/>
          <w:szCs w:val="20"/>
          <w:color w:val="auto"/>
        </w:rPr>
      </w:pPr>
    </w:p>
    <w:p>
      <w:pPr>
        <w:ind w:left="1260" w:right="439"/>
        <w:spacing w:after="0" w:line="239" w:lineRule="auto"/>
        <w:rPr>
          <w:sz w:val="20"/>
          <w:szCs w:val="20"/>
          <w:color w:val="auto"/>
        </w:rPr>
      </w:pPr>
      <w:r>
        <w:rPr>
          <w:rFonts w:ascii="Arial" w:cs="Arial" w:eastAsia="Arial" w:hAnsi="Arial"/>
          <w:sz w:val="21"/>
          <w:szCs w:val="21"/>
          <w:b w:val="1"/>
          <w:bCs w:val="1"/>
          <w:color w:val="auto"/>
        </w:rPr>
        <w:t>Except as described below, owners of interests in the Global Notes will not have Notes registered in their names, will not receive physical delivery of Notes</w:t>
      </w:r>
    </w:p>
    <w:p>
      <w:pPr>
        <w:ind w:left="1260" w:right="479"/>
        <w:spacing w:after="0" w:line="233" w:lineRule="auto"/>
        <w:rPr>
          <w:sz w:val="20"/>
          <w:szCs w:val="20"/>
          <w:color w:val="auto"/>
        </w:rPr>
      </w:pPr>
      <w:r>
        <w:rPr>
          <w:rFonts w:ascii="Arial" w:cs="Arial" w:eastAsia="Arial" w:hAnsi="Arial"/>
          <w:sz w:val="22"/>
          <w:szCs w:val="22"/>
          <w:b w:val="1"/>
          <w:bCs w:val="1"/>
          <w:color w:val="auto"/>
        </w:rPr>
        <w:t>in certificated form and will not be considered the registered owners or holders thereof under the Indenture for any purpose.</w:t>
      </w:r>
    </w:p>
    <w:p>
      <w:pPr>
        <w:spacing w:after="0" w:line="104" w:lineRule="exact"/>
        <w:rPr>
          <w:sz w:val="20"/>
          <w:szCs w:val="20"/>
          <w:color w:val="auto"/>
        </w:rPr>
      </w:pPr>
    </w:p>
    <w:p>
      <w:pPr>
        <w:ind w:left="1260" w:right="539"/>
        <w:spacing w:after="0" w:line="264" w:lineRule="auto"/>
        <w:rPr>
          <w:sz w:val="20"/>
          <w:szCs w:val="20"/>
          <w:color w:val="auto"/>
        </w:rPr>
      </w:pPr>
      <w:r>
        <w:rPr>
          <w:rFonts w:ascii="Arial" w:cs="Arial" w:eastAsia="Arial" w:hAnsi="Arial"/>
          <w:sz w:val="18"/>
          <w:szCs w:val="18"/>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 (1) 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111" w:lineRule="exact"/>
        <w:rPr>
          <w:sz w:val="20"/>
          <w:szCs w:val="20"/>
          <w:color w:val="auto"/>
        </w:rPr>
      </w:pPr>
    </w:p>
    <w:p>
      <w:pPr>
        <w:ind w:left="1260" w:right="439"/>
        <w:spacing w:after="0" w:line="266" w:lineRule="auto"/>
        <w:rPr>
          <w:sz w:val="20"/>
          <w:szCs w:val="20"/>
          <w:color w:val="auto"/>
        </w:rPr>
      </w:pPr>
      <w:r>
        <w:rPr>
          <w:rFonts w:ascii="Arial" w:cs="Arial" w:eastAsia="Arial" w:hAnsi="Arial"/>
          <w:sz w:val="18"/>
          <w:szCs w:val="18"/>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w:t>
      </w:r>
    </w:p>
    <w:p>
      <w:pPr>
        <w:spacing w:after="0" w:line="39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819"/>
        <w:spacing w:after="0" w:line="303" w:lineRule="auto"/>
        <w:rPr>
          <w:sz w:val="20"/>
          <w:szCs w:val="20"/>
          <w:color w:val="auto"/>
        </w:rPr>
      </w:pPr>
      <w:r>
        <w:rPr>
          <w:rFonts w:ascii="Arial" w:cs="Arial" w:eastAsia="Arial" w:hAnsi="Arial"/>
          <w:sz w:val="18"/>
          <w:szCs w:val="18"/>
          <w:color w:val="auto"/>
        </w:rPr>
        <w:t>conclusively rely on and will be protected in relying on instructions from DTC or its nominee as the registered owner of the Global Notes for all purposes.</w:t>
      </w:r>
    </w:p>
    <w:p>
      <w:pPr>
        <w:spacing w:after="0" w:line="129" w:lineRule="exact"/>
        <w:rPr>
          <w:sz w:val="20"/>
          <w:szCs w:val="20"/>
          <w:color w:val="auto"/>
        </w:rPr>
      </w:pPr>
    </w:p>
    <w:p>
      <w:pPr>
        <w:ind w:left="1260" w:right="639"/>
        <w:spacing w:after="0" w:line="232" w:lineRule="auto"/>
        <w:rPr>
          <w:sz w:val="20"/>
          <w:szCs w:val="20"/>
          <w:color w:val="auto"/>
        </w:rPr>
      </w:pPr>
      <w:r>
        <w:rPr>
          <w:rFonts w:ascii="Arial" w:cs="Arial" w:eastAsia="Arial" w:hAnsi="Arial"/>
          <w:sz w:val="21"/>
          <w:szCs w:val="21"/>
          <w:b w:val="1"/>
          <w:bCs w:val="1"/>
          <w:color w:val="auto"/>
        </w:rPr>
        <w:t>Except for trades involving only Euroclear and Clearstream participants, secondary market trading activity in interests in the Global Notes will settle in</w:t>
      </w:r>
    </w:p>
    <w:p>
      <w:pPr>
        <w:ind w:left="1260"/>
        <w:spacing w:after="0" w:line="218" w:lineRule="auto"/>
        <w:rPr>
          <w:sz w:val="20"/>
          <w:szCs w:val="20"/>
          <w:color w:val="auto"/>
        </w:rPr>
      </w:pPr>
      <w:r>
        <w:rPr>
          <w:rFonts w:ascii="Arial" w:cs="Arial" w:eastAsia="Arial" w:hAnsi="Arial"/>
          <w:sz w:val="22"/>
          <w:szCs w:val="22"/>
          <w:b w:val="1"/>
          <w:bCs w:val="1"/>
          <w:color w:val="auto"/>
        </w:rPr>
        <w:t>same-day funds, subject in all cases to the rules and procedures of DTC and</w:t>
      </w:r>
    </w:p>
    <w:p>
      <w:pPr>
        <w:ind w:left="1260" w:right="1199"/>
        <w:spacing w:after="0" w:line="221" w:lineRule="auto"/>
        <w:rPr>
          <w:sz w:val="20"/>
          <w:szCs w:val="20"/>
          <w:color w:val="auto"/>
        </w:rPr>
      </w:pPr>
      <w:r>
        <w:rPr>
          <w:rFonts w:ascii="Arial" w:cs="Arial" w:eastAsia="Arial" w:hAnsi="Arial"/>
          <w:sz w:val="21"/>
          <w:szCs w:val="21"/>
          <w:b w:val="1"/>
          <w:bCs w:val="1"/>
          <w:color w:val="auto"/>
        </w:rPr>
        <w:t>the Participants. Transfers between accountholders in Euroclear and Clearstream will be effected in the ordinary way in accordance with their</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respective rules and operating procedures.</w:t>
      </w:r>
    </w:p>
    <w:p>
      <w:pPr>
        <w:spacing w:after="0" w:line="113" w:lineRule="exact"/>
        <w:rPr>
          <w:sz w:val="20"/>
          <w:szCs w:val="20"/>
          <w:color w:val="auto"/>
        </w:rPr>
      </w:pPr>
    </w:p>
    <w:p>
      <w:pPr>
        <w:ind w:left="1260" w:right="459"/>
        <w:spacing w:after="0" w:line="282" w:lineRule="auto"/>
        <w:rPr>
          <w:sz w:val="20"/>
          <w:szCs w:val="20"/>
          <w:color w:val="auto"/>
        </w:rPr>
      </w:pPr>
      <w:r>
        <w:rPr>
          <w:rFonts w:ascii="Arial" w:cs="Arial" w:eastAsia="Arial" w:hAnsi="Arial"/>
          <w:sz w:val="17"/>
          <w:szCs w:val="17"/>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93" w:lineRule="exact"/>
        <w:rPr>
          <w:sz w:val="20"/>
          <w:szCs w:val="20"/>
          <w:color w:val="auto"/>
        </w:rPr>
      </w:pPr>
    </w:p>
    <w:p>
      <w:pPr>
        <w:ind w:left="1260" w:right="459"/>
        <w:spacing w:after="0" w:line="264" w:lineRule="auto"/>
        <w:rPr>
          <w:sz w:val="20"/>
          <w:szCs w:val="20"/>
          <w:color w:val="auto"/>
        </w:rPr>
      </w:pPr>
      <w:r>
        <w:rPr>
          <w:rFonts w:ascii="Arial" w:cs="Arial" w:eastAsia="Arial" w:hAnsi="Arial"/>
          <w:sz w:val="18"/>
          <w:szCs w:val="18"/>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24" w:lineRule="exact"/>
        <w:rPr>
          <w:sz w:val="20"/>
          <w:szCs w:val="20"/>
          <w:color w:val="auto"/>
        </w:rPr>
      </w:pPr>
    </w:p>
    <w:p>
      <w:pPr>
        <w:ind w:left="1260" w:right="479"/>
        <w:spacing w:after="0" w:line="267" w:lineRule="auto"/>
        <w:rPr>
          <w:sz w:val="20"/>
          <w:szCs w:val="20"/>
          <w:color w:val="auto"/>
        </w:rPr>
      </w:pPr>
      <w:r>
        <w:rPr>
          <w:rFonts w:ascii="Arial" w:cs="Arial" w:eastAsia="Arial" w:hAnsi="Arial"/>
          <w:sz w:val="18"/>
          <w:szCs w:val="18"/>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Book-Entry Notes for Certificated Notes” occurs, DTC reserves the right to exchange the Global Notes for Notes in certificated form and to distribute such Notes to its Participants.</w:t>
      </w:r>
    </w:p>
    <w:p>
      <w:pPr>
        <w:spacing w:after="0" w:line="103" w:lineRule="exact"/>
        <w:rPr>
          <w:sz w:val="20"/>
          <w:szCs w:val="20"/>
          <w:color w:val="auto"/>
        </w:rPr>
      </w:pPr>
    </w:p>
    <w:p>
      <w:pPr>
        <w:ind w:left="1260" w:right="439"/>
        <w:spacing w:after="0" w:line="273" w:lineRule="auto"/>
        <w:rPr>
          <w:sz w:val="20"/>
          <w:szCs w:val="20"/>
          <w:color w:val="auto"/>
        </w:rPr>
      </w:pPr>
      <w:r>
        <w:rPr>
          <w:rFonts w:ascii="Arial" w:cs="Arial" w:eastAsia="Arial" w:hAnsi="Arial"/>
          <w:sz w:val="18"/>
          <w:szCs w:val="18"/>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Exchange of book-entry notes for certificated notes</w:t>
      </w:r>
    </w:p>
    <w:p>
      <w:pPr>
        <w:spacing w:after="0" w:line="135"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color w:val="auto"/>
        </w:rPr>
        <w:t>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38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20"/>
        <w:spacing w:after="0"/>
        <w:rPr>
          <w:sz w:val="20"/>
          <w:szCs w:val="20"/>
          <w:color w:val="auto"/>
        </w:rPr>
      </w:pPr>
      <w:r>
        <w:rPr>
          <w:rFonts w:ascii="Arial" w:cs="Arial" w:eastAsia="Arial" w:hAnsi="Arial"/>
          <w:sz w:val="29"/>
          <w:szCs w:val="29"/>
          <w:b w:val="1"/>
          <w:bCs w:val="1"/>
          <w:color w:val="auto"/>
        </w:rPr>
        <w:t>Certain U.S. federal income tax consequences</w:t>
      </w:r>
    </w:p>
    <w:p>
      <w:pPr>
        <w:spacing w:after="0" w:line="168" w:lineRule="exact"/>
        <w:rPr>
          <w:sz w:val="20"/>
          <w:szCs w:val="20"/>
          <w:color w:val="auto"/>
        </w:rPr>
      </w:pPr>
    </w:p>
    <w:p>
      <w:pPr>
        <w:ind w:left="1260" w:right="599"/>
        <w:spacing w:after="0" w:line="274" w:lineRule="auto"/>
        <w:rPr>
          <w:sz w:val="20"/>
          <w:szCs w:val="20"/>
          <w:color w:val="auto"/>
        </w:rPr>
      </w:pPr>
      <w:r>
        <w:rPr>
          <w:rFonts w:ascii="Arial" w:cs="Arial" w:eastAsia="Arial" w:hAnsi="Arial"/>
          <w:sz w:val="18"/>
          <w:szCs w:val="18"/>
          <w:color w:val="auto"/>
        </w:rPr>
        <w:t>The following discussion summarizes certain U.S. federal income tax consequences that may be relevant to the acquisition, ownership and disposition of the Notes. This discussion is based on the Code, applicable U.S. Treasury Regulations promulgated thereunder, judicial authority and administrative interpretations, all as of the date of this document, and all of which are subject to change, possibly with retroactive effect, or are subject to differing interpretations. We cannot assure you that the IRS will not challenge one or more of the tax consequences described in this discussion, and we have not obtained, nor do we intend to obtain, a ruling from the IRS or an opinion of counsel with respect to the U.S. federal income tax consequences of acquiring, owning or disposing of the Notes.</w:t>
      </w:r>
    </w:p>
    <w:p>
      <w:pPr>
        <w:spacing w:after="0" w:line="114" w:lineRule="exact"/>
        <w:rPr>
          <w:sz w:val="20"/>
          <w:szCs w:val="20"/>
          <w:color w:val="auto"/>
        </w:rPr>
      </w:pPr>
    </w:p>
    <w:p>
      <w:pPr>
        <w:ind w:left="1260" w:right="479"/>
        <w:spacing w:after="0" w:line="275" w:lineRule="auto"/>
        <w:rPr>
          <w:sz w:val="20"/>
          <w:szCs w:val="20"/>
          <w:color w:val="auto"/>
        </w:rPr>
      </w:pPr>
      <w:r>
        <w:rPr>
          <w:rFonts w:ascii="Arial" w:cs="Arial" w:eastAsia="Arial" w:hAnsi="Arial"/>
          <w:sz w:val="18"/>
          <w:szCs w:val="18"/>
          <w:color w:val="auto"/>
        </w:rPr>
        <w:t>This discussion is limited to holders who purchase the Notes in this offering for cash at a price equal to the issue price of the Notes (i.e.,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 This discussion does not address any U.S. federal tax consequences other than U.S. federal income tax consequences (such as estate and gift tax consequences), or the tax consequences arising under the laws of any foreign, state, local or other jurisdiction or any income tax treaty. In addition, this discussion does not address all tax consequences that may be important to a particular holder in light of the holder’s special circumstances, or to certain categories of holders that may be subject to special rules, such as:</w:t>
      </w:r>
    </w:p>
    <w:p>
      <w:pPr>
        <w:spacing w:after="0" w:line="85" w:lineRule="exact"/>
        <w:rPr>
          <w:sz w:val="20"/>
          <w:szCs w:val="20"/>
          <w:color w:val="auto"/>
        </w:rPr>
      </w:pPr>
    </w:p>
    <w:p>
      <w:pPr>
        <w:ind w:left="1400" w:hanging="140"/>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1400" w:hanging="140"/>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traders in securities that have elected the mark-to-market method of accounting for their securities;</w:t>
      </w:r>
    </w:p>
    <w:p>
      <w:pPr>
        <w:spacing w:after="0" w:line="144" w:lineRule="exact"/>
        <w:rPr>
          <w:rFonts w:ascii="Arial" w:cs="Arial" w:eastAsia="Arial" w:hAnsi="Arial"/>
          <w:sz w:val="18"/>
          <w:szCs w:val="18"/>
          <w:color w:val="auto"/>
        </w:rPr>
      </w:pPr>
    </w:p>
    <w:p>
      <w:pPr>
        <w:ind w:left="1400" w:hanging="140"/>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30" w:lineRule="exact"/>
        <w:rPr>
          <w:rFonts w:ascii="Arial" w:cs="Arial" w:eastAsia="Arial" w:hAnsi="Arial"/>
          <w:sz w:val="18"/>
          <w:szCs w:val="18"/>
          <w:color w:val="auto"/>
        </w:rPr>
      </w:pPr>
    </w:p>
    <w:p>
      <w:pPr>
        <w:ind w:left="1400" w:hanging="140"/>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Holders who hold Notes through non-U.S. brokers or other non-U.S. intermediaries;</w:t>
      </w:r>
    </w:p>
    <w:p>
      <w:pPr>
        <w:spacing w:after="0" w:line="130" w:lineRule="exact"/>
        <w:rPr>
          <w:rFonts w:ascii="Arial" w:cs="Arial" w:eastAsia="Arial" w:hAnsi="Arial"/>
          <w:sz w:val="18"/>
          <w:szCs w:val="18"/>
          <w:color w:val="auto"/>
        </w:rPr>
      </w:pPr>
    </w:p>
    <w:p>
      <w:pPr>
        <w:ind w:left="1400" w:right="1039" w:hanging="140"/>
        <w:spacing w:after="0" w:line="318"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conversion or other “synthetic security” or integrated transaction;</w:t>
      </w:r>
    </w:p>
    <w:p>
      <w:pPr>
        <w:spacing w:after="0" w:line="31" w:lineRule="exact"/>
        <w:rPr>
          <w:rFonts w:ascii="Arial" w:cs="Arial" w:eastAsia="Arial" w:hAnsi="Arial"/>
          <w:sz w:val="18"/>
          <w:szCs w:val="18"/>
          <w:color w:val="auto"/>
        </w:rPr>
      </w:pPr>
    </w:p>
    <w:p>
      <w:pPr>
        <w:ind w:left="1400" w:hanging="140"/>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former U.S. citizens or long-term residents of the United States;</w:t>
      </w:r>
    </w:p>
    <w:p>
      <w:pPr>
        <w:spacing w:after="0" w:line="144" w:lineRule="exact"/>
        <w:rPr>
          <w:rFonts w:ascii="Arial" w:cs="Arial" w:eastAsia="Arial" w:hAnsi="Arial"/>
          <w:sz w:val="18"/>
          <w:szCs w:val="18"/>
          <w:color w:val="auto"/>
        </w:rPr>
      </w:pPr>
    </w:p>
    <w:p>
      <w:pPr>
        <w:ind w:left="1400" w:hanging="140"/>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banks or other financial institutions;</w:t>
      </w:r>
    </w:p>
    <w:p>
      <w:pPr>
        <w:spacing w:after="0" w:line="130" w:lineRule="exact"/>
        <w:rPr>
          <w:rFonts w:ascii="Arial" w:cs="Arial" w:eastAsia="Arial" w:hAnsi="Arial"/>
          <w:sz w:val="18"/>
          <w:szCs w:val="18"/>
          <w:color w:val="auto"/>
        </w:rPr>
      </w:pPr>
    </w:p>
    <w:p>
      <w:pPr>
        <w:ind w:left="1400" w:hanging="140"/>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44" w:lineRule="exact"/>
        <w:rPr>
          <w:rFonts w:ascii="Arial" w:cs="Arial" w:eastAsia="Arial" w:hAnsi="Arial"/>
          <w:sz w:val="18"/>
          <w:szCs w:val="18"/>
          <w:color w:val="auto"/>
        </w:rPr>
      </w:pPr>
    </w:p>
    <w:p>
      <w:pPr>
        <w:ind w:left="1400" w:hanging="140"/>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400" w:hanging="140"/>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400" w:hanging="140"/>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44" w:lineRule="exact"/>
        <w:rPr>
          <w:rFonts w:ascii="Arial" w:cs="Arial" w:eastAsia="Arial" w:hAnsi="Arial"/>
          <w:sz w:val="18"/>
          <w:szCs w:val="18"/>
          <w:color w:val="auto"/>
        </w:rPr>
      </w:pPr>
    </w:p>
    <w:p>
      <w:pPr>
        <w:ind w:left="1400" w:hanging="140"/>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entities that are tax-exempt for U.S. federal income tax purposes;</w:t>
      </w:r>
    </w:p>
    <w:p>
      <w:pPr>
        <w:spacing w:after="0" w:line="130" w:lineRule="exact"/>
        <w:rPr>
          <w:rFonts w:ascii="Arial" w:cs="Arial" w:eastAsia="Arial" w:hAnsi="Arial"/>
          <w:sz w:val="18"/>
          <w:szCs w:val="18"/>
          <w:color w:val="auto"/>
        </w:rPr>
      </w:pPr>
    </w:p>
    <w:p>
      <w:pPr>
        <w:ind w:left="1400" w:right="919" w:hanging="140"/>
        <w:spacing w:after="0" w:line="318"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31" w:lineRule="exact"/>
        <w:rPr>
          <w:rFonts w:ascii="Arial" w:cs="Arial" w:eastAsia="Arial" w:hAnsi="Arial"/>
          <w:sz w:val="18"/>
          <w:szCs w:val="18"/>
          <w:color w:val="auto"/>
        </w:rPr>
      </w:pPr>
    </w:p>
    <w:p>
      <w:pPr>
        <w:ind w:left="1400" w:hanging="140"/>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persons deemed to sell the Notes under the constructive sale provisions of the Code;</w:t>
      </w:r>
    </w:p>
    <w:p>
      <w:pPr>
        <w:spacing w:after="0" w:line="144" w:lineRule="exact"/>
        <w:rPr>
          <w:rFonts w:ascii="Arial" w:cs="Arial" w:eastAsia="Arial" w:hAnsi="Arial"/>
          <w:sz w:val="18"/>
          <w:szCs w:val="18"/>
          <w:color w:val="auto"/>
        </w:rPr>
      </w:pPr>
    </w:p>
    <w:p>
      <w:pPr>
        <w:ind w:left="1400" w:hanging="140"/>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persons holding the Notes through individual retirement accounts and other tax-deferred accounts;</w:t>
      </w:r>
    </w:p>
    <w:p>
      <w:pPr>
        <w:spacing w:after="0" w:line="130" w:lineRule="exact"/>
        <w:rPr>
          <w:rFonts w:ascii="Arial" w:cs="Arial" w:eastAsia="Arial" w:hAnsi="Arial"/>
          <w:sz w:val="18"/>
          <w:szCs w:val="18"/>
          <w:color w:val="auto"/>
        </w:rPr>
      </w:pPr>
    </w:p>
    <w:p>
      <w:pPr>
        <w:ind w:left="1400" w:hanging="140"/>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persons required to accelerate the recognition of any item of gross income with respect to the Notes</w:t>
      </w:r>
    </w:p>
    <w:p>
      <w:pPr>
        <w:spacing w:after="0" w:line="31" w:lineRule="exact"/>
        <w:rPr>
          <w:rFonts w:ascii="Arial" w:cs="Arial" w:eastAsia="Arial" w:hAnsi="Arial"/>
          <w:sz w:val="18"/>
          <w:szCs w:val="18"/>
          <w:color w:val="auto"/>
        </w:rPr>
      </w:pPr>
    </w:p>
    <w:p>
      <w:pPr>
        <w:ind w:left="1400" w:right="1059"/>
        <w:spacing w:after="0" w:line="307" w:lineRule="auto"/>
        <w:rPr>
          <w:rFonts w:ascii="Arial" w:cs="Arial" w:eastAsia="Arial" w:hAnsi="Arial"/>
          <w:sz w:val="18"/>
          <w:szCs w:val="18"/>
          <w:color w:val="auto"/>
        </w:rPr>
      </w:pPr>
      <w:r>
        <w:rPr>
          <w:rFonts w:ascii="Arial" w:cs="Arial" w:eastAsia="Arial" w:hAnsi="Arial"/>
          <w:sz w:val="18"/>
          <w:szCs w:val="18"/>
          <w:color w:val="auto"/>
        </w:rPr>
        <w:t>as a result of such income being recognized on an “applicable financial statement” (within​ the meaning of Section 451(b) of the Code);</w:t>
      </w:r>
    </w:p>
    <w:p>
      <w:pPr>
        <w:spacing w:after="0" w:line="35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400" w:right="979" w:hanging="140"/>
        <w:spacing w:after="0" w:line="318"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persons receiving a portion of the net proceeds from this offering pursuant to the repayment of indebtedness under our credit facilities or commercial paper program; and</w:t>
      </w:r>
    </w:p>
    <w:p>
      <w:pPr>
        <w:spacing w:after="0" w:line="31" w:lineRule="exact"/>
        <w:rPr>
          <w:rFonts w:ascii="Arial" w:cs="Arial" w:eastAsia="Arial" w:hAnsi="Arial"/>
          <w:sz w:val="18"/>
          <w:szCs w:val="18"/>
          <w:color w:val="auto"/>
        </w:rPr>
      </w:pPr>
    </w:p>
    <w:p>
      <w:pPr>
        <w:ind w:left="1400" w:right="519" w:hanging="140"/>
        <w:spacing w:after="0" w:line="303"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partnerships and other entities treated as pass-through entities for U.S. federal income tax purposes and holders of interests therein.</w:t>
      </w:r>
    </w:p>
    <w:p>
      <w:pPr>
        <w:spacing w:after="0" w:line="71" w:lineRule="exact"/>
        <w:rPr>
          <w:sz w:val="20"/>
          <w:szCs w:val="20"/>
          <w:color w:val="auto"/>
        </w:rPr>
      </w:pPr>
    </w:p>
    <w:p>
      <w:pPr>
        <w:ind w:left="1260" w:right="499"/>
        <w:spacing w:after="0" w:line="267" w:lineRule="auto"/>
        <w:rPr>
          <w:sz w:val="20"/>
          <w:szCs w:val="20"/>
          <w:color w:val="auto"/>
        </w:rPr>
      </w:pPr>
      <w:r>
        <w:rPr>
          <w:rFonts w:ascii="Arial" w:cs="Arial" w:eastAsia="Arial" w:hAnsi="Arial"/>
          <w:sz w:val="18"/>
          <w:szCs w:val="18"/>
          <w:color w:val="auto"/>
        </w:rPr>
        <w:t>If an entity or arrangement treated as a partnership for U.S. federal income tax purposes holds Notes, the U.S. federal income tax treatment of a partner of the partnership generally will depend upon the status of the partner and the activities of the partnership and upon certain determinations made at the partner level. Partnerships considering an investment in the Notes and partners therein should consult their own tax advisors as to the particular U.S. federal income tax consequences of acquiring, owning and disposing of the Notes.</w:t>
      </w:r>
    </w:p>
    <w:p>
      <w:pPr>
        <w:spacing w:after="0" w:line="117" w:lineRule="exact"/>
        <w:rPr>
          <w:sz w:val="20"/>
          <w:szCs w:val="20"/>
          <w:color w:val="auto"/>
        </w:rPr>
      </w:pPr>
    </w:p>
    <w:p>
      <w:pPr>
        <w:ind w:left="1260" w:right="459"/>
        <w:spacing w:after="0" w:line="264" w:lineRule="auto"/>
        <w:rPr>
          <w:sz w:val="20"/>
          <w:szCs w:val="20"/>
          <w:color w:val="auto"/>
        </w:rPr>
      </w:pPr>
      <w:r>
        <w:rPr>
          <w:rFonts w:ascii="Arial" w:cs="Arial" w:eastAsia="Arial" w:hAnsi="Arial"/>
          <w:sz w:val="18"/>
          <w:szCs w:val="18"/>
          <w:color w:val="auto"/>
        </w:rPr>
        <w:t>THIS DISCUSSION IS FOR INFORMATION PURPOSES ONLY AND SHOULD NOT BE CONSTRUED TO BE TAX ADVICE TO ANY PARTICULAR INVESTOR. PROSPECTIVE INVESTORS CONSIDERING THE PURCHASE OF THE NOTES SHOULD CONSULT THEIR OWN TAX ADVISORS REGARDING THE APPLICATION OF THE U.S. FEDERAL INCOME TAX LAWS TO THEIR PARTICULAR SITUATIONS AS WELL AS ANY TAX CONSEQUENCES OF THE ACQUISITION, OWNERSHIP AND DISPOSITION OF THE NOTES UNDER OTHER U.S. FEDERAL TAX LAWS OR UNDER THE LAWS OF ANY STATE, LOCAL, OR FOREIGN JURISDICTION OR UNDER ANY APPLICABLE INCOME TAX TREATY.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Certain additional payments</w:t>
      </w:r>
    </w:p>
    <w:p>
      <w:pPr>
        <w:spacing w:after="0" w:line="135" w:lineRule="exact"/>
        <w:rPr>
          <w:sz w:val="20"/>
          <w:szCs w:val="20"/>
          <w:color w:val="auto"/>
        </w:rPr>
      </w:pPr>
    </w:p>
    <w:p>
      <w:pPr>
        <w:ind w:left="1260" w:right="419"/>
        <w:spacing w:after="0" w:line="263" w:lineRule="auto"/>
        <w:rPr>
          <w:sz w:val="20"/>
          <w:szCs w:val="20"/>
          <w:color w:val="auto"/>
        </w:rPr>
      </w:pPr>
      <w:r>
        <w:rPr>
          <w:rFonts w:ascii="Arial" w:cs="Arial" w:eastAsia="Arial" w:hAnsi="Arial"/>
          <w:sz w:val="18"/>
          <w:szCs w:val="18"/>
          <w:color w:val="auto"/>
        </w:rPr>
        <w:t>In certain circumstances (see “Description of Notes—Optional Redemption”), we may elect to redeem the Notes prior to maturity or to pay amounts on the Notes that are in excess of the stated interest or principal on the Notes. If any of these contingencies were to occur, it would affect the amount and timing of income recognized by you. Further, these contingencies may implicate the provisions of the U.S. Treasury Regulations relating to contingent payment debt instruments. We do not intend to treat the possibility of such contingencies occurring as causing the Notes to be treated as contingent payment debt instruments. Our position may be binding on you unless you disclose your contrary position to the IRS in the manner required by applicable U.S. Treasury Regulations. However, our position is not binding on the IRS, and it is possible that the IRS might take a different position, in which case, if the IRS’s position is sustained, you may be required to accrue ordinary interest income at a higher rate than the stated interest rate and to treat as ordinary income rather than capital gain any gain recognized on a taxable disposition of a Note. The remainder of this discussion assumes that the Notes will not be treated as contingent payment debt instruments. You should consult your own tax advisor regarding the possible application of the contingent payment debt instrument rules to the Notes.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Tax consequences to U.S. holders</w:t>
      </w:r>
    </w:p>
    <w:p>
      <w:pPr>
        <w:spacing w:after="0" w:line="135" w:lineRule="exact"/>
        <w:rPr>
          <w:sz w:val="20"/>
          <w:szCs w:val="20"/>
          <w:color w:val="auto"/>
        </w:rPr>
      </w:pPr>
    </w:p>
    <w:p>
      <w:pPr>
        <w:ind w:left="1260" w:right="539"/>
        <w:spacing w:after="0" w:line="276" w:lineRule="auto"/>
        <w:rPr>
          <w:sz w:val="20"/>
          <w:szCs w:val="20"/>
          <w:color w:val="auto"/>
        </w:rPr>
      </w:pPr>
      <w:r>
        <w:rPr>
          <w:rFonts w:ascii="Arial" w:cs="Arial" w:eastAsia="Arial" w:hAnsi="Arial"/>
          <w:sz w:val="18"/>
          <w:szCs w:val="18"/>
          <w:color w:val="auto"/>
        </w:rPr>
        <w:t>The following summary will apply to you if you are a U.S. Holder of the Notes. You are a “U.S. Holder” for purposes of this discussion if you are a beneficial owner of a Note and you are for U.S. federal income tax purposes:</w:t>
      </w:r>
    </w:p>
    <w:p>
      <w:pPr>
        <w:spacing w:after="0" w:line="69" w:lineRule="exact"/>
        <w:rPr>
          <w:sz w:val="20"/>
          <w:szCs w:val="20"/>
          <w:color w:val="auto"/>
        </w:rPr>
      </w:pPr>
    </w:p>
    <w:p>
      <w:pPr>
        <w:ind w:left="1400" w:hanging="140"/>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individual who is a U.S. citizen or U.S. resident;</w:t>
      </w:r>
    </w:p>
    <w:p>
      <w:pPr>
        <w:spacing w:after="0" w:line="144" w:lineRule="exact"/>
        <w:rPr>
          <w:rFonts w:ascii="Arial" w:cs="Arial" w:eastAsia="Arial" w:hAnsi="Arial"/>
          <w:sz w:val="18"/>
          <w:szCs w:val="18"/>
          <w:color w:val="auto"/>
        </w:rPr>
      </w:pPr>
    </w:p>
    <w:p>
      <w:pPr>
        <w:ind w:left="1400" w:right="519" w:hanging="140"/>
        <w:spacing w:after="0" w:line="284"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400" w:hanging="140"/>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400" w:right="439" w:hanging="140"/>
        <w:spacing w:after="0" w:line="303"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that has one or more United States persons that have the authority to control all substantial</w:t>
      </w:r>
    </w:p>
    <w:p>
      <w:pPr>
        <w:spacing w:after="0" w:line="35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400" w:right="419"/>
        <w:spacing w:after="0" w:line="318" w:lineRule="auto"/>
        <w:rPr>
          <w:sz w:val="20"/>
          <w:szCs w:val="20"/>
          <w:color w:val="auto"/>
        </w:rPr>
      </w:pPr>
      <w:r>
        <w:rPr>
          <w:rFonts w:ascii="Arial" w:cs="Arial" w:eastAsia="Arial" w:hAnsi="Arial"/>
          <w:sz w:val="18"/>
          <w:szCs w:val="18"/>
          <w:color w:val="auto"/>
        </w:rPr>
        <w:t>decisions of the trust or (ii) that has made a valid election under applicable U.S. Treasury Regulations to be treated as a United States person.</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156" w:lineRule="exact"/>
        <w:rPr>
          <w:sz w:val="20"/>
          <w:szCs w:val="20"/>
          <w:color w:val="auto"/>
        </w:rPr>
      </w:pPr>
    </w:p>
    <w:p>
      <w:pPr>
        <w:ind w:left="1260" w:right="639"/>
        <w:spacing w:after="0" w:line="351" w:lineRule="auto"/>
        <w:rPr>
          <w:sz w:val="20"/>
          <w:szCs w:val="20"/>
          <w:color w:val="auto"/>
        </w:rPr>
      </w:pPr>
      <w:r>
        <w:rPr>
          <w:rFonts w:ascii="Arial" w:cs="Arial" w:eastAsia="Arial" w:hAnsi="Arial"/>
          <w:sz w:val="17"/>
          <w:szCs w:val="17"/>
          <w:color w:val="auto"/>
        </w:rPr>
        <w:t>Interest on a Note generally will be taxable to you as ordinary income at the time it is received or accrued in accordance with your regular method of accounting for U.S. federal income tax purposes.</w:t>
      </w:r>
    </w:p>
    <w:p>
      <w:pPr>
        <w:spacing w:after="0" w:line="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Disposition of the notes</w:t>
      </w:r>
    </w:p>
    <w:p>
      <w:pPr>
        <w:spacing w:after="0" w:line="156" w:lineRule="exact"/>
        <w:rPr>
          <w:sz w:val="20"/>
          <w:szCs w:val="20"/>
          <w:color w:val="auto"/>
        </w:rPr>
      </w:pPr>
    </w:p>
    <w:p>
      <w:pPr>
        <w:ind w:left="1260" w:right="459"/>
        <w:spacing w:after="0" w:line="278" w:lineRule="auto"/>
        <w:rPr>
          <w:sz w:val="20"/>
          <w:szCs w:val="20"/>
          <w:color w:val="auto"/>
        </w:rPr>
      </w:pPr>
      <w:r>
        <w:rPr>
          <w:rFonts w:ascii="Arial" w:cs="Arial" w:eastAsia="Arial" w:hAnsi="Arial"/>
          <w:sz w:val="18"/>
          <w:szCs w:val="18"/>
          <w:color w:val="auto"/>
        </w:rPr>
        <w:t>You generally will recognize capital gain or loss on the sale, redemption, exchange, retirement or other taxable disposition of a Note in an amount equal to the difference, if any, between the amount realized on such disposition and your adjusted tax basis in the Note. The amount realized will include the amount of any cash and the fair market value of any other property received for the Note. To the extent that any portion of the amount realized on the sale, redemption, exchange, retirement or other taxable disposition of a Note is attributable to accrued but unpaid interest on a Note, this amount generally will not be included in the “amount realized” but will instead be treated in the same manner as described above in “Tax Consequences to U.S. Holders—Interest on the Notes.”</w:t>
      </w:r>
    </w:p>
    <w:p>
      <w:pPr>
        <w:spacing w:after="0" w:line="107" w:lineRule="exact"/>
        <w:rPr>
          <w:sz w:val="20"/>
          <w:szCs w:val="20"/>
          <w:color w:val="auto"/>
        </w:rPr>
      </w:pPr>
    </w:p>
    <w:p>
      <w:pPr>
        <w:ind w:left="1260" w:right="639"/>
        <w:spacing w:after="0" w:line="276" w:lineRule="auto"/>
        <w:rPr>
          <w:sz w:val="20"/>
          <w:szCs w:val="20"/>
          <w:color w:val="auto"/>
        </w:rPr>
      </w:pPr>
      <w:r>
        <w:rPr>
          <w:rFonts w:ascii="Arial" w:cs="Arial" w:eastAsia="Arial" w:hAnsi="Arial"/>
          <w:sz w:val="18"/>
          <w:szCs w:val="18"/>
          <w:color w:val="auto"/>
        </w:rPr>
        <w:t>Your adjusted tax basis in a Note will generally equal the amount you paid for the Note. Any gain or loss will be capital gain or loss and will be long-term capital gain or loss if you held the Note for more than one year at the time of the sale, redemption, exchange, retirement or other taxable disposition. Otherwise, such gain or loss will be short-term capital gain or loss. Long-term capital gains of individuals, estates and trusts currently are eligible for reduced rates of U.S. federal income tax. The deductibility of capital losses may be subject to limitation.</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56" w:lineRule="exact"/>
        <w:rPr>
          <w:sz w:val="20"/>
          <w:szCs w:val="20"/>
          <w:color w:val="auto"/>
        </w:rPr>
      </w:pPr>
    </w:p>
    <w:p>
      <w:pPr>
        <w:ind w:left="1260" w:right="479"/>
        <w:spacing w:after="0" w:line="274" w:lineRule="auto"/>
        <w:rPr>
          <w:sz w:val="20"/>
          <w:szCs w:val="20"/>
          <w:color w:val="auto"/>
        </w:rPr>
      </w:pPr>
      <w:r>
        <w:rPr>
          <w:rFonts w:ascii="Arial" w:cs="Arial" w:eastAsia="Arial" w:hAnsi="Arial"/>
          <w:sz w:val="18"/>
          <w:szCs w:val="18"/>
          <w:color w:val="auto"/>
        </w:rPr>
        <w:t>Information reporting generally will apply to payments of interest on, and the proceeds of the sale or other disposition (including a redemption, exchange, or retirement) of, Notes held by you, and backup withholding will apply to such payments unless you provide to the applicable withholding agent your taxpayer identification number, certified under penalties of perjury, as well as certain other information or otherwise establish an exemption from backup withholding. Backup withholding is not an additional tax. Any amount withheld under the backup withholding rules is allowable as a credit against your U.S. federal income tax liability, if any, and a refund may be obtained from the IRS if the amounts withheld exceed your actual U.S. federal income tax liability and you timely provide the required information or appropriate claim form to the IRS.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156" w:lineRule="exact"/>
        <w:rPr>
          <w:sz w:val="20"/>
          <w:szCs w:val="20"/>
          <w:color w:val="auto"/>
        </w:rPr>
      </w:pPr>
    </w:p>
    <w:p>
      <w:pPr>
        <w:ind w:left="1260" w:right="499"/>
        <w:spacing w:after="0" w:line="279" w:lineRule="auto"/>
        <w:rPr>
          <w:sz w:val="20"/>
          <w:szCs w:val="20"/>
          <w:color w:val="auto"/>
        </w:rPr>
      </w:pPr>
      <w:r>
        <w:rPr>
          <w:rFonts w:ascii="Arial" w:cs="Arial" w:eastAsia="Arial" w:hAnsi="Arial"/>
          <w:sz w:val="18"/>
          <w:szCs w:val="18"/>
          <w:color w:val="auto"/>
        </w:rPr>
        <w:t>An additional 3.8% tax is imposed on the “net investment income” of certain U.S. citizens and U.S. residents, and on the undistributed “net investment income” of certain estates and trusts. Among other items, “net investment income” generally includes gross income from interest and net gain from the disposition of property, such as Notes, less certain deductions. You should consult your own tax advisor with respect to this additional tax and its applicability in your particular circumstances.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Tax consequences to non-U.S. holders</w:t>
      </w:r>
    </w:p>
    <w:p>
      <w:pPr>
        <w:spacing w:after="0" w:line="148" w:lineRule="exact"/>
        <w:rPr>
          <w:sz w:val="20"/>
          <w:szCs w:val="20"/>
          <w:color w:val="auto"/>
        </w:rPr>
      </w:pPr>
    </w:p>
    <w:p>
      <w:pPr>
        <w:ind w:left="1260" w:right="639"/>
        <w:spacing w:after="0" w:line="284" w:lineRule="auto"/>
        <w:rPr>
          <w:sz w:val="20"/>
          <w:szCs w:val="20"/>
          <w:color w:val="auto"/>
        </w:rPr>
      </w:pPr>
      <w:r>
        <w:rPr>
          <w:rFonts w:ascii="Arial" w:cs="Arial" w:eastAsia="Arial" w:hAnsi="Arial"/>
          <w:sz w:val="18"/>
          <w:szCs w:val="18"/>
          <w:color w:val="auto"/>
        </w:rPr>
        <w:t>The following summary will apply to you if you are a non-U.S. holder of Notes. You are a “non-U.S. Holder” for purposes of this discussion if you are a beneficial owner of a Note that is, for U.S. federal income tax purposes, an individual, corporation, estate or trust that is not a U.S. Holder.</w:t>
      </w:r>
    </w:p>
    <w:p>
      <w:pPr>
        <w:spacing w:after="0" w:line="38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169" w:lineRule="exact"/>
        <w:rPr>
          <w:sz w:val="20"/>
          <w:szCs w:val="20"/>
          <w:color w:val="auto"/>
        </w:rPr>
      </w:pPr>
    </w:p>
    <w:p>
      <w:pPr>
        <w:ind w:left="1260" w:right="599"/>
        <w:spacing w:after="0" w:line="283" w:lineRule="auto"/>
        <w:rPr>
          <w:sz w:val="20"/>
          <w:szCs w:val="20"/>
          <w:color w:val="auto"/>
        </w:rPr>
      </w:pPr>
      <w:r>
        <w:rPr>
          <w:rFonts w:ascii="Arial" w:cs="Arial" w:eastAsia="Arial" w:hAnsi="Arial"/>
          <w:sz w:val="18"/>
          <w:szCs w:val="18"/>
          <w:color w:val="auto"/>
        </w:rPr>
        <w:t>Subject to the discussion below of backup withholding and FATCA (as defined below) withholding payments to you of interest on a Note generally will not be subject to U.S. federal income tax and will be exempt from withholding of U.S. federal income tax under the “portfolio interest” exemption if you properly certify as to your foreign status, as described below, and:</w:t>
      </w:r>
    </w:p>
    <w:p>
      <w:pPr>
        <w:spacing w:after="0" w:line="63" w:lineRule="exact"/>
        <w:rPr>
          <w:sz w:val="20"/>
          <w:szCs w:val="20"/>
          <w:color w:val="auto"/>
        </w:rPr>
      </w:pPr>
    </w:p>
    <w:p>
      <w:pPr>
        <w:ind w:left="1400" w:hanging="140"/>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do not own, actually or constructively, 10% or more of our capital or profits interests;</w:t>
      </w:r>
    </w:p>
    <w:p>
      <w:pPr>
        <w:spacing w:after="0" w:line="144" w:lineRule="exact"/>
        <w:rPr>
          <w:rFonts w:ascii="Arial" w:cs="Arial" w:eastAsia="Arial" w:hAnsi="Arial"/>
          <w:sz w:val="18"/>
          <w:szCs w:val="18"/>
          <w:color w:val="auto"/>
        </w:rPr>
      </w:pPr>
    </w:p>
    <w:p>
      <w:pPr>
        <w:ind w:left="1400" w:hanging="140"/>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are not a “controlled foreign corporation” that is related to us (actually or constructively);</w:t>
      </w:r>
    </w:p>
    <w:p>
      <w:pPr>
        <w:spacing w:after="0" w:line="130" w:lineRule="exact"/>
        <w:rPr>
          <w:rFonts w:ascii="Arial" w:cs="Arial" w:eastAsia="Arial" w:hAnsi="Arial"/>
          <w:sz w:val="18"/>
          <w:szCs w:val="18"/>
          <w:color w:val="auto"/>
        </w:rPr>
      </w:pPr>
    </w:p>
    <w:p>
      <w:pPr>
        <w:ind w:left="1400" w:right="419" w:hanging="140"/>
        <w:spacing w:after="0" w:line="335" w:lineRule="auto"/>
        <w:tabs>
          <w:tab w:leader="none" w:pos="1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you are not a bank whose receipt of interest on the Note is in connection with an extension of credit made pursuant to a loan agreement entered into in the ordinary course of your trade or business; and</w:t>
      </w:r>
    </w:p>
    <w:p>
      <w:pPr>
        <w:spacing w:after="0" w:line="34" w:lineRule="exact"/>
        <w:rPr>
          <w:rFonts w:ascii="Arial" w:cs="Arial" w:eastAsia="Arial" w:hAnsi="Arial"/>
          <w:sz w:val="17"/>
          <w:szCs w:val="17"/>
          <w:color w:val="auto"/>
        </w:rPr>
      </w:pPr>
    </w:p>
    <w:p>
      <w:pPr>
        <w:ind w:left="1400" w:hanging="140"/>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on the Notes is not effectively connected with your conduct of a U.S. trade or business.</w:t>
      </w:r>
    </w:p>
    <w:p>
      <w:pPr>
        <w:spacing w:after="0" w:line="171" w:lineRule="exact"/>
        <w:rPr>
          <w:sz w:val="20"/>
          <w:szCs w:val="20"/>
          <w:color w:val="auto"/>
        </w:rPr>
      </w:pPr>
    </w:p>
    <w:p>
      <w:pPr>
        <w:ind w:left="1260" w:right="479"/>
        <w:spacing w:after="0" w:line="275" w:lineRule="auto"/>
        <w:rPr>
          <w:sz w:val="20"/>
          <w:szCs w:val="20"/>
          <w:color w:val="auto"/>
        </w:rPr>
      </w:pPr>
      <w:r>
        <w:rPr>
          <w:rFonts w:ascii="Arial" w:cs="Arial" w:eastAsia="Arial" w:hAnsi="Arial"/>
          <w:sz w:val="18"/>
          <w:szCs w:val="18"/>
          <w:color w:val="auto"/>
        </w:rPr>
        <w:t>The portfolio interest exemption generally applies only if you also appropriately certify as to your foreign status. You can generally meet the certification requirement by providing a properly executed IRS Form W-8BEN or IRS Form W-8BEN-E (or other applicable form or successor form) to the applicable withholding agent. If you hold a Note through a financial institution or other agent acting on your behalf, you may be required to provide appropriate certifications to the agent. Your agent will then generally be required to provide appropriate certifications to the applicable withholding agent, either directly or through other intermediaries. Special rules apply to foreign partnerships, estates and trusts, and in certain circumstances certifications as to the foreign status of partners, trust owners or beneficiaries may have to be provided to the applicable withholding agent. In addition, special rules apply to qualified intermediaries that enter into withholding agreements with the IRS.</w:t>
      </w:r>
    </w:p>
    <w:p>
      <w:pPr>
        <w:spacing w:after="0" w:line="112" w:lineRule="exact"/>
        <w:rPr>
          <w:sz w:val="20"/>
          <w:szCs w:val="20"/>
          <w:color w:val="auto"/>
        </w:rPr>
      </w:pPr>
    </w:p>
    <w:p>
      <w:pPr>
        <w:ind w:left="1260" w:right="439"/>
        <w:spacing w:after="0" w:line="274" w:lineRule="auto"/>
        <w:rPr>
          <w:sz w:val="20"/>
          <w:szCs w:val="20"/>
          <w:color w:val="auto"/>
        </w:rPr>
      </w:pPr>
      <w:r>
        <w:rPr>
          <w:rFonts w:ascii="Arial" w:cs="Arial" w:eastAsia="Arial" w:hAnsi="Arial"/>
          <w:sz w:val="18"/>
          <w:szCs w:val="18"/>
          <w:color w:val="auto"/>
        </w:rPr>
        <w:t>If you cannot satisfy the requirements described above, payments of interest made to you will be subject to U.S. federal withholding tax at a 30% rate, unless (i) you provide the applicable withholding agent with a properly executed IRS Form W-8BEN or IRS Form W-8BEN-E (or other applicable form or successor form) claiming an exemption from (or a reduction of) withholding under the benefits of an applicable income tax treaty, or (ii) the payments of such interest are effectively connected with your conduct of a trade or business in the United States (and, if required by an applicable income tax treaty, you maintain a permanent establishment or fixed base in the United States to which such interest is attributable) and you meet the certification requirements described below. (See “Tax Consequences to Non-U.S. Holders—Income or Gain Effectively Connected with a U.S. Trade or Business.”)</w:t>
      </w:r>
    </w:p>
    <w:p>
      <w:pPr>
        <w:spacing w:after="0" w:line="114" w:lineRule="exact"/>
        <w:rPr>
          <w:sz w:val="20"/>
          <w:szCs w:val="20"/>
          <w:color w:val="auto"/>
        </w:rPr>
      </w:pPr>
    </w:p>
    <w:p>
      <w:pPr>
        <w:ind w:left="1260" w:right="659"/>
        <w:spacing w:after="0" w:line="283" w:lineRule="auto"/>
        <w:rPr>
          <w:sz w:val="20"/>
          <w:szCs w:val="20"/>
          <w:color w:val="auto"/>
        </w:rPr>
      </w:pPr>
      <w:r>
        <w:rPr>
          <w:rFonts w:ascii="Arial" w:cs="Arial" w:eastAsia="Arial" w:hAnsi="Arial"/>
          <w:sz w:val="18"/>
          <w:szCs w:val="18"/>
          <w:color w:val="auto"/>
        </w:rPr>
        <w:t>The certifications described above and below must be provided to the applicable withholding agent prior to the payment of interest and must be updated periodically. If you do not timely provide the applicable withholding agent with the required certification, but you qualify for an exemption or a reduced rate under an applicable income tax treaty, you may obtain a refund of any excess amounts withheld if you timely provide the required information or appropriate claim form to the IRS.</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Disposition of the notes</w:t>
      </w:r>
    </w:p>
    <w:p>
      <w:pPr>
        <w:spacing w:after="0" w:line="156" w:lineRule="exact"/>
        <w:rPr>
          <w:sz w:val="20"/>
          <w:szCs w:val="20"/>
          <w:color w:val="auto"/>
        </w:rPr>
      </w:pPr>
    </w:p>
    <w:p>
      <w:pPr>
        <w:ind w:left="1260" w:right="539"/>
        <w:spacing w:after="0" w:line="292" w:lineRule="auto"/>
        <w:rPr>
          <w:sz w:val="20"/>
          <w:szCs w:val="20"/>
          <w:color w:val="auto"/>
        </w:rPr>
      </w:pPr>
      <w:r>
        <w:rPr>
          <w:rFonts w:ascii="Arial" w:cs="Arial" w:eastAsia="Arial" w:hAnsi="Arial"/>
          <w:sz w:val="18"/>
          <w:szCs w:val="18"/>
          <w:color w:val="auto"/>
        </w:rPr>
        <w:t>Subject to the discussion below of backup withholding you generally will not be subject to U.S. federal income tax on any gain recognized on the sale, redemption, exchange, retirement or other taxable disposition of a Note unless:</w:t>
      </w:r>
    </w:p>
    <w:p>
      <w:pPr>
        <w:spacing w:after="0" w:line="55" w:lineRule="exact"/>
        <w:rPr>
          <w:sz w:val="20"/>
          <w:szCs w:val="20"/>
          <w:color w:val="auto"/>
        </w:rPr>
      </w:pPr>
    </w:p>
    <w:p>
      <w:pPr>
        <w:ind w:left="1400" w:right="499" w:hanging="140"/>
        <w:spacing w:after="0" w:line="292"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you of a U.S. trade or business (and, if required by an applicable income tax treaty, you maintain a permanent establishment or fixed base in the United States to which such gain is attributable); or</w:t>
      </w:r>
    </w:p>
    <w:p>
      <w:pPr>
        <w:spacing w:after="0" w:line="36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400" w:right="559" w:hanging="140"/>
        <w:spacing w:after="0" w:line="318" w:lineRule="auto"/>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are an individual who has been present in the United States for 183 days or more in the taxable year of disposition and certain other requirements are met.</w:t>
      </w:r>
    </w:p>
    <w:p>
      <w:pPr>
        <w:spacing w:after="0" w:line="59" w:lineRule="exact"/>
        <w:rPr>
          <w:sz w:val="20"/>
          <w:szCs w:val="20"/>
          <w:color w:val="auto"/>
        </w:rPr>
      </w:pPr>
    </w:p>
    <w:p>
      <w:pPr>
        <w:ind w:left="1260" w:right="519"/>
        <w:spacing w:after="0" w:line="282" w:lineRule="auto"/>
        <w:rPr>
          <w:sz w:val="20"/>
          <w:szCs w:val="20"/>
          <w:color w:val="auto"/>
        </w:rPr>
      </w:pPr>
      <w:r>
        <w:rPr>
          <w:rFonts w:ascii="Arial" w:cs="Arial" w:eastAsia="Arial" w:hAnsi="Arial"/>
          <w:sz w:val="17"/>
          <w:szCs w:val="17"/>
          <w:color w:val="auto"/>
        </w:rPr>
        <w:t>If your gain is described in the first bullet point above, you generally will be subject to U.S. federal income tax in the manner described under “Tax Consequences to Non-U.S. Holders—Income​ or Gain Effectively Connected with a U.S. Trade or Business.” If you are a non-U.S. Holder described in the second bullet point above, you will be subject to a U.S. federal income tax rate of 30% (or a lower applicable income tax treaty rate) on the gain derived from the sale or other disposition of a Note, which may be offset by certain U.S. source capital losses. To the extent that any portion of the amount recognized on a sale, redemption, exchange, retirement or other taxable disposition of the Notes is attributable to accrued but unpaid interest on the Notes, this amount generally will be treated in the same manner as described above in “Tax Consequences to U.S. Holders—Interest on the Notes.”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142"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color w:val="auto"/>
        </w:rPr>
        <w:t>If any interest on the Notes or gain from the sale, redemption, exchange, retirement or other taxable disposition of the Notes is effectively connected with a U.S. trade or business conducted by you, such interest income or gain will be subject to U.S. federal income tax at regular graduated income tax rates generally in the same manner as if you were a U.S. Holder, unless an applicable income tax treaty provides otherwise. Effectively connected interest income will not be subject to U.S. federal withholding tax if you satisfy certain certification requirements by providing to the applicable withholding agent a properly executed IRS Form W-8ECI (or successor form). In addition, if you are a corporation, that portion of your earnings and profits that is effectively connected with your U.S. trade or business may also be subject to a “branch profits tax” at a 30% rate, unless an applicable income tax treaty provides for a lower rate. For this purpose, interest received on a Note and gain recognized on the disposition of a Note will be included in earnings and profits if the interest or gain is effectively connected with the conduct by you of a U.S. trade or business.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42" w:lineRule="exact"/>
        <w:rPr>
          <w:sz w:val="20"/>
          <w:szCs w:val="20"/>
          <w:color w:val="auto"/>
        </w:rPr>
      </w:pPr>
    </w:p>
    <w:p>
      <w:pPr>
        <w:ind w:left="1260" w:right="439"/>
        <w:spacing w:after="0" w:line="273" w:lineRule="auto"/>
        <w:rPr>
          <w:sz w:val="20"/>
          <w:szCs w:val="20"/>
          <w:color w:val="auto"/>
        </w:rPr>
      </w:pPr>
      <w:r>
        <w:rPr>
          <w:rFonts w:ascii="Arial" w:cs="Arial" w:eastAsia="Arial" w:hAnsi="Arial"/>
          <w:sz w:val="18"/>
          <w:szCs w:val="18"/>
          <w:color w:val="auto"/>
        </w:rPr>
        <w:t>Payments to you of interest on a Note, and amounts withheld from such payments, if any, generally will be required to be reported to the IRS and to you. Copies of the information returns reporting such interest payments and withholding may also be made available to the tax authorities of the country in which you reside or are established under the provisions of a specific treaty or agreement.</w:t>
      </w:r>
    </w:p>
    <w:p>
      <w:pPr>
        <w:spacing w:after="0" w:line="98" w:lineRule="exact"/>
        <w:rPr>
          <w:sz w:val="20"/>
          <w:szCs w:val="20"/>
          <w:color w:val="auto"/>
        </w:rPr>
      </w:pPr>
    </w:p>
    <w:p>
      <w:pPr>
        <w:jc w:val="both"/>
        <w:ind w:left="1260" w:right="559"/>
        <w:spacing w:after="0" w:line="284" w:lineRule="auto"/>
        <w:rPr>
          <w:sz w:val="20"/>
          <w:szCs w:val="20"/>
          <w:color w:val="auto"/>
        </w:rPr>
      </w:pPr>
      <w:r>
        <w:rPr>
          <w:rFonts w:ascii="Arial" w:cs="Arial" w:eastAsia="Arial" w:hAnsi="Arial"/>
          <w:sz w:val="18"/>
          <w:szCs w:val="18"/>
          <w:color w:val="auto"/>
        </w:rPr>
        <w:t>Backup withholding generally will not apply to payments to you of interest on a Note if the certification described in “Tax Consequences to Non-U.S. Holders—Interest on the Notes” is duly provided or you otherwise establish an exemption.</w:t>
      </w:r>
    </w:p>
    <w:p>
      <w:pPr>
        <w:spacing w:after="0" w:line="89" w:lineRule="exact"/>
        <w:rPr>
          <w:sz w:val="20"/>
          <w:szCs w:val="20"/>
          <w:color w:val="auto"/>
        </w:rPr>
      </w:pPr>
    </w:p>
    <w:p>
      <w:pPr>
        <w:ind w:left="1260" w:right="479"/>
        <w:spacing w:after="0" w:line="265" w:lineRule="auto"/>
        <w:rPr>
          <w:sz w:val="20"/>
          <w:szCs w:val="20"/>
          <w:color w:val="auto"/>
        </w:rPr>
      </w:pPr>
      <w:r>
        <w:rPr>
          <w:rFonts w:ascii="Arial" w:cs="Arial" w:eastAsia="Arial" w:hAnsi="Arial"/>
          <w:sz w:val="18"/>
          <w:szCs w:val="18"/>
          <w:color w:val="auto"/>
        </w:rPr>
        <w:t>Payment of the proceeds from a disposition of a Note effected by the U.S. office of a U.S. or foreign broker will be subject to information reporting requirements and backup withholding unless you properly certify under penalties of perjury as to your foreign status on IRS Form W-8BEN or IRS Form W-8BEN-E, as applicable (or other applicable form or successor form) and certain other conditions are met or you otherwise establish an exemption. Information reporting requirements and backup withholding generally will not apply to any payment of the proceeds from the disposition of a Note effected outside the United States by a foreign office of a broker. However, unless such a broker has documentary evidence in its records that you are not a United States person and certain other conditions are met, or you otherwise establish an exemption, information reporting will apply to a payment of the proceeds of the disposition of a Note effected outside the United States by such a broker if it has certain relationships with the United States.</w:t>
      </w:r>
    </w:p>
    <w:p>
      <w:pPr>
        <w:spacing w:after="0" w:line="105" w:lineRule="exact"/>
        <w:rPr>
          <w:sz w:val="20"/>
          <w:szCs w:val="20"/>
          <w:color w:val="auto"/>
        </w:rPr>
      </w:pPr>
    </w:p>
    <w:p>
      <w:pPr>
        <w:ind w:left="1260" w:right="619"/>
        <w:spacing w:after="0" w:line="287"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may be allowed as a credit against your U.S. federal income tax liability, if any, and a</w:t>
      </w:r>
    </w:p>
    <w:p>
      <w:pPr>
        <w:spacing w:after="0" w:line="38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right="579"/>
        <w:spacing w:after="0" w:line="318" w:lineRule="auto"/>
        <w:rPr>
          <w:sz w:val="20"/>
          <w:szCs w:val="20"/>
          <w:color w:val="auto"/>
        </w:rPr>
      </w:pPr>
      <w:r>
        <w:rPr>
          <w:rFonts w:ascii="Arial" w:cs="Arial" w:eastAsia="Arial" w:hAnsi="Arial"/>
          <w:sz w:val="18"/>
          <w:szCs w:val="18"/>
          <w:color w:val="auto"/>
        </w:rPr>
        <w:t>refund may be obtained from the IRS if the amounts withheld exceed your actual U.S. federal income tax liability and you timely provide the required information or appropriate claim form to the IRS.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Withholding on payments to certain foreign entities</w:t>
      </w:r>
    </w:p>
    <w:p>
      <w:pPr>
        <w:spacing w:after="0" w:line="148" w:lineRule="exact"/>
        <w:rPr>
          <w:sz w:val="20"/>
          <w:szCs w:val="20"/>
          <w:color w:val="auto"/>
        </w:rPr>
      </w:pPr>
    </w:p>
    <w:p>
      <w:pPr>
        <w:ind w:left="1260" w:right="419"/>
        <w:spacing w:after="0" w:line="272" w:lineRule="auto"/>
        <w:rPr>
          <w:sz w:val="20"/>
          <w:szCs w:val="20"/>
          <w:color w:val="auto"/>
        </w:rPr>
      </w:pPr>
      <w:r>
        <w:rPr>
          <w:rFonts w:ascii="Arial" w:cs="Arial" w:eastAsia="Arial" w:hAnsi="Arial"/>
          <w:sz w:val="18"/>
          <w:szCs w:val="18"/>
          <w:color w:val="auto"/>
        </w:rPr>
        <w:t>Sections 1471 through 1474 of the Code and the U.S. Treasury Regulations and administrative guidance issued thereunder (referred to as “FATCA”) impose a 30% U.S. federal withholding tax on “withholdable payments” ​(as defined in the Code), including payments of interest on the Notes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 Form W-8BEN-E). While withholdable payments would have originally included payments of gross proceeds from the sale or other disposition of a Note on or after January 1, 2019, proposed U.S. Treasury Regulations provide that such payments of gross proceeds (other than amounts treated as interest) do not constitute withholdable payments. Taxpayers may rely generally on these proposed U.S. Treasury Regulations until they are revoked or final U.S. Treasury Regulations are issued.</w:t>
      </w:r>
    </w:p>
    <w:p>
      <w:pPr>
        <w:spacing w:after="0" w:line="128" w:lineRule="exact"/>
        <w:rPr>
          <w:sz w:val="20"/>
          <w:szCs w:val="20"/>
          <w:color w:val="auto"/>
        </w:rPr>
      </w:pPr>
    </w:p>
    <w:p>
      <w:pPr>
        <w:ind w:left="1260" w:right="479"/>
        <w:spacing w:after="0" w:line="283" w:lineRule="auto"/>
        <w:rPr>
          <w:sz w:val="20"/>
          <w:szCs w:val="20"/>
          <w:color w:val="auto"/>
        </w:rPr>
      </w:pPr>
      <w:r>
        <w:rPr>
          <w:rFonts w:ascii="Arial" w:cs="Arial" w:eastAsia="Arial" w:hAnsi="Arial"/>
          <w:sz w:val="18"/>
          <w:szCs w:val="18"/>
          <w:color w:val="auto"/>
        </w:rPr>
        <w:t>Foreign financial institutions located in jurisdictions that have an intergovernmental agreement with the United States with respect to these rules may be subject to different rules. Under certain circumstances, a beneficial owner of Notes might be eligible for refunds or credits of such taxes. You should consult your own tax advisor regarding the effects of FATCA on your investment in the Notes.</w:t>
      </w:r>
    </w:p>
    <w:p>
      <w:pPr>
        <w:spacing w:after="0" w:line="104" w:lineRule="exact"/>
        <w:rPr>
          <w:sz w:val="20"/>
          <w:szCs w:val="20"/>
          <w:color w:val="auto"/>
        </w:rPr>
      </w:pPr>
    </w:p>
    <w:p>
      <w:pPr>
        <w:ind w:left="1260" w:right="559"/>
        <w:spacing w:after="0" w:line="299" w:lineRule="auto"/>
        <w:rPr>
          <w:sz w:val="20"/>
          <w:szCs w:val="20"/>
          <w:color w:val="auto"/>
        </w:rPr>
      </w:pPr>
      <w:r>
        <w:rPr>
          <w:rFonts w:ascii="Arial" w:cs="Arial" w:eastAsia="Arial" w:hAnsi="Arial"/>
          <w:sz w:val="17"/>
          <w:szCs w:val="17"/>
          <w:color w:val="auto"/>
        </w:rPr>
        <w:t>THE PRECEDING DISCUSSION OF CERTAIN U.S. FEDERAL INCOME TAX CONSEQUENCES IS FOR GENERAL INFORMATION ONLY AND IS NOT TAX ADVICE. YOU SHOULD CONSULT YOUR OWN TAX ADVISOR REGARDING THE PARTICULAR U.S. FEDERAL, STATE, LOCAL AND FOREIGN TAX CONSEQUENCES OF ACQUIRING, OWNING AND DISPOSING OF THE NOTES,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80"/>
        <w:spacing w:after="0"/>
        <w:rPr>
          <w:sz w:val="20"/>
          <w:szCs w:val="20"/>
          <w:color w:val="auto"/>
        </w:rPr>
      </w:pPr>
      <w:r>
        <w:rPr>
          <w:rFonts w:ascii="Arial" w:cs="Arial" w:eastAsia="Arial" w:hAnsi="Arial"/>
          <w:sz w:val="29"/>
          <w:szCs w:val="29"/>
          <w:b w:val="1"/>
          <w:bCs w:val="1"/>
          <w:color w:val="auto"/>
        </w:rPr>
        <w:t>Underwriting</w:t>
      </w:r>
    </w:p>
    <w:p>
      <w:pPr>
        <w:spacing w:after="0" w:line="154" w:lineRule="exact"/>
        <w:rPr>
          <w:sz w:val="20"/>
          <w:szCs w:val="20"/>
          <w:color w:val="auto"/>
        </w:rPr>
      </w:pPr>
    </w:p>
    <w:p>
      <w:pPr>
        <w:ind w:left="1260" w:right="499"/>
        <w:spacing w:after="0" w:line="267" w:lineRule="auto"/>
        <w:rPr>
          <w:sz w:val="20"/>
          <w:szCs w:val="20"/>
          <w:color w:val="auto"/>
        </w:rPr>
      </w:pPr>
      <w:r>
        <w:rPr>
          <w:rFonts w:ascii="Arial" w:cs="Arial" w:eastAsia="Arial" w:hAnsi="Arial"/>
          <w:sz w:val="18"/>
          <w:szCs w:val="18"/>
          <w:color w:val="auto"/>
        </w:rPr>
        <w:t>Subject to the terms and conditions set forth in the underwriting agreement, dated the date of this prospectus supplement, between us and the underwriters named below, we have agreed to sell to each of the underwriters, for whom J.P. Morgan Securities LLC, BMO Capital Markets Corp., Mizuho Securities USA LLC and Scotia Capital (USA) Inc. are acting as representatives, and the underwriters have agreed, severally and not jointly, to purchase the principal amount of the Notes set forth opposite their respective names below:</w:t>
      </w:r>
    </w:p>
    <w:p>
      <w:pPr>
        <w:spacing w:after="0" w:line="156" w:lineRule="exact"/>
        <w:rPr>
          <w:sz w:val="20"/>
          <w:szCs w:val="20"/>
          <w:color w:val="auto"/>
        </w:rPr>
      </w:pPr>
    </w:p>
    <w:tbl>
      <w:tblPr>
        <w:tblLayout w:type="fixed"/>
        <w:tblInd w:w="1260" w:type="dxa"/>
        <w:tblCellMar>
          <w:top w:w="0" w:type="dxa"/>
          <w:left w:w="0" w:type="dxa"/>
          <w:bottom w:w="0" w:type="dxa"/>
          <w:right w:w="0" w:type="dxa"/>
        </w:tblCellMar>
      </w:tblPr>
      <w:tr>
        <w:trPr>
          <w:trHeight w:val="229"/>
        </w:trPr>
        <w:tc>
          <w:tcPr>
            <w:tcW w:w="40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Principal</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40" w:type="dxa"/>
            <w:vAlign w:val="bottom"/>
            <w:vMerge w:val="restart"/>
          </w:tcPr>
          <w:p>
            <w:pPr>
              <w:spacing w:after="0"/>
              <w:rPr>
                <w:sz w:val="20"/>
                <w:szCs w:val="20"/>
                <w:color w:val="auto"/>
              </w:rPr>
            </w:pPr>
            <w:r>
              <w:rPr>
                <w:rFonts w:ascii="Arial" w:cs="Arial" w:eastAsia="Arial" w:hAnsi="Arial"/>
                <w:sz w:val="16"/>
                <w:szCs w:val="16"/>
                <w:b w:val="1"/>
                <w:bCs w:val="1"/>
                <w:color w:val="auto"/>
              </w:rPr>
              <w:t>Underwriter</w:t>
            </w:r>
          </w:p>
        </w:tc>
        <w:tc>
          <w:tcPr>
            <w:tcW w:w="33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Amount of</w:t>
            </w:r>
          </w:p>
        </w:tc>
        <w:tc>
          <w:tcPr>
            <w:tcW w:w="0" w:type="dxa"/>
            <w:vAlign w:val="bottom"/>
          </w:tcPr>
          <w:p>
            <w:pPr>
              <w:spacing w:after="0"/>
              <w:rPr>
                <w:sz w:val="1"/>
                <w:szCs w:val="1"/>
                <w:color w:val="auto"/>
              </w:rPr>
            </w:pPr>
          </w:p>
        </w:tc>
      </w:tr>
      <w:tr>
        <w:trPr>
          <w:trHeight w:val="230"/>
        </w:trPr>
        <w:tc>
          <w:tcPr>
            <w:tcW w:w="4040" w:type="dxa"/>
            <w:vAlign w:val="bottom"/>
            <w:vMerge w:val="continue"/>
          </w:tcPr>
          <w:p>
            <w:pPr>
              <w:spacing w:after="0"/>
              <w:rPr>
                <w:sz w:val="20"/>
                <w:szCs w:val="20"/>
                <w:color w:val="auto"/>
              </w:rPr>
            </w:pPr>
          </w:p>
        </w:tc>
        <w:tc>
          <w:tcPr>
            <w:tcW w:w="3300" w:type="dxa"/>
            <w:vAlign w:val="bottom"/>
          </w:tcPr>
          <w:p>
            <w:pPr>
              <w:ind w:left="3120"/>
              <w:spacing w:after="0"/>
              <w:rPr>
                <w:sz w:val="20"/>
                <w:szCs w:val="20"/>
                <w:color w:val="auto"/>
              </w:rPr>
            </w:pPr>
            <w:r>
              <w:rPr>
                <w:rFonts w:ascii="Arial" w:cs="Arial" w:eastAsia="Arial" w:hAnsi="Arial"/>
                <w:sz w:val="16"/>
                <w:szCs w:val="16"/>
                <w:b w:val="1"/>
                <w:bCs w:val="1"/>
                <w:color w:val="auto"/>
              </w:rPr>
              <w:t>​ ​</w:t>
            </w:r>
          </w:p>
        </w:tc>
        <w:tc>
          <w:tcPr>
            <w:tcW w:w="920" w:type="dxa"/>
            <w:vAlign w:val="bottom"/>
            <w:gridSpan w:val="2"/>
          </w:tcPr>
          <w:p>
            <w:pPr>
              <w:ind w:left="400"/>
              <w:spacing w:after="0"/>
              <w:rPr>
                <w:sz w:val="20"/>
                <w:szCs w:val="20"/>
                <w:color w:val="auto"/>
              </w:rPr>
            </w:pPr>
            <w:r>
              <w:rPr>
                <w:rFonts w:ascii="Arial" w:cs="Arial" w:eastAsia="Arial" w:hAnsi="Arial"/>
                <w:sz w:val="16"/>
                <w:szCs w:val="16"/>
                <w:b w:val="1"/>
                <w:bCs w:val="1"/>
                <w:color w:val="auto"/>
              </w:rPr>
              <w:t>Notes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480" w:type="dxa"/>
            <w:vAlign w:val="bottom"/>
            <w:tcBorders>
              <w:top w:val="single" w:sz="8" w:color="auto"/>
            </w:tcBorders>
            <w:gridSpan w:val="2"/>
            <w:shd w:val="clear" w:color="auto" w:fill="CCEEFF"/>
          </w:tcPr>
          <w:p>
            <w:pPr>
              <w:ind w:left="2480"/>
              <w:spacing w:after="0" w:line="223" w:lineRule="exact"/>
              <w:rPr>
                <w:sz w:val="20"/>
                <w:szCs w:val="20"/>
                <w:color w:val="auto"/>
              </w:rPr>
            </w:pPr>
            <w:r>
              <w:rPr>
                <w:rFonts w:ascii="Arial" w:cs="Arial" w:eastAsia="Arial" w:hAnsi="Arial"/>
                <w:sz w:val="14"/>
                <w:szCs w:val="14"/>
                <w:color w:val="auto"/>
              </w:rPr>
              <w:t>​ ​​</w:t>
            </w:r>
            <w:r>
              <w:rPr>
                <w:rFonts w:ascii="Arial" w:cs="Arial" w:eastAsia="Arial" w:hAnsi="Arial"/>
                <w:sz w:val="25"/>
                <w:szCs w:val="25"/>
                <w:color w:val="auto"/>
                <w:vertAlign w:val="superscript"/>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472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4720" w:type="dxa"/>
            <w:vAlign w:val="bottom"/>
          </w:tcPr>
          <w:p>
            <w:pPr>
              <w:spacing w:after="0"/>
              <w:rPr>
                <w:sz w:val="20"/>
                <w:szCs w:val="20"/>
                <w:color w:val="auto"/>
              </w:rPr>
            </w:pPr>
            <w:r>
              <w:rPr>
                <w:rFonts w:ascii="Arial" w:cs="Arial" w:eastAsia="Arial" w:hAnsi="Arial"/>
                <w:sz w:val="18"/>
                <w:szCs w:val="18"/>
                <w:color w:val="auto"/>
              </w:rPr>
              <w:t>BMO Capital Markets Corp.</w:t>
            </w:r>
          </w:p>
        </w:tc>
        <w:tc>
          <w:tcPr>
            <w:tcW w:w="3480" w:type="dxa"/>
            <w:vAlign w:val="bottom"/>
            <w:gridSpan w:val="2"/>
          </w:tcPr>
          <w:p>
            <w:pPr>
              <w:ind w:left="2480"/>
              <w:spacing w:after="0"/>
              <w:rPr>
                <w:sz w:val="20"/>
                <w:szCs w:val="20"/>
                <w:color w:val="auto"/>
              </w:rPr>
            </w:pPr>
            <w:r>
              <w:rPr>
                <w:rFonts w:ascii="Arial" w:cs="Arial" w:eastAsia="Arial" w:hAnsi="Arial"/>
                <w:sz w:val="18"/>
                <w:szCs w:val="18"/>
                <w:color w:val="auto"/>
              </w:rPr>
              <w:t>​ ​​ ​</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3480" w:type="dxa"/>
            <w:vAlign w:val="bottom"/>
            <w:gridSpan w:val="2"/>
            <w:shd w:val="clear" w:color="auto" w:fill="CCEEFF"/>
          </w:tcPr>
          <w:p>
            <w:pPr>
              <w:ind w:left="2480"/>
              <w:spacing w:after="0" w:line="256"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perscript"/>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auto"/>
              </w:rPr>
              <w:t>Scotia Capital (USA) Inc.</w:t>
            </w:r>
          </w:p>
        </w:tc>
        <w:tc>
          <w:tcPr>
            <w:tcW w:w="3480" w:type="dxa"/>
            <w:vAlign w:val="bottom"/>
            <w:gridSpan w:val="2"/>
          </w:tcPr>
          <w:p>
            <w:pPr>
              <w:ind w:left="2480"/>
              <w:spacing w:after="0" w:line="256"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perscript"/>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302"/>
        </w:trPr>
        <w:tc>
          <w:tcPr>
            <w:tcW w:w="4720" w:type="dxa"/>
            <w:vAlign w:val="bottom"/>
            <w:tcBorders>
              <w:bottom w:val="single" w:sz="8" w:color="CCEEFF"/>
            </w:tcBorders>
            <w:shd w:val="clear" w:color="auto" w:fill="CCEEFF"/>
          </w:tcPr>
          <w:p>
            <w:pPr>
              <w:spacing w:after="0"/>
              <w:rPr>
                <w:sz w:val="24"/>
                <w:szCs w:val="24"/>
                <w:color w:val="auto"/>
              </w:rPr>
            </w:pPr>
          </w:p>
        </w:tc>
        <w:tc>
          <w:tcPr>
            <w:tcW w:w="3480" w:type="dxa"/>
            <w:vAlign w:val="bottom"/>
            <w:tcBorders>
              <w:bottom w:val="single" w:sz="8" w:color="CCEEFF"/>
            </w:tcBorders>
            <w:gridSpan w:val="2"/>
            <w:shd w:val="clear" w:color="auto" w:fill="CCEEFF"/>
          </w:tcPr>
          <w:p>
            <w:pPr>
              <w:ind w:left="2480"/>
              <w:spacing w:after="0"/>
              <w:rPr>
                <w:sz w:val="20"/>
                <w:szCs w:val="20"/>
                <w:color w:val="auto"/>
              </w:rPr>
            </w:pPr>
            <w:r>
              <w:rPr>
                <w:rFonts w:ascii="Arial" w:cs="Arial" w:eastAsia="Arial" w:hAnsi="Arial"/>
                <w:sz w:val="16"/>
                <w:szCs w:val="16"/>
                <w:b w:val="1"/>
                <w:bCs w:val="1"/>
                <w:color w:val="auto"/>
              </w:rPr>
              <w:t>​ ​​ ​</w:t>
            </w: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169"/>
        </w:trPr>
        <w:tc>
          <w:tcPr>
            <w:tcW w:w="4720" w:type="dxa"/>
            <w:vAlign w:val="bottom"/>
            <w:tcBorders>
              <w:top w:val="single" w:sz="8" w:color="CCEEFF"/>
            </w:tcBorders>
          </w:tcPr>
          <w:p>
            <w:pPr>
              <w:ind w:left="180"/>
              <w:spacing w:after="0" w:line="169" w:lineRule="exact"/>
              <w:rPr>
                <w:sz w:val="20"/>
                <w:szCs w:val="20"/>
                <w:color w:val="auto"/>
              </w:rPr>
            </w:pPr>
            <w:r>
              <w:rPr>
                <w:rFonts w:ascii="Arial" w:cs="Arial" w:eastAsia="Arial" w:hAnsi="Arial"/>
                <w:sz w:val="18"/>
                <w:szCs w:val="18"/>
                <w:color w:val="auto"/>
              </w:rPr>
              <w:t>Total</w:t>
            </w:r>
          </w:p>
        </w:tc>
        <w:tc>
          <w:tcPr>
            <w:tcW w:w="2540" w:type="dxa"/>
            <w:vAlign w:val="bottom"/>
            <w:tcBorders>
              <w:top w:val="single" w:sz="8" w:color="CCEEFF"/>
            </w:tcBorders>
          </w:tcPr>
          <w:p>
            <w:pPr>
              <w:spacing w:after="0"/>
              <w:rPr>
                <w:sz w:val="14"/>
                <w:szCs w:val="14"/>
                <w:color w:val="auto"/>
              </w:rPr>
            </w:pPr>
          </w:p>
        </w:tc>
        <w:tc>
          <w:tcPr>
            <w:tcW w:w="940" w:type="dxa"/>
            <w:vAlign w:val="bottom"/>
            <w:tcBorders>
              <w:top w:val="single" w:sz="8" w:color="auto"/>
            </w:tcBorders>
          </w:tcPr>
          <w:p>
            <w:pPr>
              <w:jc w:val="right"/>
              <w:ind w:right="610"/>
              <w:spacing w:after="0" w:line="169" w:lineRule="exact"/>
              <w:rPr>
                <w:sz w:val="20"/>
                <w:szCs w:val="20"/>
                <w:color w:val="auto"/>
              </w:rPr>
            </w:pPr>
            <w:r>
              <w:rPr>
                <w:rFonts w:ascii="Arial" w:cs="Arial" w:eastAsia="Arial" w:hAnsi="Arial"/>
                <w:sz w:val="18"/>
                <w:szCs w:val="18"/>
                <w:color w:val="auto"/>
              </w:rPr>
              <w:t>$</w:t>
            </w:r>
          </w:p>
        </w:tc>
        <w:tc>
          <w:tcPr>
            <w:tcW w:w="60" w:type="dxa"/>
            <w:vAlign w:val="bottom"/>
          </w:tcPr>
          <w:p>
            <w:pPr>
              <w:spacing w:after="0" w:line="169" w:lineRule="exact"/>
              <w:rPr>
                <w:sz w:val="20"/>
                <w:szCs w:val="20"/>
                <w:color w:val="auto"/>
              </w:rPr>
            </w:pPr>
            <w:r>
              <w:rPr>
                <w:rFonts w:ascii="Arial" w:cs="Arial" w:eastAsia="Arial" w:hAnsi="Arial"/>
                <w:sz w:val="18"/>
                <w:szCs w:val="18"/>
                <w:color w:val="auto"/>
              </w:rPr>
              <w:t>​</w:t>
            </w:r>
          </w:p>
        </w:tc>
      </w:tr>
      <w:tr>
        <w:trPr>
          <w:trHeight w:val="81"/>
        </w:trPr>
        <w:tc>
          <w:tcPr>
            <w:tcW w:w="4720" w:type="dxa"/>
            <w:vAlign w:val="bottom"/>
          </w:tcPr>
          <w:p>
            <w:pPr>
              <w:spacing w:after="0"/>
              <w:rPr>
                <w:sz w:val="7"/>
                <w:szCs w:val="7"/>
                <w:color w:val="auto"/>
              </w:rPr>
            </w:pPr>
          </w:p>
        </w:tc>
        <w:tc>
          <w:tcPr>
            <w:tcW w:w="3480" w:type="dxa"/>
            <w:vAlign w:val="bottom"/>
            <w:gridSpan w:val="2"/>
          </w:tcPr>
          <w:p>
            <w:pPr>
              <w:ind w:left="2480"/>
              <w:spacing w:after="0" w:line="61" w:lineRule="exact"/>
              <w:rPr>
                <w:sz w:val="20"/>
                <w:szCs w:val="20"/>
                <w:color w:val="auto"/>
              </w:rPr>
            </w:pPr>
            <w:r>
              <w:rPr>
                <w:rFonts w:ascii="Arial" w:cs="Arial" w:eastAsia="Arial" w:hAnsi="Arial"/>
                <w:sz w:val="7"/>
                <w:szCs w:val="7"/>
                <w:color w:val="auto"/>
              </w:rPr>
              <w:t>​ ​​</w:t>
            </w:r>
          </w:p>
        </w:tc>
        <w:tc>
          <w:tcPr>
            <w:tcW w:w="60" w:type="dxa"/>
            <w:vAlign w:val="bottom"/>
          </w:tcPr>
          <w:p>
            <w:pPr>
              <w:spacing w:after="0" w:line="61" w:lineRule="exact"/>
              <w:rPr>
                <w:sz w:val="20"/>
                <w:szCs w:val="20"/>
                <w:color w:val="auto"/>
              </w:rPr>
            </w:pPr>
            <w:r>
              <w:rPr>
                <w:rFonts w:ascii="Arial" w:cs="Arial" w:eastAsia="Arial" w:hAnsi="Arial"/>
                <w:sz w:val="7"/>
                <w:szCs w:val="7"/>
                <w:color w:val="auto"/>
              </w:rPr>
              <w:t>​</w:t>
            </w: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-248285</wp:posOffset>
            </wp:positionV>
            <wp:extent cx="45262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4526280" cy="17145"/>
                    </a:xfrm>
                    <a:prstGeom prst="rect">
                      <a:avLst/>
                    </a:prstGeom>
                    <a:noFill/>
                  </pic:spPr>
                </pic:pic>
              </a:graphicData>
            </a:graphic>
          </wp:anchor>
        </w:drawing>
      </w:r>
    </w:p>
    <w:p>
      <w:pPr>
        <w:spacing w:after="0" w:line="96" w:lineRule="exact"/>
        <w:rPr>
          <w:sz w:val="20"/>
          <w:szCs w:val="20"/>
          <w:color w:val="auto"/>
        </w:rPr>
      </w:pPr>
    </w:p>
    <w:p>
      <w:pPr>
        <w:ind w:left="1260" w:right="479"/>
        <w:spacing w:after="0" w:line="264"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Under the terms of the underwriting agreement, the underwriters are committed to purchase all of the Notes if any are purchased. If an underwriter defaults, the underwriting agreement provides that the purchase commitments of the nondefaulting underwriters may be increased or, in certain circumstances, the underwriting agreement may be terminated.</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Underwriting discounts</w:t>
      </w:r>
    </w:p>
    <w:p>
      <w:pPr>
        <w:spacing w:after="0" w:line="135" w:lineRule="exact"/>
        <w:rPr>
          <w:sz w:val="20"/>
          <w:szCs w:val="20"/>
          <w:color w:val="auto"/>
        </w:rPr>
      </w:pPr>
    </w:p>
    <w:p>
      <w:pPr>
        <w:jc w:val="both"/>
        <w:ind w:left="1260" w:right="479"/>
        <w:spacing w:after="0" w:line="267" w:lineRule="auto"/>
        <w:rPr>
          <w:sz w:val="20"/>
          <w:szCs w:val="20"/>
          <w:color w:val="auto"/>
        </w:rPr>
      </w:pPr>
      <w:r>
        <w:rPr>
          <w:rFonts w:ascii="Arial" w:cs="Arial" w:eastAsia="Arial" w:hAnsi="Arial"/>
          <w:sz w:val="18"/>
          <w:szCs w:val="18"/>
          <w:color w:val="auto"/>
        </w:rPr>
        <w:t>The underwriters propose initially to offer the Notes to the public at the public offering price set forth on the cover page of this prospectus supplement and may offer the Notes to certain dealers at such price less a concession not in excess of         % of the principal amount of the Notes. The underwriters may allow a discount not in excess of         % of the principal amount of the Notes, on sales to certain other brokers and dealers. After this initial public offering, the public offering price, concession and discount may be changed.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summarizes the compensation to be paid by us to the underwriters.</w:t>
      </w: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229"/>
        </w:trPr>
        <w:tc>
          <w:tcPr>
            <w:tcW w:w="3840" w:type="dxa"/>
            <w:vAlign w:val="bottom"/>
            <w:tcBorders>
              <w:top w:val="single" w:sz="8" w:color="auto"/>
            </w:tcBorders>
            <w:vMerge w:val="restart"/>
          </w:tcPr>
          <w:p>
            <w:pPr>
              <w:spacing w:after="0"/>
              <w:rPr>
                <w:sz w:val="20"/>
                <w:szCs w:val="20"/>
                <w:color w:val="auto"/>
              </w:rPr>
            </w:pPr>
            <w:r>
              <w:rPr>
                <w:rFonts w:ascii="Arial" w:cs="Arial" w:eastAsia="Arial" w:hAnsi="Arial"/>
                <w:sz w:val="16"/>
                <w:szCs w:val="16"/>
                <w:b w:val="1"/>
                <w:bCs w:val="1"/>
                <w:color w:val="auto"/>
              </w:rPr>
              <w:t>​</w:t>
            </w:r>
          </w:p>
        </w:tc>
        <w:tc>
          <w:tcPr>
            <w:tcW w:w="3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Underwriting</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vMerge w:val="continue"/>
          </w:tcPr>
          <w:p>
            <w:pPr>
              <w:spacing w:after="0"/>
              <w:rPr>
                <w:sz w:val="20"/>
                <w:szCs w:val="20"/>
                <w:color w:val="auto"/>
              </w:rPr>
            </w:pPr>
          </w:p>
        </w:tc>
        <w:tc>
          <w:tcPr>
            <w:tcW w:w="3340" w:type="dxa"/>
            <w:vAlign w:val="bottom"/>
          </w:tcPr>
          <w:p>
            <w:pPr>
              <w:ind w:left="3120"/>
              <w:spacing w:after="0"/>
              <w:rPr>
                <w:sz w:val="20"/>
                <w:szCs w:val="20"/>
                <w:color w:val="auto"/>
              </w:rPr>
            </w:pPr>
            <w:r>
              <w:rPr>
                <w:rFonts w:ascii="Arial" w:cs="Arial" w:eastAsia="Arial" w:hAnsi="Arial"/>
                <w:sz w:val="16"/>
                <w:szCs w:val="16"/>
                <w:b w:val="1"/>
                <w:bCs w:val="1"/>
                <w:color w:val="auto"/>
              </w:rPr>
              <w:t>​ ​</w:t>
            </w:r>
          </w:p>
        </w:tc>
        <w:tc>
          <w:tcPr>
            <w:tcW w:w="3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6"/>
                <w:szCs w:val="16"/>
                <w:b w:val="1"/>
                <w:bCs w:val="1"/>
                <w:color w:val="auto"/>
              </w:rPr>
              <w:t>Discount ​</w:t>
            </w:r>
          </w:p>
        </w:tc>
        <w:tc>
          <w:tcPr>
            <w:tcW w:w="0" w:type="dxa"/>
            <w:vAlign w:val="bottom"/>
          </w:tcPr>
          <w:p>
            <w:pPr>
              <w:spacing w:after="0"/>
              <w:rPr>
                <w:sz w:val="1"/>
                <w:szCs w:val="1"/>
                <w:color w:val="auto"/>
              </w:rPr>
            </w:pPr>
          </w:p>
        </w:tc>
      </w:tr>
      <w:tr>
        <w:trPr>
          <w:trHeight w:val="155"/>
        </w:trPr>
        <w:tc>
          <w:tcPr>
            <w:tcW w:w="38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rPr>
              <w:t>Per Note</w:t>
            </w:r>
          </w:p>
        </w:tc>
        <w:tc>
          <w:tcPr>
            <w:tcW w:w="3340" w:type="dxa"/>
            <w:vAlign w:val="bottom"/>
            <w:tcBorders>
              <w:top w:val="single" w:sz="8" w:color="auto"/>
            </w:tcBorders>
            <w:vMerge w:val="restart"/>
            <w:shd w:val="clear" w:color="auto" w:fill="CCEEFF"/>
          </w:tcPr>
          <w:p>
            <w:pPr>
              <w:ind w:left="3180"/>
              <w:spacing w:after="0"/>
              <w:rPr>
                <w:sz w:val="20"/>
                <w:szCs w:val="20"/>
                <w:color w:val="auto"/>
              </w:rPr>
            </w:pPr>
            <w:r>
              <w:rPr>
                <w:rFonts w:ascii="Arial" w:cs="Arial" w:eastAsia="Arial" w:hAnsi="Arial"/>
                <w:sz w:val="18"/>
                <w:szCs w:val="18"/>
                <w:color w:val="auto"/>
              </w:rPr>
              <w:t>​ ​</w:t>
            </w:r>
          </w:p>
        </w:tc>
        <w:tc>
          <w:tcPr>
            <w:tcW w:w="320" w:type="dxa"/>
            <w:vAlign w:val="bottom"/>
            <w:tcBorders>
              <w:top w:val="single" w:sz="8" w:color="auto"/>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rPr>
              <w:t>​</w:t>
            </w:r>
          </w:p>
        </w:tc>
        <w:tc>
          <w:tcPr>
            <w:tcW w:w="160" w:type="dxa"/>
            <w:vAlign w:val="bottom"/>
          </w:tcPr>
          <w:p>
            <w:pPr>
              <w:spacing w:after="0" w:line="15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81"/>
        </w:trPr>
        <w:tc>
          <w:tcPr>
            <w:tcW w:w="3840" w:type="dxa"/>
            <w:vAlign w:val="bottom"/>
            <w:shd w:val="clear" w:color="auto" w:fill="CCEEFF"/>
          </w:tcPr>
          <w:p>
            <w:pPr>
              <w:spacing w:after="0"/>
              <w:rPr>
                <w:sz w:val="7"/>
                <w:szCs w:val="7"/>
                <w:color w:val="auto"/>
              </w:rPr>
            </w:pPr>
          </w:p>
        </w:tc>
        <w:tc>
          <w:tcPr>
            <w:tcW w:w="3340" w:type="dxa"/>
            <w:vAlign w:val="bottom"/>
            <w:vMerge w:val="continue"/>
            <w:shd w:val="clear" w:color="auto" w:fill="CCEEFF"/>
          </w:tcPr>
          <w:p>
            <w:pPr>
              <w:spacing w:after="0"/>
              <w:rPr>
                <w:sz w:val="7"/>
                <w:szCs w:val="7"/>
                <w:color w:val="auto"/>
              </w:rPr>
            </w:pPr>
          </w:p>
        </w:tc>
        <w:tc>
          <w:tcPr>
            <w:tcW w:w="320" w:type="dxa"/>
            <w:vAlign w:val="bottom"/>
            <w:vMerge w:val="continue"/>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tcPr>
          <w:p>
            <w:pPr>
              <w:spacing w:after="0" w:line="8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70"/>
        </w:trPr>
        <w:tc>
          <w:tcPr>
            <w:tcW w:w="38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3340" w:type="dxa"/>
            <w:vAlign w:val="bottom"/>
            <w:tcBorders>
              <w:bottom w:val="single" w:sz="8" w:color="auto"/>
            </w:tcBorders>
          </w:tcPr>
          <w:p>
            <w:pPr>
              <w:ind w:left="3180"/>
              <w:spacing w:after="0"/>
              <w:rPr>
                <w:sz w:val="20"/>
                <w:szCs w:val="20"/>
                <w:color w:val="auto"/>
              </w:rPr>
            </w:pPr>
            <w:r>
              <w:rPr>
                <w:rFonts w:ascii="Arial" w:cs="Arial" w:eastAsia="Arial" w:hAnsi="Arial"/>
                <w:sz w:val="18"/>
                <w:szCs w:val="18"/>
                <w:color w:val="auto"/>
              </w:rPr>
              <w:t>​ ​</w:t>
            </w:r>
          </w:p>
        </w:tc>
        <w:tc>
          <w:tcPr>
            <w:tcW w:w="320" w:type="dxa"/>
            <w:vAlign w:val="bottom"/>
            <w:tcBorders>
              <w:bottom w:val="single" w:sz="8" w:color="auto"/>
            </w:tcBorders>
          </w:tcPr>
          <w:p>
            <w:pPr>
              <w:ind w:left="20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700" w:type="dxa"/>
            <w:vAlign w:val="bottom"/>
            <w:tcBorders>
              <w:bottom w:val="single" w:sz="8" w:color="auto"/>
            </w:tcBorders>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260" w:right="639"/>
        <w:spacing w:after="0" w:line="303" w:lineRule="auto"/>
        <w:rPr>
          <w:sz w:val="20"/>
          <w:szCs w:val="20"/>
          <w:color w:val="auto"/>
        </w:rPr>
      </w:pPr>
      <w:r>
        <w:rPr>
          <w:rFonts w:ascii="Arial" w:cs="Arial" w:eastAsia="Arial" w:hAnsi="Arial"/>
          <w:sz w:val="18"/>
          <w:szCs w:val="18"/>
          <w:color w:val="auto"/>
        </w:rPr>
        <w:t>We estimate that our share of the total expenses of the offering, excluding the underwriting discount, will be approximately $            million.</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New issue of notes</w:t>
      </w:r>
    </w:p>
    <w:p>
      <w:pPr>
        <w:spacing w:after="0" w:line="135" w:lineRule="exact"/>
        <w:rPr>
          <w:sz w:val="20"/>
          <w:szCs w:val="20"/>
          <w:color w:val="auto"/>
        </w:rPr>
      </w:pPr>
    </w:p>
    <w:p>
      <w:pPr>
        <w:ind w:left="1260" w:right="499"/>
        <w:spacing w:after="0" w:line="276" w:lineRule="auto"/>
        <w:rPr>
          <w:sz w:val="20"/>
          <w:szCs w:val="20"/>
          <w:color w:val="auto"/>
        </w:rPr>
      </w:pPr>
      <w:r>
        <w:rPr>
          <w:rFonts w:ascii="Arial" w:cs="Arial" w:eastAsia="Arial" w:hAnsi="Arial"/>
          <w:sz w:val="18"/>
          <w:szCs w:val="18"/>
          <w:color w:val="auto"/>
        </w:rPr>
        <w:t>The Notes are a new issue of securities with no established trading market. We do not currently intend to apply for listing of the Notes on any securities exchange or have the Notes quoted on any automated quotation system. We have been advised by the underwriters that the underwriters</w:t>
      </w:r>
    </w:p>
    <w:p>
      <w:pPr>
        <w:spacing w:after="0" w:line="39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67" w:lineRule="auto"/>
        <w:rPr>
          <w:sz w:val="20"/>
          <w:szCs w:val="20"/>
          <w:color w:val="auto"/>
        </w:rPr>
      </w:pPr>
      <w:r>
        <w:rPr>
          <w:rFonts w:ascii="Arial" w:cs="Arial" w:eastAsia="Arial" w:hAnsi="Arial"/>
          <w:sz w:val="18"/>
          <w:szCs w:val="18"/>
          <w:color w:val="auto"/>
        </w:rPr>
        <w:t>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Stabilization, short positions and penalty bids</w:t>
      </w:r>
    </w:p>
    <w:p>
      <w:pPr>
        <w:spacing w:after="0" w:line="135" w:lineRule="exact"/>
        <w:rPr>
          <w:sz w:val="20"/>
          <w:szCs w:val="20"/>
          <w:color w:val="auto"/>
        </w:rPr>
      </w:pPr>
    </w:p>
    <w:p>
      <w:pPr>
        <w:ind w:left="1260" w:right="479"/>
        <w:spacing w:after="0" w:line="271" w:lineRule="auto"/>
        <w:rPr>
          <w:sz w:val="20"/>
          <w:szCs w:val="20"/>
          <w:color w:val="auto"/>
        </w:rPr>
      </w:pPr>
      <w:r>
        <w:rPr>
          <w:rFonts w:ascii="Arial" w:cs="Arial" w:eastAsia="Arial" w:hAnsi="Arial"/>
          <w:sz w:val="18"/>
          <w:szCs w:val="18"/>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100" w:lineRule="exact"/>
        <w:rPr>
          <w:sz w:val="20"/>
          <w:szCs w:val="20"/>
          <w:color w:val="auto"/>
        </w:rPr>
      </w:pPr>
    </w:p>
    <w:p>
      <w:pPr>
        <w:ind w:left="1260" w:right="499"/>
        <w:spacing w:after="0" w:line="273"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another underwriter a portion of the underwriting discount received by it because such other underwriter has repurchased notes sold by or for the account of such underwriter in stabilizing or short covering transactions.</w:t>
      </w:r>
    </w:p>
    <w:p>
      <w:pPr>
        <w:spacing w:after="0" w:line="98" w:lineRule="exact"/>
        <w:rPr>
          <w:sz w:val="20"/>
          <w:szCs w:val="20"/>
          <w:color w:val="auto"/>
        </w:rPr>
      </w:pPr>
    </w:p>
    <w:p>
      <w:pPr>
        <w:ind w:left="1260" w:right="459"/>
        <w:spacing w:after="0" w:line="264" w:lineRule="auto"/>
        <w:rPr>
          <w:sz w:val="20"/>
          <w:szCs w:val="20"/>
          <w:color w:val="auto"/>
        </w:rPr>
      </w:pPr>
      <w:r>
        <w:rPr>
          <w:rFonts w:ascii="Arial" w:cs="Arial" w:eastAsia="Arial" w:hAnsi="Arial"/>
          <w:sz w:val="18"/>
          <w:szCs w:val="18"/>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Settlement</w:t>
      </w:r>
    </w:p>
    <w:p>
      <w:pPr>
        <w:spacing w:after="0" w:line="135" w:lineRule="exact"/>
        <w:rPr>
          <w:sz w:val="20"/>
          <w:szCs w:val="20"/>
          <w:color w:val="auto"/>
        </w:rPr>
      </w:pPr>
    </w:p>
    <w:p>
      <w:pPr>
        <w:ind w:left="1260" w:right="579"/>
        <w:spacing w:after="0" w:line="266" w:lineRule="auto"/>
        <w:rPr>
          <w:sz w:val="20"/>
          <w:szCs w:val="20"/>
          <w:color w:val="auto"/>
        </w:rPr>
      </w:pPr>
      <w:r>
        <w:rPr>
          <w:rFonts w:ascii="Arial" w:cs="Arial" w:eastAsia="Arial" w:hAnsi="Arial"/>
          <w:sz w:val="18"/>
          <w:szCs w:val="18"/>
          <w:color w:val="auto"/>
        </w:rPr>
        <w:t>We expect delivery of the Notes will be made against payment therefor on or about                      , 2025, which is the second business day following the date of pricing of the Notes (such settlement being referred to as “T+2”). Under Rule 15c6-1 of the Exchange Act,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T+2, to specify an alternate settlement cycle at the time of any such trade to prevent failed settlement and should consult their own advisors.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Selling restrictions</w:t>
      </w: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42" w:lineRule="exact"/>
        <w:rPr>
          <w:sz w:val="20"/>
          <w:szCs w:val="20"/>
          <w:color w:val="auto"/>
        </w:rPr>
      </w:pPr>
    </w:p>
    <w:p>
      <w:pPr>
        <w:ind w:left="1260" w:right="439"/>
        <w:spacing w:after="0" w:line="280"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w:t>
      </w:r>
    </w:p>
    <w:p>
      <w:pPr>
        <w:ind w:left="1260" w:right="599"/>
        <w:spacing w:after="0" w:line="271" w:lineRule="auto"/>
        <w:tabs>
          <w:tab w:leader="none" w:pos="15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of Article 2 of Regulation (EU) No 2017/565 as it forms part of domestic law by virtue of the European Union (Withdrawal) Act 2018 (as amended, “EUWA”); (ii) a customer within the meaning of the provisions of the Financial Services and Markets Act 2000 (as amended, the</w:t>
      </w:r>
    </w:p>
    <w:p>
      <w:pPr>
        <w:spacing w:after="0" w:line="39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color w:val="auto"/>
        </w:rPr>
        <w:t>“FSMA”)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2017/1129/EU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under the UK Prospectus Regulation from the requirement to publish a prospectus. This prospectus supplement and the accompanying prospectus are not prospectuses for the purposes of the UK Prospectus Regulation or the FSMA.</w:t>
      </w:r>
    </w:p>
    <w:p>
      <w:pPr>
        <w:spacing w:after="0" w:line="143" w:lineRule="exact"/>
        <w:rPr>
          <w:sz w:val="20"/>
          <w:szCs w:val="20"/>
          <w:color w:val="auto"/>
        </w:rPr>
      </w:pPr>
    </w:p>
    <w:p>
      <w:pPr>
        <w:ind w:left="1260" w:right="419"/>
        <w:spacing w:after="0" w:line="273" w:lineRule="auto"/>
        <w:rPr>
          <w:sz w:val="20"/>
          <w:szCs w:val="20"/>
          <w:color w:val="auto"/>
        </w:rPr>
      </w:pPr>
      <w:r>
        <w:rPr>
          <w:rFonts w:ascii="Arial" w:cs="Arial" w:eastAsia="Arial" w:hAnsi="Arial"/>
          <w:sz w:val="18"/>
          <w:szCs w:val="18"/>
          <w:color w:val="auto"/>
        </w:rPr>
        <w:t>In the UK, this prospectus supplement and the accompanying prospectus are being distributed only to, and are directed only at, and any offer subsequently made may only be directed at persons (i) who are “qualified investors” (as​ defined in the UK Prospectus Regulation), (ii) who have professional experience in matters relating to investments falling within Article 19 (5) of the Financial Services and Markets Act 2000 (Financial Promotion) Order 2005, as amended (the “Order”) and/or (iii) who are high net worth companies (or persons to whom it may otherwise be lawfully communicated) falling within Article 49(2)(a) to (e) of the Order (all such persons together being referred to as “relevant persons”) or otherwise in circumstances which have not resulted and will not result in an offer to the public of the Notes in the UK within the meaning of the FSMA. This prospectus supplement and the accompanying prospectus must not be acted on or relied on in the UK by persons who are not relevant persons. In the UK, any investment or investment activity to which this prospectus supplement and the accompanying prospectus relates is only available to, and will be engaged in with, relevant persons.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member states of the European Economic Area</w:t>
      </w:r>
    </w:p>
    <w:p>
      <w:pPr>
        <w:spacing w:after="0" w:line="169" w:lineRule="exact"/>
        <w:rPr>
          <w:sz w:val="20"/>
          <w:szCs w:val="20"/>
          <w:color w:val="auto"/>
        </w:rPr>
      </w:pPr>
    </w:p>
    <w:p>
      <w:pPr>
        <w:ind w:left="1260" w:right="419"/>
        <w:spacing w:after="0" w:line="273"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where that customer would not 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56" w:lineRule="exact"/>
        <w:rPr>
          <w:sz w:val="20"/>
          <w:szCs w:val="20"/>
          <w:color w:val="auto"/>
        </w:rPr>
      </w:pPr>
    </w:p>
    <w:p>
      <w:pPr>
        <w:ind w:left="1260" w:right="899"/>
        <w:spacing w:after="0" w:line="316" w:lineRule="auto"/>
        <w:rPr>
          <w:sz w:val="20"/>
          <w:szCs w:val="20"/>
          <w:color w:val="auto"/>
        </w:rPr>
      </w:pPr>
      <w:r>
        <w:rPr>
          <w:rFonts w:ascii="Arial" w:cs="Arial" w:eastAsia="Arial" w:hAnsi="Arial"/>
          <w:sz w:val="17"/>
          <w:szCs w:val="17"/>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w:t>
      </w:r>
    </w:p>
    <w:p>
      <w:pPr>
        <w:spacing w:after="0" w:line="34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right="439"/>
        <w:spacing w:after="0" w:line="275" w:lineRule="auto"/>
        <w:rPr>
          <w:sz w:val="20"/>
          <w:szCs w:val="20"/>
          <w:color w:val="auto"/>
        </w:rPr>
      </w:pPr>
      <w:r>
        <w:rPr>
          <w:rFonts w:ascii="Arial" w:cs="Arial" w:eastAsia="Arial" w:hAnsi="Arial"/>
          <w:sz w:val="18"/>
          <w:szCs w:val="18"/>
          <w:color w:val="auto"/>
        </w:rPr>
        <w:t>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56" w:lineRule="exact"/>
        <w:rPr>
          <w:sz w:val="20"/>
          <w:szCs w:val="20"/>
          <w:color w:val="auto"/>
        </w:rPr>
      </w:pPr>
    </w:p>
    <w:p>
      <w:pPr>
        <w:ind w:left="1260" w:right="479"/>
        <w:spacing w:after="0" w:line="275" w:lineRule="auto"/>
        <w:rPr>
          <w:sz w:val="20"/>
          <w:szCs w:val="20"/>
          <w:color w:val="auto"/>
        </w:rPr>
      </w:pPr>
      <w:r>
        <w:rPr>
          <w:rFonts w:ascii="Arial" w:cs="Arial" w:eastAsia="Arial" w:hAnsi="Arial"/>
          <w:sz w:val="18"/>
          <w:szCs w:val="18"/>
          <w:color w:val="auto"/>
        </w:rPr>
        <w:t>The Notes offered in this prospectus supplement have not been and will not be registered under the Financial Instruments and Exchange Law of Japan (“Financial Instruments and Exchange Law”). The Notes have not been offered or sold and will not be offered or sold, directly or indirectly, in Japan or to or for the benefit of any resident of Japan (which term as used herein means any resident of Japan, including any corporation or other entity organized under the laws of Japan), or to others for re-offering or resale, directly or indirectly, in Japan or to, or for the account or benefit of, any resident of Japan, except pursuant to an exemption from the registration requirements of, and in compliance with, the Financial Instruments and Exchange Law and any other applicable requirements of Japanese law.</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56" w:lineRule="exact"/>
        <w:rPr>
          <w:sz w:val="20"/>
          <w:szCs w:val="20"/>
          <w:color w:val="auto"/>
        </w:rPr>
      </w:pPr>
    </w:p>
    <w:p>
      <w:pPr>
        <w:ind w:left="1260" w:right="499"/>
        <w:spacing w:after="0" w:line="272"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Section 275(1A), and in accordance with the conditions specified in Section 275 of the SFA or</w:t>
      </w:r>
    </w:p>
    <w:p>
      <w:pPr>
        <w:spacing w:after="0" w:line="23" w:lineRule="exact"/>
        <w:rPr>
          <w:sz w:val="20"/>
          <w:szCs w:val="20"/>
          <w:color w:val="auto"/>
        </w:rPr>
      </w:pPr>
    </w:p>
    <w:p>
      <w:pPr>
        <w:ind w:left="1260" w:right="619"/>
        <w:spacing w:after="0" w:line="307" w:lineRule="auto"/>
        <w:tabs>
          <w:tab w:leader="none" w:pos="15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compliance with conditions set forth in the SFA.</w:t>
      </w:r>
    </w:p>
    <w:p>
      <w:pPr>
        <w:spacing w:after="0" w:line="82" w:lineRule="exact"/>
        <w:rPr>
          <w:sz w:val="20"/>
          <w:szCs w:val="20"/>
          <w:color w:val="auto"/>
        </w:rPr>
      </w:pPr>
    </w:p>
    <w:p>
      <w:pPr>
        <w:ind w:left="1260" w:right="859"/>
        <w:spacing w:after="0" w:line="303" w:lineRule="auto"/>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58" w:lineRule="exact"/>
        <w:rPr>
          <w:sz w:val="20"/>
          <w:szCs w:val="20"/>
          <w:color w:val="auto"/>
        </w:rPr>
      </w:pPr>
    </w:p>
    <w:p>
      <w:pPr>
        <w:jc w:val="both"/>
        <w:ind w:left="1400" w:right="779" w:hanging="140"/>
        <w:spacing w:after="0" w:line="284" w:lineRule="auto"/>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1400" w:right="479" w:hanging="140"/>
        <w:spacing w:after="0" w:line="279" w:lineRule="auto"/>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65" w:lineRule="exact"/>
        <w:rPr>
          <w:rFonts w:ascii="Arial" w:cs="Arial" w:eastAsia="Arial" w:hAnsi="Arial"/>
          <w:sz w:val="18"/>
          <w:szCs w:val="18"/>
          <w:color w:val="auto"/>
        </w:rPr>
      </w:pPr>
    </w:p>
    <w:p>
      <w:pPr>
        <w:ind w:left="1400" w:right="719" w:hanging="140"/>
        <w:spacing w:after="0" w:line="292" w:lineRule="auto"/>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Section 275(1A), and in accordance with the conditions specified in Section 275 of the SFA;</w:t>
      </w:r>
    </w:p>
    <w:p>
      <w:pPr>
        <w:spacing w:after="0" w:line="36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400" w:hanging="140"/>
        <w:spacing w:after="0"/>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1400" w:hanging="140"/>
        <w:spacing w:after="0"/>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8" w:lineRule="exact"/>
        <w:rPr>
          <w:sz w:val="20"/>
          <w:szCs w:val="20"/>
          <w:color w:val="auto"/>
        </w:rPr>
      </w:pPr>
    </w:p>
    <w:p>
      <w:pPr>
        <w:ind w:left="1260" w:right="439"/>
        <w:spacing w:after="0" w:line="270" w:lineRule="auto"/>
        <w:rPr>
          <w:sz w:val="20"/>
          <w:szCs w:val="20"/>
          <w:color w:val="auto"/>
        </w:rPr>
      </w:pPr>
      <w:r>
        <w:rPr>
          <w:rFonts w:ascii="Arial" w:cs="Arial" w:eastAsia="Arial" w:hAnsi="Arial"/>
          <w:sz w:val="18"/>
          <w:szCs w:val="18"/>
          <w:color w:val="auto"/>
        </w:rPr>
        <w:t>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56" w:lineRule="exact"/>
        <w:rPr>
          <w:sz w:val="20"/>
          <w:szCs w:val="20"/>
          <w:color w:val="auto"/>
        </w:rPr>
      </w:pPr>
    </w:p>
    <w:p>
      <w:pPr>
        <w:ind w:left="1260" w:right="419"/>
        <w:spacing w:after="0" w:line="264" w:lineRule="auto"/>
        <w:rPr>
          <w:sz w:val="20"/>
          <w:szCs w:val="20"/>
          <w:color w:val="auto"/>
        </w:rPr>
      </w:pPr>
      <w:r>
        <w:rPr>
          <w:rFonts w:ascii="Arial" w:cs="Arial" w:eastAsia="Arial" w:hAnsi="Arial"/>
          <w:sz w:val="18"/>
          <w:szCs w:val="18"/>
          <w:color w:val="auto"/>
        </w:rPr>
        <w:t>This prospectus supplement and the accompanying base prospectus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and the accompanying base prospectus nor any other offering or marketing material relating to the Notes constitutes a prospectus pursuant to the FinSA, and neither this prospectus supplement and the accompanying base prospectus nor any other offering or marketing material relating to the Notes may be publicly distributed or otherwise made publicly available in Switzerland.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42" w:lineRule="exact"/>
        <w:rPr>
          <w:sz w:val="20"/>
          <w:szCs w:val="20"/>
          <w:color w:val="auto"/>
        </w:rPr>
      </w:pPr>
    </w:p>
    <w:p>
      <w:pPr>
        <w:ind w:left="1260" w:right="519"/>
        <w:spacing w:after="0" w:line="264" w:lineRule="auto"/>
        <w:rPr>
          <w:sz w:val="20"/>
          <w:szCs w:val="20"/>
          <w:color w:val="auto"/>
        </w:rPr>
      </w:pPr>
      <w:r>
        <w:rPr>
          <w:rFonts w:ascii="Arial" w:cs="Arial" w:eastAsia="Arial" w:hAnsi="Arial"/>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56" w:lineRule="exact"/>
        <w:rPr>
          <w:sz w:val="20"/>
          <w:szCs w:val="20"/>
          <w:color w:val="auto"/>
        </w:rPr>
      </w:pPr>
    </w:p>
    <w:p>
      <w:pPr>
        <w:ind w:left="1260" w:right="459"/>
        <w:spacing w:after="0" w:line="267" w:lineRule="auto"/>
        <w:rPr>
          <w:sz w:val="20"/>
          <w:szCs w:val="20"/>
          <w:color w:val="auto"/>
        </w:rPr>
      </w:pPr>
      <w:r>
        <w:rPr>
          <w:rFonts w:ascii="Arial" w:cs="Arial" w:eastAsia="Arial" w:hAnsi="Arial"/>
          <w:sz w:val="18"/>
          <w:szCs w:val="18"/>
          <w:color w:val="auto"/>
        </w:rPr>
        <w:t>The Notes have not been and will not be registered or filed with, or approved by,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requires a registration or filing with or approval of the Financial Supervisory Commission of Taiwan. No person or entity in Taiwan has been authorized or will be authorized to offer, sell, give advice regarding or otherwise intermediate the offering and sale of the Notes in Taiwan.</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56" w:lineRule="exact"/>
        <w:rPr>
          <w:sz w:val="20"/>
          <w:szCs w:val="20"/>
          <w:color w:val="auto"/>
        </w:rPr>
      </w:pPr>
    </w:p>
    <w:p>
      <w:pPr>
        <w:ind w:left="1260" w:right="539"/>
        <w:spacing w:after="0" w:line="267" w:lineRule="auto"/>
        <w:rPr>
          <w:sz w:val="20"/>
          <w:szCs w:val="20"/>
          <w:color w:val="auto"/>
        </w:rPr>
      </w:pPr>
      <w:r>
        <w:rPr>
          <w:rFonts w:ascii="Arial" w:cs="Arial" w:eastAsia="Arial" w:hAnsi="Arial"/>
          <w:sz w:val="18"/>
          <w:szCs w:val="18"/>
          <w:color w:val="auto"/>
        </w:rPr>
        <w:t>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w:t>
      </w:r>
    </w:p>
    <w:p>
      <w:pPr>
        <w:spacing w:after="0" w:line="40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39"/>
        <w:spacing w:after="0" w:line="271" w:lineRule="auto"/>
        <w:rPr>
          <w:sz w:val="20"/>
          <w:szCs w:val="20"/>
          <w:color w:val="auto"/>
        </w:rPr>
      </w:pPr>
      <w:r>
        <w:rPr>
          <w:rFonts w:ascii="Arial" w:cs="Arial" w:eastAsia="Arial" w:hAnsi="Arial"/>
          <w:sz w:val="18"/>
          <w:szCs w:val="18"/>
          <w:color w:val="auto"/>
        </w:rPr>
        <w:t>(including the Abu Dhabi Global Market and the Dubai International Financial Centre) and is not intended to be a public offer. This prospectus supplement and the accompanying prospectus have not been approved by or filed with the Central Bank of the United Arab Emirates, the Securities and Commodities Authority, the Financial Services Regulatory Authority or the Dubai Financial Services Authority.</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South Korea</w:t>
      </w:r>
    </w:p>
    <w:p>
      <w:pPr>
        <w:spacing w:after="0" w:line="142" w:lineRule="exact"/>
        <w:rPr>
          <w:sz w:val="20"/>
          <w:szCs w:val="20"/>
          <w:color w:val="auto"/>
        </w:rPr>
      </w:pPr>
    </w:p>
    <w:p>
      <w:pPr>
        <w:ind w:left="1260" w:right="439"/>
        <w:spacing w:after="0" w:line="264" w:lineRule="auto"/>
        <w:rPr>
          <w:sz w:val="20"/>
          <w:szCs w:val="20"/>
          <w:color w:val="auto"/>
        </w:rPr>
      </w:pPr>
      <w:r>
        <w:rPr>
          <w:rFonts w:ascii="Arial" w:cs="Arial" w:eastAsia="Arial" w:hAnsi="Arial"/>
          <w:sz w:val="18"/>
          <w:szCs w:val="18"/>
          <w:color w:val="auto"/>
        </w:rPr>
        <w:t>The Notes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Notes have not been registered with the Financial Services Commission of South Korea for public offering in South Korea.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Abu Dhabi Global Market</w:t>
      </w:r>
    </w:p>
    <w:p>
      <w:pPr>
        <w:spacing w:after="0" w:line="169" w:lineRule="exact"/>
        <w:rPr>
          <w:sz w:val="20"/>
          <w:szCs w:val="20"/>
          <w:color w:val="auto"/>
        </w:rPr>
      </w:pPr>
    </w:p>
    <w:p>
      <w:pPr>
        <w:ind w:left="1260" w:right="499"/>
        <w:spacing w:after="0" w:line="274" w:lineRule="auto"/>
        <w:rPr>
          <w:sz w:val="20"/>
          <w:szCs w:val="20"/>
          <w:color w:val="auto"/>
        </w:rPr>
      </w:pPr>
      <w:r>
        <w:rPr>
          <w:rFonts w:ascii="Arial" w:cs="Arial" w:eastAsia="Arial" w:hAnsi="Arial"/>
          <w:sz w:val="18"/>
          <w:szCs w:val="18"/>
          <w:color w:val="auto"/>
        </w:rPr>
        <w:t>This prospectus supplement is for distribution only to persons who (a) are outside the Abu Dhabi Global Market, or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56" w:lineRule="exact"/>
        <w:rPr>
          <w:sz w:val="20"/>
          <w:szCs w:val="20"/>
          <w:color w:val="auto"/>
        </w:rPr>
      </w:pPr>
    </w:p>
    <w:p>
      <w:pPr>
        <w:ind w:left="1260" w:right="419"/>
        <w:spacing w:after="0" w:line="27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Any offer in Australia of the Notes may only be made to persons (the “Exempt Investors”) who are</w:t>
      </w:r>
    </w:p>
    <w:p>
      <w:pPr>
        <w:spacing w:after="0" w:line="32" w:lineRule="exact"/>
        <w:rPr>
          <w:sz w:val="20"/>
          <w:szCs w:val="20"/>
          <w:color w:val="auto"/>
        </w:rPr>
      </w:pPr>
    </w:p>
    <w:p>
      <w:pPr>
        <w:ind w:left="1260" w:right="419"/>
        <w:spacing w:after="0" w:line="280" w:lineRule="auto"/>
        <w:rPr>
          <w:sz w:val="20"/>
          <w:szCs w:val="20"/>
          <w:color w:val="auto"/>
        </w:rPr>
      </w:pPr>
      <w:r>
        <w:rPr>
          <w:rFonts w:ascii="Arial" w:cs="Arial" w:eastAsia="Arial" w:hAnsi="Arial"/>
          <w:sz w:val="18"/>
          <w:szCs w:val="18"/>
          <w:color w:val="auto"/>
        </w:rPr>
        <w:t>“sophisticated investors” (within​ the meaning of section 708(8) of the Corporations Act), “professional investors” ​(within the meaning of 708(11) of the Corporations Act) or otherwise pursuant to one or more exemptions contained in section 708 of the Corporations Act so that it is lawful to offer the Notes without disclosure to investors under Chapter 6D of the Corporations Act.</w:t>
      </w:r>
    </w:p>
    <w:p>
      <w:pPr>
        <w:spacing w:after="0" w:line="105" w:lineRule="exact"/>
        <w:rPr>
          <w:sz w:val="20"/>
          <w:szCs w:val="20"/>
          <w:color w:val="auto"/>
        </w:rPr>
      </w:pPr>
    </w:p>
    <w:p>
      <w:pPr>
        <w:ind w:left="1260" w:right="619"/>
        <w:spacing w:after="0" w:line="292" w:lineRule="auto"/>
        <w:rPr>
          <w:sz w:val="20"/>
          <w:szCs w:val="20"/>
          <w:color w:val="auto"/>
        </w:rPr>
      </w:pPr>
      <w:r>
        <w:rPr>
          <w:rFonts w:ascii="Arial" w:cs="Arial" w:eastAsia="Arial" w:hAnsi="Arial"/>
          <w:sz w:val="18"/>
          <w:szCs w:val="18"/>
          <w:color w:val="auto"/>
        </w:rPr>
        <w:t>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w:t>
      </w:r>
    </w:p>
    <w:p>
      <w:pPr>
        <w:spacing w:after="0" w:line="36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right="439"/>
        <w:spacing w:after="0" w:line="287" w:lineRule="auto"/>
        <w:rPr>
          <w:sz w:val="20"/>
          <w:szCs w:val="20"/>
          <w:color w:val="auto"/>
        </w:rPr>
      </w:pPr>
      <w:r>
        <w:rPr>
          <w:rFonts w:ascii="Arial" w:cs="Arial" w:eastAsia="Arial" w:hAnsi="Arial"/>
          <w:sz w:val="18"/>
          <w:szCs w:val="18"/>
          <w:color w:val="auto"/>
        </w:rPr>
        <w:t>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Other relationships</w:t>
      </w:r>
    </w:p>
    <w:p>
      <w:pPr>
        <w:spacing w:after="0" w:line="148" w:lineRule="exact"/>
        <w:rPr>
          <w:sz w:val="20"/>
          <w:szCs w:val="20"/>
          <w:color w:val="auto"/>
        </w:rPr>
      </w:pPr>
    </w:p>
    <w:p>
      <w:pPr>
        <w:ind w:left="1260" w:right="499"/>
        <w:spacing w:after="0" w:line="286" w:lineRule="auto"/>
        <w:rPr>
          <w:sz w:val="20"/>
          <w:szCs w:val="20"/>
          <w:color w:val="auto"/>
        </w:rPr>
      </w:pPr>
      <w:r>
        <w:rPr>
          <w:rFonts w:ascii="Arial" w:cs="Arial" w:eastAsia="Arial" w:hAnsi="Arial"/>
          <w:sz w:val="18"/>
          <w:szCs w:val="18"/>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Affiliates of certain underwriters are lenders under our credit facilities or dealers under our commercial paper program and may hold commercial paper notes thereunder. Additionally, certain of the underwriters or their affiliates may hold the 2025 Notes. To the extent we use proceeds from this offering to repay indebtedness under our credit facilities or commercial paper program or to refinance the 2025 Notes, such affiliates may receive proceeds from this offering.</w:t>
      </w:r>
    </w:p>
    <w:p>
      <w:pPr>
        <w:spacing w:after="0" w:line="116" w:lineRule="exact"/>
        <w:rPr>
          <w:sz w:val="20"/>
          <w:szCs w:val="20"/>
          <w:color w:val="auto"/>
        </w:rPr>
      </w:pPr>
    </w:p>
    <w:p>
      <w:pPr>
        <w:ind w:left="1260" w:right="439"/>
        <w:spacing w:after="0" w:line="302" w:lineRule="auto"/>
        <w:rPr>
          <w:sz w:val="20"/>
          <w:szCs w:val="20"/>
          <w:color w:val="auto"/>
        </w:rPr>
      </w:pPr>
      <w:r>
        <w:rPr>
          <w:rFonts w:ascii="Arial" w:cs="Arial" w:eastAsia="Arial" w:hAnsi="Arial"/>
          <w:sz w:val="17"/>
          <w:szCs w:val="17"/>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Conflicts of interest</w:t>
      </w:r>
    </w:p>
    <w:p>
      <w:pPr>
        <w:spacing w:after="0" w:line="148" w:lineRule="exact"/>
        <w:rPr>
          <w:sz w:val="20"/>
          <w:szCs w:val="20"/>
          <w:color w:val="auto"/>
        </w:rPr>
      </w:pPr>
    </w:p>
    <w:p>
      <w:pPr>
        <w:ind w:left="1260" w:right="439"/>
        <w:spacing w:after="0" w:line="292" w:lineRule="auto"/>
        <w:rPr>
          <w:sz w:val="20"/>
          <w:szCs w:val="20"/>
          <w:color w:val="auto"/>
        </w:rPr>
      </w:pPr>
      <w:r>
        <w:rPr>
          <w:rFonts w:ascii="Arial" w:cs="Arial" w:eastAsia="Arial" w:hAnsi="Arial"/>
          <w:sz w:val="17"/>
          <w:szCs w:val="17"/>
          <w:color w:val="auto"/>
        </w:rPr>
        <w:t>Affiliates of certain underwriters are lenders under our credit facilities or dealers under our commercial paper program and may hold commercial paper notes thereunder. Additionally, certain of the underwriters or their affiliates may hold the 2025 Notes. Because certain of the underwriters and/or their affiliates may receive at least 5% of the net offering proceeds of this offering, such underwriters and/or their affiliates could be deemed to have a “conflict of interest” under Rule 5121. See “Use of Proceeds.” Accordingly, this offering is being made in compliance with the requirements of Rule 5121. The appointment of a “qualified independent underwriter” is not required in connection with this offering because the Notes are “investment grade rated” as defined in paragraph (f)(8) of Rule 5121. Such underwriters and/or their affiliates will not confirm sales of the Notes offered hereby to any account over which it exercises discretionary authority without the prior written approval of the customer. Such underwriters and/or their affiliates will retain documentation of such approval in its records.</w:t>
      </w:r>
    </w:p>
    <w:p>
      <w:pPr>
        <w:spacing w:after="0" w:line="38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Indemnification</w:t>
      </w:r>
    </w:p>
    <w:p>
      <w:pPr>
        <w:spacing w:after="0" w:line="148" w:lineRule="exact"/>
        <w:rPr>
          <w:sz w:val="20"/>
          <w:szCs w:val="20"/>
          <w:color w:val="auto"/>
        </w:rPr>
      </w:pPr>
    </w:p>
    <w:p>
      <w:pPr>
        <w:ind w:left="1260" w:right="539"/>
        <w:spacing w:after="0" w:line="292"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20" w:lineRule="exact"/>
        <w:rPr>
          <w:sz w:val="20"/>
          <w:szCs w:val="20"/>
          <w:color w:val="auto"/>
        </w:rPr>
      </w:pPr>
    </w:p>
    <w:p>
      <w:pPr>
        <w:jc w:val="center"/>
        <w:ind w:right="-840"/>
        <w:spacing w:after="0"/>
        <w:rPr>
          <w:sz w:val="20"/>
          <w:szCs w:val="20"/>
          <w:color w:val="auto"/>
        </w:rPr>
      </w:pPr>
      <w:r>
        <w:rPr>
          <w:rFonts w:ascii="Arial" w:cs="Arial" w:eastAsia="Arial" w:hAnsi="Arial"/>
          <w:sz w:val="29"/>
          <w:szCs w:val="29"/>
          <w:b w:val="1"/>
          <w:bCs w:val="1"/>
          <w:color w:val="auto"/>
        </w:rPr>
        <w:t>Legal matters</w:t>
      </w:r>
    </w:p>
    <w:p>
      <w:pPr>
        <w:spacing w:after="0" w:line="168" w:lineRule="exact"/>
        <w:rPr>
          <w:sz w:val="20"/>
          <w:szCs w:val="20"/>
          <w:color w:val="auto"/>
        </w:rPr>
      </w:pPr>
    </w:p>
    <w:p>
      <w:pPr>
        <w:ind w:left="1260" w:right="479"/>
        <w:spacing w:after="0" w:line="335" w:lineRule="auto"/>
        <w:rPr>
          <w:sz w:val="20"/>
          <w:szCs w:val="20"/>
          <w:color w:val="auto"/>
        </w:rPr>
      </w:pPr>
      <w:r>
        <w:rPr>
          <w:rFonts w:ascii="Arial" w:cs="Arial" w:eastAsia="Arial" w:hAnsi="Arial"/>
          <w:sz w:val="17"/>
          <w:szCs w:val="17"/>
          <w:color w:val="auto"/>
        </w:rPr>
        <w:t>Certain legal matters in connection with the Notes being offered hereby will be passed upon for us by Vinson &amp; Elkins L.L.P., Houston, Texas and for the underwriters by Baker Botts L.L.P., Houston, Texas.</w:t>
      </w:r>
    </w:p>
    <w:p>
      <w:pPr>
        <w:spacing w:after="0" w:line="87" w:lineRule="exact"/>
        <w:rPr>
          <w:sz w:val="20"/>
          <w:szCs w:val="20"/>
          <w:color w:val="auto"/>
        </w:rPr>
      </w:pPr>
    </w:p>
    <w:p>
      <w:pPr>
        <w:jc w:val="center"/>
        <w:ind w:right="-840"/>
        <w:spacing w:after="0"/>
        <w:rPr>
          <w:sz w:val="20"/>
          <w:szCs w:val="20"/>
          <w:color w:val="auto"/>
        </w:rPr>
      </w:pPr>
      <w:r>
        <w:rPr>
          <w:rFonts w:ascii="Arial" w:cs="Arial" w:eastAsia="Arial" w:hAnsi="Arial"/>
          <w:sz w:val="29"/>
          <w:szCs w:val="29"/>
          <w:b w:val="1"/>
          <w:bCs w:val="1"/>
          <w:color w:val="auto"/>
        </w:rPr>
        <w:t>Experts</w:t>
      </w:r>
    </w:p>
    <w:p>
      <w:pPr>
        <w:spacing w:after="0" w:line="168" w:lineRule="exact"/>
        <w:rPr>
          <w:sz w:val="20"/>
          <w:szCs w:val="20"/>
          <w:color w:val="auto"/>
        </w:rPr>
      </w:pPr>
    </w:p>
    <w:p>
      <w:pPr>
        <w:ind w:left="1260" w:right="459"/>
        <w:spacing w:after="0" w:line="27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26">
        <w:r>
          <w:rPr>
            <w:rFonts w:ascii="Arial" w:cs="Arial" w:eastAsia="Arial" w:hAnsi="Arial"/>
            <w:sz w:val="18"/>
            <w:szCs w:val="18"/>
            <w:color w:val="auto"/>
          </w:rPr>
          <w:t xml:space="preserve">Reporting) incorporated in this Prospectus by reference to the </w:t>
        </w:r>
        <w:r>
          <w:rPr>
            <w:rFonts w:ascii="Arial" w:cs="Arial" w:eastAsia="Arial" w:hAnsi="Arial"/>
            <w:sz w:val="18"/>
            <w:szCs w:val="18"/>
            <w:u w:val="single" w:color="auto"/>
            <w:color w:val="0000EE"/>
          </w:rPr>
          <w:t>Annual Report on Form 10-K for the</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year ended December 31, 2023</w:t>
        </w:r>
        <w:r>
          <w:rPr>
            <w:rFonts w:ascii="Arial" w:cs="Arial" w:eastAsia="Arial" w:hAnsi="Arial"/>
            <w:sz w:val="18"/>
            <w:szCs w:val="18"/>
            <w:color w:val="0000EE"/>
          </w:rPr>
          <w:t xml:space="preserve"> </w:t>
        </w:r>
        <w:r>
          <w:rPr>
            <w:rFonts w:ascii="Arial" w:cs="Arial" w:eastAsia="Arial" w:hAnsi="Arial"/>
            <w:sz w:val="18"/>
            <w:szCs w:val="18"/>
            <w:color w:val="000000"/>
          </w:rPr>
          <w:t>have been so incorporated in reliance on the report of</w:t>
        </w:r>
      </w:hyperlink>
      <w:r>
        <w:rPr>
          <w:rFonts w:ascii="Arial" w:cs="Arial" w:eastAsia="Arial" w:hAnsi="Arial"/>
          <w:sz w:val="18"/>
          <w:szCs w:val="18"/>
          <w:color w:val="0000EE"/>
        </w:rPr>
        <w:t xml:space="preserve"> </w:t>
      </w:r>
      <w:r>
        <w:rPr>
          <w:rFonts w:ascii="Arial" w:cs="Arial" w:eastAsia="Arial" w:hAnsi="Arial"/>
          <w:sz w:val="18"/>
          <w:szCs w:val="18"/>
          <w:color w:val="000000"/>
        </w:rPr>
        <w:t>PricewaterhouseCoopers LLP, an independent registered public accounting firm, given on the authority of said firm as experts in auditing and accounting.</w:t>
      </w:r>
    </w:p>
    <w:p>
      <w:pPr>
        <w:spacing w:after="0" w:line="150" w:lineRule="exact"/>
        <w:rPr>
          <w:sz w:val="20"/>
          <w:szCs w:val="20"/>
          <w:color w:val="auto"/>
        </w:rPr>
      </w:pPr>
    </w:p>
    <w:p>
      <w:pPr>
        <w:ind w:left="2820"/>
        <w:spacing w:after="0"/>
        <w:rPr>
          <w:sz w:val="20"/>
          <w:szCs w:val="20"/>
          <w:color w:val="auto"/>
        </w:rPr>
      </w:pPr>
      <w:r>
        <w:rPr>
          <w:rFonts w:ascii="Arial" w:cs="Arial" w:eastAsia="Arial" w:hAnsi="Arial"/>
          <w:sz w:val="29"/>
          <w:szCs w:val="29"/>
          <w:b w:val="1"/>
          <w:bCs w:val="1"/>
          <w:color w:val="auto"/>
        </w:rPr>
        <w:t>Where you can find more information</w:t>
      </w:r>
    </w:p>
    <w:p>
      <w:pPr>
        <w:spacing w:after="0" w:line="154" w:lineRule="exact"/>
        <w:rPr>
          <w:sz w:val="20"/>
          <w:szCs w:val="20"/>
          <w:color w:val="auto"/>
        </w:rPr>
      </w:pPr>
    </w:p>
    <w:p>
      <w:pPr>
        <w:ind w:left="1260" w:right="419"/>
        <w:spacing w:after="0" w:line="274" w:lineRule="auto"/>
        <w:rPr>
          <w:sz w:val="20"/>
          <w:szCs w:val="20"/>
          <w:color w:val="auto"/>
        </w:rPr>
      </w:pPr>
      <w:r>
        <w:rPr>
          <w:rFonts w:ascii="Arial" w:cs="Arial" w:eastAsia="Arial" w:hAnsi="Arial"/>
          <w:sz w:val="18"/>
          <w:szCs w:val="18"/>
          <w:color w:val="auto"/>
        </w:rPr>
        <w:t>We are “incorporating by reference” into this prospectus supplement information we file with the U.S.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w:t>
      </w:r>
    </w:p>
    <w:p>
      <w:pPr>
        <w:spacing w:after="0" w:line="87" w:lineRule="exact"/>
        <w:rPr>
          <w:sz w:val="20"/>
          <w:szCs w:val="20"/>
          <w:color w:val="auto"/>
        </w:rPr>
      </w:pPr>
    </w:p>
    <w:p>
      <w:pPr>
        <w:ind w:left="1400" w:right="819" w:hanging="140"/>
        <w:spacing w:after="0" w:line="303" w:lineRule="auto"/>
        <w:tabs>
          <w:tab w:leader="none" w:pos="1400" w:val="left"/>
        </w:tabs>
        <w:numPr>
          <w:ilvl w:val="0"/>
          <w:numId w:val="38"/>
        </w:numPr>
        <w:rPr>
          <w:rFonts w:ascii="Arial" w:cs="Arial" w:eastAsia="Arial" w:hAnsi="Arial"/>
          <w:sz w:val="18"/>
          <w:szCs w:val="18"/>
          <w:u w:val="single" w:color="auto"/>
          <w:color w:val="0000EE"/>
        </w:rPr>
      </w:pPr>
      <w:hyperlink r:id="rId26">
        <w:r>
          <w:rPr>
            <w:rFonts w:ascii="Arial" w:cs="Arial" w:eastAsia="Arial" w:hAnsi="Arial"/>
            <w:sz w:val="18"/>
            <w:szCs w:val="18"/>
            <w:u w:val="single" w:color="auto"/>
            <w:color w:val="0000EE"/>
          </w:rPr>
          <w:t>Annual Report on Form 10-K for the fiscal year ended December 31, 2023, including information</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specifically incorporated by reference from our Proxy Statement for our 2024 Annual Meeting;</w:t>
        </w:r>
      </w:hyperlink>
    </w:p>
    <w:p>
      <w:pPr>
        <w:spacing w:after="0" w:line="44" w:lineRule="exact"/>
        <w:rPr>
          <w:rFonts w:ascii="Arial" w:cs="Arial" w:eastAsia="Arial" w:hAnsi="Arial"/>
          <w:sz w:val="18"/>
          <w:szCs w:val="18"/>
          <w:u w:val="single" w:color="auto"/>
          <w:color w:val="0000EE"/>
        </w:rPr>
      </w:pPr>
    </w:p>
    <w:p>
      <w:pPr>
        <w:ind w:left="1400" w:right="1239" w:hanging="140"/>
        <w:spacing w:after="0" w:line="318" w:lineRule="auto"/>
        <w:tabs>
          <w:tab w:leader="none" w:pos="1400" w:val="left"/>
        </w:tabs>
        <w:numPr>
          <w:ilvl w:val="0"/>
          <w:numId w:val="38"/>
        </w:numPr>
        <w:rPr>
          <w:rFonts w:ascii="Arial" w:cs="Arial" w:eastAsia="Arial" w:hAnsi="Arial"/>
          <w:sz w:val="18"/>
          <w:szCs w:val="18"/>
          <w:color w:val="0000EE"/>
        </w:rPr>
      </w:pPr>
      <w:r>
        <w:rPr>
          <w:rFonts w:ascii="Arial" w:cs="Arial" w:eastAsia="Arial" w:hAnsi="Arial"/>
          <w:sz w:val="18"/>
          <w:szCs w:val="18"/>
          <w:color w:val="auto"/>
        </w:rPr>
        <w:t xml:space="preserve">Quarterly Reports on Form 10-Q for the periods ended </w:t>
      </w:r>
      <w:hyperlink r:id="rId31">
        <w:r>
          <w:rPr>
            <w:rFonts w:ascii="Arial" w:cs="Arial" w:eastAsia="Arial" w:hAnsi="Arial"/>
            <w:sz w:val="18"/>
            <w:szCs w:val="18"/>
            <w:u w:val="single" w:color="auto"/>
            <w:color w:val="0000EE"/>
          </w:rPr>
          <w:t>March 31, 2024</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June 30, 2024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3">
        <w:r>
          <w:rPr>
            <w:rFonts w:ascii="Arial" w:cs="Arial" w:eastAsia="Arial" w:hAnsi="Arial"/>
            <w:sz w:val="18"/>
            <w:szCs w:val="18"/>
            <w:u w:val="single" w:color="auto"/>
            <w:color w:val="0000EE"/>
          </w:rPr>
          <w:t>September 30, 2024</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31" w:lineRule="exact"/>
        <w:rPr>
          <w:rFonts w:ascii="Arial" w:cs="Arial" w:eastAsia="Arial" w:hAnsi="Arial"/>
          <w:sz w:val="18"/>
          <w:szCs w:val="18"/>
          <w:color w:val="0000EE"/>
        </w:rPr>
      </w:pPr>
    </w:p>
    <w:p>
      <w:pPr>
        <w:ind w:left="1400" w:right="839" w:hanging="140"/>
        <w:spacing w:after="0" w:line="303" w:lineRule="auto"/>
        <w:tabs>
          <w:tab w:leader="none" w:pos="1400" w:val="left"/>
        </w:tabs>
        <w:numPr>
          <w:ilvl w:val="0"/>
          <w:numId w:val="38"/>
        </w:numPr>
        <w:rPr>
          <w:rFonts w:ascii="Arial" w:cs="Arial" w:eastAsia="Arial" w:hAnsi="Arial"/>
          <w:sz w:val="18"/>
          <w:szCs w:val="18"/>
          <w:color w:val="0000EE"/>
        </w:rPr>
      </w:pPr>
      <w:r>
        <w:rPr>
          <w:rFonts w:ascii="Arial" w:cs="Arial" w:eastAsia="Arial" w:hAnsi="Arial"/>
          <w:sz w:val="18"/>
          <w:szCs w:val="18"/>
          <w:color w:val="auto"/>
        </w:rPr>
        <w:t xml:space="preserve">Current Report on Form 8-K filed with the SEC on </w:t>
      </w:r>
      <w:hyperlink r:id="rId89">
        <w:r>
          <w:rPr>
            <w:rFonts w:ascii="Arial" w:cs="Arial" w:eastAsia="Arial" w:hAnsi="Arial"/>
            <w:sz w:val="18"/>
            <w:szCs w:val="18"/>
            <w:u w:val="single" w:color="auto"/>
            <w:color w:val="0000EE"/>
          </w:rPr>
          <w:t>May 28, 2024</w:t>
        </w:r>
      </w:hyperlink>
      <w:r>
        <w:rPr>
          <w:rFonts w:ascii="Arial" w:cs="Arial" w:eastAsia="Arial" w:hAnsi="Arial"/>
          <w:sz w:val="18"/>
          <w:szCs w:val="18"/>
          <w:color w:val="auto"/>
        </w:rPr>
        <w:t xml:space="preserve">, </w:t>
      </w:r>
      <w:hyperlink r:id="rId90">
        <w:r>
          <w:rPr>
            <w:rFonts w:ascii="Arial" w:cs="Arial" w:eastAsia="Arial" w:hAnsi="Arial"/>
            <w:sz w:val="18"/>
            <w:szCs w:val="18"/>
            <w:u w:val="single" w:color="auto"/>
            <w:color w:val="0000EE"/>
          </w:rPr>
          <w:t>June 20, 2024</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EE"/>
          </w:rPr>
          <w:t>June 27, 2024</w:t>
        </w:r>
      </w:hyperlink>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EE"/>
          </w:rPr>
          <w:t>August 22, 2024</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93">
        <w:r>
          <w:rPr>
            <w:rFonts w:ascii="Arial" w:cs="Arial" w:eastAsia="Arial" w:hAnsi="Arial"/>
            <w:sz w:val="18"/>
            <w:szCs w:val="18"/>
            <w:u w:val="single" w:color="auto"/>
            <w:color w:val="0000EE"/>
          </w:rPr>
          <w:t>January 10, 2025</w:t>
        </w:r>
      </w:hyperlink>
      <w:r>
        <w:rPr>
          <w:rFonts w:ascii="Arial" w:cs="Arial" w:eastAsia="Arial" w:hAnsi="Arial"/>
          <w:sz w:val="18"/>
          <w:szCs w:val="18"/>
          <w:color w:val="000000"/>
        </w:rPr>
        <w:t>.</w:t>
      </w:r>
    </w:p>
    <w:p>
      <w:pPr>
        <w:spacing w:after="0" w:line="85" w:lineRule="exact"/>
        <w:rPr>
          <w:rFonts w:ascii="Arial" w:cs="Arial" w:eastAsia="Arial" w:hAnsi="Arial"/>
          <w:sz w:val="18"/>
          <w:szCs w:val="18"/>
          <w:color w:val="auto"/>
        </w:rPr>
      </w:pPr>
    </w:p>
    <w:p>
      <w:pPr>
        <w:ind w:left="1260" w:right="799"/>
        <w:spacing w:after="0" w:line="292"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95" w:lineRule="exact"/>
        <w:rPr>
          <w:rFonts w:ascii="Arial" w:cs="Arial" w:eastAsia="Arial" w:hAnsi="Arial"/>
          <w:sz w:val="18"/>
          <w:szCs w:val="18"/>
          <w:color w:val="auto"/>
        </w:rPr>
      </w:pPr>
    </w:p>
    <w:p>
      <w:pPr>
        <w:jc w:val="center"/>
        <w:ind w:right="-840"/>
        <w:spacing w:after="0"/>
        <w:rPr>
          <w:sz w:val="20"/>
          <w:szCs w:val="20"/>
          <w:color w:val="auto"/>
        </w:rPr>
      </w:pPr>
      <w:r>
        <w:rPr>
          <w:rFonts w:ascii="Arial" w:cs="Arial" w:eastAsia="Arial" w:hAnsi="Arial"/>
          <w:sz w:val="18"/>
          <w:szCs w:val="18"/>
          <w:color w:val="auto"/>
        </w:rPr>
        <w:t>Plains All American Pipeline, L.P.</w:t>
      </w:r>
    </w:p>
    <w:p>
      <w:pPr>
        <w:spacing w:after="0" w:line="32" w:lineRule="exact"/>
        <w:rPr>
          <w:rFonts w:ascii="Arial" w:cs="Arial" w:eastAsia="Arial" w:hAnsi="Arial"/>
          <w:sz w:val="18"/>
          <w:szCs w:val="18"/>
          <w:color w:val="auto"/>
        </w:rPr>
      </w:pPr>
    </w:p>
    <w:p>
      <w:pPr>
        <w:jc w:val="center"/>
        <w:ind w:right="-840"/>
        <w:spacing w:after="0"/>
        <w:rPr>
          <w:sz w:val="20"/>
          <w:szCs w:val="20"/>
          <w:color w:val="auto"/>
        </w:rPr>
      </w:pPr>
      <w:r>
        <w:rPr>
          <w:rFonts w:ascii="Arial" w:cs="Arial" w:eastAsia="Arial" w:hAnsi="Arial"/>
          <w:sz w:val="18"/>
          <w:szCs w:val="18"/>
          <w:color w:val="auto"/>
        </w:rPr>
        <w:t>333 Clay Street, Suite 1600</w:t>
      </w:r>
    </w:p>
    <w:p>
      <w:pPr>
        <w:spacing w:after="0" w:line="27" w:lineRule="exact"/>
        <w:rPr>
          <w:rFonts w:ascii="Arial" w:cs="Arial" w:eastAsia="Arial" w:hAnsi="Arial"/>
          <w:sz w:val="18"/>
          <w:szCs w:val="18"/>
          <w:color w:val="auto"/>
        </w:rPr>
      </w:pPr>
    </w:p>
    <w:p>
      <w:pPr>
        <w:jc w:val="center"/>
        <w:ind w:right="-840"/>
        <w:spacing w:after="0"/>
        <w:rPr>
          <w:sz w:val="20"/>
          <w:szCs w:val="20"/>
          <w:color w:val="auto"/>
        </w:rPr>
      </w:pPr>
      <w:r>
        <w:rPr>
          <w:rFonts w:ascii="Arial" w:cs="Arial" w:eastAsia="Arial" w:hAnsi="Arial"/>
          <w:sz w:val="18"/>
          <w:szCs w:val="18"/>
          <w:color w:val="auto"/>
        </w:rPr>
        <w:t>Houston, Texas 77002</w:t>
      </w:r>
    </w:p>
    <w:p>
      <w:pPr>
        <w:spacing w:after="0" w:line="32" w:lineRule="exact"/>
        <w:rPr>
          <w:rFonts w:ascii="Arial" w:cs="Arial" w:eastAsia="Arial" w:hAnsi="Arial"/>
          <w:sz w:val="18"/>
          <w:szCs w:val="18"/>
          <w:color w:val="auto"/>
        </w:rPr>
      </w:pPr>
    </w:p>
    <w:p>
      <w:pPr>
        <w:jc w:val="center"/>
        <w:ind w:right="-840"/>
        <w:spacing w:after="0"/>
        <w:rPr>
          <w:sz w:val="20"/>
          <w:szCs w:val="20"/>
          <w:color w:val="auto"/>
        </w:rPr>
      </w:pPr>
      <w:r>
        <w:rPr>
          <w:rFonts w:ascii="Arial" w:cs="Arial" w:eastAsia="Arial" w:hAnsi="Arial"/>
          <w:sz w:val="18"/>
          <w:szCs w:val="18"/>
          <w:color w:val="auto"/>
        </w:rPr>
        <w:t>Attention: Corporate Secretary</w:t>
      </w:r>
    </w:p>
    <w:p>
      <w:pPr>
        <w:spacing w:after="0" w:line="23" w:lineRule="exact"/>
        <w:rPr>
          <w:rFonts w:ascii="Arial" w:cs="Arial" w:eastAsia="Arial" w:hAnsi="Arial"/>
          <w:sz w:val="18"/>
          <w:szCs w:val="18"/>
          <w:color w:val="auto"/>
        </w:rPr>
      </w:pPr>
    </w:p>
    <w:p>
      <w:pPr>
        <w:jc w:val="center"/>
        <w:ind w:right="-840"/>
        <w:spacing w:after="0"/>
        <w:rPr>
          <w:sz w:val="20"/>
          <w:szCs w:val="20"/>
          <w:color w:val="auto"/>
        </w:rPr>
      </w:pPr>
      <w:r>
        <w:rPr>
          <w:rFonts w:ascii="Arial" w:cs="Arial" w:eastAsia="Arial" w:hAnsi="Arial"/>
          <w:sz w:val="18"/>
          <w:szCs w:val="18"/>
          <w:color w:val="auto"/>
        </w:rPr>
        <w:t>Telephone: (713) 646-4100</w:t>
      </w:r>
    </w:p>
    <w:p>
      <w:pPr>
        <w:spacing w:after="0" w:line="162" w:lineRule="exact"/>
        <w:rPr>
          <w:rFonts w:ascii="Arial" w:cs="Arial" w:eastAsia="Arial" w:hAnsi="Arial"/>
          <w:sz w:val="18"/>
          <w:szCs w:val="18"/>
          <w:color w:val="auto"/>
        </w:rPr>
      </w:pPr>
    </w:p>
    <w:p>
      <w:pPr>
        <w:ind w:left="1260" w:right="959"/>
        <w:spacing w:after="0" w:line="318" w:lineRule="auto"/>
        <w:rPr>
          <w:sz w:val="20"/>
          <w:szCs w:val="20"/>
          <w:color w:val="auto"/>
        </w:rPr>
      </w:pPr>
      <w:r>
        <w:rPr>
          <w:rFonts w:ascii="Arial" w:cs="Arial" w:eastAsia="Arial" w:hAnsi="Arial"/>
          <w:sz w:val="18"/>
          <w:szCs w:val="18"/>
          <w:color w:val="auto"/>
        </w:rPr>
        <w:t>The SEC maintains a website that contains reports, proxy and information statements, and other information regarding us. The SEC’s website address is www.sec.gov.</w:t>
      </w:r>
    </w:p>
    <w:p>
      <w:pPr>
        <w:spacing w:after="0" w:line="342" w:lineRule="exact"/>
        <w:rPr>
          <w:rFonts w:ascii="Arial" w:cs="Arial" w:eastAsia="Arial" w:hAnsi="Arial"/>
          <w:sz w:val="18"/>
          <w:szCs w:val="18"/>
          <w:color w:val="auto"/>
        </w:rPr>
      </w:pPr>
    </w:p>
    <w:p>
      <w:pPr>
        <w:ind w:left="5180"/>
        <w:spacing w:after="0"/>
        <w:rPr>
          <w:sz w:val="20"/>
          <w:szCs w:val="20"/>
          <w:color w:val="auto"/>
        </w:rPr>
      </w:pPr>
      <w:r>
        <w:rPr>
          <w:rFonts w:ascii="Arial" w:cs="Arial" w:eastAsia="Arial" w:hAnsi="Arial"/>
          <w:sz w:val="18"/>
          <w:szCs w:val="18"/>
          <w:color w:val="auto"/>
        </w:rPr>
        <w:t>S-42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16"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PAA FINANCE CORP.</w:t>
      </w: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Common Units</w:t>
      </w:r>
    </w:p>
    <w:p>
      <w:pPr>
        <w:spacing w:after="0" w:line="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Preferred Units</w:t>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21"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may offer and sell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0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332" w:lineRule="exact"/>
        <w:rPr>
          <w:sz w:val="20"/>
          <w:szCs w:val="20"/>
          <w:color w:val="auto"/>
        </w:rPr>
      </w:pPr>
    </w:p>
    <w:p>
      <w:pPr>
        <w:ind w:left="1260" w:right="45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Investing in our common units, preferred units and debt securities involves risks. Limited partnerships are inherently different from corporations. You should carefully consider the risk factors described under “Risk Factors” beginning on page </w:t>
      </w:r>
      <w:r>
        <w:rPr>
          <w:rFonts w:ascii="Times New Roman" w:cs="Times New Roman" w:eastAsia="Times New Roman" w:hAnsi="Times New Roman"/>
          <w:sz w:val="17"/>
          <w:szCs w:val="17"/>
          <w:b w:val="1"/>
          <w:bCs w:val="1"/>
          <w:u w:val="single" w:color="auto"/>
          <w:color w:val="0000EE"/>
        </w:rPr>
        <w:t>3</w:t>
      </w:r>
      <w:r>
        <w:rPr>
          <w:rFonts w:ascii="Times New Roman" w:cs="Times New Roman" w:eastAsia="Times New Roman" w:hAnsi="Times New Roman"/>
          <w:sz w:val="17"/>
          <w:szCs w:val="17"/>
          <w:b w:val="1"/>
          <w:bCs w:val="1"/>
          <w:color w:val="auto"/>
        </w:rPr>
        <w:t xml:space="preserve"> of this prospectus before you make an investment in our securities.</w:t>
      </w:r>
    </w:p>
    <w:p>
      <w:pPr>
        <w:spacing w:after="0" w:line="89"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Our common units are traded on the Nasdaq Global Select Market under the symbol “PAA.” We will provide information in the prospectus supplement for the trading market, if any, for any preferred units or debt securities we may offer.</w:t>
      </w:r>
    </w:p>
    <w:p>
      <w:pPr>
        <w:spacing w:after="0" w:line="91" w:lineRule="exact"/>
        <w:rPr>
          <w:sz w:val="20"/>
          <w:szCs w:val="20"/>
          <w:color w:val="auto"/>
        </w:rPr>
      </w:pPr>
    </w:p>
    <w:p>
      <w:pPr>
        <w:ind w:left="126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these securities or determined if this prospectus is truthful or complete. Any representation to the contrary is a criminal offense.</w:t>
      </w:r>
    </w:p>
    <w:p>
      <w:pPr>
        <w:spacing w:after="0" w:line="17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2835910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720" w:type="dxa"/>
            <w:vAlign w:val="bottom"/>
            <w:gridSpan w:val="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EE"/>
              </w:rPr>
              <w:t>About This Prospectus</w:t>
            </w:r>
          </w:p>
        </w:tc>
        <w:tc>
          <w:tcPr>
            <w:tcW w:w="4720" w:type="dxa"/>
            <w:vAlign w:val="bottom"/>
            <w:gridSpan w:val="9"/>
            <w:shd w:val="clear" w:color="auto" w:fill="CCEEFF"/>
          </w:tcPr>
          <w:p>
            <w:pPr>
              <w:spacing w:after="0"/>
              <w:rPr>
                <w:sz w:val="14"/>
                <w:szCs w:val="14"/>
                <w:color w:val="auto"/>
              </w:rPr>
            </w:pPr>
          </w:p>
        </w:tc>
        <w:tc>
          <w:tcPr>
            <w:tcW w:w="1760" w:type="dxa"/>
            <w:vAlign w:val="bottom"/>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ii</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tcBorders>
              <w:left w:val="single" w:sz="8" w:color="CCEEFF"/>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580" w:type="dxa"/>
            <w:vAlign w:val="bottom"/>
          </w:tcPr>
          <w:p>
            <w:pPr>
              <w:spacing w:after="0"/>
              <w:rPr>
                <w:sz w:val="17"/>
                <w:szCs w:val="17"/>
                <w:color w:val="auto"/>
              </w:rPr>
            </w:pPr>
          </w:p>
        </w:tc>
        <w:tc>
          <w:tcPr>
            <w:tcW w:w="1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EE"/>
              </w:rPr>
              <w:t>iii</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000" w:type="dxa"/>
            <w:vAlign w:val="bottom"/>
            <w:gridSpan w:val="11"/>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20" w:type="dxa"/>
            <w:vAlign w:val="bottom"/>
            <w:gridSpan w:val="2"/>
            <w:shd w:val="clear" w:color="auto" w:fill="0000EE"/>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162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5"/>
              </w:rPr>
              <w:t>iv</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200" w:type="dxa"/>
            <w:vAlign w:val="bottom"/>
            <w:tcBorders>
              <w:bottom w:val="single" w:sz="8" w:color="CCEEFF"/>
            </w:tcBorders>
            <w:gridSpan w:val="8"/>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6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About Plains All American Pipeline, L.P.</w:t>
            </w:r>
          </w:p>
        </w:tc>
        <w:tc>
          <w:tcPr>
            <w:tcW w:w="162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20" w:type="dxa"/>
            <w:vAlign w:val="bottom"/>
            <w:gridSpan w:val="1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62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940" w:type="dxa"/>
            <w:vAlign w:val="bottom"/>
            <w:tcBorders>
              <w:bottom w:val="single" w:sz="8" w:color="CCEEFF"/>
            </w:tcBorders>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360" w:type="dxa"/>
            <w:vAlign w:val="bottom"/>
            <w:tcBorders>
              <w:bottom w:val="single" w:sz="8" w:color="CCEEFF"/>
            </w:tcBorders>
            <w:gridSpan w:val="2"/>
            <w:shd w:val="clear" w:color="auto" w:fill="CCEEFF"/>
          </w:tcPr>
          <w:p>
            <w:pPr>
              <w:spacing w:after="0"/>
              <w:rPr>
                <w:sz w:val="2"/>
                <w:szCs w:val="2"/>
                <w:color w:val="auto"/>
              </w:rPr>
            </w:pPr>
          </w:p>
        </w:tc>
        <w:tc>
          <w:tcPr>
            <w:tcW w:w="7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gridSpan w:val="3"/>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6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left w:val="single" w:sz="8" w:color="CCEEFF"/>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62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20" w:type="dxa"/>
            <w:vAlign w:val="bottom"/>
            <w:gridSpan w:val="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Our Debt Securities</w:t>
            </w:r>
          </w:p>
        </w:tc>
        <w:tc>
          <w:tcPr>
            <w:tcW w:w="162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640" w:type="dxa"/>
            <w:vAlign w:val="bottom"/>
            <w:tcBorders>
              <w:bottom w:val="single" w:sz="8" w:color="CCEEFF"/>
            </w:tcBorders>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0" w:type="dxa"/>
            <w:vAlign w:val="bottom"/>
            <w:tcBorders>
              <w:bottom w:val="single" w:sz="8" w:color="CCEEFF"/>
            </w:tcBorders>
            <w:gridSpan w:val="3"/>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6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left w:val="single" w:sz="8" w:color="CCEEFF"/>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Description of Our Preferred Units</w:t>
            </w:r>
          </w:p>
        </w:tc>
        <w:tc>
          <w:tcPr>
            <w:tcW w:w="1760" w:type="dxa"/>
            <w:vAlign w:val="bottom"/>
            <w:gridSpan w:val="4"/>
          </w:tcPr>
          <w:p>
            <w:pPr>
              <w:ind w:left="1580"/>
              <w:spacing w:after="0"/>
              <w:rPr>
                <w:sz w:val="20"/>
                <w:szCs w:val="20"/>
                <w:color w:val="auto"/>
              </w:rPr>
            </w:pPr>
            <w:r>
              <w:rPr>
                <w:rFonts w:ascii="Times New Roman" w:cs="Times New Roman" w:eastAsia="Times New Roman" w:hAnsi="Times New Roman"/>
                <w:sz w:val="18"/>
                <w:szCs w:val="18"/>
                <w:color w:val="0000EE"/>
                <w:w w:val="77"/>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40" w:type="dxa"/>
            <w:vAlign w:val="bottom"/>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Our Common Units</w:t>
            </w:r>
          </w:p>
        </w:tc>
        <w:tc>
          <w:tcPr>
            <w:tcW w:w="1760" w:type="dxa"/>
            <w:vAlign w:val="bottom"/>
            <w:gridSpan w:val="4"/>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620" w:type="dxa"/>
            <w:vAlign w:val="bottom"/>
            <w:tcBorders>
              <w:bottom w:val="single" w:sz="8" w:color="CCEEFF"/>
            </w:tcBorders>
            <w:gridSpan w:val="9"/>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600" w:type="dxa"/>
            <w:vAlign w:val="bottom"/>
            <w:tcBorders>
              <w:bottom w:val="single" w:sz="8" w:color="CCEEFF"/>
            </w:tcBorders>
            <w:gridSpan w:val="4"/>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Cash Distribution Policy</w:t>
            </w:r>
          </w:p>
        </w:tc>
        <w:tc>
          <w:tcPr>
            <w:tcW w:w="1760" w:type="dxa"/>
            <w:vAlign w:val="bottom"/>
            <w:gridSpan w:val="4"/>
          </w:tcPr>
          <w:p>
            <w:pPr>
              <w:ind w:left="1580"/>
              <w:spacing w:after="0"/>
              <w:rPr>
                <w:sz w:val="20"/>
                <w:szCs w:val="20"/>
                <w:color w:val="auto"/>
              </w:rPr>
            </w:pPr>
            <w:r>
              <w:rPr>
                <w:rFonts w:ascii="Times New Roman" w:cs="Times New Roman" w:eastAsia="Times New Roman" w:hAnsi="Times New Roman"/>
                <w:sz w:val="18"/>
                <w:szCs w:val="18"/>
                <w:color w:val="0000EE"/>
                <w:w w:val="77"/>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60" w:type="dxa"/>
            <w:vAlign w:val="bottom"/>
            <w:gridSpan w:val="7"/>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360" w:type="dxa"/>
            <w:vAlign w:val="bottom"/>
            <w:gridSpan w:val="6"/>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Our Partnership Agreement</w:t>
            </w:r>
          </w:p>
        </w:tc>
        <w:tc>
          <w:tcPr>
            <w:tcW w:w="1760" w:type="dxa"/>
            <w:vAlign w:val="bottom"/>
            <w:gridSpan w:val="4"/>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220" w:type="dxa"/>
            <w:vAlign w:val="bottom"/>
            <w:tcBorders>
              <w:bottom w:val="single" w:sz="8" w:color="CCEEFF"/>
            </w:tcBorders>
            <w:gridSpan w:val="1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1760" w:type="dxa"/>
            <w:vAlign w:val="bottom"/>
            <w:gridSpan w:val="4"/>
          </w:tcPr>
          <w:p>
            <w:pPr>
              <w:ind w:left="1580"/>
              <w:spacing w:after="0"/>
              <w:rPr>
                <w:sz w:val="20"/>
                <w:szCs w:val="20"/>
                <w:color w:val="auto"/>
              </w:rPr>
            </w:pPr>
            <w:r>
              <w:rPr>
                <w:rFonts w:ascii="Times New Roman" w:cs="Times New Roman" w:eastAsia="Times New Roman" w:hAnsi="Times New Roman"/>
                <w:sz w:val="18"/>
                <w:szCs w:val="18"/>
                <w:color w:val="0000EE"/>
                <w:w w:val="77"/>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00" w:type="dxa"/>
            <w:vAlign w:val="bottom"/>
            <w:gridSpan w:val="1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740" w:type="dxa"/>
            <w:vAlign w:val="bottom"/>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760" w:type="dxa"/>
            <w:vAlign w:val="bottom"/>
            <w:gridSpan w:val="4"/>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500" w:type="dxa"/>
            <w:vAlign w:val="bottom"/>
            <w:tcBorders>
              <w:bottom w:val="single" w:sz="8" w:color="CCEEFF"/>
            </w:tcBorders>
            <w:gridSpan w:val="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940" w:type="dxa"/>
            <w:vAlign w:val="bottom"/>
            <w:tcBorders>
              <w:bottom w:val="single" w:sz="8" w:color="CCEEFF"/>
            </w:tcBorders>
            <w:gridSpan w:val="10"/>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1760" w:type="dxa"/>
            <w:vAlign w:val="bottom"/>
            <w:gridSpan w:val="4"/>
          </w:tcPr>
          <w:p>
            <w:pPr>
              <w:ind w:left="1580"/>
              <w:spacing w:after="0"/>
              <w:rPr>
                <w:sz w:val="20"/>
                <w:szCs w:val="20"/>
                <w:color w:val="auto"/>
              </w:rPr>
            </w:pPr>
            <w:r>
              <w:rPr>
                <w:rFonts w:ascii="Times New Roman" w:cs="Times New Roman" w:eastAsia="Times New Roman" w:hAnsi="Times New Roman"/>
                <w:sz w:val="18"/>
                <w:szCs w:val="18"/>
                <w:color w:val="0000EE"/>
                <w:w w:val="77"/>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6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380" w:type="dxa"/>
            <w:vAlign w:val="bottom"/>
            <w:gridSpan w:val="12"/>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1760" w:type="dxa"/>
            <w:vAlign w:val="bottom"/>
            <w:gridSpan w:val="4"/>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60" w:type="dxa"/>
            <w:vAlign w:val="bottom"/>
            <w:tcBorders>
              <w:bottom w:val="single" w:sz="8" w:color="CCEEFF"/>
            </w:tcBorders>
            <w:gridSpan w:val="14"/>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116"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and PAA Finance Corp. have filed with the U.S.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Our business, financial condition, results of operations and prospects may have changed since such dates.</w:t>
      </w:r>
    </w:p>
    <w:p>
      <w:pPr>
        <w:spacing w:after="0" w:line="121"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We incorporate by reference the documents listed below and any future filings we make with the SEC under Section 13(a), 13(c), 14 or 15(d) of the Securities Exchange Act of 1934, as amended (the “Exchange Act”) (excluding, in each case, any information furnished pursuant to Item 2.02 or 7.01 of any Current Report on Form 8-K) until all offerings under the registration statement and the prospectus are completed:</w:t>
      </w:r>
    </w:p>
    <w:p>
      <w:pPr>
        <w:spacing w:after="0" w:line="72" w:lineRule="exact"/>
        <w:rPr>
          <w:sz w:val="20"/>
          <w:szCs w:val="20"/>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u w:val="single" w:color="auto"/>
          <w:color w:val="0000EE"/>
        </w:rPr>
      </w:pPr>
      <w:hyperlink r:id="rId26">
        <w:r>
          <w:rPr>
            <w:rFonts w:ascii="Times New Roman" w:cs="Times New Roman" w:eastAsia="Times New Roman" w:hAnsi="Times New Roman"/>
            <w:sz w:val="18"/>
            <w:szCs w:val="18"/>
            <w:u w:val="single" w:color="auto"/>
            <w:color w:val="0000EE"/>
          </w:rPr>
          <w:t>our Annual Report on Form 10-K for the fiscal year ended December 31, 2023;</w:t>
        </w:r>
      </w:hyperlink>
    </w:p>
    <w:p>
      <w:pPr>
        <w:spacing w:after="0" w:line="117" w:lineRule="exact"/>
        <w:rPr>
          <w:rFonts w:ascii="Times New Roman" w:cs="Times New Roman" w:eastAsia="Times New Roman" w:hAnsi="Times New Roman"/>
          <w:sz w:val="18"/>
          <w:szCs w:val="18"/>
          <w:u w:val="single" w:color="auto"/>
          <w:color w:val="0000EE"/>
        </w:rPr>
      </w:pPr>
    </w:p>
    <w:p>
      <w:pPr>
        <w:ind w:left="1800" w:right="679" w:hanging="180"/>
        <w:spacing w:after="0" w:line="282" w:lineRule="auto"/>
        <w:tabs>
          <w:tab w:leader="none" w:pos="1800" w:val="left"/>
        </w:tabs>
        <w:numPr>
          <w:ilvl w:val="0"/>
          <w:numId w:val="39"/>
        </w:numPr>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auto"/>
          </w:rPr>
          <w:t xml:space="preserve">our Quarterly Reports on Form 10-Q for the quarterly periods ended </w:t>
        </w:r>
        <w:r>
          <w:rPr>
            <w:rFonts w:ascii="Times New Roman" w:cs="Times New Roman" w:eastAsia="Times New Roman" w:hAnsi="Times New Roman"/>
            <w:sz w:val="18"/>
            <w:szCs w:val="18"/>
            <w:u w:val="single" w:color="auto"/>
            <w:color w:val="0000EE"/>
          </w:rPr>
          <w:t>March 31,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June 30,</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800" w:right="1199" w:hanging="180"/>
        <w:spacing w:after="0" w:line="282" w:lineRule="auto"/>
        <w:tabs>
          <w:tab w:leader="none" w:pos="1800" w:val="left"/>
        </w:tabs>
        <w:numPr>
          <w:ilvl w:val="0"/>
          <w:numId w:val="3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on </w:t>
      </w:r>
      <w:hyperlink r:id="rId89">
        <w:r>
          <w:rPr>
            <w:rFonts w:ascii="Times New Roman" w:cs="Times New Roman" w:eastAsia="Times New Roman" w:hAnsi="Times New Roman"/>
            <w:sz w:val="18"/>
            <w:szCs w:val="18"/>
            <w:u w:val="single" w:color="auto"/>
            <w:color w:val="0000EE"/>
          </w:rPr>
          <w:t>May 28, 2024</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EE"/>
          </w:rPr>
          <w:t>June 20, 2024</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EE"/>
          </w:rPr>
          <w:t>June 27,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2">
        <w:r>
          <w:rPr>
            <w:rFonts w:ascii="Times New Roman" w:cs="Times New Roman" w:eastAsia="Times New Roman" w:hAnsi="Times New Roman"/>
            <w:sz w:val="18"/>
            <w:szCs w:val="18"/>
            <w:u w:val="single" w:color="auto"/>
            <w:color w:val="0000EE"/>
          </w:rPr>
          <w:t>August 22, 2024</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800" w:right="439" w:hanging="180"/>
        <w:spacing w:after="0" w:line="266" w:lineRule="auto"/>
        <w:tabs>
          <w:tab w:leader="none" w:pos="1800" w:val="left"/>
        </w:tabs>
        <w:numPr>
          <w:ilvl w:val="0"/>
          <w:numId w:val="39"/>
        </w:numPr>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auto"/>
          </w:rPr>
          <w:t xml:space="preserve">information specifically incorporated by reference into our </w:t>
        </w:r>
        <w:r>
          <w:rPr>
            <w:rFonts w:ascii="Times New Roman" w:cs="Times New Roman" w:eastAsia="Times New Roman" w:hAnsi="Times New Roman"/>
            <w:sz w:val="18"/>
            <w:szCs w:val="18"/>
            <w:u w:val="single" w:color="auto"/>
            <w:color w:val="0000EE"/>
          </w:rPr>
          <w:t>Annual Report on Form 10-K for the year</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from our proxy statement, on Schedule 14A, filed with the SEC on</w:t>
        </w:r>
      </w:hyperlink>
      <w:r>
        <w:rPr>
          <w:rFonts w:ascii="Times New Roman" w:cs="Times New Roman" w:eastAsia="Times New Roman" w:hAnsi="Times New Roman"/>
          <w:sz w:val="18"/>
          <w:szCs w:val="18"/>
          <w:color w:val="0000EE"/>
        </w:rPr>
        <w:t xml:space="preserve"> </w:t>
      </w:r>
      <w:hyperlink r:id="rId98">
        <w:r>
          <w:rPr>
            <w:rFonts w:ascii="Times New Roman" w:cs="Times New Roman" w:eastAsia="Times New Roman" w:hAnsi="Times New Roman"/>
            <w:sz w:val="18"/>
            <w:szCs w:val="18"/>
            <w:u w:val="single" w:color="auto"/>
            <w:color w:val="0000EE"/>
          </w:rPr>
          <w:t>April 12,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jc w:val="both"/>
        <w:ind w:left="1800" w:right="599" w:hanging="180"/>
        <w:spacing w:after="0" w:line="261" w:lineRule="auto"/>
        <w:tabs>
          <w:tab w:leader="none" w:pos="1800" w:val="left"/>
        </w:tabs>
        <w:numPr>
          <w:ilvl w:val="0"/>
          <w:numId w:val="3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units contained in </w:t>
      </w:r>
      <w:hyperlink r:id="rId99">
        <w:r>
          <w:rPr>
            <w:rFonts w:ascii="Times New Roman" w:cs="Times New Roman" w:eastAsia="Times New Roman" w:hAnsi="Times New Roman"/>
            <w:sz w:val="18"/>
            <w:szCs w:val="18"/>
            <w:u w:val="single" w:color="auto"/>
            <w:color w:val="0000EE"/>
          </w:rPr>
          <w:t>Exhibit 4.16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our Annual Report on Form 10-K </w:t>
      </w:r>
      <w:hyperlink r:id="rId100">
        <w:r>
          <w:rPr>
            <w:rFonts w:ascii="Times New Roman" w:cs="Times New Roman" w:eastAsia="Times New Roman" w:hAnsi="Times New Roman"/>
            <w:sz w:val="18"/>
            <w:szCs w:val="18"/>
            <w:color w:val="auto"/>
          </w:rPr>
          <w:t xml:space="preserve">for the year ended December 31, 2023, </w:t>
        </w:r>
        <w:r>
          <w:rPr>
            <w:rFonts w:ascii="Times New Roman" w:cs="Times New Roman" w:eastAsia="Times New Roman" w:hAnsi="Times New Roman"/>
            <w:sz w:val="18"/>
            <w:szCs w:val="18"/>
            <w:u w:val="single" w:color="auto"/>
            <w:color w:val="0000EE"/>
          </w:rPr>
          <w:t>Form 8-A/A dated November 16, 2016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Form 8-A dated</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EE"/>
          </w:rPr>
          <w:t>December 11, 2020</w:t>
        </w:r>
        <w:r>
          <w:rPr>
            <w:rFonts w:ascii="Times New Roman" w:cs="Times New Roman" w:eastAsia="Times New Roman" w:hAnsi="Times New Roman"/>
            <w:sz w:val="18"/>
            <w:szCs w:val="18"/>
            <w:color w:val="000000"/>
          </w:rPr>
          <w:t>, and any subsequent amendment thereto filed for the purpose of updating such</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description.</w:t>
      </w:r>
    </w:p>
    <w:p>
      <w:pPr>
        <w:spacing w:after="0" w:line="99" w:lineRule="exact"/>
        <w:rPr>
          <w:rFonts w:ascii="Times New Roman" w:cs="Times New Roman" w:eastAsia="Times New Roman" w:hAnsi="Times New Roman"/>
          <w:sz w:val="18"/>
          <w:szCs w:val="18"/>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You may request a copy of any document incorporated by reference into this prospectus and any exhibit specifically incorporated by reference in those documents, at no cost, by writing or telephoning us at the following address or phone number:</w:t>
      </w:r>
    </w:p>
    <w:p>
      <w:pPr>
        <w:spacing w:after="0" w:line="108" w:lineRule="exact"/>
        <w:rPr>
          <w:rFonts w:ascii="Times New Roman" w:cs="Times New Roman" w:eastAsia="Times New Roman" w:hAnsi="Times New Roman"/>
          <w:sz w:val="18"/>
          <w:szCs w:val="18"/>
          <w:color w:val="auto"/>
        </w:rPr>
      </w:pPr>
    </w:p>
    <w:p>
      <w:pPr>
        <w:ind w:left="40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rFonts w:ascii="Times New Roman" w:cs="Times New Roman" w:eastAsia="Times New Roman" w:hAnsi="Times New Roman"/>
          <w:sz w:val="18"/>
          <w:szCs w:val="18"/>
          <w:color w:val="auto"/>
        </w:rPr>
      </w:pPr>
    </w:p>
    <w:p>
      <w:pPr>
        <w:ind w:left="430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rFonts w:ascii="Times New Roman" w:cs="Times New Roman" w:eastAsia="Times New Roman" w:hAnsi="Times New Roman"/>
          <w:sz w:val="18"/>
          <w:szCs w:val="18"/>
          <w:color w:val="auto"/>
        </w:rPr>
      </w:pPr>
    </w:p>
    <w:p>
      <w:pPr>
        <w:ind w:left="45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rFonts w:ascii="Times New Roman" w:cs="Times New Roman" w:eastAsia="Times New Roman" w:hAnsi="Times New Roman"/>
          <w:sz w:val="18"/>
          <w:szCs w:val="18"/>
          <w:color w:val="auto"/>
        </w:rPr>
      </w:pPr>
    </w:p>
    <w:p>
      <w:pPr>
        <w:ind w:left="418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ind w:left="4340"/>
        <w:spacing w:after="0"/>
        <w:rPr>
          <w:sz w:val="20"/>
          <w:szCs w:val="20"/>
          <w:color w:val="auto"/>
        </w:rPr>
      </w:pPr>
      <w:r>
        <w:rPr>
          <w:rFonts w:ascii="Times New Roman" w:cs="Times New Roman" w:eastAsia="Times New Roman" w:hAnsi="Times New Roman"/>
          <w:sz w:val="18"/>
          <w:szCs w:val="18"/>
          <w:color w:val="auto"/>
        </w:rPr>
        <w:t>Telephone: (713) 646-4100</w:t>
      </w:r>
    </w:p>
    <w:p>
      <w:pPr>
        <w:spacing w:after="0" w:line="139" w:lineRule="exact"/>
        <w:rPr>
          <w:rFonts w:ascii="Times New Roman" w:cs="Times New Roman" w:eastAsia="Times New Roman" w:hAnsi="Times New Roman"/>
          <w:sz w:val="18"/>
          <w:szCs w:val="18"/>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We file periodic reports, current reports, proxy statements and other information with the SEC. The SEC maintains an internet site that contains information we have filed electronically with the SEC, which you can access over the internet at http://www.sec.gov. Our SEC filings are also available free of charge on our website at www.plains.com under “Investor Relations”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77" w:lineRule="exact"/>
        <w:rPr>
          <w:sz w:val="20"/>
          <w:szCs w:val="20"/>
          <w:color w:val="auto"/>
        </w:rPr>
      </w:pPr>
    </w:p>
    <w:p>
      <w:pPr>
        <w:ind w:left="1800" w:right="539" w:hanging="180"/>
        <w:spacing w:after="0" w:line="25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52"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272"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4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26"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58"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4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26"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54"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wildfires and drought);</w:t>
      </w:r>
    </w:p>
    <w:p>
      <w:pPr>
        <w:spacing w:after="0" w:line="26" w:lineRule="exact"/>
        <w:rPr>
          <w:rFonts w:ascii="Times New Roman" w:cs="Times New Roman" w:eastAsia="Times New Roman" w:hAnsi="Times New Roman"/>
          <w:sz w:val="18"/>
          <w:szCs w:val="18"/>
          <w:color w:val="auto"/>
        </w:rPr>
      </w:pPr>
    </w:p>
    <w:p>
      <w:pPr>
        <w:ind w:left="1800" w:right="939" w:hanging="180"/>
        <w:spacing w:after="0" w:line="261"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accounting standards and statements, and related interpretations that</w:t>
      </w:r>
    </w:p>
    <w:p>
      <w:pPr>
        <w:ind w:left="1800" w:right="4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prohibit, restrict or regulate the development of oil and gas resources and the related infrastructure on lands dedicated to or served by our pipelines or (ii) negatively impact our ability to develop, operate or repair midstream assets;</w:t>
      </w:r>
    </w:p>
    <w:p>
      <w:pPr>
        <w:spacing w:after="0" w:line="64"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0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ratings and ability to receive open credit from our suppliers and trade counterparties;</w:t>
      </w:r>
    </w:p>
    <w:p>
      <w:pPr>
        <w:spacing w:after="0" w:line="26"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54"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w:t>
      </w:r>
    </w:p>
    <w:p>
      <w:pPr>
        <w:spacing w:after="0" w:line="40" w:lineRule="exact"/>
        <w:rPr>
          <w:rFonts w:ascii="Times New Roman" w:cs="Times New Roman" w:eastAsia="Times New Roman" w:hAnsi="Times New Roman"/>
          <w:sz w:val="18"/>
          <w:szCs w:val="18"/>
          <w:color w:val="auto"/>
        </w:rPr>
      </w:pPr>
    </w:p>
    <w:p>
      <w:pPr>
        <w:ind w:left="1800" w:right="559" w:hanging="180"/>
        <w:spacing w:after="0" w:line="25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65" w:lineRule="exact"/>
        <w:rPr>
          <w:rFonts w:ascii="Times New Roman" w:cs="Times New Roman" w:eastAsia="Times New Roman" w:hAnsi="Times New Roman"/>
          <w:sz w:val="18"/>
          <w:szCs w:val="18"/>
          <w:color w:val="auto"/>
        </w:rPr>
      </w:pPr>
    </w:p>
    <w:p>
      <w:pPr>
        <w:ind w:left="1800" w:right="619" w:hanging="180"/>
        <w:spacing w:after="0" w:line="263"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278"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26"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40"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54"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26"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03" w:lineRule="exact"/>
        <w:rPr>
          <w:rFonts w:ascii="Times New Roman" w:cs="Times New Roman" w:eastAsia="Times New Roman" w:hAnsi="Times New Roman"/>
          <w:sz w:val="18"/>
          <w:szCs w:val="18"/>
          <w:color w:val="auto"/>
        </w:rPr>
      </w:pPr>
    </w:p>
    <w:p>
      <w:pPr>
        <w:jc w:val="both"/>
        <w:ind w:left="1800" w:right="619" w:hanging="180"/>
        <w:spacing w:after="0" w:line="275"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0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infrastructure and its impact on expected crude oil production growth in the Permian Basin; and</w:t>
      </w:r>
    </w:p>
    <w:p>
      <w:pPr>
        <w:spacing w:after="0" w:line="40" w:lineRule="exact"/>
        <w:rPr>
          <w:rFonts w:ascii="Times New Roman" w:cs="Times New Roman" w:eastAsia="Times New Roman" w:hAnsi="Times New Roman"/>
          <w:sz w:val="18"/>
          <w:szCs w:val="18"/>
          <w:color w:val="auto"/>
        </w:rPr>
      </w:pPr>
    </w:p>
    <w:p>
      <w:pPr>
        <w:jc w:val="both"/>
        <w:ind w:left="1800" w:right="55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Other factors described or incorporated by reference herein, as well as factors that are unknown or unpredictable, could also have a material adverse effect on future results. See “Risk Factors” beginning on </w:t>
      </w:r>
      <w:hyperlink r:id="rId26">
        <w:r>
          <w:rPr>
            <w:rFonts w:ascii="Times New Roman" w:cs="Times New Roman" w:eastAsia="Times New Roman" w:hAnsi="Times New Roman"/>
            <w:sz w:val="18"/>
            <w:szCs w:val="18"/>
            <w:color w:val="auto"/>
          </w:rPr>
          <w:t xml:space="preserve">page 3 of this prospectus and discussed in Item 1A. “Risk Factors” in our Annual Report on </w:t>
        </w:r>
        <w:r>
          <w:rPr>
            <w:rFonts w:ascii="Times New Roman" w:cs="Times New Roman" w:eastAsia="Times New Roman" w:hAnsi="Times New Roman"/>
            <w:sz w:val="18"/>
            <w:szCs w:val="18"/>
            <w:u w:val="single" w:color="auto"/>
            <w:color w:val="0000EE"/>
          </w:rPr>
          <w:t>Form 10-K for</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the year ended December 31, 2023 (File No. 001-14569)</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in any of our subsequent quarterly or current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reports, which are incorporated into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ABOUT PLAINS ALL AMERICAN PIPELINE, L.P.</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We are a Delaware limited partnership formed in 1998. Our operations are conducted directly and indirectly through our primary operating subsidiaries.</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and conducted through two operating segments: Crude Oil and NGL.</w:t>
      </w:r>
    </w:p>
    <w:p>
      <w:pPr>
        <w:spacing w:after="0" w:line="10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1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Our non-economic general partner interest is held by PAA GP, whose sole member is AAP. In addition to its ownership of PAA GP, as of June 30, 2024, AAP also owned a limited partner interest in us through its ownership of approximately 232.7 million of our common units (approximately 30% of our total outstanding common units and Series A preferred units combined). GP LLC is AAP’s general partner. PAGP is the sole and managing member of GP LLC, and, at June 30, 2024, owned an approximate 85% limited partner interest in AAP. PAGP GP is the general partner of PAGP.</w:t>
      </w:r>
    </w:p>
    <w:p>
      <w:pPr>
        <w:spacing w:after="0" w:line="120"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99"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Ongoing Activities Related to Strategic Transactions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337"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Executive Offices and Internet Address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333 Clay Street, Suite 1600, Houston, Texas 77002 and our telephone number is (713) 646-4100. We maintain a website at </w:t>
      </w:r>
      <w:r>
        <w:rPr>
          <w:rFonts w:ascii="Times New Roman" w:cs="Times New Roman" w:eastAsia="Times New Roman" w:hAnsi="Times New Roman"/>
          <w:sz w:val="18"/>
          <w:szCs w:val="18"/>
          <w:i w:val="1"/>
          <w:iCs w:val="1"/>
          <w:color w:val="auto"/>
        </w:rPr>
        <w:t>www.plains.com</w:t>
      </w:r>
      <w:r>
        <w:rPr>
          <w:rFonts w:ascii="Times New Roman" w:cs="Times New Roman" w:eastAsia="Times New Roman" w:hAnsi="Times New Roman"/>
          <w:sz w:val="18"/>
          <w:szCs w:val="18"/>
          <w:color w:val="auto"/>
        </w:rPr>
        <w:t xml:space="preserve">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ind w:left="1260" w:right="439" w:firstLine="360"/>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For additional information about us please refer to the documents set forth under “Where You Can Find </w:t>
      </w:r>
      <w:hyperlink r:id="rId26">
        <w:r>
          <w:rPr>
            <w:rFonts w:ascii="Times New Roman" w:cs="Times New Roman" w:eastAsia="Times New Roman" w:hAnsi="Times New Roman"/>
            <w:sz w:val="18"/>
            <w:szCs w:val="18"/>
            <w:color w:val="auto"/>
          </w:rPr>
          <w:t xml:space="preserve">More Information” in this prospectus, including our </w:t>
        </w:r>
        <w:r>
          <w:rPr>
            <w:rFonts w:ascii="Times New Roman" w:cs="Times New Roman" w:eastAsia="Times New Roman" w:hAnsi="Times New Roman"/>
            <w:sz w:val="18"/>
            <w:szCs w:val="18"/>
            <w:u w:val="single" w:color="auto"/>
            <w:color w:val="0000EE"/>
          </w:rPr>
          <w:t>Annual Report on Form 10-K for the fiscal year ended</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December 31, 2023 (File No. 001-14569)</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any of our subsequent quarterly reports or current reports,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19" w:firstLine="360"/>
        <w:spacing w:after="0" w:line="253"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An investment in our securities involves a high degree of risk. Before you invest in our securities, you </w:t>
      </w:r>
      <w:hyperlink r:id="rId26">
        <w:r>
          <w:rPr>
            <w:rFonts w:ascii="Times New Roman" w:cs="Times New Roman" w:eastAsia="Times New Roman" w:hAnsi="Times New Roman"/>
            <w:sz w:val="18"/>
            <w:szCs w:val="18"/>
            <w:color w:val="auto"/>
          </w:rPr>
          <w:t xml:space="preserve">should carefully consider the risk factors included in Item 1A. “Risk Factors” in our </w:t>
        </w:r>
        <w:r>
          <w:rPr>
            <w:rFonts w:ascii="Times New Roman" w:cs="Times New Roman" w:eastAsia="Times New Roman" w:hAnsi="Times New Roman"/>
            <w:sz w:val="18"/>
            <w:szCs w:val="18"/>
            <w:u w:val="single" w:color="auto"/>
            <w:color w:val="0000EE"/>
          </w:rPr>
          <w:t>Annual Report on Form</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10-K for the year ended December 31, 2023 (File No. 001-14569)</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in any of our subsequent quarterly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reports or current reports, which are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to the contrary in an applicable prospectus supplement, we intend to use the net proceeds we receive from the sale of securities covered by this prospectus and any prospectus supplement for general partnership purposes, which may include, among other things, repayment of indebtedness, acquisitions, capital expenditures and additions to working capital.</w:t>
      </w:r>
    </w:p>
    <w:p>
      <w:pPr>
        <w:spacing w:after="0" w:line="11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Any specific allocation of the net proceeds of an offering of securities to a specific purpose will be determined at the time of the offering and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debt securities will be:</w:t>
      </w:r>
    </w:p>
    <w:p>
      <w:pPr>
        <w:spacing w:after="0" w:line="117"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general obligations;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senior debt securities or subordinated debt securities; and</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under separate indentures (which may be existing indentures) among Plains All American Pipeline, PAA Finance and U.S. Bank Trust Company, National Association, as successor Trustee.</w:t>
      </w:r>
    </w:p>
    <w:p>
      <w:pPr>
        <w:spacing w:after="0" w:line="9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2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Specific Terms of Each Series of Debt Securities in the Prospectus Supplement</w:t>
      </w:r>
    </w:p>
    <w:p>
      <w:pPr>
        <w:spacing w:after="0" w:line="148"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68" w:lineRule="exact"/>
        <w:rPr>
          <w:sz w:val="20"/>
          <w:szCs w:val="20"/>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PAA Finance will be a co-issuer of the debt securities;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senior or subordinated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if any, that are pledged as security for the payment of the debt securities;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issue the debt securities;</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that will be payable if the maturity of the debt securities is accelerated;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 in which the debt securities will be payable, if not U.S. dollars;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principal of the debt securities will be payable;</w:t>
      </w:r>
    </w:p>
    <w:p>
      <w:pPr>
        <w:spacing w:after="0" w:line="117"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that the debt securities will bear and the interest payment dates for the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provisions;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repurchase or otherwise redeem the debt securities;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or additional events of default or covenants;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w:t>
      </w:r>
    </w:p>
    <w:p>
      <w:pPr>
        <w:spacing w:after="0" w:line="15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Possible Future Guarantees</w:t>
      </w:r>
    </w:p>
    <w:p>
      <w:pPr>
        <w:spacing w:after="0" w:line="162" w:lineRule="exact"/>
        <w:rPr>
          <w:sz w:val="20"/>
          <w:szCs w:val="20"/>
          <w:color w:val="auto"/>
        </w:rPr>
      </w:pPr>
    </w:p>
    <w:p>
      <w:pPr>
        <w:ind w:left="1260" w:right="639" w:firstLine="360"/>
        <w:spacing w:after="0" w:line="246" w:lineRule="auto"/>
        <w:rPr>
          <w:sz w:val="20"/>
          <w:szCs w:val="20"/>
          <w:color w:val="auto"/>
        </w:rPr>
      </w:pPr>
      <w:r>
        <w:rPr>
          <w:rFonts w:ascii="Times New Roman" w:cs="Times New Roman" w:eastAsia="Times New Roman" w:hAnsi="Times New Roman"/>
          <w:sz w:val="18"/>
          <w:szCs w:val="18"/>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14"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14"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or Asset Sale</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14"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61" w:lineRule="exact"/>
        <w:rPr>
          <w:sz w:val="20"/>
          <w:szCs w:val="20"/>
          <w:color w:val="auto"/>
        </w:rPr>
      </w:pPr>
    </w:p>
    <w:p>
      <w:pPr>
        <w:ind w:left="1800" w:right="419" w:hanging="180"/>
        <w:spacing w:after="0" w:line="261"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 acquiring entity must assume the issuer’s obligations under the indenture; and</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(as defined under “— Events of Default and Remedies” below) may exist.</w:t>
      </w:r>
    </w:p>
    <w:p>
      <w:pPr>
        <w:spacing w:after="0" w:line="9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Unless otherwise set forth in the prospectus supplement, the debt securities will not contain any</w:t>
      </w:r>
    </w:p>
    <w:p>
      <w:pPr>
        <w:spacing w:after="0" w:line="27"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provisions that protect the holders of the debt securities in the event of a change of control of us or in the event of a highly leveraged transaction, whether or not such transaction results in a change of control of us.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of Indentures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78" w:lineRule="exact"/>
        <w:rPr>
          <w:sz w:val="20"/>
          <w:szCs w:val="20"/>
          <w:color w:val="auto"/>
        </w:rPr>
      </w:pPr>
    </w:p>
    <w:p>
      <w:pPr>
        <w:ind w:left="1800" w:right="107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debt securities whose holders must consent to an amendment, supplement or waiver;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debt security;</w:t>
      </w:r>
    </w:p>
    <w:p>
      <w:pPr>
        <w:spacing w:after="0" w:line="103"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debt security;</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58"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under the indenture, release any security that may have been granted with respect to the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currency other than that stated in the debt securities;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subordinated debt security, make any change in the subordination provisions that adversely affects the rights of any holder under those provisions;</w:t>
      </w:r>
    </w:p>
    <w:p>
      <w:pPr>
        <w:spacing w:after="0" w:line="40"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(except as may be permitted in the case of a particular series of debt securities);</w:t>
      </w:r>
    </w:p>
    <w:p>
      <w:pPr>
        <w:spacing w:after="0" w:line="53"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supplement and waiver provisions (except to increase any percentage set forth therein).</w:t>
      </w:r>
    </w:p>
    <w:p>
      <w:pPr>
        <w:spacing w:after="0" w:line="81"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We may supplement or amend an indenture without the consent of any holders of the debt securities in certain circumstances, including:</w:t>
      </w:r>
    </w:p>
    <w:p>
      <w:pPr>
        <w:spacing w:after="0" w:line="40" w:lineRule="exact"/>
        <w:rPr>
          <w:sz w:val="20"/>
          <w:szCs w:val="20"/>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of terms of any series of debt securities;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an issuer’s obligations to holders of debt securities in the case of a merger or consolidation or disposition of all or substantially all of such issuer’s assets;</w:t>
      </w:r>
    </w:p>
    <w:p>
      <w:pPr>
        <w:spacing w:after="0" w:line="40" w:lineRule="exact"/>
        <w:rPr>
          <w:rFonts w:ascii="Times New Roman" w:cs="Times New Roman" w:eastAsia="Times New Roman" w:hAnsi="Times New Roman"/>
          <w:sz w:val="18"/>
          <w:szCs w:val="18"/>
          <w:color w:val="auto"/>
        </w:rPr>
      </w:pPr>
    </w:p>
    <w:p>
      <w:pPr>
        <w:jc w:val="both"/>
        <w:ind w:left="1800" w:right="69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release any guarantors pursuant to the terms of the indenture;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5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or provide for the acceptance of appointment under the indenture of a successor Trustee;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 and/or any guarantees.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“Event of Default,” when used in an indenture, will mean any of the following with respect to the debt securities of any series:</w:t>
      </w:r>
    </w:p>
    <w:p>
      <w:pPr>
        <w:spacing w:after="0" w:line="54" w:lineRule="exact"/>
        <w:rPr>
          <w:sz w:val="20"/>
          <w:szCs w:val="20"/>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the principal of or any premium on any debt security of that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within 60 days of the due date, interest on any debt security of that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any sinking fund payment with respect to any debt securities of that series;</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the part of the issuers to comply with the covenant described under “— Consolidation, Merger or Asset Sale;”</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covenant in the indenture that continues for 30 days after written notice is given to the issuers;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an issuer;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under the terms of the debt securities of that series.</w:t>
      </w:r>
    </w:p>
    <w:p>
      <w:pPr>
        <w:spacing w:after="0" w:line="158" w:lineRule="exact"/>
        <w:rPr>
          <w:sz w:val="20"/>
          <w:szCs w:val="20"/>
          <w:color w:val="auto"/>
        </w:rPr>
      </w:pPr>
    </w:p>
    <w:p>
      <w:pPr>
        <w:jc w:val="both"/>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1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0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Limit on Amount of Debt Securities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of Notes</w:t>
      </w:r>
    </w:p>
    <w:p>
      <w:pPr>
        <w:spacing w:after="0" w:line="16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We will issue debt securities of a series only in registered form, without coupons, unless otherwise indicated in the prospectus supplement.</w:t>
      </w: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Minimum Denominations</w:t>
      </w:r>
    </w:p>
    <w:p>
      <w:pPr>
        <w:spacing w:after="0" w:line="14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Unless the prospectus supplement states otherwise, the debt securities will be issued only in principal amounts of $1,000 each or integral multiples of $1,000.</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Personal Liability</w:t>
      </w:r>
    </w:p>
    <w:p>
      <w:pPr>
        <w:spacing w:after="0" w:line="14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and Transfer</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0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10"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Registration and Transfer</w:t>
      </w:r>
    </w:p>
    <w:p>
      <w:pPr>
        <w:spacing w:after="0" w:line="14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not be required to:</w:t>
      </w:r>
    </w:p>
    <w:p>
      <w:pPr>
        <w:spacing w:after="0" w:line="104" w:lineRule="exact"/>
        <w:rPr>
          <w:sz w:val="20"/>
          <w:szCs w:val="20"/>
          <w:color w:val="auto"/>
        </w:rPr>
      </w:pPr>
    </w:p>
    <w:p>
      <w:pPr>
        <w:ind w:left="1800" w:right="479" w:hanging="180"/>
        <w:spacing w:after="0" w:line="261"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44"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called for redemption or repurchase, except the unredeemed portion of any debt security we are redeeming or repurchasing in part.</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Relating only to the Senior Debt Securities</w:t>
      </w:r>
    </w:p>
    <w:p>
      <w:pPr>
        <w:spacing w:after="0" w:line="148"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Relating only to the Subordinated Debt Securities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Subordinated Debt Securities Subordinated to Senior Indebtedness</w:t>
      </w:r>
    </w:p>
    <w:p>
      <w:pPr>
        <w:spacing w:after="0" w:line="14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rank junior in right of payment to all of the Senior Indebtedness of Plains All American Pipeline. “Senior Indebtedness” will be defined in a supplemental indenture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authorizing resolutions respecting any issuance of a series of subordinated debt securities, and the definition will be set forth in the prospectus supplement.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Payment Blockages</w:t>
      </w:r>
    </w:p>
    <w:p>
      <w:pPr>
        <w:spacing w:after="0" w:line="16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subordinated indenture will provide that no payment of principal, interest and any premium on the subordinated debt securities may be made in the event:</w:t>
      </w:r>
    </w:p>
    <w:p>
      <w:pPr>
        <w:spacing w:after="0" w:line="54" w:lineRule="exact"/>
        <w:rPr>
          <w:sz w:val="20"/>
          <w:szCs w:val="20"/>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property is involved in any voluntary or involuntary liquidation or bankruptcy;</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85"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 Limitation on Amount of Senior Debt</w:t>
      </w:r>
    </w:p>
    <w:p>
      <w:pPr>
        <w:spacing w:after="0" w:line="14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subordinated indenture will not limit the amount of Senior Indebtedness that Plains All American Pipeline may incur, unless otherwise indicated in the prospectus supplement.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 Entry, Delivery and Form</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24"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Beneficial interests in global debt securities will be shown on, and transfers of global debt securities will be made only through, records maintained by DTC and its participants.</w:t>
      </w:r>
    </w:p>
    <w:p>
      <w:pPr>
        <w:spacing w:after="0" w:line="8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21"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0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DTC is owned by a number of its Direct Participants and by the New York Stock Exchange, Inc., The American Stock Exchange, Inc. and the Financial Industry Regulatory Authority (“FINRA”).</w:t>
      </w:r>
    </w:p>
    <w:p>
      <w:pPr>
        <w:spacing w:after="0" w:line="81"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18"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Debt securities represented by a global debt security will be exchangeable for certificated debt securities with the same terms in authorized denominations only if:</w:t>
      </w:r>
    </w:p>
    <w:p>
      <w:pPr>
        <w:spacing w:after="0" w:line="54" w:lineRule="exact"/>
        <w:rPr>
          <w:sz w:val="20"/>
          <w:szCs w:val="20"/>
          <w:color w:val="auto"/>
        </w:rPr>
      </w:pPr>
    </w:p>
    <w:p>
      <w:pPr>
        <w:jc w:val="both"/>
        <w:ind w:left="1800" w:right="819" w:hanging="180"/>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not to require all of the debt securities of a series to be represented by a global debt security.</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135"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Each indenture will be discharged and will cease to be of further effect as to all outstanding debt securities of any series issued thereunder, when:</w:t>
      </w:r>
    </w:p>
    <w:p>
      <w:pPr>
        <w:spacing w:after="0" w:line="81" w:lineRule="exact"/>
        <w:rPr>
          <w:sz w:val="20"/>
          <w:szCs w:val="20"/>
          <w:color w:val="auto"/>
        </w:rPr>
      </w:pPr>
    </w:p>
    <w:p>
      <w:pPr>
        <w:ind w:left="1980" w:hanging="360"/>
        <w:spacing w:after="0"/>
        <w:tabs>
          <w:tab w:leader="none" w:pos="1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44" w:lineRule="exact"/>
        <w:rPr>
          <w:rFonts w:ascii="Times New Roman" w:cs="Times New Roman" w:eastAsia="Times New Roman" w:hAnsi="Times New Roman"/>
          <w:sz w:val="18"/>
          <w:szCs w:val="18"/>
          <w:color w:val="auto"/>
        </w:rPr>
      </w:pPr>
    </w:p>
    <w:p>
      <w:pPr>
        <w:ind w:left="2340" w:right="519" w:hanging="360"/>
        <w:spacing w:after="0" w:line="261" w:lineRule="auto"/>
        <w:tabs>
          <w:tab w:leader="none" w:pos="23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98" w:lineRule="exact"/>
        <w:rPr>
          <w:rFonts w:ascii="Times New Roman" w:cs="Times New Roman" w:eastAsia="Times New Roman" w:hAnsi="Times New Roman"/>
          <w:sz w:val="18"/>
          <w:szCs w:val="18"/>
          <w:color w:val="auto"/>
        </w:rPr>
      </w:pPr>
    </w:p>
    <w:p>
      <w:pPr>
        <w:ind w:left="2340" w:right="419" w:hanging="360"/>
        <w:spacing w:after="0" w:line="253" w:lineRule="auto"/>
        <w:tabs>
          <w:tab w:leader="none" w:pos="23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9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by us under the indenture; and</w:t>
      </w:r>
    </w:p>
    <w:p>
      <w:pPr>
        <w:spacing w:after="0" w:line="144"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an officers’ certificate and an opinion of counsel to the Trustee stating that all conditions precedent to satisfaction and discharge have been satisfied.</w:t>
      </w:r>
    </w:p>
    <w:p>
      <w:pPr>
        <w:spacing w:after="0" w:line="9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debt securities of a particular series will be subject to legal or covenant defeasance to the extent, and upon the terms and conditions, set forth in the prospectus supplement.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148"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U.S. Bank Trust Company, National Association is the Trustee under the senior indenture and will be the initial Trustee under the subordinated indenture. We maintain a banking relationship in the ordinary course of business with affiliates of U.S. Bank Trust Company, National Association.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Resignation or Removal of Trustee</w:t>
      </w:r>
    </w:p>
    <w:p>
      <w:pPr>
        <w:spacing w:after="0" w:line="135"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Any resignation will require the appointment of a successor trustee under the applicable indenture in accordance with the terms and conditions of such indenture.</w:t>
      </w:r>
    </w:p>
    <w:p>
      <w:pPr>
        <w:spacing w:after="0" w:line="94"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Trustee if it is a Creditor</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Certificates and Opinions to be Furnished to Trustee</w:t>
      </w:r>
    </w:p>
    <w:p>
      <w:pPr>
        <w:spacing w:after="0" w:line="14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indenture and all of the debt securities will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DESCRIPTION OF OUR PREFERRED UNITS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A Preferred Units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On January 28, 2016, we completed a private placement of 61,030,127 Series A Convertible Preferred Units representing limited partner interests in us (the “Series A preferred units”) for a cash purchase price of $26.25 per unit (the “Issue Price”) .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within 45 days following the end of each quarter. The initial Series A preferred unit distribution was equal to an annual rate of 8% of the Issue Price ($2.10 per unit annualized). After the fifth anniversary of the January 28, 2016 issue date of the Series A preferred units, the holders of Series A preferred units, acting by majority vote, had the option to make a one-time election to reset the Series A preferred unit distribution rate to equal the then applicable rate of ten-year U.S. Treasury Securities plus 5.85% (the “Preferred Distribution Rate Reset Option”). In January 2023, the Series A preferred unitholders elected the Preferred Distribution Rate Reset Option. Effective January 31, 2023, the new Series A preferred unit distribution rate is equal to 9.375% per annum of the original Issue Price (approximately $2.46 per unit annualized).</w:t>
      </w:r>
    </w:p>
    <w:p>
      <w:pPr>
        <w:spacing w:after="0" w:line="116"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holders of Series A preferred units may convert such units into common units, generally on a one-for- one basis and subject to customary anti -dilution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w:t>
      </w:r>
    </w:p>
    <w:p>
      <w:pPr>
        <w:spacing w:after="0" w:line="329"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Series A preferred units vote on an as-converted basis with our common units (see “Description of Our Common Units — 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B Preferred Units</w:t>
      </w:r>
    </w:p>
    <w:p>
      <w:pPr>
        <w:spacing w:after="0" w:line="148"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w:t>
      </w:r>
    </w:p>
    <w:p>
      <w:pPr>
        <w:spacing w:after="0" w:line="32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in arrears, (iii) the creation or issuance of any senior securities and (iv) the payment of distributions to our common unitholders out of capital surplus.</w:t>
      </w:r>
    </w:p>
    <w:p>
      <w:pPr>
        <w:spacing w:after="0" w:line="9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Holders of our Series B preferred units are entitled to receive, when, as and if declared by our general partner out of legally available funds for such purpose, cumulative semiannual or quarterly cash distributions, as applicable. Through November 15, 2022, distributions on the Series B preferred units were paid semiannually in arrears on the 15th day of May and November. After November 15, 2022, distributions on the Series B preferred units are payable quarterly in arrears on the 15th day of February, May, August and November of each year. The initial distribution rate for the Series B preferred units from and including October 10, 2017 to, but not including, November 15, 2022 was 6.125% per year of the liquidation preference per unit (equal to $61.25 per unit per year). From November 15, 2022 through August 14, 2023, distributions on the Series B preferred units accumulated for each distribution period at a percentage of the liquidation preference equal to the applicable three-month LIBOR plus a spread of 4.11% per annum. Subsequently, distributions on the Series B preferred units accumulate based on the applicable three-month SOFR, plus a credit spread adjustment of 0.26161%, plus 4.11% per annum.</w:t>
      </w:r>
    </w:p>
    <w:p>
      <w:pPr>
        <w:spacing w:after="0" w:line="12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Series B preferred units have a liquidation preference of $1,000 per unit. We may, at any time,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Future Issuances of Preferred Units</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A</w:t>
      </w:r>
    </w:p>
    <w:p>
      <w:pPr>
        <w:spacing w:after="0" w:line="3"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preferred units with respect to distributions and (ii) the holders of our Series B preferred units for the issuance of parity securities or senior securities as described above under “— Series B Preferred Units.” As of the date of this prospectus, we had 71,090,468 Series A preferred units outstanding and 800,000 Series B preferred units outstanding.</w:t>
      </w:r>
    </w:p>
    <w:p>
      <w:pPr>
        <w:spacing w:after="0" w:line="121"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68" w:lineRule="exact"/>
        <w:rPr>
          <w:sz w:val="20"/>
          <w:szCs w:val="20"/>
          <w:color w:val="auto"/>
        </w:rPr>
      </w:pPr>
    </w:p>
    <w:p>
      <w:pPr>
        <w:ind w:left="1800" w:right="79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liquidation preference of the preferred units and the number of preferred units offered;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at which the preferred units will be issued;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 of the preferred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 of the preferred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rights of the preferred units, if any;</w:t>
      </w:r>
    </w:p>
    <w:p>
      <w:pPr>
        <w:spacing w:after="0" w:line="117" w:lineRule="exact"/>
        <w:rPr>
          <w:rFonts w:ascii="Times New Roman" w:cs="Times New Roman" w:eastAsia="Times New Roman" w:hAnsi="Times New Roman"/>
          <w:sz w:val="18"/>
          <w:szCs w:val="18"/>
          <w:color w:val="auto"/>
        </w:rPr>
      </w:pPr>
    </w:p>
    <w:p>
      <w:pPr>
        <w:ind w:left="1800" w:right="151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additional material federal income tax considerations regarding the preferred units;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rights, preferences, privileges, limitations, and restrictions of the preferred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DESCRIPTION OF OUR COMMON UNITS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110"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Our outstanding common units are listed on NASDAQ under the symbol “PAA.” Any additional common units we issue will also be listed on NASDAQ.</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and registrar for our common units is Equiniti Trust Company, LLC.</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director voting rights described below.</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the “board.”</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Subject to limited exceptions, PAGP GP’s Fourth Amended and Restated Limited Liability Company Agreement, as amended, provides that the board will consist of up to 13 members, including the CEO. In addition, if we fail to make three distributions on the Series A preferred units (whether or not consecutive), the holders of Series A preferred units will have the right to appoint a new member of the board to serve until such time as all accrued and unpaid distributions on the Series A preferred units have been paid in full.</w:t>
      </w:r>
    </w:p>
    <w:p>
      <w:pPr>
        <w:spacing w:after="0" w:line="114"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board is divided into three staggered classes. At each annual meeting, only the directors of the class whose term is expiring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pacing w:after="0" w:line="32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PAGP holds annual shareholder meetings for the purpose of electing directors.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the election of directors at PAGP’s annual meeting. We will vote (or refrain from voting) our Class C shares for the election of directors at the direction and on behalf of our eligible common and Series A preferred unitholders in the same proportion as the votes received from or withheld by our limited partners. Common units held by AAP will not be voted in the election of directors and will not be counted for purposes of determining whether a quorum exists.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Status as Limited Partner or Assignee</w:t>
      </w:r>
    </w:p>
    <w:p>
      <w:pPr>
        <w:spacing w:after="0" w:line="148"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Except as described under “Description of Our Partnership Agreement — Limited Liability,” the common units will be fully paid, and common unitholders will not be required to make additional capital contributions to us.</w:t>
      </w:r>
    </w:p>
    <w:p>
      <w:pPr>
        <w:spacing w:after="0" w:line="102"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14"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An assignee, pending its admission as a substituted limited partner, is entitled to an interest in us equivalent to that of a limited partner with respect to the right to share in allocations and distributions,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59" w:lineRule="auto"/>
        <w:rPr>
          <w:sz w:val="20"/>
          <w:szCs w:val="20"/>
          <w:color w:val="auto"/>
        </w:rPr>
      </w:pPr>
      <w:r>
        <w:rPr>
          <w:rFonts w:ascii="Times New Roman" w:cs="Times New Roman" w:eastAsia="Times New Roman" w:hAnsi="Times New Roman"/>
          <w:sz w:val="18"/>
          <w:szCs w:val="18"/>
          <w:color w:val="auto"/>
        </w:rPr>
        <w:t>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 Right</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Each holder of AAP’s Class A units (other than PAGP)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applicable), in each case, to PAGP. The AAP Class A units transferred to AAP will be canceled, the PAGP Class B shares transferred to PAGP will be canceled and the general partner units transferred to PAGP (if applicable) will remain outstanding and increase PAGP’s ownership percentage in PAGP GP.</w:t>
      </w:r>
    </w:p>
    <w:p>
      <w:pPr>
        <w:spacing w:after="0" w:line="337"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above mechanisms are subject to customary conversion rate adjustments for equity splits, equity dividends and reclassifications.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of Available Cash</w:t>
      </w:r>
    </w:p>
    <w:p>
      <w:pPr>
        <w:spacing w:after="0" w:line="160" w:lineRule="exact"/>
        <w:rPr>
          <w:sz w:val="20"/>
          <w:szCs w:val="20"/>
          <w:color w:val="auto"/>
        </w:rPr>
      </w:pPr>
    </w:p>
    <w:p>
      <w:pPr>
        <w:ind w:left="1260" w:right="75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We will distribute to our unitholders, on a quarterly basis, all of our available cash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described below.</w:t>
      </w:r>
    </w:p>
    <w:p>
      <w:pPr>
        <w:spacing w:after="0" w:line="91" w:lineRule="exact"/>
        <w:rPr>
          <w:sz w:val="20"/>
          <w:szCs w:val="20"/>
          <w:color w:val="auto"/>
        </w:rPr>
      </w:pPr>
    </w:p>
    <w:p>
      <w:pPr>
        <w:ind w:left="1260" w:right="5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Definition of Available Cash</w:t>
      </w:r>
      <w:r>
        <w:rPr>
          <w:rFonts w:ascii="Times New Roman" w:cs="Times New Roman" w:eastAsia="Times New Roman" w:hAnsi="Times New Roman"/>
          <w:sz w:val="18"/>
          <w:szCs w:val="18"/>
          <w:color w:val="auto"/>
        </w:rPr>
        <w:t>. Available cash generally means, for any quarter ending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all cash and cash equivalents on hand at the end of that quarter less reserves established in the reasonable discretion of the general partner to:</w:t>
      </w:r>
    </w:p>
    <w:p>
      <w:pPr>
        <w:spacing w:after="0" w:line="61" w:lineRule="exact"/>
        <w:rPr>
          <w:sz w:val="20"/>
          <w:szCs w:val="20"/>
          <w:color w:val="auto"/>
        </w:rPr>
      </w:pPr>
    </w:p>
    <w:p>
      <w:pPr>
        <w:ind w:left="1800" w:right="95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our business and the business of our operating partnerships (including reserves for future capital expenditures and for our anticipated future credit needs);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or any loan agreement, security agreement, mortgage, debt instrument or other agreement or obligation; or</w:t>
      </w:r>
    </w:p>
    <w:p>
      <w:pPr>
        <w:spacing w:after="0" w:line="40"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future distributions to our Series A and Series B preferred unitholders or distributions to our common unitholders for any one or more of the next four quarters.</w:t>
      </w:r>
    </w:p>
    <w:p>
      <w:pPr>
        <w:spacing w:after="0" w:line="94"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Our available cash also includes cash on hand resulting from borrowings made after the end of the quarter.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Operating Surplus and Capital Surplus</w:t>
      </w:r>
    </w:p>
    <w:p>
      <w:pPr>
        <w:spacing w:after="0" w:line="146"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Cash distributions to our common unitholders will be characterized as either operating surplus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capital surplus. We distribute available cash from operating surplus differently than available cash from capital surplus. See “— Quarterly Distributions of Available Cash.”</w:t>
      </w:r>
    </w:p>
    <w:p>
      <w:pPr>
        <w:spacing w:after="0" w:line="99" w:lineRule="exact"/>
        <w:rPr>
          <w:sz w:val="20"/>
          <w:szCs w:val="20"/>
          <w:color w:val="auto"/>
        </w:rPr>
      </w:pPr>
    </w:p>
    <w:p>
      <w:pPr>
        <w:ind w:left="1620"/>
        <w:spacing w:after="0"/>
        <w:tabs>
          <w:tab w:leader="none" w:pos="4200" w:val="left"/>
        </w:tabs>
        <w:rPr>
          <w:sz w:val="20"/>
          <w:szCs w:val="20"/>
          <w:color w:val="auto"/>
        </w:rPr>
      </w:pPr>
      <w:r>
        <w:rPr>
          <w:rFonts w:ascii="Times New Roman" w:cs="Times New Roman" w:eastAsia="Times New Roman" w:hAnsi="Times New Roman"/>
          <w:sz w:val="18"/>
          <w:szCs w:val="18"/>
          <w:i w:val="1"/>
          <w:iCs w:val="1"/>
          <w:color w:val="auto"/>
        </w:rPr>
        <w:t>Definition of Operating Surplus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Operating surplus refers generally to:</w:t>
      </w:r>
    </w:p>
    <w:p>
      <w:pPr>
        <w:spacing w:after="0" w:line="119" w:lineRule="exact"/>
        <w:rPr>
          <w:sz w:val="20"/>
          <w:szCs w:val="20"/>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balances on the closing date of our initial public offering; plus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plus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cash receipts from operations, excluding cash that is capital surplus; less</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06" w:lineRule="exact"/>
        <w:rPr>
          <w:sz w:val="20"/>
          <w:szCs w:val="20"/>
          <w:color w:val="auto"/>
        </w:rPr>
      </w:pPr>
    </w:p>
    <w:p>
      <w:pPr>
        <w:ind w:left="1620"/>
        <w:spacing w:after="0"/>
        <w:tabs>
          <w:tab w:leader="none" w:pos="4000" w:val="left"/>
        </w:tabs>
        <w:rPr>
          <w:sz w:val="20"/>
          <w:szCs w:val="20"/>
          <w:color w:val="auto"/>
        </w:rPr>
      </w:pPr>
      <w:r>
        <w:rPr>
          <w:rFonts w:ascii="Times New Roman" w:cs="Times New Roman" w:eastAsia="Times New Roman" w:hAnsi="Times New Roman"/>
          <w:sz w:val="18"/>
          <w:szCs w:val="18"/>
          <w:i w:val="1"/>
          <w:iCs w:val="1"/>
          <w:color w:val="auto"/>
        </w:rPr>
        <w:t>Definition of Capital Surplus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Capital surplus will generally be generated only by:</w:t>
      </w:r>
    </w:p>
    <w:p>
      <w:pPr>
        <w:spacing w:after="0" w:line="106" w:lineRule="exact"/>
        <w:rPr>
          <w:sz w:val="20"/>
          <w:szCs w:val="20"/>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other than working capital borrowings;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debt and equity securities; and</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other dispositions of assets for cash, other than inventory, accounts receivable and other assets in the ordinary course of business.</w:t>
      </w:r>
    </w:p>
    <w:p>
      <w:pPr>
        <w:spacing w:after="0" w:line="81"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10"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 of Issuance of Additional Units</w:t>
      </w:r>
    </w:p>
    <w:p>
      <w:pPr>
        <w:spacing w:after="0" w:line="14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can issue additional common units or other equity securities for consideration and under terms and conditions approved by our general partner in its sole discretion and without the approval of our unitholders,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75" w:lineRule="auto"/>
        <w:rPr>
          <w:sz w:val="20"/>
          <w:szCs w:val="20"/>
          <w:color w:val="auto"/>
        </w:rPr>
      </w:pPr>
      <w:r>
        <w:rPr>
          <w:rFonts w:ascii="Times New Roman" w:cs="Times New Roman" w:eastAsia="Times New Roman" w:hAnsi="Times New Roman"/>
          <w:sz w:val="18"/>
          <w:szCs w:val="18"/>
          <w:color w:val="auto"/>
        </w:rPr>
        <w:t>other than current holders of our Series A preferred units and Series B preferred units in certain circumstances. We may fund acquisitions through the issuance of additional common units or other equity securities.</w:t>
      </w:r>
    </w:p>
    <w:p>
      <w:pPr>
        <w:spacing w:after="0" w:line="32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A Preferred Units</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terms of our Series A preferred units and notable provisions with respect to distributions on the Series A preferred units are described under “Description of Our Preferred Units — Series A Preferred Units.”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B Preferred Units</w:t>
      </w:r>
    </w:p>
    <w:p>
      <w:pPr>
        <w:spacing w:after="0" w:line="148"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terms of our Series B preferred units and notable provisions with respect to distributions on the Series B preferred units are described under “Description of Our Preferred Units — Series B Preferred Units.”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Quarterly Distributions of Available Cash</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from Operating Surplus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from Capital Surplus</w:t>
      </w:r>
    </w:p>
    <w:p>
      <w:pPr>
        <w:spacing w:after="0" w:line="148"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 2/3% of the outstanding Series B preferred units.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 of Cash upon Liquidation</w:t>
      </w:r>
    </w:p>
    <w:p>
      <w:pPr>
        <w:spacing w:after="0" w:line="162"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If we dissolve and liquidate, we will sell or otherwise dispose of our assets and adjust the partners’ capital account balances to reflect any resulting gain or loss. We will apply the proceeds of liquidation</w:t>
      </w:r>
    </w:p>
    <w:p>
      <w:pPr>
        <w:ind w:left="1260" w:right="459"/>
        <w:spacing w:after="0" w:line="253" w:lineRule="auto"/>
        <w:tabs>
          <w:tab w:leader="none" w:pos="148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DESCRIPTION OF OUR PARTNERSHIP AGREEMENT</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material provisions of our partnership agreement. The following provisions of our partnership agreement are summarized elsewhere in this prospectus:</w:t>
      </w:r>
    </w:p>
    <w:p>
      <w:pPr>
        <w:spacing w:after="0" w:line="67" w:lineRule="exact"/>
        <w:rPr>
          <w:sz w:val="20"/>
          <w:szCs w:val="20"/>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our available cash are described under “Cash Distribution Policy”;</w:t>
      </w:r>
    </w:p>
    <w:p>
      <w:pPr>
        <w:spacing w:after="0" w:line="130"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allocations of taxable income and other tax matters are described under “Material U.S. Federal Income Tax Consequences”;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our preferred units are described under “Description of Our Preferred Units”;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our common units are described under “Description of Our Common Units.”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Applicable Law; Forum, Venue and Jurisdiction</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Our partnership agreement is governed by Delaware law. Our partnership agreement requires that any claims, suits, actions or proceedings:</w:t>
      </w:r>
    </w:p>
    <w:p>
      <w:pPr>
        <w:spacing w:after="0" w:line="54" w:lineRule="exact"/>
        <w:rPr>
          <w:sz w:val="20"/>
          <w:szCs w:val="20"/>
          <w:color w:val="auto"/>
        </w:rPr>
      </w:pPr>
    </w:p>
    <w:p>
      <w:pPr>
        <w:ind w:left="1800" w:right="819" w:hanging="180"/>
        <w:spacing w:after="0" w:line="261"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out of or relating in any way to the partnership agreement (including any claims, suits or actions to interpret, apply or enforce the provisions of the partnership agreement or the duties, obligations or liabilities among unitholders or of unitholders to us, or the rights or powers of, or restrictions on, the unitholders or us);</w:t>
      </w:r>
    </w:p>
    <w:p>
      <w:pPr>
        <w:spacing w:after="0" w:line="9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brought in a derivative manner on our behalf;</w:t>
      </w:r>
    </w:p>
    <w:p>
      <w:pPr>
        <w:spacing w:after="0" w:line="13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a claim of breach of a fiduciary duty owed by any director, officer or other employee of us or our generally partner, or owed by our general partner to us or the unitholders;</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a claim arising pursuant to any provision of the Delaware Revised Uniform Limited Partnership Act (the “Delaware Act”); or</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a claim governed by the internal affairs doctrine;</w:t>
      </w:r>
    </w:p>
    <w:p>
      <w:pPr>
        <w:spacing w:after="0" w:line="144"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By purchasing a common unit, a unitholder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Issuance of Additional Securities</w:t>
      </w:r>
    </w:p>
    <w:p>
      <w:pPr>
        <w:spacing w:after="0" w:line="162" w:lineRule="exact"/>
        <w:rPr>
          <w:sz w:val="20"/>
          <w:szCs w:val="20"/>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319"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335"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08"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Amendments to Our Partnership Agreement</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Withdrawal or Removal of Our General Partner</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116"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Our general partner may not be removed unless that removal is approved by the vote of the holders of not less than two- 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325"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02"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Merger, Sale or Other Disposition of Assets</w:t>
      </w:r>
    </w:p>
    <w:p>
      <w:pPr>
        <w:spacing w:after="0" w:line="162"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A merger or consolidation of us requires the prior consent of our general partner. However, our partnership agreement generally prohibits our general partner, without the prior approval of a majority of our outstanding units,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unitholder approval. Our general partner may also sell all or substantially all of our assets under a foreclosure or other realization upon any such mortgage, pledge, hypothecate or security interest without that approval.</w:t>
      </w:r>
    </w:p>
    <w:p>
      <w:pPr>
        <w:spacing w:after="0" w:line="119"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unitholders are not entitled to dissenters’ rights or appraisal rights (and, therefore, will not be entitled to demand payment of a fair price for their units) under our partnership agreement or applicable Delaware law in the event of a merger or consolidation, a sale of substantially all of our assets or any other transaction or event.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Liquidation and Distribution of Proceeds</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69" w:lineRule="exact"/>
        <w:rPr>
          <w:sz w:val="20"/>
          <w:szCs w:val="20"/>
          <w:color w:val="auto"/>
        </w:rPr>
      </w:pPr>
    </w:p>
    <w:p>
      <w:pPr>
        <w:ind w:left="1800" w:right="115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towards the payment of all of our creditors and the creation of a reserve for contingent liabilities;</w:t>
      </w:r>
    </w:p>
    <w:p>
      <w:pPr>
        <w:spacing w:after="0" w:line="40"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to all partners in accordance with the positive balance in their respective capital accounts.</w:t>
      </w:r>
    </w:p>
    <w:p>
      <w:pPr>
        <w:spacing w:after="0" w:line="14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Change of Management Provisions</w:t>
      </w:r>
    </w:p>
    <w:p>
      <w:pPr>
        <w:spacing w:after="0" w:line="14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40" w:lineRule="exact"/>
        <w:rPr>
          <w:sz w:val="20"/>
          <w:szCs w:val="20"/>
          <w:color w:val="auto"/>
        </w:rPr>
      </w:pPr>
    </w:p>
    <w:p>
      <w:pPr>
        <w:jc w:val="both"/>
        <w:ind w:left="1800" w:right="659" w:hanging="180"/>
        <w:spacing w:after="0" w:line="275"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if a person acquires 20% or more of any class of units then outstanding other than from our general partner or its affiliates, the units owned by such person cannot be voted on any matter;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739" w:hanging="180"/>
        <w:spacing w:after="0" w:line="266"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Limited Call Right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at any time our general partner and its affiliates (other than, with respect to the Series A</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preferred units, such affiliates that originally purchased Series A preferred units) own 80% or more of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issued and outstanding limited partner interests of any class, our general partner will have the right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purchase all, but not less than all, of the outstanding limited partner interests of that class that are held by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non-affiliated persons. The record date for determining ownership of the limited partner interests would be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selected by our general partner on at least 10 but not more than 60 days’ notice. The purchase price in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event of a purchase under these provisions would be the greater of (1) the current market price (as defined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our partnership agreement) of the limited partner interests of the class as of the date three days prior to</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date that notice is mailed to the limited partners as provided in our partnership agreement and (2)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highest cash price paid by our general partner or any of its affiliates for any limited partner interest of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purchased within the 90 days preceding the date our general partner mails notice of its election to</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purchase the units.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328" w:lineRule="exact"/>
        <w:rPr>
          <w:sz w:val="20"/>
          <w:szCs w:val="20"/>
          <w:color w:val="auto"/>
        </w:rPr>
      </w:pPr>
    </w:p>
    <w:p>
      <w:pPr>
        <w:jc w:val="both"/>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Limited Liability</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Assuming that a limited partner does not participate in the control of our business within the meaning of the Delaware Act and that such limited partner otherwise acts in conformity with the provisions of our partnership agreement, such limited partner’s liability under the Delaware Act will be limited, subject to some possible exceptions, generally to the amount of capital such limited partner is obligated to contribute to us in respect of such limited partner’s units plus such limited partner’s share of any undistributed profits and assets.</w:t>
      </w:r>
    </w:p>
    <w:p>
      <w:pPr>
        <w:spacing w:after="0" w:line="325"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61" w:lineRule="auto"/>
        <w:rPr>
          <w:sz w:val="20"/>
          <w:szCs w:val="20"/>
          <w:color w:val="auto"/>
        </w:rPr>
      </w:pPr>
      <w:r>
        <w:rPr>
          <w:rFonts w:ascii="Times New Roman" w:cs="Times New Roman" w:eastAsia="Times New Roman" w:hAnsi="Times New Roman"/>
          <w:sz w:val="18"/>
          <w:szCs w:val="18"/>
          <w:color w:val="auto"/>
        </w:rPr>
        <w:t>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1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33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Legal conclusions contained in this section, unless otherwise noted, are the opinion of Vinson &amp; Elkins L.L.P. insofar as they relate to matters of federal income tax law and are based on the accuracy of representations made by us to them for this purpose. However, this section does not address all federal income tax matters that may affect us or our unitholders, such as the application of the alternative minimum tax that may be applicable to certain unitholders. This section also does not address local taxes, state taxes, non-U.S. taxes, or other taxes that may be applicable, except to the limited extent that such tax considerations are addressed below under “—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327" w:lineRule="exact"/>
        <w:rPr>
          <w:sz w:val="20"/>
          <w:szCs w:val="20"/>
          <w:color w:val="auto"/>
        </w:rPr>
      </w:pPr>
    </w:p>
    <w:p>
      <w:pPr>
        <w:ind w:left="1260" w:right="959" w:firstLine="3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p>
    <w:p>
      <w:pPr>
        <w:spacing w:after="0" w:line="8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No ruling has been or will be requested from the Internal Revenue Service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24"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For the reasons described below, Vinson &amp; Elkins L.L.P. has not rendered an opinion with respect to the following federal income tax issues:</w:t>
      </w:r>
    </w:p>
    <w:p>
      <w:pPr>
        <w:spacing w:after="0" w:line="54" w:lineRule="exact"/>
        <w:rPr>
          <w:sz w:val="20"/>
          <w:szCs w:val="20"/>
          <w:color w:val="auto"/>
        </w:rPr>
      </w:pPr>
    </w:p>
    <w:p>
      <w:pPr>
        <w:ind w:left="1800" w:right="679" w:hanging="180"/>
        <w:spacing w:after="0" w:line="26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a unitholder whose units are the subject of a securities loan (e.g., a loan to a short seller to cover a short sale of units) (please read “— Tax Consequences of Unit Ownership — Treatment of Securities Loans”);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monthly convention for allocating taxable income and losses is permitted by existing Treasury Regulations (please read “— Disposition of Units — Allocations Between Transferors and Transferees”);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method for taking into account Section 743 adjustments is sustainable in certain cases (please read “— Tax Consequences of Unit Ownership — Section 754 Election” and “— Disposition of Units — Uniformity of Units”);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6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use of simplifying conventions for making adjustments to “book” basis and relevant allocations is permitted by existing Treasury Regulations (please read “— Tax Consequences of Unit Ownership — Allocation of Income, Gain, Loss and Deduction” and “— Uniformity of Units”); and</w:t>
      </w:r>
    </w:p>
    <w:p>
      <w:pPr>
        <w:spacing w:after="0" w:line="67" w:lineRule="exact"/>
        <w:rPr>
          <w:rFonts w:ascii="Times New Roman" w:cs="Times New Roman" w:eastAsia="Times New Roman" w:hAnsi="Times New Roman"/>
          <w:sz w:val="18"/>
          <w:szCs w:val="18"/>
          <w:color w:val="auto"/>
        </w:rPr>
      </w:pPr>
    </w:p>
    <w:p>
      <w:pPr>
        <w:jc w:val="both"/>
        <w:ind w:left="1800" w:right="579" w:hanging="180"/>
        <w:spacing w:after="0" w:line="26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allocations of income, gain, loss and deduction will be given effect for federal income tax purposes (please read “— Tax Consequences of Unit Ownership — Allocation of Income, Gain, Loss and Deduction”).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 of the Partnership</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Partnership Status</w:t>
      </w:r>
    </w:p>
    <w:p>
      <w:pPr>
        <w:spacing w:after="0" w:line="162" w:lineRule="exact"/>
        <w:rPr>
          <w:sz w:val="20"/>
          <w:szCs w:val="20"/>
          <w:color w:val="auto"/>
        </w:rPr>
      </w:pPr>
    </w:p>
    <w:p>
      <w:pPr>
        <w:ind w:left="1260" w:right="619" w:firstLine="360"/>
        <w:spacing w:after="0" w:line="242" w:lineRule="auto"/>
        <w:rPr>
          <w:sz w:val="20"/>
          <w:szCs w:val="20"/>
          <w:color w:val="auto"/>
        </w:rPr>
      </w:pPr>
      <w:r>
        <w:rPr>
          <w:rFonts w:ascii="Times New Roman" w:cs="Times New Roman" w:eastAsia="Times New Roman" w:hAnsi="Times New Roman"/>
          <w:sz w:val="18"/>
          <w:szCs w:val="18"/>
          <w:color w:val="auto"/>
        </w:rPr>
        <w:t>We expect to be treated as a partnership for federal income tax purposes and, therefore, subject to the discussion below under “— Administrative Matters — 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 Tax Consequences of Unit Ownership — Treatment of Distributions” and “— Disposition of Units”.</w:t>
      </w:r>
    </w:p>
    <w:p>
      <w:pPr>
        <w:spacing w:after="0" w:line="12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11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114" w:lineRule="exact"/>
        <w:rPr>
          <w:sz w:val="20"/>
          <w:szCs w:val="20"/>
          <w:color w:val="auto"/>
        </w:rPr>
      </w:pPr>
    </w:p>
    <w:p>
      <w:pPr>
        <w:ind w:left="1620" w:right="459" w:firstLine="360"/>
        <w:spacing w:after="0" w:line="258" w:lineRule="auto"/>
        <w:tabs>
          <w:tab w:leader="none" w:pos="23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we nor any of our partnership or limited liability company operating subsidiaries, other than those that have been identified as corporations to Vinson &amp; Elkins L.L.P., has elected or will elect to be treated as a corporation for federal income tax purposes;</w:t>
      </w:r>
    </w:p>
    <w:p>
      <w:pPr>
        <w:spacing w:after="0" w:line="101" w:lineRule="exact"/>
        <w:rPr>
          <w:rFonts w:ascii="Times New Roman" w:cs="Times New Roman" w:eastAsia="Times New Roman" w:hAnsi="Times New Roman"/>
          <w:sz w:val="18"/>
          <w:szCs w:val="18"/>
          <w:color w:val="auto"/>
        </w:rPr>
      </w:pPr>
    </w:p>
    <w:p>
      <w:pPr>
        <w:jc w:val="both"/>
        <w:ind w:left="1620" w:right="659" w:firstLine="360"/>
        <w:spacing w:after="0" w:line="258" w:lineRule="auto"/>
        <w:tabs>
          <w:tab w:leader="none" w:pos="23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01" w:lineRule="exact"/>
        <w:rPr>
          <w:rFonts w:ascii="Times New Roman" w:cs="Times New Roman" w:eastAsia="Times New Roman" w:hAnsi="Times New Roman"/>
          <w:sz w:val="18"/>
          <w:szCs w:val="18"/>
          <w:color w:val="auto"/>
        </w:rPr>
      </w:pPr>
    </w:p>
    <w:p>
      <w:pPr>
        <w:jc w:val="both"/>
        <w:ind w:left="1620" w:right="479" w:firstLine="360"/>
        <w:spacing w:after="0" w:line="250" w:lineRule="auto"/>
        <w:tabs>
          <w:tab w:leader="none" w:pos="23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believe that these representations are true and will be true in the future.</w:t>
      </w:r>
    </w:p>
    <w:p>
      <w:pPr>
        <w:spacing w:after="0" w:line="144"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If we fail to meet the Qualifying Income Exception, other than a failure that is determined by the IRS to be inadvertent and that is cured within a reasonable time after discovery (in which case the IRS may also</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4" w:lineRule="auto"/>
        <w:rPr>
          <w:sz w:val="20"/>
          <w:szCs w:val="20"/>
          <w:color w:val="auto"/>
        </w:rPr>
      </w:pPr>
      <w:r>
        <w:rPr>
          <w:rFonts w:ascii="Times New Roman" w:cs="Times New Roman" w:eastAsia="Times New Roman" w:hAnsi="Times New Roman"/>
          <w:sz w:val="18"/>
          <w:szCs w:val="18"/>
          <w:color w:val="auto"/>
        </w:rPr>
        <w:t>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(i) to us (which would be allocated to our unitholders) so long as the aggregate amount of our liabilities does not exceed the adjusted tax basis of our assets or (ii) by our unitholders so long as their respective shares of our liabilities do not exceed their adjusted tax basis in their units. Thereafter, we would be treated as an association taxable as a corporation for federal income tax purposes.</w:t>
      </w:r>
    </w:p>
    <w:p>
      <w:pPr>
        <w:spacing w:after="0" w:line="11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and certain presidential administrations have proposed and considered substantive changes to the existing federal income tax laws that would affect publicly traded partnerships. Recent proposals have provided for the expansion of the Qualifying Income Exception in certain circumstances and other proposals have provided for the total elimination of the Qualifying Income Exception upon which we rely for our treatment as a partnership for federal income tax purposes.</w:t>
      </w:r>
    </w:p>
    <w:p>
      <w:pPr>
        <w:spacing w:after="0" w:line="114"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14"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1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w:t>
      </w:r>
    </w:p>
    <w:p>
      <w:pPr>
        <w:spacing w:after="0" w:line="124"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is based on the opinion of Vinson &amp; Elkins L.L.P. that we will be treated as a partnership for federal income tax purposes.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of Unit Ownership</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Limited Partner Status</w:t>
      </w:r>
    </w:p>
    <w:p>
      <w:pPr>
        <w:spacing w:after="0" w:line="148"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335"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For a discussion related to the risks of losing partner status as a result of securities loans, please read “— Tax Consequences of Unit Ownership — Treatment of Securities Loans.”</w:t>
      </w:r>
    </w:p>
    <w:p>
      <w:pPr>
        <w:spacing w:after="0" w:line="81"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A unitholder who is not treated as a partner in us as described above is urged to consult its own tax advisors with respect to the tax consequences applicable to such unitholder under its particular circumstances.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Flow-Through of Taxable Income</w:t>
      </w:r>
    </w:p>
    <w:p>
      <w:pPr>
        <w:spacing w:after="0" w:line="14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Subject to the discussion below under “— Entity-Level Collections of Unitholder Taxes” and “— Administrative Matters — 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Basis of Units</w:t>
      </w:r>
    </w:p>
    <w:p>
      <w:pPr>
        <w:spacing w:after="0" w:line="148"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A unitholder’s tax basis in its units initially will be the amount paid or treated as paid for those units increased by the unitholder’s initial allocable share of our liabilities. That basis generally will be</w:t>
      </w:r>
    </w:p>
    <w:p>
      <w:pPr>
        <w:ind w:left="1260" w:right="419"/>
        <w:spacing w:after="0" w:line="242" w:lineRule="auto"/>
        <w:tabs>
          <w:tab w:leader="none" w:pos="148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by the unitholder’s share of our income and any increases in such unitholder’s share of our liabilities, and (ii) 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Distributions</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 Disposition of Units.”</w:t>
      </w:r>
    </w:p>
    <w:p>
      <w:pPr>
        <w:spacing w:after="0" w:line="113"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 Disposition of Units.”</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 (1) the non-pro rata portion of that distribution over</w:t>
      </w:r>
    </w:p>
    <w:p>
      <w:pPr>
        <w:spacing w:after="0" w:line="1" w:lineRule="exact"/>
        <w:rPr>
          <w:sz w:val="20"/>
          <w:szCs w:val="20"/>
          <w:color w:val="auto"/>
        </w:rPr>
      </w:pPr>
    </w:p>
    <w:p>
      <w:pPr>
        <w:ind w:left="1260" w:right="779"/>
        <w:spacing w:after="0" w:line="260" w:lineRule="auto"/>
        <w:tabs>
          <w:tab w:leader="none" w:pos="152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unitholder’s tax basis (typically zero) in the Section 751 Assets deemed to be relinquished in the exchange.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Deductibility of Losses</w:t>
      </w:r>
    </w:p>
    <w:p>
      <w:pPr>
        <w:spacing w:after="0" w:line="162"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7" w:lineRule="auto"/>
        <w:rPr>
          <w:sz w:val="20"/>
          <w:szCs w:val="20"/>
          <w:color w:val="auto"/>
        </w:rPr>
      </w:pPr>
      <w:r>
        <w:rPr>
          <w:rFonts w:ascii="Times New Roman" w:cs="Times New Roman" w:eastAsia="Times New Roman" w:hAnsi="Times New Roman"/>
          <w:sz w:val="18"/>
          <w:szCs w:val="18"/>
          <w:color w:val="auto"/>
        </w:rPr>
        <w:t>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w:t>
      </w:r>
    </w:p>
    <w:p>
      <w:pPr>
        <w:spacing w:after="0" w:line="3" w:lineRule="exact"/>
        <w:rPr>
          <w:sz w:val="20"/>
          <w:szCs w:val="20"/>
          <w:color w:val="auto"/>
        </w:rPr>
      </w:pPr>
    </w:p>
    <w:p>
      <w:pPr>
        <w:ind w:left="1260" w:right="439"/>
        <w:spacing w:after="0"/>
        <w:tabs>
          <w:tab w:leader="none" w:pos="152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324"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1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addition to the basis and at risk limitations, passive activity loss limitations limit the deductibility of losses incurred by individuals, estates, trusts, some closely-held corporations and personal service</w:t>
      </w:r>
    </w:p>
    <w:p>
      <w:pPr>
        <w:ind w:left="1260" w:right="499"/>
        <w:spacing w:after="0"/>
        <w:rPr>
          <w:sz w:val="20"/>
          <w:szCs w:val="20"/>
          <w:color w:val="auto"/>
        </w:rPr>
      </w:pPr>
      <w:r>
        <w:rPr>
          <w:rFonts w:ascii="Times New Roman" w:cs="Times New Roman" w:eastAsia="Times New Roman" w:hAnsi="Times New Roman"/>
          <w:sz w:val="18"/>
          <w:szCs w:val="18"/>
          <w:color w:val="auto"/>
        </w:rPr>
        <w:t>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12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For taxpayers other than corporations in taxable years beginning before January 1, 2029,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for 2024 is equal to $305,000, or $610,000 (increased annually by the applicable inflation adjustment)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Interest Deductions</w:t>
      </w:r>
    </w:p>
    <w:p>
      <w:pPr>
        <w:spacing w:after="0" w:line="14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11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 unitholder’s basis in his or her units will generally be increased by the amount of any excess business interest upon a disposition of such units.</w:t>
      </w:r>
    </w:p>
    <w:p>
      <w:pPr>
        <w:spacing w:after="0" w:line="12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68" w:lineRule="exact"/>
        <w:rPr>
          <w:sz w:val="20"/>
          <w:szCs w:val="20"/>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indebtedness allocable to property held for investment;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allocated against portfolio income; and</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interest expense incurred to purchase or carry an interest in a passive activity to the extent allocable against portfolio income.</w:t>
      </w:r>
    </w:p>
    <w:p>
      <w:pPr>
        <w:spacing w:after="0" w:line="94"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Entity-Level Collections of Unitholder Taxes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 Administrative Matters — Information Returns and Audit Procedures.” Each unitholder is urged to consult its tax advisor to determine the consequences to them of any tax payment we make on its behalf.</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Allocation of Income, Gain, Loss and Deduction</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82" w:lineRule="auto"/>
        <w:rPr>
          <w:sz w:val="20"/>
          <w:szCs w:val="20"/>
          <w:color w:val="auto"/>
        </w:rPr>
      </w:pPr>
      <w:r>
        <w:rPr>
          <w:rFonts w:ascii="Times New Roman" w:cs="Times New Roman" w:eastAsia="Times New Roman" w:hAnsi="Times New Roman"/>
          <w:sz w:val="18"/>
          <w:szCs w:val="18"/>
          <w:color w:val="auto"/>
        </w:rPr>
        <w:t>above) to the unitholder who was allocated the deduction giving rise to that recapture income in order to minimize the recognition of ordinary income by other unitholders.</w:t>
      </w:r>
    </w:p>
    <w:p>
      <w:pPr>
        <w:spacing w:after="0" w:line="81"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 adjustments and allocations, which may include the aggregation of certain issuances of units. Our counsel, Vinson &amp; Elkins, L.L.P., is unable to opine as to the validity of such conventions.</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Securities Loans</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325"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 Disposition of Units — Recognition of Gain or Loss.”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Rates</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9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(without taking into account the 20% deduction discussed below).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27"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For taxable years beginning after December 31, 2017 and ending on or before December 31, 2025, subject to certain limitations, an individual unitholder is entitled to a deduction equal to 20% of his or her</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allocable share of our “qualified business income.” For purposes of this deduction, our “qualified business income” is equal to the sum of:</w:t>
      </w:r>
    </w:p>
    <w:p>
      <w:pPr>
        <w:spacing w:after="0" w:line="40" w:lineRule="exact"/>
        <w:rPr>
          <w:sz w:val="20"/>
          <w:szCs w:val="20"/>
          <w:color w:val="auto"/>
        </w:rPr>
      </w:pPr>
    </w:p>
    <w:p>
      <w:pPr>
        <w:ind w:left="1800" w:right="519" w:hanging="180"/>
        <w:spacing w:after="0" w:line="261"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amount of our U.S. items of income, gain, deduction, and loss to the extent such items are included or allowed in the determination of taxable income for the year, excluding, however, certain specified types of passive investment income (such as capital gains and dividends) and certain payments made to the unitholder for services rendered to the Partnership; and</w:t>
      </w:r>
    </w:p>
    <w:p>
      <w:pPr>
        <w:spacing w:after="0" w:line="58"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10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Section 754 Election</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and to adjust the tax basis in each of our assets under Section 734(b) of the Code in the event of our repurchase of common units in the open market.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w:t>
      </w:r>
    </w:p>
    <w:p>
      <w:pPr>
        <w:spacing w:after="0" w:line="3" w:lineRule="exact"/>
        <w:rPr>
          <w:sz w:val="20"/>
          <w:szCs w:val="20"/>
          <w:color w:val="auto"/>
        </w:rPr>
      </w:pPr>
    </w:p>
    <w:p>
      <w:pPr>
        <w:ind w:left="1260" w:right="619"/>
        <w:spacing w:after="0" w:line="245" w:lineRule="auto"/>
        <w:tabs>
          <w:tab w:leader="none" w:pos="152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share of the tax basis in our assets as to all unitholders and (2) its Section 743(b) adjustment to that tax basis (which may be positive or negative).</w:t>
      </w:r>
    </w:p>
    <w:p>
      <w:pPr>
        <w:spacing w:after="0" w:line="113"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our partnership agreement, we are authorized to take a position to preserve the uniformity</w:t>
      </w:r>
    </w:p>
    <w:p>
      <w:pPr>
        <w:spacing w:after="0" w:line="16" w:lineRule="exact"/>
        <w:rPr>
          <w:sz w:val="20"/>
          <w:szCs w:val="20"/>
          <w:color w:val="auto"/>
        </w:rPr>
      </w:pPr>
    </w:p>
    <w:p>
      <w:pPr>
        <w:ind w:left="1260" w:right="499"/>
        <w:spacing w:after="0" w:line="241" w:lineRule="auto"/>
        <w:rPr>
          <w:sz w:val="20"/>
          <w:szCs w:val="20"/>
          <w:color w:val="auto"/>
        </w:rPr>
      </w:pPr>
      <w:r>
        <w:rPr>
          <w:rFonts w:ascii="Times New Roman" w:cs="Times New Roman" w:eastAsia="Times New Roman" w:hAnsi="Times New Roman"/>
          <w:sz w:val="18"/>
          <w:szCs w:val="18"/>
          <w:color w:val="auto"/>
        </w:rPr>
        <w:t>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 Uniformity of Units.”</w:t>
      </w:r>
    </w:p>
    <w:p>
      <w:pPr>
        <w:spacing w:after="0" w:line="11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IRS may challenge the positions we adopt with respect to depreciating or amortizing the Section 743(b) or Section 734(b) adjustment to preserve the uniformity of units due to the lack of controlling authority. Because a unitholder’s adjusted tax basis for its units is reduced by its share of our items of deduction or loss, any position we take that understates deductions will overstate a unitholder’s tax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114"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The calculations involved in the Section 754 election are complex and are made on the basis of assumptions as to the value of our assets and other matters. The IRS could seek to reallocate some or all of any Section 743(b) adjustment or Section 734(b) adjustment we allocated to our depreciable assets to goodwill or nondepreciable assets. Goodwill, as an intangible asset, is generally amortizable over a longer period of time or under a less accelerated method than certain of our tangible assets. We cannot assure any</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47" w:lineRule="auto"/>
        <w:rPr>
          <w:sz w:val="20"/>
          <w:szCs w:val="20"/>
          <w:color w:val="auto"/>
        </w:rPr>
      </w:pPr>
      <w:r>
        <w:rPr>
          <w:rFonts w:ascii="Times New Roman" w:cs="Times New Roman" w:eastAsia="Times New Roman" w:hAnsi="Times New Roman"/>
          <w:sz w:val="18"/>
          <w:szCs w:val="18"/>
          <w:color w:val="auto"/>
        </w:rPr>
        <w:t>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Treatment of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Accounting Method and Taxable Year</w:t>
      </w:r>
    </w:p>
    <w:p>
      <w:pPr>
        <w:spacing w:after="0" w:line="16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w:t>
      </w:r>
    </w:p>
    <w:p>
      <w:pPr>
        <w:spacing w:after="0" w:line="2"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 Disposition of Units — Allocations Between Transferors and Transferees.”</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Basis, Depreciation and Amortization</w:t>
      </w:r>
    </w:p>
    <w:p>
      <w:pPr>
        <w:spacing w:after="0" w:line="148"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32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 — Recognition of Gain or Loss.”</w:t>
      </w:r>
    </w:p>
    <w:p>
      <w:pPr>
        <w:spacing w:after="0" w:line="32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are allowed a first-year bonus depreciation deduction equal to 60% of the adjusted basis of certain depreciable property acquired and placed in service in 2024.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Valuation and Tax Basis of Each of Our Properties</w:t>
      </w:r>
    </w:p>
    <w:p>
      <w:pPr>
        <w:spacing w:after="0" w:line="14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Disposition of Units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Recognition of Gain or Loss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32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337"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34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w:t>
      </w:r>
    </w:p>
    <w:p>
      <w:pPr>
        <w:spacing w:after="0" w:line="3" w:lineRule="exact"/>
        <w:rPr>
          <w:sz w:val="20"/>
          <w:szCs w:val="20"/>
          <w:color w:val="auto"/>
        </w:rPr>
      </w:pPr>
    </w:p>
    <w:p>
      <w:pPr>
        <w:jc w:val="both"/>
        <w:ind w:left="1260" w:right="479"/>
        <w:spacing w:after="0" w:line="255" w:lineRule="auto"/>
        <w:rPr>
          <w:sz w:val="20"/>
          <w:szCs w:val="20"/>
          <w:color w:val="auto"/>
        </w:rPr>
      </w:pPr>
      <w:r>
        <w:rPr>
          <w:rFonts w:ascii="Times New Roman" w:cs="Times New Roman" w:eastAsia="Times New Roman" w:hAnsi="Times New Roman"/>
          <w:sz w:val="18"/>
          <w:szCs w:val="18"/>
          <w:color w:val="auto"/>
        </w:rPr>
        <w:t>our units. A unitholder considering the purchase of additional units or a sale or exchange of units purchased in separate transactions is urged to consult its tax advisor as to the possible consequences of this ruling and application of the Treasury Regulations.</w:t>
      </w:r>
    </w:p>
    <w:p>
      <w:pPr>
        <w:spacing w:after="0" w:line="105"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72" w:lineRule="exact"/>
        <w:rPr>
          <w:sz w:val="20"/>
          <w:szCs w:val="20"/>
          <w:color w:val="auto"/>
        </w:rPr>
      </w:pPr>
    </w:p>
    <w:p>
      <w:pPr>
        <w:ind w:left="1800" w:hanging="180"/>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offsetting notional principal contract; or</w:t>
      </w:r>
    </w:p>
    <w:p>
      <w:pPr>
        <w:spacing w:after="0" w:line="117"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futures or forward contract with respect to the partnership interest or substantially identical property.</w:t>
      </w:r>
    </w:p>
    <w:p>
      <w:pPr>
        <w:spacing w:after="0" w:line="94"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Moreover, if a taxpayer has previously entered into a short sale, an offsetting notional principal contract or a futures or forward contract with respect to the partnership interest, the taxpayer will be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 Tax Consequences of Unit Ownership — Treatment of Securities Loans.”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Allocations Between Transferors and Transferees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2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32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Notification Requirements</w:t>
      </w:r>
    </w:p>
    <w:p>
      <w:pPr>
        <w:spacing w:after="0" w:line="16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Uniformity of Units</w:t>
      </w:r>
    </w:p>
    <w:p>
      <w:pPr>
        <w:spacing w:after="0" w:line="162" w:lineRule="exact"/>
        <w:rPr>
          <w:sz w:val="20"/>
          <w:szCs w:val="20"/>
          <w:color w:val="auto"/>
        </w:rPr>
      </w:pPr>
    </w:p>
    <w:p>
      <w:pPr>
        <w:jc w:val="both"/>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 Tax Consequences of Unit Ownership — Section 754 Election.”</w:t>
      </w:r>
    </w:p>
    <w:p>
      <w:pPr>
        <w:spacing w:after="0" w:line="114"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11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A unitholder’s adjusted tax basis in units is reduced by its share of our deductions (whether or not such deductions were claimed on an individual income tax return) so that any position that we take that</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understates deductions will overstate the unitholder’s basis in its units, and may cause the unitholder to understate gain or overstate loss on any sale of such units. Please read “— Disposition of Units —  Recognition of Gain or Loss” and “— Tax Consequences of Unit Ownership —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325" w:lineRule="exact"/>
        <w:rPr>
          <w:sz w:val="20"/>
          <w:szCs w:val="20"/>
          <w:color w:val="auto"/>
        </w:rPr>
      </w:pPr>
    </w:p>
    <w:p>
      <w:pPr>
        <w:jc w:val="both"/>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In addition, as described above at “— Tax Consequences of Unit Ownership — Allocation of Income, Gain, Loss and Deduction,” if we aggregate multiple issuances of units for purposes of making adjustments to “book” basis and related tax allocations, to ensure the uniformity of our units, we will treat each of</w:t>
      </w:r>
    </w:p>
    <w:p>
      <w:pPr>
        <w:spacing w:after="0" w:line="2" w:lineRule="exact"/>
        <w:rPr>
          <w:sz w:val="20"/>
          <w:szCs w:val="20"/>
          <w:color w:val="auto"/>
        </w:rPr>
      </w:pPr>
    </w:p>
    <w:p>
      <w:pPr>
        <w:jc w:val="both"/>
        <w:ind w:left="1260" w:right="459"/>
        <w:spacing w:after="0" w:line="242" w:lineRule="auto"/>
        <w:rPr>
          <w:sz w:val="20"/>
          <w:szCs w:val="20"/>
          <w:color w:val="auto"/>
        </w:rPr>
      </w:pPr>
      <w:r>
        <w:rPr>
          <w:rFonts w:ascii="Times New Roman" w:cs="Times New Roman" w:eastAsia="Times New Roman" w:hAnsi="Times New Roman"/>
          <w:sz w:val="18"/>
          <w:szCs w:val="18"/>
          <w:color w:val="auto"/>
        </w:rPr>
        <w:t>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Tax-Exempt Organizations and Other Investors</w:t>
      </w:r>
    </w:p>
    <w:p>
      <w:pPr>
        <w:spacing w:after="0" w:line="148"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Employee benefit plans and most other tax-exempt organizations, including IRAs and other retirement plans, are subject to federal income tax on unrelated business taxable income. Virtually all of our income allocated to tax-exempt organizations will be unrelated business taxable income and will be taxable to a tax-exempt unitholder. Tax-exempt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 -exempt unitholders to utilize losses from an investment in the Partnership to offset unrelated business taxable income from another unrelated trade or business and vice versa. Additionally, all or part of any gain recognized by a tax exempt organization upon a sale or other disposition of our units may be unrelated business taxable income and may be taxable to them.</w:t>
      </w:r>
    </w:p>
    <w:p>
      <w:pPr>
        <w:spacing w:after="0" w:line="121" w:lineRule="exact"/>
        <w:rPr>
          <w:sz w:val="20"/>
          <w:szCs w:val="20"/>
          <w:color w:val="auto"/>
        </w:rPr>
      </w:pPr>
    </w:p>
    <w:p>
      <w:pPr>
        <w:jc w:val="both"/>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w:t>
      </w:r>
    </w:p>
    <w:p>
      <w:pPr>
        <w:ind w:left="1260" w:right="459"/>
        <w:spacing w:after="0"/>
        <w:rPr>
          <w:sz w:val="20"/>
          <w:szCs w:val="20"/>
          <w:color w:val="auto"/>
        </w:rPr>
      </w:pPr>
      <w:r>
        <w:rPr>
          <w:rFonts w:ascii="Times New Roman" w:cs="Times New Roman" w:eastAsia="Times New Roman" w:hAnsi="Times New Roman"/>
          <w:sz w:val="18"/>
          <w:szCs w:val="18"/>
          <w:color w:val="auto"/>
        </w:rPr>
        <w:t>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In addition, distributions to non-U.S. persons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non-U.S. persons will be subject to a combined withholding tax rate equal to the sum of the highest applicable effective tax rate and 10%. Each Non-U.S. Unitholder must obtain a taxpayer identification number from the IRS and submit that number to our transfer agent on a Form W- 8BEN or W-8BEN-E (or other applicable or successor form) in order to obtain credit for these withholding taxes.</w:t>
      </w:r>
    </w:p>
    <w:p>
      <w:pPr>
        <w:spacing w:after="0" w:line="117"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0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332" w:lineRule="exact"/>
        <w:rPr>
          <w:sz w:val="20"/>
          <w:szCs w:val="20"/>
          <w:color w:val="auto"/>
        </w:rPr>
      </w:pPr>
    </w:p>
    <w:p>
      <w:pPr>
        <w:ind w:left="1260" w:right="599" w:firstLine="360"/>
        <w:spacing w:after="0" w:line="242" w:lineRule="auto"/>
        <w:rPr>
          <w:sz w:val="20"/>
          <w:szCs w:val="20"/>
          <w:color w:val="auto"/>
        </w:rPr>
      </w:pPr>
      <w:r>
        <w:rPr>
          <w:rFonts w:ascii="Times New Roman" w:cs="Times New Roman" w:eastAsia="Times New Roman" w:hAnsi="Times New Roman"/>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the obligation to withhold is imposed on the transferor’s broker. Current and prospective foreign unitholders should consult their tax advisors regarding the impact of these rules on an investment in our units.</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Administrative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Returns and Audit Procedures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14"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1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w:t>
      </w:r>
    </w:p>
    <w:p>
      <w:pPr>
        <w:spacing w:after="0" w:line="110"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61" w:lineRule="auto"/>
        <w:rPr>
          <w:sz w:val="20"/>
          <w:szCs w:val="20"/>
          <w:color w:val="auto"/>
        </w:rPr>
      </w:pPr>
      <w:r>
        <w:rPr>
          <w:rFonts w:ascii="Times New Roman" w:cs="Times New Roman" w:eastAsia="Times New Roman" w:hAnsi="Times New Roman"/>
          <w:sz w:val="18"/>
          <w:szCs w:val="18"/>
          <w:color w:val="auto"/>
        </w:rPr>
        <w:t>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11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then our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w:t>
      </w:r>
    </w:p>
    <w:p>
      <w:pPr>
        <w:spacing w:after="0" w:line="12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Code requires us to designate a partner, or other person, with a substantial presence in the United States as the partnership representative (“Partnership Representative”). The Partnership Representative has the sole authority to act on our behalf for purposes of, among other things, federal income tax audits and judicial review of administrative adjustments by the IRS. We have designated our general partner as the Partnership Representative.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Additional Withholding Requirements</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Withholding taxes may apply to certain types of payments made to “foreign financial institutions” (as​ specially defined in the Code) and certain other non-U.S. entities. Specifically, a 30% withholding tax may be imposed on withholdable payments, including interest, dividends and other fixed or determinable annual or periodic gains, profits and income from sources within the United States (“FDAP Income”) paid to a foreign financial institution or to a “non-financial foreign entity” (as​ specially defined in the Code), unless</w:t>
      </w:r>
    </w:p>
    <w:p>
      <w:pPr>
        <w:spacing w:after="0" w:line="3" w:lineRule="exact"/>
        <w:rPr>
          <w:sz w:val="20"/>
          <w:szCs w:val="20"/>
          <w:color w:val="auto"/>
        </w:rPr>
      </w:pPr>
    </w:p>
    <w:p>
      <w:pPr>
        <w:ind w:left="1260" w:right="479"/>
        <w:spacing w:after="0" w:line="251" w:lineRule="auto"/>
        <w:tabs>
          <w:tab w:leader="none" w:pos="148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While withholdable payments would have originally included payments of gross proceeds from the sale or other disposition of any property of a type which could produce interest or dividends from sources within the United States (“Gross Proceeds”) on or after January 1, 2019, proposed Treasury Regulations provide that such payments of Gross Proceeds do not constitute withholdable payments. Taxpayers may rely generally on these proposed Treasury Regulations until they are revoked or final Treasury Regulations are issued.</w:t>
      </w:r>
    </w:p>
    <w:p>
      <w:pPr>
        <w:spacing w:after="0" w:line="126"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2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To the extent we have FDAP Income that is not treated as effectively connected with a U.S. trade or business (please read “—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income, pursuant to the rules described above. Each prospective unitholder should consult its own tax advisors regarding the potential application of these withholding provisions to its investment in our units.</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Nominee Reporting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Persons who hold an interest in us as a nominee for another person are required to furnish to us:</w:t>
      </w:r>
    </w:p>
    <w:p>
      <w:pPr>
        <w:spacing w:after="0" w:line="117" w:lineRule="exact"/>
        <w:rPr>
          <w:sz w:val="20"/>
          <w:szCs w:val="20"/>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taxpayer identification number of the beneficial owner and the nominee;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regarding whether the beneficial owner is: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person;</w:t>
      </w:r>
    </w:p>
    <w:p>
      <w:pPr>
        <w:spacing w:after="0" w:line="103" w:lineRule="exact"/>
        <w:rPr>
          <w:rFonts w:ascii="Times New Roman" w:cs="Times New Roman" w:eastAsia="Times New Roman" w:hAnsi="Times New Roman"/>
          <w:sz w:val="18"/>
          <w:szCs w:val="18"/>
          <w:color w:val="auto"/>
        </w:rPr>
      </w:pPr>
    </w:p>
    <w:p>
      <w:pPr>
        <w:ind w:left="2160" w:right="1259" w:hanging="180"/>
        <w:spacing w:after="0" w:line="282" w:lineRule="auto"/>
        <w:tabs>
          <w:tab w:leader="none" w:pos="21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government, an international organization or any wholly-owned agency or instrumentality of either of the foregoing; or</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description of units held, acquired or transferred for the beneficial owner; and</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information including the dates of acquisitions and transfers, means of acquisitions and transfers, and acquisition cost for purchases, as well as the amount of net proceeds from sales.</w:t>
      </w:r>
    </w:p>
    <w:p>
      <w:pPr>
        <w:spacing w:after="0" w:line="94"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Accuracy-Related Penalties</w:t>
      </w:r>
    </w:p>
    <w:p>
      <w:pPr>
        <w:spacing w:after="0" w:line="14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State, Local and Other Tax Considerations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12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of Ownership of Preferred Units</w:t>
      </w:r>
    </w:p>
    <w:p>
      <w:pPr>
        <w:spacing w:after="0" w:line="14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of Ownership of Debt Securities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04" w:lineRule="exact"/>
        <w:rPr>
          <w:sz w:val="20"/>
          <w:szCs w:val="20"/>
          <w:color w:val="auto"/>
        </w:rPr>
      </w:pPr>
    </w:p>
    <w:p>
      <w:pPr>
        <w:ind w:left="1260" w:right="439" w:firstLine="36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It is the responsibility of each unitholder to investigate the legal and tax consequences, under the laws of pertinent jurisdictions, of its investment in us. We strongly recommend that each prospective unitholder consult, and depend upon, its own tax counsel or other advisor with regard to those matters. Further, it is the responsibility of each unitholder to file all state, local and non-U.S., as well as federal tax returns that may be required of it. Vinson</w:t>
      </w:r>
    </w:p>
    <w:p>
      <w:pPr>
        <w:ind w:left="1260" w:right="1239"/>
        <w:spacing w:after="0" w:line="260" w:lineRule="auto"/>
        <w:tabs>
          <w:tab w:leader="none" w:pos="1438" w:val="left"/>
        </w:tabs>
        <w:numPr>
          <w:ilvl w:val="0"/>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Elkins L.L.P. has not rendered an opinion on the state, local, alternative minimum tax or non-U.S. tax consequences of an investment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this prospectus, we intend to offer our securities to the public:</w:t>
      </w:r>
    </w:p>
    <w:p>
      <w:pPr>
        <w:spacing w:after="0" w:line="117" w:lineRule="exact"/>
        <w:rPr>
          <w:sz w:val="20"/>
          <w:szCs w:val="20"/>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for public offering and sale;</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broker-dealers who may act as agent or may purchase securities as principal and thereafter resell the securities from time to time;</w:t>
      </w:r>
    </w:p>
    <w:p>
      <w:pPr>
        <w:spacing w:after="0" w:line="53"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 through one or more transactions (which may involve crosses and block transactions) or distributions, including exchange distributions, distributions to beneficial owners and/or secondary distributions;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 transactions;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investors directly;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short sales and delivery of such securities to close out short positions;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any other method permitted pursuant to applicable law.</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price our securities at:</w:t>
      </w:r>
    </w:p>
    <w:p>
      <w:pPr>
        <w:spacing w:after="0" w:line="117" w:lineRule="exact"/>
        <w:rPr>
          <w:sz w:val="20"/>
          <w:szCs w:val="20"/>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any sale under this registration statement;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then-current market prices;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change the price of the securities offered from time to time.</w:t>
      </w:r>
    </w:p>
    <w:p>
      <w:pPr>
        <w:spacing w:after="0" w:line="15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will pay or allow distributors’ or sellers’ commissions that will not exceed those customary in the types of transactions involved.</w:t>
      </w:r>
    </w:p>
    <w:p>
      <w:pPr>
        <w:spacing w:after="0" w:line="81"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16"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To the extent required, the names of the specific managing underwriter or underwriters, if any, as well as other important information, will be set forth in an applicable prospectus supplement. In that event, the discounts and commissions we will allow or pay to the underwriters, if any, and the discounts and commissions the underwriters may allow or pay to dealers or agents, if any, will be set forth in, or may be calculated from, the applicable prospectus supplement.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24" w:lineRule="exact"/>
        <w:rPr>
          <w:sz w:val="20"/>
          <w:szCs w:val="20"/>
          <w:color w:val="auto"/>
        </w:rPr>
      </w:pPr>
    </w:p>
    <w:p>
      <w:pPr>
        <w:jc w:val="both"/>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99"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0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0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95"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offerings under this shelf registration statement and in compliance with applicable law, underwriters, brokers or dealers may engage in transactions that stabilize or maintain the market price of the securities at levels above those that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the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18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659" w:firstLine="360"/>
        <w:spacing w:after="0" w:line="25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26">
        <w:r>
          <w:rPr>
            <w:rFonts w:ascii="Times New Roman" w:cs="Times New Roman" w:eastAsia="Times New Roman" w:hAnsi="Times New Roman"/>
            <w:sz w:val="18"/>
            <w:szCs w:val="18"/>
            <w:color w:val="auto"/>
          </w:rPr>
          <w:t xml:space="preserve">Reporting) incorporated in this Prospectus by reference to the </w:t>
        </w:r>
        <w:r>
          <w:rPr>
            <w:rFonts w:ascii="Times New Roman" w:cs="Times New Roman" w:eastAsia="Times New Roman" w:hAnsi="Times New Roman"/>
            <w:sz w:val="18"/>
            <w:szCs w:val="18"/>
            <w:u w:val="single" w:color="auto"/>
            <w:color w:val="0000EE"/>
          </w:rPr>
          <w:t>Annual Report on Form 10-K for the year</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 PricewaterhouseCoopers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62230</wp:posOffset>
            </wp:positionV>
            <wp:extent cx="52120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540"/>
        <w:spacing w:after="0"/>
        <w:rPr>
          <w:sz w:val="20"/>
          <w:szCs w:val="20"/>
          <w:color w:val="auto"/>
        </w:rPr>
      </w:pPr>
      <w:r>
        <w:rPr>
          <w:rFonts w:ascii="Arial" w:cs="Arial" w:eastAsia="Arial" w:hAnsi="Arial"/>
          <w:sz w:val="29"/>
          <w:szCs w:val="29"/>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2480310</wp:posOffset>
            </wp:positionH>
            <wp:positionV relativeFrom="paragraph">
              <wp:posOffset>572770</wp:posOffset>
            </wp:positionV>
            <wp:extent cx="1851660" cy="925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185166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2479"/>
        <w:spacing w:after="0"/>
        <w:rPr>
          <w:sz w:val="20"/>
          <w:szCs w:val="20"/>
          <w:color w:val="auto"/>
        </w:rPr>
      </w:pPr>
      <w:r>
        <w:rPr>
          <w:rFonts w:ascii="Arial" w:cs="Arial" w:eastAsia="Arial" w:hAnsi="Arial"/>
          <w:sz w:val="29"/>
          <w:szCs w:val="29"/>
          <w:b w:val="1"/>
          <w:bCs w:val="1"/>
          <w:color w:val="auto"/>
        </w:rPr>
        <w:t>        % Senior Notes due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821690</wp:posOffset>
            </wp:positionV>
            <wp:extent cx="21602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860"/>
        <w:spacing w:after="0"/>
        <w:rPr>
          <w:sz w:val="20"/>
          <w:szCs w:val="20"/>
          <w:color w:val="auto"/>
        </w:rPr>
      </w:pPr>
      <w:r>
        <w:rPr>
          <w:rFonts w:ascii="Arial" w:cs="Arial" w:eastAsia="Arial" w:hAnsi="Arial"/>
          <w:sz w:val="29"/>
          <w:szCs w:val="29"/>
          <w:b w:val="1"/>
          <w:bCs w:val="1"/>
          <w:color w:val="auto"/>
        </w:rPr>
        <w:t>Prospectus supplement</w:t>
      </w:r>
    </w:p>
    <w:p>
      <w:pPr>
        <w:spacing w:after="0" w:line="193" w:lineRule="exact"/>
        <w:rPr>
          <w:sz w:val="20"/>
          <w:szCs w:val="20"/>
          <w:color w:val="auto"/>
        </w:rPr>
      </w:pPr>
    </w:p>
    <w:p>
      <w:pPr>
        <w:jc w:val="center"/>
        <w:ind w:right="-860"/>
        <w:spacing w:after="0"/>
        <w:rPr>
          <w:sz w:val="20"/>
          <w:szCs w:val="20"/>
          <w:color w:val="auto"/>
        </w:rPr>
      </w:pPr>
      <w:r>
        <w:rPr>
          <w:rFonts w:ascii="Arial" w:cs="Arial" w:eastAsia="Arial" w:hAnsi="Arial"/>
          <w:sz w:val="29"/>
          <w:szCs w:val="29"/>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195580</wp:posOffset>
            </wp:positionV>
            <wp:extent cx="21602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860"/>
        <w:spacing w:after="0"/>
        <w:rPr>
          <w:sz w:val="20"/>
          <w:szCs w:val="20"/>
          <w:color w:val="auto"/>
        </w:rPr>
      </w:pPr>
      <w:r>
        <w:rPr>
          <w:rFonts w:ascii="Arial" w:cs="Arial" w:eastAsia="Arial" w:hAnsi="Arial"/>
          <w:sz w:val="18"/>
          <w:szCs w:val="18"/>
          <w:i w:val="1"/>
          <w:iCs w:val="1"/>
          <w:color w:val="auto"/>
        </w:rPr>
        <w:t>Joint book-running managers</w:t>
      </w:r>
    </w:p>
    <w:p>
      <w:pPr>
        <w:spacing w:after="0" w:line="194" w:lineRule="exact"/>
        <w:rPr>
          <w:sz w:val="20"/>
          <w:szCs w:val="20"/>
          <w:color w:val="auto"/>
        </w:rPr>
      </w:pPr>
    </w:p>
    <w:p>
      <w:pPr>
        <w:jc w:val="center"/>
        <w:ind w:right="-860"/>
        <w:spacing w:after="0"/>
        <w:rPr>
          <w:sz w:val="20"/>
          <w:szCs w:val="20"/>
          <w:color w:val="auto"/>
        </w:rPr>
      </w:pPr>
      <w:r>
        <w:rPr>
          <w:rFonts w:ascii="Arial" w:cs="Arial" w:eastAsia="Arial" w:hAnsi="Arial"/>
          <w:sz w:val="29"/>
          <w:szCs w:val="29"/>
          <w:b w:val="1"/>
          <w:bCs w:val="1"/>
          <w:color w:val="auto"/>
        </w:rPr>
        <w:t>J.P. Morgan</w:t>
      </w:r>
    </w:p>
    <w:p>
      <w:pPr>
        <w:spacing w:after="0" w:line="180" w:lineRule="exact"/>
        <w:rPr>
          <w:sz w:val="20"/>
          <w:szCs w:val="20"/>
          <w:color w:val="auto"/>
        </w:rPr>
      </w:pPr>
    </w:p>
    <w:p>
      <w:pPr>
        <w:jc w:val="center"/>
        <w:ind w:right="-860"/>
        <w:spacing w:after="0"/>
        <w:rPr>
          <w:sz w:val="20"/>
          <w:szCs w:val="20"/>
          <w:color w:val="auto"/>
        </w:rPr>
      </w:pPr>
      <w:r>
        <w:rPr>
          <w:rFonts w:ascii="Arial" w:cs="Arial" w:eastAsia="Arial" w:hAnsi="Arial"/>
          <w:sz w:val="29"/>
          <w:szCs w:val="29"/>
          <w:b w:val="1"/>
          <w:bCs w:val="1"/>
          <w:color w:val="auto"/>
        </w:rPr>
        <w:t>BMO Capital Markets</w:t>
      </w:r>
    </w:p>
    <w:p>
      <w:pPr>
        <w:spacing w:after="0" w:line="193" w:lineRule="exact"/>
        <w:rPr>
          <w:sz w:val="20"/>
          <w:szCs w:val="20"/>
          <w:color w:val="auto"/>
        </w:rPr>
      </w:pPr>
    </w:p>
    <w:p>
      <w:pPr>
        <w:jc w:val="center"/>
        <w:ind w:right="-860"/>
        <w:spacing w:after="0"/>
        <w:rPr>
          <w:sz w:val="20"/>
          <w:szCs w:val="20"/>
          <w:color w:val="auto"/>
        </w:rPr>
      </w:pPr>
      <w:r>
        <w:rPr>
          <w:rFonts w:ascii="Arial" w:cs="Arial" w:eastAsia="Arial" w:hAnsi="Arial"/>
          <w:sz w:val="29"/>
          <w:szCs w:val="29"/>
          <w:b w:val="1"/>
          <w:bCs w:val="1"/>
          <w:color w:val="auto"/>
        </w:rPr>
        <w:t>Mizuho</w:t>
      </w:r>
    </w:p>
    <w:p>
      <w:pPr>
        <w:spacing w:after="0" w:line="193" w:lineRule="exact"/>
        <w:rPr>
          <w:sz w:val="20"/>
          <w:szCs w:val="20"/>
          <w:color w:val="auto"/>
        </w:rPr>
      </w:pPr>
    </w:p>
    <w:p>
      <w:pPr>
        <w:jc w:val="center"/>
        <w:ind w:right="-860"/>
        <w:spacing w:after="0"/>
        <w:rPr>
          <w:sz w:val="20"/>
          <w:szCs w:val="20"/>
          <w:color w:val="auto"/>
        </w:rPr>
      </w:pPr>
      <w:r>
        <w:rPr>
          <w:rFonts w:ascii="Arial" w:cs="Arial" w:eastAsia="Arial" w:hAnsi="Arial"/>
          <w:sz w:val="29"/>
          <w:szCs w:val="29"/>
          <w:b w:val="1"/>
          <w:bCs w:val="1"/>
          <w:color w:val="auto"/>
        </w:rPr>
        <w:t>Scotiabank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727075</wp:posOffset>
            </wp:positionV>
            <wp:extent cx="52120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1)"/>
      <w:numFmt w:val="lowerRoman"/>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13">
    <w:nsid w:val="4B588F54"/>
    <w:multiLevelType w:val="hybridMultilevel"/>
    <w:lvl w:ilvl="0">
      <w:lvlJc w:val="left"/>
      <w:lvlText w:val="•"/>
      <w:numFmt w:val="bullet"/>
      <w:start w:val="1"/>
    </w:lvl>
    <w:lvl w:ilvl="1">
      <w:lvlJc w:val="left"/>
      <w:lvlText w:val="(%2)"/>
      <w:numFmt w:val="lowerLetter"/>
      <w:start w:val="25"/>
    </w:lvl>
    <w:lvl w:ilvl="2">
      <w:lvlJc w:val="left"/>
      <w:lvlText w:val="(%3)"/>
      <w:numFmt w:val="lowerLetter"/>
      <w:start w:val="1"/>
    </w:lvl>
  </w:abstractNum>
  <w:abstractNum w:abstractNumId="14">
    <w:nsid w:val="542289EC"/>
    <w:multiLevelType w:val="hybridMultilevel"/>
    <w:lvl w:ilvl="0">
      <w:lvlJc w:val="left"/>
      <w:lvlText w:val="•"/>
      <w:numFmt w:val="bullet"/>
      <w:start w:val="1"/>
    </w:lvl>
    <w:lvl w:ilvl="1">
      <w:lvlJc w:val="left"/>
      <w:lvlText w:val="(%2)"/>
      <w:numFmt w:val="lowerLetter"/>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1)"/>
      <w:numFmt w:val="decimal"/>
      <w:start w:val="1"/>
    </w:lvl>
    <w:lvl w:ilvl="1">
      <w:lvlJc w:val="left"/>
      <w:lvlText w:val="(%2)"/>
      <w:numFmt w:val="lowerLetter"/>
      <w:start w:val="1"/>
    </w:lvl>
  </w:abstractNum>
  <w:abstractNum w:abstractNumId="22">
    <w:nsid w:val="3DC240FB"/>
    <w:multiLevelType w:val="hybridMultilevel"/>
    <w:lvl w:ilvl="0">
      <w:lvlJc w:val="left"/>
      <w:lvlText w:val="(%1)"/>
      <w:numFmt w:val="lowerRoman"/>
      <w:start w:val="2"/>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1)"/>
      <w:numFmt w:val="decimal"/>
      <w:start w:val="15"/>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1)"/>
      <w:numFmt w:val="decimal"/>
      <w:start w:val="8"/>
    </w:lvl>
  </w:abstractNum>
  <w:abstractNum w:abstractNumId="34">
    <w:nsid w:val="39386575"/>
    <w:multiLevelType w:val="hybridMultilevel"/>
    <w:lvl w:ilvl="0">
      <w:lvlJc w:val="left"/>
      <w:lvlText w:val="(%1)"/>
      <w:numFmt w:val="lowerRoman"/>
      <w:start w:val="3"/>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1)"/>
      <w:numFmt w:val="lowerLetter"/>
      <w:start w:val="1"/>
    </w:lvl>
    <w:lvl w:ilvl="1">
      <w:lvlJc w:val="left"/>
      <w:lvlText w:val="(%2)"/>
      <w:numFmt w:val="decimal"/>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1)"/>
      <w:numFmt w:val="lowerRoman"/>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1)"/>
      <w:numFmt w:val="lowerLetter"/>
      <w:start w:val="1"/>
    </w:lvl>
  </w:abstractNum>
  <w:abstractNum w:abstractNumId="66">
    <w:nsid w:val="168E121F"/>
    <w:multiLevelType w:val="hybridMultilevel"/>
    <w:lvl w:ilvl="0">
      <w:lvlJc w:val="left"/>
      <w:lvlText w:val="(%1)"/>
      <w:numFmt w:val="lowerRoman"/>
      <w:start w:val="1"/>
    </w:lvl>
  </w:abstractNum>
  <w:abstractNum w:abstractNumId="67">
    <w:nsid w:val="1EBA5D23"/>
    <w:multiLevelType w:val="hybridMultilevel"/>
    <w:lvl w:ilvl="0">
      <w:lvlJc w:val="left"/>
      <w:lvlText w:val="(%1)"/>
      <w:numFmt w:val="decimal"/>
      <w:start w:val="2"/>
    </w:lvl>
  </w:abstractNum>
  <w:abstractNum w:abstractNumId="68">
    <w:nsid w:val="661E3F1E"/>
    <w:multiLevelType w:val="hybridMultilevel"/>
    <w:lvl w:ilvl="0">
      <w:lvlJc w:val="left"/>
      <w:lvlText w:val="(%1)"/>
      <w:numFmt w:val="decimal"/>
      <w:start w:val="3"/>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1)"/>
      <w:numFmt w:val="decimal"/>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1)"/>
      <w:numFmt w:val="lowerRoman"/>
      <w:start w:val="1"/>
    </w:lvl>
  </w:abstractNum>
  <w:abstractNum w:abstractNumId="74">
    <w:nsid w:val="BF72B14"/>
    <w:multiLevelType w:val="hybridMultilevel"/>
    <w:lvl w:ilvl="0">
      <w:lvlJc w:val="left"/>
      <w:lvlText w:val="•"/>
      <w:numFmt w:val="bullet"/>
      <w:start w:val="1"/>
    </w:lvl>
    <w:lvl w:ilvl="1">
      <w:lvlJc w:val="left"/>
      <w:lvlText w:val="•"/>
      <w:numFmt w:val="bullet"/>
      <w:start w:val="1"/>
    </w:lvl>
  </w:abstractNum>
  <w:abstractNum w:abstractNumId="75">
    <w:nsid w:val="11447B73"/>
    <w:multiLevelType w:val="hybridMultilevel"/>
    <w:lvl w:ilvl="0">
      <w:lvlJc w:val="left"/>
      <w:lvlText w:val="&amp;"/>
      <w:numFmt w:val="bullet"/>
      <w:start w:val="1"/>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jpe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26" Type="http://schemas.openxmlformats.org/officeDocument/2006/relationships/hyperlink" Target="https://www.sec.gov/ix?doc=/Archives/edgar/data/1070423/000107042324000008/paa-20231231.htm" TargetMode="External"/><Relationship Id="rId31" Type="http://schemas.openxmlformats.org/officeDocument/2006/relationships/hyperlink" Target="https://www.sec.gov/ix?doc=/Archives/edgar/data/1070423/000107042324000014/paa-20240331.htm" TargetMode="External"/><Relationship Id="rId32" Type="http://schemas.openxmlformats.org/officeDocument/2006/relationships/hyperlink" Target="https://www.sec.gov/ix?doc=/Archives/edgar/data/1070423/000107042324000020/paa-20240630.htm" TargetMode="External"/><Relationship Id="rId33" Type="http://schemas.openxmlformats.org/officeDocument/2006/relationships/hyperlink" Target="https://www.sec.gov/ix?doc=/Archives/edgar/data/1070423/000107042324000027/paa-20240930.htm" TargetMode="External"/><Relationship Id="rId89" Type="http://schemas.openxmlformats.org/officeDocument/2006/relationships/hyperlink" Target="https://www.sec.gov/ix?doc=/Archives/edgar/data/1070423/000110465924065666/tm2415729d1_8k.htm" TargetMode="External"/><Relationship Id="rId90" Type="http://schemas.openxmlformats.org/officeDocument/2006/relationships/hyperlink" Target="https://www.sec.gov/ix?doc=/Archives/edgar/data/1070423/000110465924073377/tm2416478d4_8k.htm" TargetMode="External"/><Relationship Id="rId91" Type="http://schemas.openxmlformats.org/officeDocument/2006/relationships/hyperlink" Target="https://www.sec.gov/ix?doc=/Archives/edgar/data/1070423/000110465924075672/tm2418387d1_8k.htm" TargetMode="External"/><Relationship Id="rId92" Type="http://schemas.openxmlformats.org/officeDocument/2006/relationships/hyperlink" Target="https://www.sec.gov/ix?doc=/Archives/edgar/data/1070423/000110465924092056/tm2422213d1_8k.htm" TargetMode="External"/><Relationship Id="rId93" Type="http://schemas.openxmlformats.org/officeDocument/2006/relationships/hyperlink" Target="https://www.sec.gov/ix?doc=/Archives/edgar/data/1070423/000110465925002210/tm252840d1_8k.htm" TargetMode="External"/><Relationship Id="rId98" Type="http://schemas.openxmlformats.org/officeDocument/2006/relationships/hyperlink" Target="https://www.sec.gov/ix?doc=/Archives/edgar/data/1070423/000110465924046387/tm242707d2_def14a.htm" TargetMode="External"/><Relationship Id="rId99" Type="http://schemas.openxmlformats.org/officeDocument/2006/relationships/hyperlink" Target="https://www.sec.gov/Archives/edgar/data/1070423/000107042324000008/paa202310-kexhibit416.htm" TargetMode="External"/><Relationship Id="rId100" Type="http://schemas.openxmlformats.org/officeDocument/2006/relationships/hyperlink" Target="https://www.sec.gov/Archives/edgar/data/1070423/000110465920134597/tm2037363-3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2025-01-13T07:45:42Z</dcterms:created>
  <dcterms:modified xsi:type="dcterms:W3CDTF">2025-01-13T07:45:42Z</dcterms:modified>
</cp:coreProperties>
</file>