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August 19,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54"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713-646-4100</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Senior Unsecured Revolving 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19, 2024, Plains All American Pipeline, L.P. (the “Partnership”) and Plains Midstream Canada ULC (“PMC”), each a wholly-owned subsidiary of Plains GP Holdings, L.P. (“PAGP” or the “Registrant”), entered into that certain Second Amendment to Credit Agreement (the “Revolving Credit Facility Amendment”) amending certain of the terms of their Credit Agreement dated as of August 20, 2021 among the Partnership and PMC, as borrowers, Bank of America, N.A., as administrative agent, and the other lenders party thereto (as amended, the “Revolving Credit Agreement”). Pursuant to the Revolving Credit Facility Amendment, among other things, the Canadian dollar offered rate (CDOR) was replaced with rates based on the Canadian Overnight Repo Rate Average (CORRA), and the requirement that lenders accept Canadian bankers’ acceptances issued by PMC or other designated borrowers was eliminated. In connection with the Revolving Credit Facility Amendment, the Maturity Date of the Revolving Credit Agreement was also extended from August 18, 2028 to August 17, 2029. Terms used in this paragraph but not defined herein have the meanings assigned to them in the Revolving Credit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Hedged Inventory 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19, 2024, Plains Marketing, L.P. (“PMLP”), a wholly-owned subsidiary of the Partnership, and PMC entered into that certain Second Amendment to Fourth Amended and Restated Credit Agreement (the “Hedged Inventory Facility Amendment” and together with the Revolving Credit Facility Amendment, the “Amendments”) amending certain of the terms of their Fourth Amended and Restated Credit Agreement dated as of August 20, 2021 among PMLP and PMC, as borrowers, the Partnership, as guarantor, Bank of America, N.A., as administrative agent, and the other lenders party thereto (as amended, the “Hedged Inventory Facility”). Pursuant to the Hedged Inventory Facility Amendment, among other things, the Canadian dollar offered rate (CDOR) was replaced with rates based on the Canadian Overnight Repo Rate Average (CORRA), and the requirement that lenders accept Canadian bankers’ acceptances issued by PMC or other designated borrowers was eliminated. In connection with the Hedged Inventory Facility Amendment, the Maturity Date of the Hedged Inventory Facility was also extended from August 18, 2026 to August 18, 2027. Terms used in this paragraph but not defined herein have the meanings assigned to them in the Hedged Inventory Facility.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above descriptions of the Amendments are qualified in their entirety by the terms of the Revolving Credit Facility Amendment and the Hedged Inventory Facility Amendment, as applicable, which are attached hereto as Exhibits 10.1 and 10.2, respectively, and are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245" w:lineRule="exact"/>
        <w:rPr>
          <w:sz w:val="20"/>
          <w:szCs w:val="20"/>
          <w:color w:val="auto"/>
        </w:rPr>
      </w:pPr>
    </w:p>
    <w:p>
      <w:pPr>
        <w:jc w:val="both"/>
        <w:ind w:left="2020" w:hanging="1565"/>
        <w:spacing w:after="0" w:line="258" w:lineRule="auto"/>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Exhibit 10.1 –</w:t>
      </w:r>
      <w:r>
        <w:rPr>
          <w:sz w:val="20"/>
          <w:szCs w:val="20"/>
          <w:color w:val="auto"/>
        </w:rPr>
        <w:tab/>
      </w:r>
      <w:r>
        <w:rPr>
          <w:rFonts w:ascii="Times New Roman" w:cs="Times New Roman" w:eastAsia="Times New Roman" w:hAnsi="Times New Roman"/>
          <w:sz w:val="18"/>
          <w:szCs w:val="18"/>
          <w:u w:val="single" w:color="auto"/>
          <w:color w:val="0000EE"/>
        </w:rPr>
        <w:t>Second Amendment to Credit Agreement dated as of August 19, 2024,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w:t>
      </w:r>
    </w:p>
    <w:p>
      <w:pPr>
        <w:spacing w:after="0" w:line="183" w:lineRule="exact"/>
        <w:rPr>
          <w:sz w:val="20"/>
          <w:szCs w:val="20"/>
          <w:color w:val="auto"/>
        </w:rPr>
      </w:pPr>
    </w:p>
    <w:p>
      <w:pPr>
        <w:jc w:val="both"/>
        <w:ind w:left="2020" w:hanging="1565"/>
        <w:spacing w:after="0" w:line="261" w:lineRule="auto"/>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Exhibit 10.2 –</w:t>
      </w:r>
      <w:r>
        <w:rPr>
          <w:sz w:val="20"/>
          <w:szCs w:val="20"/>
          <w:color w:val="auto"/>
        </w:rPr>
        <w:tab/>
      </w:r>
      <w:r>
        <w:rPr>
          <w:rFonts w:ascii="Times New Roman" w:cs="Times New Roman" w:eastAsia="Times New Roman" w:hAnsi="Times New Roman"/>
          <w:sz w:val="18"/>
          <w:szCs w:val="18"/>
          <w:u w:val="single" w:color="auto"/>
          <w:color w:val="0000EE"/>
        </w:rPr>
        <w:t>Second Amendment to Fourth Amended and Restated Credit Agreement dated as of August 19, 2024,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w:t>
      </w:r>
    </w:p>
    <w:p>
      <w:pPr>
        <w:spacing w:after="0" w:line="180" w:lineRule="exact"/>
        <w:rPr>
          <w:sz w:val="20"/>
          <w:szCs w:val="20"/>
          <w:color w:val="auto"/>
        </w:rPr>
      </w:pPr>
    </w:p>
    <w:p>
      <w:pPr>
        <w:ind w:left="460"/>
        <w:spacing w:after="0"/>
        <w:tabs>
          <w:tab w:leader="none" w:pos="2000" w:val="left"/>
        </w:tabs>
        <w:rPr>
          <w:sz w:val="20"/>
          <w:szCs w:val="20"/>
          <w:color w:val="auto"/>
        </w:rPr>
      </w:pPr>
      <w:r>
        <w:rPr>
          <w:rFonts w:ascii="Times New Roman" w:cs="Times New Roman" w:eastAsia="Times New Roman" w:hAnsi="Times New Roman"/>
          <w:sz w:val="18"/>
          <w:szCs w:val="18"/>
          <w:color w:val="auto"/>
        </w:rPr>
        <w:t>Exhibit 104 –</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22, 2024</w:t>
      </w:r>
      <w:r>
        <w:rPr>
          <w:sz w:val="20"/>
          <w:szCs w:val="20"/>
          <w:color w:val="auto"/>
        </w:rPr>
        <w:tab/>
      </w:r>
      <w:r>
        <w:rPr>
          <w:rFonts w:ascii="Times New Roman" w:cs="Times New Roman" w:eastAsia="Times New Roman" w:hAnsi="Times New Roman"/>
          <w:sz w:val="18"/>
          <w:szCs w:val="18"/>
          <w:color w:val="auto"/>
        </w:rPr>
        <w:t>By: 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AMENDMENT TO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SECOND AMENDMENT TO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the 19th day of August, 2024, is by and among PLAINS ALL AMERICAN PIPELINE, L.P.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BANK OF AMERICA, N.A., as Administrative Agent, and the Lenders party 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Borrowers, Administrative Agent and the L/C Issuers and Lenders party thereto entered into that certain Credit Agreement dated as of August 20, 2021 (as amended by the First Amendment to Credit Agreement dated as of August 22, 2022,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for the purposes and consideration therein expressed;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Borrowers, Administrative Agent, and the Lenders party hereto desire to amend the Original Agreement to, among other things</w:t>
      </w:r>
    </w:p>
    <w:p>
      <w:pPr>
        <w:spacing w:after="0" w:line="27" w:lineRule="exact"/>
        <w:rPr>
          <w:sz w:val="20"/>
          <w:szCs w:val="20"/>
          <w:color w:val="auto"/>
        </w:rPr>
      </w:pPr>
    </w:p>
    <w:p>
      <w:pPr>
        <w:ind w:firstLine="8"/>
        <w:spacing w:after="0" w:line="260"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Existing Maturity Date and (ii) adopt CORRA as the benchmark rate for Canadian Dollar Credit Extensions and remove the bankers’ acceptance facility under the Original Agreement;</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 — </w:t>
      </w:r>
      <w:r>
        <w:rPr>
          <w:rFonts w:ascii="Times New Roman" w:cs="Times New Roman" w:eastAsia="Times New Roman" w:hAnsi="Times New Roman"/>
          <w:sz w:val="18"/>
          <w:szCs w:val="18"/>
          <w:u w:val="single" w:color="auto"/>
          <w:color w:val="auto"/>
        </w:rPr>
        <w:t>Definitions and References</w:t>
      </w:r>
    </w:p>
    <w:p>
      <w:pPr>
        <w:spacing w:after="0" w:line="225" w:lineRule="exact"/>
        <w:rPr>
          <w:sz w:val="20"/>
          <w:szCs w:val="20"/>
          <w:color w:val="auto"/>
        </w:rPr>
      </w:pPr>
    </w:p>
    <w:p>
      <w:pPr>
        <w:ind w:right="20" w:firstLine="656"/>
        <w:spacing w:after="0" w:line="282" w:lineRule="auto"/>
        <w:tabs>
          <w:tab w:leader="none" w:pos="7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Terms Defined in the Original Agreement</w:t>
      </w:r>
      <w:r>
        <w:rPr>
          <w:rFonts w:ascii="Times New Roman" w:cs="Times New Roman" w:eastAsia="Times New Roman" w:hAnsi="Times New Roman"/>
          <w:sz w:val="18"/>
          <w:szCs w:val="18"/>
          <w:color w:val="auto"/>
        </w:rPr>
        <w:t>. Unless the context otherwise requires or unless otherwise expressly defined herein, the terms defined in the Credit Agreement shall have the same meanings whenever used in this Amendment.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7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Other Defined Terms</w:t>
      </w:r>
      <w:r>
        <w:rPr>
          <w:rFonts w:ascii="Times New Roman" w:cs="Times New Roman" w:eastAsia="Times New Roman" w:hAnsi="Times New Roman"/>
          <w:sz w:val="18"/>
          <w:szCs w:val="18"/>
          <w:color w:val="auto"/>
        </w:rPr>
        <w:t xml:space="preserve">. Unless the context otherwise requires, the following terms when used in this Amendment shall have the meanings assigned to them in this </w:t>
      </w:r>
      <w:r>
        <w:rPr>
          <w:rFonts w:ascii="Times New Roman" w:cs="Times New Roman" w:eastAsia="Times New Roman" w:hAnsi="Times New Roman"/>
          <w:sz w:val="18"/>
          <w:szCs w:val="18"/>
          <w:u w:val="single" w:color="auto"/>
          <w:color w:val="auto"/>
        </w:rPr>
        <w:t>§ 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means this Second Amendment to Credit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Original Agreement as amended hereby.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 — </w:t>
      </w: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jc w:val="both"/>
        <w:ind w:firstLine="656"/>
        <w:spacing w:after="0" w:line="261" w:lineRule="auto"/>
        <w:tabs>
          <w:tab w:leader="none" w:pos="7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Credit Agreement</w:t>
      </w:r>
      <w:r>
        <w:rPr>
          <w:rFonts w:ascii="Times New Roman" w:cs="Times New Roman" w:eastAsia="Times New Roman" w:hAnsi="Times New Roman"/>
          <w:sz w:val="18"/>
          <w:szCs w:val="18"/>
          <w:color w:val="auto"/>
        </w:rPr>
        <w:t xml:space="preserve">. The Original Agreement (other than the signature pages, Annexes, Exhibits, Schedules thereto and the heading on the cover page thereto) is hereby amended (a) to delete the red or green stricken text (indicated textually in the same manner as the following examples: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B150"/>
          <w:strike w:val="1"/>
        </w:rPr>
        <w:t>stricken text</w:t>
      </w:r>
      <w:r>
        <w:rPr>
          <w:rFonts w:ascii="Times New Roman" w:cs="Times New Roman" w:eastAsia="Times New Roman" w:hAnsi="Times New Roman"/>
          <w:sz w:val="18"/>
          <w:szCs w:val="18"/>
          <w:color w:val="000000"/>
        </w:rPr>
        <w:t>) and (b) to add the blue or green double-underlined text (indicated textually in the same manner as the following examples: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B150"/>
        </w:rPr>
        <w:t>double-underlined text</w:t>
      </w:r>
      <w:r>
        <w:rPr>
          <w:rFonts w:ascii="Times New Roman" w:cs="Times New Roman" w:eastAsia="Times New Roman" w:hAnsi="Times New Roman"/>
          <w:sz w:val="18"/>
          <w:szCs w:val="18"/>
          <w:color w:val="000000"/>
        </w:rPr>
        <w:t>), in each case, as set forth in the marked pages of the Credit Agreement attached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Annex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right="20" w:firstLine="656"/>
        <w:spacing w:after="0" w:line="282" w:lineRule="auto"/>
        <w:tabs>
          <w:tab w:leader="none" w:pos="7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Committed Loan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Credit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7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Swing Line Loan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Credit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7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Extension of Maturity Date</w:t>
      </w:r>
      <w:r>
        <w:rPr>
          <w:rFonts w:ascii="Times New Roman" w:cs="Times New Roman" w:eastAsia="Times New Roman" w:hAnsi="Times New Roman"/>
          <w:sz w:val="18"/>
          <w:szCs w:val="18"/>
          <w:color w:val="auto"/>
        </w:rPr>
        <w:t xml:space="preserve">. With respect to the Company’s request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 Credit Agreement to extend the Maturity Date applicable to each Lender for one additional year from the Existing Maturity Date (the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Administrative Agent has notified the Company of the Extending Lenders and Non-Extending Lenders with respect thereto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Subject to the satisfaction of the conditions precedent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Effective as of the Amendment Effective Date (i) the Maturity Date with respect to each such Extending Lender is August 17, 2029, (ii) the Existing Maturity Date of August 20, 2027 shall remain in effect with respect to each such Non-Extending Lender and (iii)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Credit Agreement;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the parties hereto agree that with respect to the Extension, the certification by the Company required by </w:t>
      </w:r>
      <w:r>
        <w:rPr>
          <w:rFonts w:ascii="Times New Roman" w:cs="Times New Roman" w:eastAsia="Times New Roman" w:hAnsi="Times New Roman"/>
          <w:sz w:val="18"/>
          <w:szCs w:val="18"/>
          <w:u w:val="single" w:color="auto"/>
          <w:color w:val="auto"/>
        </w:rPr>
        <w:t>Section 2.14(f)</w:t>
      </w:r>
      <w:r>
        <w:rPr>
          <w:rFonts w:ascii="Times New Roman" w:cs="Times New Roman" w:eastAsia="Times New Roman" w:hAnsi="Times New Roman"/>
          <w:sz w:val="18"/>
          <w:szCs w:val="18"/>
          <w:color w:val="auto"/>
        </w:rPr>
        <w:t xml:space="preserve"> of the Credit Agreement is hereby satisfied by the Company’s execution and delivery of this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III. — </w:t>
      </w:r>
      <w:r>
        <w:rPr>
          <w:rFonts w:ascii="Times New Roman" w:cs="Times New Roman" w:eastAsia="Times New Roman" w:hAnsi="Times New Roman"/>
          <w:sz w:val="18"/>
          <w:szCs w:val="18"/>
          <w:u w:val="single" w:color="auto"/>
          <w:color w:val="auto"/>
        </w:rPr>
        <w:t>Conditions of Effectiveness</w:t>
      </w:r>
    </w:p>
    <w:p>
      <w:pPr>
        <w:spacing w:after="0" w:line="225" w:lineRule="exact"/>
        <w:rPr>
          <w:sz w:val="20"/>
          <w:szCs w:val="20"/>
          <w:color w:val="auto"/>
        </w:rPr>
      </w:pPr>
    </w:p>
    <w:p>
      <w:pPr>
        <w:ind w:right="20" w:firstLine="656"/>
        <w:spacing w:after="0" w:line="282" w:lineRule="auto"/>
        <w:tabs>
          <w:tab w:leader="none" w:pos="7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Amendment Effective Date</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upon the satisfaction of the following conditions precedent: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8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executed counterparts of this Amendment from each Borrower, Administrative Agent and Lenders, sufficient in number for distribution to the Administrative Agent, each Lender and each Borrower;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such other assurances, certificates, documents, consents or opinions as the Administrative Agent may reasonably require.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Any fees due Administrative Agent or any Lender, including any arrangement fees, agency fees and upfront fees, and any expenses incurred by Administrative Agent, in each case, as agreed in writing by the Company, required to be paid on or before the Amendment Effective Date shall have been paid.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Company shall have paid all reasonable fees, charges and disbursements of counsel to the Administrative Agent to the extent invoiced prior to the Amendment Effective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IV. — </w:t>
      </w: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firstLine="656"/>
        <w:spacing w:after="0" w:line="282" w:lineRule="auto"/>
        <w:tabs>
          <w:tab w:leader="none" w:pos="7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In order to induce Administrative Agent, L/C Issuers and Lenders to enter into this Amendment, the Company represents and warrants to Administrative Agent, L/C Issuers and each Lender that: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representations and warranties of (i) the Company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Times New Roman" w:cs="Times New Roman" w:eastAsia="Times New Roman" w:hAnsi="Times New Roman"/>
          <w:sz w:val="18"/>
          <w:szCs w:val="18"/>
          <w:u w:val="single" w:color="auto"/>
          <w:color w:val="auto"/>
        </w:rPr>
        <w:t>subsections (a) and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of the Credit Agreement shall be deemed to refer to the most recent statements furnished pursuant to clauses (a)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No Default has occurred and is continuing as of the Amendment Effective Date or would immediately result from the effectiveness hereof.</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V. —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56"/>
        <w:spacing w:after="0" w:line="254" w:lineRule="auto"/>
        <w:tabs>
          <w:tab w:leader="none" w:pos="7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Ratification of Agreements</w:t>
      </w:r>
      <w:r>
        <w:rPr>
          <w:rFonts w:ascii="Times New Roman" w:cs="Times New Roman" w:eastAsia="Times New Roman" w:hAnsi="Times New Roman"/>
          <w:sz w:val="18"/>
          <w:szCs w:val="18"/>
          <w:color w:val="auto"/>
        </w:rPr>
        <w:t>. The Original Agreement, as hereby amended, is hereby ratified and confirmed in all respects. The Loan Documents, as they may be amended or affected by this Amendment, are hereby ratified and confirmed in all respects by each Borrower.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7"/>
          <w:szCs w:val="17"/>
          <w:color w:val="auto"/>
        </w:rPr>
        <w:t>§ 5.2.       </w:t>
      </w:r>
      <w:r>
        <w:rPr>
          <w:rFonts w:ascii="Times New Roman" w:cs="Times New Roman" w:eastAsia="Times New Roman" w:hAnsi="Times New Roman"/>
          <w:sz w:val="17"/>
          <w:szCs w:val="17"/>
          <w:u w:val="single" w:color="auto"/>
          <w:color w:val="auto"/>
        </w:rPr>
        <w:t>  Loan Documents</w:t>
      </w:r>
      <w:r>
        <w:rPr>
          <w:rFonts w:ascii="Times New Roman" w:cs="Times New Roman" w:eastAsia="Times New Roman" w:hAnsi="Times New Roman"/>
          <w:sz w:val="17"/>
          <w:szCs w:val="17"/>
          <w:color w:val="auto"/>
        </w:rPr>
        <w:t>. This Amendment is a Loan Document, and all provisions in the Credit Agreement pertaining to Loan Documents apply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firstLine="656"/>
        <w:spacing w:after="0" w:line="286" w:lineRule="auto"/>
        <w:tabs>
          <w:tab w:leader="none" w:pos="78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5.3.         GOVERNING LAW. THIS AMENDMENT SHALL BE GOVERNED BY, AND CONSTRUED IN ACCORDANCE WITH, THE LAWS OF THE STATE OF NEW YORK</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WITNESS WHEREOF, this Amendment is executed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PLAINS ALL AMERICAN PIPELINE, L.P. </w:t>
      </w:r>
      <w:r>
        <w:rPr>
          <w:rFonts w:ascii="Times New Roman" w:cs="Times New Roman" w:eastAsia="Times New Roman" w:hAnsi="Times New Roman"/>
          <w:sz w:val="18"/>
          <w:szCs w:val="18"/>
          <w:color w:val="auto"/>
        </w:rPr>
        <w:t>as a 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PLAINS ALL AMERICAN GP LLC,</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PLAINS MIDSTREAM CANADA ULC, </w:t>
      </w:r>
      <w:r>
        <w:rPr>
          <w:rFonts w:ascii="Times New Roman" w:cs="Times New Roman" w:eastAsia="Times New Roman" w:hAnsi="Times New Roman"/>
          <w:sz w:val="18"/>
          <w:szCs w:val="18"/>
          <w:color w:val="auto"/>
        </w:rPr>
        <w:t>as a 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540" w:val="left"/>
        </w:tabs>
        <w:rPr>
          <w:sz w:val="20"/>
          <w:szCs w:val="20"/>
          <w:color w:val="auto"/>
        </w:rPr>
      </w:pPr>
      <w:r>
        <w:rPr>
          <w:rFonts w:ascii="Times New Roman" w:cs="Times New Roman" w:eastAsia="Times New Roman" w:hAnsi="Times New Roman"/>
          <w:sz w:val="35"/>
          <w:szCs w:val="35"/>
          <w:color w:val="auto"/>
          <w:vertAlign w:val="superscript"/>
        </w:rPr>
        <w:t>S-1</w:t>
      </w:r>
      <w:r>
        <w:rPr>
          <w:sz w:val="20"/>
          <w:szCs w:val="20"/>
          <w:color w:val="auto"/>
        </w:rPr>
        <w:tab/>
      </w:r>
      <w:r>
        <w:rPr>
          <w:rFonts w:ascii="Times New Roman" w:cs="Times New Roman" w:eastAsia="Times New Roman" w:hAnsi="Times New Roman"/>
          <w:sz w:val="17"/>
          <w:szCs w:val="17"/>
          <w:color w:val="auto"/>
        </w:rPr>
        <w:t>PAA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-80645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as Administrative Agent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Melanie Brichant</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Melanie Brichant</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AVP</w:t>
            </w:r>
          </w:p>
        </w:tc>
      </w:tr>
      <w:tr>
        <w:trPr>
          <w:trHeight w:val="414"/>
        </w:trPr>
        <w:tc>
          <w:tcPr>
            <w:tcW w:w="11260" w:type="dxa"/>
            <w:vAlign w:val="bottom"/>
            <w:gridSpan w:val="3"/>
          </w:tcPr>
          <w:p>
            <w:pPr>
              <w:ind w:left="560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 Lender, an L/C Issuer and Swing Line</w:t>
            </w: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Lender</w:t>
            </w:r>
          </w:p>
        </w:tc>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Megan Baqui</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Megan Baqui</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S-2</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9" w:name="page10"/>
    <w:bookmarkEnd w:id="9"/>
    <w:p>
      <w:pPr>
        <w:ind w:left="560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Lender and an L/C Issuer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Maureen Maroney</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Maureen Maroney</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S-3</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0" w:name="page11"/>
    <w:bookmarkEnd w:id="10"/>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JPMORGAN CHASE BANK, N.A., </w:t>
      </w:r>
      <w:r>
        <w:rPr>
          <w:rFonts w:ascii="Times New Roman" w:cs="Times New Roman" w:eastAsia="Times New Roman" w:hAnsi="Times New Roman"/>
          <w:sz w:val="18"/>
          <w:szCs w:val="18"/>
          <w:color w:val="auto"/>
        </w:rPr>
        <w:t>as a Lender and an L/C Issuer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Kyle Gruen</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Kyle Gruen</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S-4</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1" w:name="page12"/>
    <w:bookmarkEnd w:id="11"/>
    <w:p>
      <w:pPr>
        <w:ind w:left="560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 Lender and</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an L/C Issuer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Nathan Starr</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Nathan Starr</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S-5</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2" w:name="page13"/>
    <w:bookmarkEnd w:id="12"/>
    <w:p>
      <w:pPr>
        <w:ind w:left="5600"/>
        <w:spacing w:after="0"/>
        <w:rPr>
          <w:sz w:val="20"/>
          <w:szCs w:val="20"/>
          <w:color w:val="auto"/>
        </w:rPr>
      </w:pPr>
      <w:r>
        <w:rPr>
          <w:rFonts w:ascii="Times New Roman" w:cs="Times New Roman" w:eastAsia="Times New Roman" w:hAnsi="Times New Roman"/>
          <w:sz w:val="18"/>
          <w:szCs w:val="18"/>
          <w:b w:val="1"/>
          <w:bCs w:val="1"/>
          <w:color w:val="auto"/>
        </w:rPr>
        <w:t>BANCO  BILBAO  VIZCAYA  ARGENTARIA,  S.A.  NEW  YORK</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BRANCH,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Cara Younger</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Cara Younger</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Armen Semizian</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Armen Semizian</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S-6</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1116" w:right="339" w:bottom="1440" w:gutter="0" w:footer="0" w:header="0"/>
        </w:sectPr>
      </w:pPr>
    </w:p>
    <w:bookmarkStart w:id="13" w:name="page14"/>
    <w:bookmarkEnd w:id="13"/>
    <w:p>
      <w:pPr>
        <w:ind w:left="5600"/>
        <w:spacing w:after="0"/>
        <w:rPr>
          <w:sz w:val="20"/>
          <w:szCs w:val="20"/>
          <w:color w:val="auto"/>
        </w:rPr>
      </w:pPr>
      <w:r>
        <w:rPr>
          <w:rFonts w:ascii="Times New Roman" w:cs="Times New Roman" w:eastAsia="Times New Roman" w:hAnsi="Times New Roman"/>
          <w:sz w:val="18"/>
          <w:szCs w:val="18"/>
          <w:b w:val="1"/>
          <w:bCs w:val="1"/>
          <w:color w:val="auto"/>
        </w:rPr>
        <w:t>BANK OF MONTREAL</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Jason Lang</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Jason Lang</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S-7</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4" w:name="page15"/>
    <w:bookmarkEnd w:id="14"/>
    <w:p>
      <w:pPr>
        <w:ind w:left="5600"/>
        <w:spacing w:after="0"/>
        <w:rPr>
          <w:sz w:val="20"/>
          <w:szCs w:val="20"/>
          <w:color w:val="auto"/>
        </w:rPr>
      </w:pPr>
      <w:r>
        <w:rPr>
          <w:rFonts w:ascii="Times New Roman" w:cs="Times New Roman" w:eastAsia="Times New Roman" w:hAnsi="Times New Roman"/>
          <w:sz w:val="18"/>
          <w:szCs w:val="18"/>
          <w:b w:val="1"/>
          <w:bCs w:val="1"/>
          <w:color w:val="auto"/>
        </w:rPr>
        <w:t>BANK OF NOVA SCOTIA, HOUSTON BRANCH</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Joe Lattanzi</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Joe Lattanzi</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S-8</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5" w:name="page16"/>
    <w:bookmarkEnd w:id="15"/>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BARCLAYS BANK PLC,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Sydney G. Dennis</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S-9</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6" w:name="page17"/>
    <w:bookmarkEnd w:id="16"/>
    <w:p>
      <w:pPr>
        <w:ind w:left="5600"/>
        <w:spacing w:after="0"/>
        <w:rPr>
          <w:sz w:val="20"/>
          <w:szCs w:val="20"/>
          <w:color w:val="auto"/>
        </w:rPr>
      </w:pPr>
      <w:r>
        <w:rPr>
          <w:rFonts w:ascii="Times New Roman" w:cs="Times New Roman" w:eastAsia="Times New Roman" w:hAnsi="Times New Roman"/>
          <w:sz w:val="18"/>
          <w:szCs w:val="18"/>
          <w:b w:val="1"/>
          <w:bCs w:val="1"/>
          <w:color w:val="auto"/>
        </w:rPr>
        <w:t>CANADIAN  IMPERIAL  BANK  OF  COMMERCE,  NEW  YORK</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Scott W. Danvers</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W. Danvers</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Donovan C. Broussard</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Donovan C. Broussard</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S-10</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7" w:name="page18"/>
    <w:bookmarkEnd w:id="17"/>
    <w:p>
      <w:pPr>
        <w:ind w:left="5600"/>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Connor Schrotel</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Connor Schrotel</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S-11</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8" w:name="page19"/>
    <w:bookmarkEnd w:id="18"/>
    <w:p>
      <w:pPr>
        <w:ind w:left="5600"/>
        <w:spacing w:after="0"/>
        <w:rPr>
          <w:sz w:val="20"/>
          <w:szCs w:val="20"/>
          <w:color w:val="auto"/>
        </w:rPr>
      </w:pPr>
      <w:r>
        <w:rPr>
          <w:rFonts w:ascii="Times New Roman" w:cs="Times New Roman" w:eastAsia="Times New Roman" w:hAnsi="Times New Roman"/>
          <w:sz w:val="18"/>
          <w:szCs w:val="18"/>
          <w:b w:val="1"/>
          <w:bCs w:val="1"/>
          <w:color w:val="auto"/>
        </w:rPr>
        <w:t>ING CAPITAL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Paul Mandeville</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Paul Mandeville</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Anthony Rivera</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Anthony Rivera</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S-12</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9" w:name="page20"/>
    <w:bookmarkEnd w:id="19"/>
    <w:p>
      <w:pPr>
        <w:ind w:left="5600"/>
        <w:spacing w:after="0"/>
        <w:rPr>
          <w:sz w:val="20"/>
          <w:szCs w:val="20"/>
          <w:color w:val="auto"/>
        </w:rPr>
      </w:pPr>
      <w:r>
        <w:rPr>
          <w:rFonts w:ascii="Times New Roman" w:cs="Times New Roman" w:eastAsia="Times New Roman" w:hAnsi="Times New Roman"/>
          <w:sz w:val="18"/>
          <w:szCs w:val="18"/>
          <w:b w:val="1"/>
          <w:bCs w:val="1"/>
          <w:color w:val="auto"/>
        </w:rPr>
        <w:t>MIZUHO BANK, LTD.</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Edward Sacks</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Edward Sacks</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S-13</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0" w:name="page21"/>
    <w:bookmarkEnd w:id="20"/>
    <w:p>
      <w:pPr>
        <w:ind w:left="5600"/>
        <w:spacing w:after="0"/>
        <w:rPr>
          <w:sz w:val="20"/>
          <w:szCs w:val="20"/>
          <w:color w:val="auto"/>
        </w:rPr>
      </w:pPr>
      <w:r>
        <w:rPr>
          <w:rFonts w:ascii="Times New Roman" w:cs="Times New Roman" w:eastAsia="Times New Roman" w:hAnsi="Times New Roman"/>
          <w:sz w:val="18"/>
          <w:szCs w:val="18"/>
          <w:b w:val="1"/>
          <w:bCs w:val="1"/>
          <w:color w:val="auto"/>
        </w:rPr>
        <w:t>MUFG BANK, LTD.</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Facenda</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Facenda</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S-14</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1" w:name="page22"/>
    <w:bookmarkEnd w:id="21"/>
    <w:p>
      <w:pPr>
        <w:ind w:left="560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Danielle Bernicky</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Danielle Bernicky</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S-15</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2" w:name="page23"/>
    <w:bookmarkEnd w:id="22"/>
    <w:p>
      <w:pPr>
        <w:ind w:left="5600"/>
        <w:spacing w:after="0"/>
        <w:rPr>
          <w:sz w:val="20"/>
          <w:szCs w:val="20"/>
          <w:color w:val="auto"/>
        </w:rPr>
      </w:pPr>
      <w:r>
        <w:rPr>
          <w:rFonts w:ascii="Times New Roman" w:cs="Times New Roman" w:eastAsia="Times New Roman" w:hAnsi="Times New Roman"/>
          <w:sz w:val="18"/>
          <w:szCs w:val="18"/>
          <w:b w:val="1"/>
          <w:bCs w:val="1"/>
          <w:color w:val="auto"/>
        </w:rPr>
        <w:t>REGIONS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Valentine</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Valentine</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S-16</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3" w:name="page24"/>
    <w:bookmarkEnd w:id="23"/>
    <w:p>
      <w:pPr>
        <w:ind w:left="5600"/>
        <w:spacing w:after="0"/>
        <w:rPr>
          <w:sz w:val="20"/>
          <w:szCs w:val="20"/>
          <w:color w:val="auto"/>
        </w:rPr>
      </w:pP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Sue Carol Sedillo</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Sue Carol Sedillo</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S-17</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4" w:name="page25"/>
    <w:bookmarkEnd w:id="24"/>
    <w:p>
      <w:pPr>
        <w:ind w:left="560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Alkesh Nanavaty</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Alkesh Nanavaty</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S-18</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5" w:name="page26"/>
    <w:bookmarkEnd w:id="25"/>
    <w:p>
      <w:pPr>
        <w:ind w:left="5600"/>
        <w:spacing w:after="0"/>
        <w:rPr>
          <w:sz w:val="20"/>
          <w:szCs w:val="20"/>
          <w:color w:val="auto"/>
        </w:rPr>
      </w:pPr>
      <w:r>
        <w:rPr>
          <w:rFonts w:ascii="Times New Roman" w:cs="Times New Roman" w:eastAsia="Times New Roman" w:hAnsi="Times New Roman"/>
          <w:sz w:val="18"/>
          <w:szCs w:val="18"/>
          <w:b w:val="1"/>
          <w:bCs w:val="1"/>
          <w:color w:val="auto"/>
        </w:rPr>
        <w:t>THE TORONTO-DOMINION BANK, NEW YORK BRANCH</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Jonathan Schwartz</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Jonathan Schwartz</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S-19</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6" w:name="page27"/>
    <w:bookmarkEnd w:id="26"/>
    <w:p>
      <w:pPr>
        <w:ind w:left="5600"/>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Lincoln LaCour</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Lincoln LaCour</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S-20</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7" w:name="page28"/>
    <w:bookmarkEnd w:id="27"/>
    <w:p>
      <w:pPr>
        <w:ind w:left="560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Beth Johnson</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Beth Johnson</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S-21</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8" w:name="page29"/>
    <w:bookmarkEnd w:id="28"/>
    <w:p>
      <w:pPr>
        <w:ind w:left="5600"/>
        <w:spacing w:after="0"/>
        <w:rPr>
          <w:sz w:val="20"/>
          <w:szCs w:val="20"/>
          <w:color w:val="auto"/>
        </w:rPr>
      </w:pPr>
      <w:r>
        <w:rPr>
          <w:rFonts w:ascii="Times New Roman" w:cs="Times New Roman" w:eastAsia="Times New Roman" w:hAnsi="Times New Roman"/>
          <w:sz w:val="18"/>
          <w:szCs w:val="18"/>
          <w:b w:val="1"/>
          <w:bCs w:val="1"/>
          <w:color w:val="auto"/>
        </w:rPr>
        <w:t>ZIONS BANCORPORATION, N.A. DBA AMEGY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Cameron Burns</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Cameron Burns</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S-22</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9" w:name="page30"/>
    <w:bookmarkEnd w:id="29"/>
    <w:p>
      <w:pPr>
        <w:ind w:left="5600"/>
        <w:spacing w:after="0"/>
        <w:rPr>
          <w:sz w:val="20"/>
          <w:szCs w:val="20"/>
          <w:color w:val="auto"/>
        </w:rPr>
      </w:pPr>
      <w:r>
        <w:rPr>
          <w:rFonts w:ascii="Times New Roman" w:cs="Times New Roman" w:eastAsia="Times New Roman" w:hAnsi="Times New Roman"/>
          <w:sz w:val="18"/>
          <w:szCs w:val="18"/>
          <w:b w:val="1"/>
          <w:bCs w:val="1"/>
          <w:color w:val="auto"/>
        </w:rPr>
        <w:t>MORGAN STANLEY 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King</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King</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S-23</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COMMITTED LOAN NOTICE</w:t>
      </w:r>
    </w:p>
    <w:p>
      <w:pPr>
        <w:spacing w:after="0" w:line="22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7"/>
          <w:szCs w:val="17"/>
          <w:color w:val="auto"/>
        </w:rPr>
        <w:t>Date: ___________, _____</w:t>
      </w:r>
    </w:p>
    <w:p>
      <w:pPr>
        <w:spacing w:after="0" w:line="2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Reference is made to that certain Credit Agreement, dated as of August 20, 2021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Plains All American Pipeline, L.P., a Delaware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each Subsidiary of the Company from time to time and during the time it is a party thereto (each such Subsidiary and, together with the Company and PMCULC,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Bank of America, N.A., as Administrative Agent and Swing Line Lender, Bank of America, N.A., Citibank, N.A., JPMorgan Chase Bank, N.A., and Wells Fargo Bank, National Association, as L/C Issuers, and the Lenders from time to time party thereto.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(select one):</w:t>
      </w:r>
    </w:p>
    <w:p>
      <w:pPr>
        <w:spacing w:after="0" w:line="225" w:lineRule="exact"/>
        <w:rPr>
          <w:sz w:val="20"/>
          <w:szCs w:val="20"/>
          <w:color w:val="auto"/>
        </w:rPr>
      </w:pPr>
    </w:p>
    <w:p>
      <w:pPr>
        <w:ind w:left="860" w:hanging="204"/>
        <w:spacing w:after="0"/>
        <w:tabs>
          <w:tab w:leader="none" w:pos="86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Borrowing of Committed Loans</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conversion or continuation of Committed Loans</w:t>
      </w:r>
    </w:p>
    <w:p>
      <w:pPr>
        <w:spacing w:after="0" w:line="22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(a Business Day).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principal amount of [$/C$]___________].</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[Base Rate Loans] [Term SOFR/Canadian Term Rate Loans].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 SOFR Loans: with an Interest Period of [one] [three] [six] [_____] month[s].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Canadian Term Rate Loans: with an Interest Period of [one] [three] month[s].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If a conversion or continuation of Committed Loans, the existing Borrowing(s) of Committed Loans to be converted or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amount of [$/C$] ____________ of [Term SOFR/Canadian Term Rate] Loans with an Interest Period ending 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amount of [$/C$] ____________ of Base Rate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Committed Borrowing, if any, requested herein complies with the proviso to the first sentence of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451485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SWING LINE LOAN NOTICE</w:t>
      </w:r>
    </w:p>
    <w:p>
      <w:pPr>
        <w:spacing w:after="0" w:line="22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7"/>
          <w:szCs w:val="17"/>
          <w:color w:val="auto"/>
        </w:rPr>
        <w:t>Date: ___________, _____</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 as Swing Line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 as Administrative Agent</w:t>
      </w:r>
    </w:p>
    <w:p>
      <w:pPr>
        <w:spacing w:after="0" w:line="200" w:lineRule="exact"/>
        <w:rPr>
          <w:sz w:val="20"/>
          <w:szCs w:val="20"/>
          <w:color w:val="auto"/>
        </w:rPr>
      </w:pPr>
    </w:p>
    <w:p>
      <w:pPr>
        <w:sectPr>
          <w:pgSz w:w="11900" w:h="16838" w:orient="portrait"/>
          <w:cols w:equalWidth="0" w:num="2">
            <w:col w:w="240" w:space="420"/>
            <w:col w:w="10580"/>
          </w:cols>
          <w:pgMar w:left="320" w:top="900"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Credit Agreement, dated as of August 20, 2021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Plains All American Pipeline, L.P., a Delaware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each Subsidiary of the Company from time to time and during the time it is a party thereto (each such Subsidiary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Bank of America, N.A., as Administrative Agent and Swing Line Lender, Bank of America, N.A., Citibank, N.A., JPMorgan Chase Bank, N.A., and Wells Fargo Bank, National Association, as L/C Issuers, and the Lenders from time to time party thereto.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a Swing Line Loan:</w:t>
      </w:r>
    </w:p>
    <w:p>
      <w:pPr>
        <w:spacing w:after="0" w:line="225" w:lineRule="exact"/>
        <w:rPr>
          <w:sz w:val="20"/>
          <w:szCs w:val="20"/>
          <w:color w:val="auto"/>
        </w:rPr>
      </w:pPr>
    </w:p>
    <w:p>
      <w:pPr>
        <w:ind w:left="660"/>
        <w:spacing w:after="0"/>
        <w:tabs>
          <w:tab w:leader="none" w:pos="4080" w:val="left"/>
        </w:tabs>
        <w:rPr>
          <w:sz w:val="20"/>
          <w:szCs w:val="20"/>
          <w:color w:val="auto"/>
        </w:rPr>
      </w:pPr>
      <w:r>
        <w:rPr>
          <w:rFonts w:ascii="Times New Roman" w:cs="Times New Roman" w:eastAsia="Times New Roman" w:hAnsi="Times New Roman"/>
          <w:sz w:val="18"/>
          <w:szCs w:val="18"/>
          <w:color w:val="auto"/>
        </w:rPr>
        <w:t>1.       On</w:t>
      </w:r>
      <w:r>
        <w:rPr>
          <w:sz w:val="20"/>
          <w:szCs w:val="20"/>
          <w:color w:val="auto"/>
        </w:rPr>
        <w:tab/>
      </w:r>
      <w:r>
        <w:rPr>
          <w:rFonts w:ascii="Times New Roman" w:cs="Times New Roman" w:eastAsia="Times New Roman" w:hAnsi="Times New Roman"/>
          <w:sz w:val="17"/>
          <w:szCs w:val="17"/>
          <w:color w:val="auto"/>
        </w:rPr>
        <w:t>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-7620</wp:posOffset>
            </wp:positionV>
            <wp:extent cx="18281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In the principal amount of [$/C$]</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Comprised of [Base Rate/Term SOFR] [Canadian Prime Rate/Canadian Swing Line Rate] Loans.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Swing Line Borrowing requested herein complies with the requirements of the provisos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of the Agreement.</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SCHEDULE 2.01</w:t>
            </w:r>
          </w:p>
        </w:tc>
      </w:tr>
      <w:tr>
        <w:trPr>
          <w:trHeight w:val="410"/>
        </w:trPr>
        <w:tc>
          <w:tcPr>
            <w:tcW w:w="4540" w:type="dxa"/>
            <w:vAlign w:val="bottom"/>
          </w:tcPr>
          <w:p>
            <w:pPr>
              <w:spacing w:after="0"/>
              <w:rPr>
                <w:sz w:val="24"/>
                <w:szCs w:val="24"/>
                <w:color w:val="auto"/>
              </w:rPr>
            </w:pPr>
          </w:p>
        </w:tc>
        <w:tc>
          <w:tcPr>
            <w:tcW w:w="3040" w:type="dxa"/>
            <w:vAlign w:val="bottom"/>
            <w:gridSpan w:val="5"/>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8"/>
        </w:trPr>
        <w:tc>
          <w:tcPr>
            <w:tcW w:w="7580" w:type="dxa"/>
            <w:vAlign w:val="bottom"/>
            <w:gridSpan w:val="6"/>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AND APPLICABLE PERCENTAGES</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5"/>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Applicable Percentage</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09"/>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4.7407407407%</w:t>
            </w:r>
          </w:p>
        </w:tc>
        <w:tc>
          <w:tcPr>
            <w:tcW w:w="2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20,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Nova Scotia, Houston Branch</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CoBank, ACB**</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Capital LLC</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Bank</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Zions Bancorporation, N.A. DBA Amegy Bank</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2.5925925926%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2.5925925926%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100.0000000000%</w:t>
            </w:r>
          </w:p>
        </w:tc>
        <w:tc>
          <w:tcPr>
            <w:tcW w:w="15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*Rounded to ten decimal places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**Unlicensed Term CORRA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SCHEDULE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EXTENDING AND NON-EXTENDING LENDERS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EXTENDING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Montreal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Nova Scotia, Houston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CoBank ACB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Zions Bancorporation, N.A. DBA Amegy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Bank, 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NON-EXTENDING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Execution Copy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AMENDMENT TO FOURTH AMENDED AND RESTATED CREDIT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SECOND AMENDMENT TO FOURTH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the 19th day of August, 2024, is by and among PLAINS MARKETING, L.P., a Texas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as guarantor, BANK OF AMERICA, N.A., as Administrative Agent, and the Lenders party 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Borrowers, PAA, Administrative Agent and the L/C Issuers and Lenders party thereto entered into that certain Fourth Amended and Restated Credit Agreement dated as of August 20, 2021 (as amended by the First Amendment to Fourth Amended and Restated Credit Agreement dated as of August 22, 2022,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for the purposes and consideration therein expressed;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Borrowers, PAA, Administrative Agent, and the Lenders party hereto desire to amend the Original Agreement to, among other things (i) extend the Existing Maturity Date and (ii) adopt CORRA as the benchmark rate for Canadian Dollar Credit Extensions and remove the bankers’ acceptance facility under the Original Agreement;</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 — </w:t>
      </w:r>
      <w:r>
        <w:rPr>
          <w:rFonts w:ascii="Times New Roman" w:cs="Times New Roman" w:eastAsia="Times New Roman" w:hAnsi="Times New Roman"/>
          <w:sz w:val="18"/>
          <w:szCs w:val="18"/>
          <w:u w:val="single" w:color="auto"/>
          <w:color w:val="auto"/>
        </w:rPr>
        <w:t>Definitions and References</w:t>
      </w:r>
    </w:p>
    <w:p>
      <w:pPr>
        <w:spacing w:after="0" w:line="225" w:lineRule="exact"/>
        <w:rPr>
          <w:sz w:val="20"/>
          <w:szCs w:val="20"/>
          <w:color w:val="auto"/>
        </w:rPr>
      </w:pPr>
    </w:p>
    <w:p>
      <w:pPr>
        <w:ind w:right="20" w:firstLine="656"/>
        <w:spacing w:after="0" w:line="282" w:lineRule="auto"/>
        <w:tabs>
          <w:tab w:leader="none" w:pos="7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Terms Defined in the Original Agreement</w:t>
      </w:r>
      <w:r>
        <w:rPr>
          <w:rFonts w:ascii="Times New Roman" w:cs="Times New Roman" w:eastAsia="Times New Roman" w:hAnsi="Times New Roman"/>
          <w:sz w:val="18"/>
          <w:szCs w:val="18"/>
          <w:color w:val="auto"/>
        </w:rPr>
        <w:t>. Unless the context otherwise requires or unless otherwise expressly defined herein, the terms defined in the Credit Agreement shall have the same meanings whenever used in this Amendment.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7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Other Defined Terms</w:t>
      </w:r>
      <w:r>
        <w:rPr>
          <w:rFonts w:ascii="Times New Roman" w:cs="Times New Roman" w:eastAsia="Times New Roman" w:hAnsi="Times New Roman"/>
          <w:sz w:val="18"/>
          <w:szCs w:val="18"/>
          <w:color w:val="auto"/>
        </w:rPr>
        <w:t xml:space="preserve">. Unless the context otherwise requires, the following terms when used in this Amendment shall have the meanings assigned to them in this </w:t>
      </w:r>
      <w:r>
        <w:rPr>
          <w:rFonts w:ascii="Times New Roman" w:cs="Times New Roman" w:eastAsia="Times New Roman" w:hAnsi="Times New Roman"/>
          <w:sz w:val="18"/>
          <w:szCs w:val="18"/>
          <w:u w:val="single" w:color="auto"/>
          <w:color w:val="auto"/>
        </w:rPr>
        <w:t>§ 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means this Second Amendment to Fourth Amended and Restated Credit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Original Agreement as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 xml:space="preserve">ARTICLE II. — </w:t>
      </w: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jc w:val="both"/>
        <w:ind w:firstLine="656"/>
        <w:spacing w:after="0" w:line="261" w:lineRule="auto"/>
        <w:tabs>
          <w:tab w:leader="none" w:pos="7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Credit Agreement</w:t>
      </w:r>
      <w:r>
        <w:rPr>
          <w:rFonts w:ascii="Times New Roman" w:cs="Times New Roman" w:eastAsia="Times New Roman" w:hAnsi="Times New Roman"/>
          <w:sz w:val="18"/>
          <w:szCs w:val="18"/>
          <w:color w:val="auto"/>
        </w:rPr>
        <w:t xml:space="preserve">. The Original Agreement (other than the signature pages, Annexes, Exhibits, Schedules thereto and the heading on the cover page thereto) is hereby amended (a) to delete the red or green stricken text (indicated textually in the same manner as the following examples: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B150"/>
          <w:strike w:val="1"/>
        </w:rPr>
        <w:t>stricken text</w:t>
      </w:r>
      <w:r>
        <w:rPr>
          <w:rFonts w:ascii="Times New Roman" w:cs="Times New Roman" w:eastAsia="Times New Roman" w:hAnsi="Times New Roman"/>
          <w:sz w:val="18"/>
          <w:szCs w:val="18"/>
          <w:color w:val="000000"/>
        </w:rPr>
        <w:t>) and (b) to add the blue or green double-underlined text (indicated textually in the same manner as the following examples: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B150"/>
        </w:rPr>
        <w:t>double-underlined text</w:t>
      </w:r>
      <w:r>
        <w:rPr>
          <w:rFonts w:ascii="Times New Roman" w:cs="Times New Roman" w:eastAsia="Times New Roman" w:hAnsi="Times New Roman"/>
          <w:sz w:val="18"/>
          <w:szCs w:val="18"/>
          <w:color w:val="000000"/>
        </w:rPr>
        <w:t>), in each case, as set forth in the marked pages of the Credit Agreement attached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Annex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hereto.</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7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Committed Loan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Credit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7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Swing Line Loan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Credit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Extension of Maturity Date</w:t>
      </w:r>
      <w:r>
        <w:rPr>
          <w:rFonts w:ascii="Times New Roman" w:cs="Times New Roman" w:eastAsia="Times New Roman" w:hAnsi="Times New Roman"/>
          <w:sz w:val="18"/>
          <w:szCs w:val="18"/>
          <w:color w:val="auto"/>
        </w:rPr>
        <w:t xml:space="preserve">. With respect to the Company’s request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 Credit Agreement to extend the Maturity Date applicable to each Lender for one additional year from the Existing Maturity Date (the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Administrative Agent has notified the Company of the Extending Lenders and Non-Extending Lenders with respect thereto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Subject to the satisfaction of the conditions precedent set forth in Article III:</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Effective as of the Amendment Effective Date (i) the Maturity Date with respect to each such Extending Lender is August 18, 2027, (ii) the Existing Maturity Date of August 18, 2026 shall remain in effect with respect to each such Non-Extending Lender and (iii)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Credit Agreement;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the parties hereto agree that with respect to the Extension, the certification by the Company required by </w:t>
      </w:r>
      <w:r>
        <w:rPr>
          <w:rFonts w:ascii="Times New Roman" w:cs="Times New Roman" w:eastAsia="Times New Roman" w:hAnsi="Times New Roman"/>
          <w:sz w:val="18"/>
          <w:szCs w:val="18"/>
          <w:u w:val="single" w:color="auto"/>
          <w:color w:val="auto"/>
        </w:rPr>
        <w:t>Section 2.14(f)</w:t>
      </w:r>
      <w:r>
        <w:rPr>
          <w:rFonts w:ascii="Times New Roman" w:cs="Times New Roman" w:eastAsia="Times New Roman" w:hAnsi="Times New Roman"/>
          <w:sz w:val="18"/>
          <w:szCs w:val="18"/>
          <w:color w:val="auto"/>
        </w:rPr>
        <w:t xml:space="preserve"> of the Credit Agreement is hereby satisfied by the Company’s execution and delivery of this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III. — </w:t>
      </w:r>
      <w:r>
        <w:rPr>
          <w:rFonts w:ascii="Times New Roman" w:cs="Times New Roman" w:eastAsia="Times New Roman" w:hAnsi="Times New Roman"/>
          <w:sz w:val="18"/>
          <w:szCs w:val="18"/>
          <w:u w:val="single" w:color="auto"/>
          <w:color w:val="auto"/>
        </w:rPr>
        <w:t>Conditions of Effectiveness</w:t>
      </w:r>
    </w:p>
    <w:p>
      <w:pPr>
        <w:spacing w:after="0" w:line="225" w:lineRule="exact"/>
        <w:rPr>
          <w:sz w:val="20"/>
          <w:szCs w:val="20"/>
          <w:color w:val="auto"/>
        </w:rPr>
      </w:pPr>
    </w:p>
    <w:p>
      <w:pPr>
        <w:ind w:right="20" w:firstLine="656"/>
        <w:spacing w:after="0" w:line="282" w:lineRule="auto"/>
        <w:tabs>
          <w:tab w:leader="none" w:pos="7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Amendment Effective Date</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upon the satisfaction of the following conditions precedent: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8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executed counterparts of this Amendment from each Borrower, PAA, Administrative Agent and Lenders, sufficient in number for distribution to the Administrative Agent, each Lender, each Borrower and PAA;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8"/>
          <w:szCs w:val="18"/>
          <w:color w:val="auto"/>
        </w:rPr>
        <w:t>(ii)          such other assurances, certificates, documents, consents or opinions as the Administrative Agent may reasonably require.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Any fees due Administrative Agent or any Lender, including any arrangement fees, agency fees and upfront fees, and any expenses incurred by Administrative Agent, in each case, as agreed in writing by the Company, required to be paid on or before the Amendment Effective Date shall have been paid.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Company shall have paid all reasonable fees, charges and disbursements of counsel to the Administrative Agent to the extent invoiced prior to the Amendment Effective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IV. — </w:t>
      </w: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firstLine="656"/>
        <w:spacing w:after="0" w:line="282" w:lineRule="auto"/>
        <w:tabs>
          <w:tab w:leader="none" w:pos="7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In order to induce Administrative Agent, L/C Issuers and Lenders to enter into this Amendment, the Company (and PMCULC, solely as to itself) represents and warrants to Administrative Agent, L/C Issuers and each Lender that: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representations and warranties of (i) the Company (and PMCULC, solely as to itself)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Times New Roman" w:cs="Times New Roman" w:eastAsia="Times New Roman" w:hAnsi="Times New Roman"/>
          <w:sz w:val="18"/>
          <w:szCs w:val="18"/>
          <w:u w:val="single" w:color="auto"/>
          <w:color w:val="auto"/>
        </w:rPr>
        <w:t>subsections (a) and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of the Credit Agreement shall be deemed to refer to the most recent statements furnished pursuant to clauses (a)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No Default has occurred and is continuing as of the Amendment Effective Date or would immediately result from the effectiveness hereof.</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 xml:space="preserve">ARTICLE V. —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56"/>
        <w:spacing w:after="0" w:line="254" w:lineRule="auto"/>
        <w:tabs>
          <w:tab w:leader="none" w:pos="8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Ratification of Agreements</w:t>
      </w:r>
      <w:r>
        <w:rPr>
          <w:rFonts w:ascii="Times New Roman" w:cs="Times New Roman" w:eastAsia="Times New Roman" w:hAnsi="Times New Roman"/>
          <w:sz w:val="18"/>
          <w:szCs w:val="18"/>
          <w:color w:val="auto"/>
        </w:rPr>
        <w:t>. The Original Agreement, as hereby amended, is hereby ratified and confirmed in all respects. The Loan Documents, as they may be amended or affected by this Amendment, are hereby ratified and confirmed in all respects by each Borrower and PAA.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Ratification of PAA Guaranty and Collateral Documents</w:t>
      </w:r>
      <w:r>
        <w:rPr>
          <w:rFonts w:ascii="Times New Roman" w:cs="Times New Roman" w:eastAsia="Times New Roman" w:hAnsi="Times New Roman"/>
          <w:sz w:val="18"/>
          <w:szCs w:val="18"/>
          <w:color w:val="auto"/>
        </w:rPr>
        <w:t>. PAA, by its signature hereto, represents and warrants that PAA has no defense to the enforcement of the PAA Guaranty, and that according to its terms the PAA Guaranty will continue in full force and effect to guaranty each Borrower’s Obligations and the other amounts described in the PAA Guaranty following execution of this Amendment. Each Borrower, Administrative Agent, L/C Issuers and Lenders each acknowledges and agrees that any and all Obligations of such Borrower are secured indebtedness under, and are secured by, each and every Collateral Document with respect to the Collateral pledged thereunder by such Borrower. The Company hereby re-pledges, re-grants and re-assigns a security interest in and lien on every asset of such Borrower described as Collateral in any Collateral Document.</w:t>
      </w:r>
    </w:p>
    <w:p>
      <w:pPr>
        <w:spacing w:after="0" w:line="18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Loan Documents</w:t>
      </w:r>
      <w:r>
        <w:rPr>
          <w:rFonts w:ascii="Times New Roman" w:cs="Times New Roman" w:eastAsia="Times New Roman" w:hAnsi="Times New Roman"/>
          <w:sz w:val="18"/>
          <w:szCs w:val="18"/>
          <w:color w:val="auto"/>
        </w:rPr>
        <w:t>. This Amendment is a Loan Document, and all provisions in the Credit Agreement pertaining to Loan Documents apply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2" w:lineRule="exact"/>
        <w:rPr>
          <w:rFonts w:ascii="Times New Roman" w:cs="Times New Roman" w:eastAsia="Times New Roman" w:hAnsi="Times New Roman"/>
          <w:sz w:val="18"/>
          <w:szCs w:val="18"/>
          <w:color w:val="auto"/>
        </w:rPr>
      </w:pPr>
    </w:p>
    <w:p>
      <w:pPr>
        <w:ind w:firstLine="656"/>
        <w:spacing w:after="0" w:line="286" w:lineRule="auto"/>
        <w:tabs>
          <w:tab w:leader="none" w:pos="78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5.4.      GOVERNING LAW. THIS AMENDMENT SHALL BE GOVERNED BY, AND CONSTRUED IN ACCORDANCE WITH, THE LAWS OF THE STATE OF NEW YORK</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jc w:val="both"/>
        <w:ind w:firstLine="656"/>
        <w:spacing w:after="0" w:line="263"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399" w:lineRule="exact"/>
        <w:rPr>
          <w:rFonts w:ascii="Times New Roman" w:cs="Times New Roman" w:eastAsia="Times New Roman" w:hAnsi="Times New Roman"/>
          <w:sz w:val="18"/>
          <w:szCs w:val="18"/>
          <w:color w:val="auto"/>
        </w:rPr>
      </w:pPr>
    </w:p>
    <w:p>
      <w:pPr>
        <w:jc w:val="both"/>
        <w:ind w:firstLine="656"/>
        <w:spacing w:after="0" w:line="266" w:lineRule="auto"/>
        <w:tabs>
          <w:tab w:leader="none" w:pos="7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IN WITNESS WHEREOF, this Amendment is executed as of the date first above written.</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PLAINS MARKETING, L.P., </w:t>
      </w:r>
      <w:r>
        <w:rPr>
          <w:rFonts w:ascii="Times New Roman" w:cs="Times New Roman" w:eastAsia="Times New Roman" w:hAnsi="Times New Roman"/>
          <w:sz w:val="18"/>
          <w:szCs w:val="18"/>
          <w:color w:val="auto"/>
        </w:rPr>
        <w:t>as a Borrower</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GP LLC,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Sharon S. Spurlin</w:t>
            </w:r>
          </w:p>
        </w:tc>
      </w:tr>
      <w:tr>
        <w:trPr>
          <w:trHeight w:val="191"/>
        </w:trPr>
        <w:tc>
          <w:tcPr>
            <w:tcW w:w="62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c>
          <w:tcPr>
            <w:tcW w:w="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Treasurer</w:t>
            </w:r>
          </w:p>
        </w:tc>
      </w:tr>
      <w:tr>
        <w:trPr>
          <w:trHeight w:val="432"/>
        </w:trPr>
        <w:tc>
          <w:tcPr>
            <w:tcW w:w="11260" w:type="dxa"/>
            <w:vAlign w:val="bottom"/>
            <w:gridSpan w:val="3"/>
          </w:tcPr>
          <w:p>
            <w:pPr>
              <w:ind w:left="5640"/>
              <w:spacing w:after="0"/>
              <w:rPr>
                <w:sz w:val="20"/>
                <w:szCs w:val="20"/>
                <w:color w:val="auto"/>
              </w:rPr>
            </w:pPr>
            <w:r>
              <w:rPr>
                <w:rFonts w:ascii="Times New Roman" w:cs="Times New Roman" w:eastAsia="Times New Roman" w:hAnsi="Times New Roman"/>
                <w:sz w:val="18"/>
                <w:szCs w:val="18"/>
                <w:b w:val="1"/>
                <w:bCs w:val="1"/>
                <w:color w:val="auto"/>
              </w:rPr>
              <w:t>PLAINS MIDSTREAM CANADA ULC,</w:t>
            </w:r>
            <w:r>
              <w:rPr>
                <w:rFonts w:ascii="Times New Roman" w:cs="Times New Roman" w:eastAsia="Times New Roman" w:hAnsi="Times New Roman"/>
                <w:sz w:val="18"/>
                <w:szCs w:val="18"/>
                <w:color w:val="auto"/>
              </w:rPr>
              <w:t> as a Borrower</w:t>
            </w:r>
          </w:p>
        </w:tc>
      </w:tr>
      <w:tr>
        <w:trPr>
          <w:trHeight w:val="648"/>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Sharon S. Spurlin</w:t>
            </w:r>
          </w:p>
        </w:tc>
      </w:tr>
      <w:tr>
        <w:trPr>
          <w:trHeight w:val="191"/>
        </w:trPr>
        <w:tc>
          <w:tcPr>
            <w:tcW w:w="62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c>
          <w:tcPr>
            <w:tcW w:w="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Treasurer</w:t>
            </w:r>
          </w:p>
        </w:tc>
      </w:tr>
      <w:tr>
        <w:trPr>
          <w:trHeight w:val="432"/>
        </w:trPr>
        <w:tc>
          <w:tcPr>
            <w:tcW w:w="11260" w:type="dxa"/>
            <w:vAlign w:val="bottom"/>
            <w:gridSpan w:val="3"/>
          </w:tcPr>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PLAINS ALL AMERICAN PIPELINE, L.P. </w:t>
            </w:r>
            <w:r>
              <w:rPr>
                <w:rFonts w:ascii="Times New Roman" w:cs="Times New Roman" w:eastAsia="Times New Roman" w:hAnsi="Times New Roman"/>
                <w:sz w:val="18"/>
                <w:szCs w:val="18"/>
                <w:color w:val="auto"/>
              </w:rPr>
              <w:t>as Guarantor</w:t>
            </w:r>
          </w:p>
        </w:tc>
      </w:tr>
      <w:tr>
        <w:trPr>
          <w:trHeight w:val="630"/>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PAA GP LLC, its general partner</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PLAINS AAP, L.P., its sole member</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PLAINS ALL AMERICAN GP LLC,</w:t>
            </w:r>
          </w:p>
        </w:tc>
      </w:tr>
      <w:tr>
        <w:trPr>
          <w:trHeight w:val="234"/>
        </w:trPr>
        <w:tc>
          <w:tcPr>
            <w:tcW w:w="620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Sharon S. Spurlin</w:t>
            </w:r>
          </w:p>
        </w:tc>
      </w:tr>
      <w:tr>
        <w:trPr>
          <w:trHeight w:val="191"/>
        </w:trPr>
        <w:tc>
          <w:tcPr>
            <w:tcW w:w="62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c>
          <w:tcPr>
            <w:tcW w:w="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Treasurer</w:t>
            </w:r>
          </w:p>
        </w:tc>
      </w:tr>
      <w:tr>
        <w:trPr>
          <w:trHeight w:val="64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S-1</w:t>
            </w:r>
          </w:p>
        </w:tc>
        <w:tc>
          <w:tcPr>
            <w:tcW w:w="506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color w:val="auto"/>
                <w:w w:val="99"/>
              </w:rPr>
              <w:t>PMLP 2nd Amendment</w:t>
            </w:r>
          </w:p>
        </w:tc>
      </w:tr>
    </w:tbl>
    <w:p>
      <w:pPr>
        <w:sectPr>
          <w:pgSz w:w="11900" w:h="16838" w:orient="portrait"/>
          <w:cols w:equalWidth="0" w:num="1">
            <w:col w:w="11240"/>
          </w:cols>
          <w:pgMar w:left="320" w:top="904" w:right="339" w:bottom="1440" w:gutter="0" w:footer="0" w:header="0"/>
        </w:sectPr>
      </w:pPr>
    </w:p>
    <w:bookmarkStart w:id="40" w:name="page41"/>
    <w:bookmarkEnd w:id="40"/>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as Administrative Agent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Melanie Brichant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Melanie Brichant</w:t>
            </w:r>
          </w:p>
        </w:tc>
        <w:tc>
          <w:tcPr>
            <w:tcW w:w="2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AVP</w:t>
            </w:r>
          </w:p>
        </w:tc>
      </w:tr>
      <w:tr>
        <w:trPr>
          <w:trHeight w:val="64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S-2</w:t>
            </w:r>
          </w:p>
        </w:tc>
        <w:tc>
          <w:tcPr>
            <w:tcW w:w="506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color w:val="auto"/>
                <w:w w:val="99"/>
              </w:rPr>
              <w:t>PMLP 2nd Amendment</w:t>
            </w:r>
          </w:p>
        </w:tc>
      </w:tr>
    </w:tbl>
    <w:p>
      <w:pPr>
        <w:sectPr>
          <w:pgSz w:w="11900" w:h="16838" w:orient="portrait"/>
          <w:cols w:equalWidth="0" w:num="1">
            <w:col w:w="11240"/>
          </w:cols>
          <w:pgMar w:left="320" w:top="927" w:right="339" w:bottom="1440" w:gutter="0" w:footer="0" w:header="0"/>
        </w:sectPr>
      </w:pPr>
    </w:p>
    <w:bookmarkStart w:id="41" w:name="page42"/>
    <w:bookmarkEnd w:id="41"/>
    <w:p>
      <w:pPr>
        <w:ind w:left="4520" w:right="300"/>
        <w:spacing w:after="0" w:line="286" w:lineRule="auto"/>
        <w:rPr>
          <w:sz w:val="20"/>
          <w:szCs w:val="20"/>
          <w:color w:val="auto"/>
        </w:rPr>
      </w:pPr>
      <w:r>
        <w:rPr>
          <w:rFonts w:ascii="Times New Roman" w:cs="Times New Roman" w:eastAsia="Times New Roman" w:hAnsi="Times New Roman"/>
          <w:sz w:val="18"/>
          <w:szCs w:val="18"/>
          <w:b w:val="1"/>
          <w:bCs w:val="1"/>
          <w:color w:val="auto"/>
        </w:rPr>
        <w:t>BANK OF AMERICA, N.A., </w:t>
      </w:r>
      <w:r>
        <w:rPr>
          <w:rFonts w:ascii="Times New Roman" w:cs="Times New Roman" w:eastAsia="Times New Roman" w:hAnsi="Times New Roman"/>
          <w:sz w:val="18"/>
          <w:szCs w:val="18"/>
          <w:color w:val="auto"/>
        </w:rPr>
        <w:t>as a Lender, an L/C Issuer and Swing 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Megan Baqui</w:t>
      </w:r>
    </w:p>
    <w:p>
      <w:pPr>
        <w:spacing w:after="0" w:line="23" w:lineRule="exact"/>
        <w:rPr>
          <w:sz w:val="20"/>
          <w:szCs w:val="20"/>
          <w:color w:val="auto"/>
        </w:rPr>
      </w:pPr>
    </w:p>
    <w:p>
      <w:pPr>
        <w:jc w:val="center"/>
        <w:ind w:right="-7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S-3</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CITIBANK, N.A., </w:t>
      </w:r>
      <w:r>
        <w:rPr>
          <w:rFonts w:ascii="Times New Roman" w:cs="Times New Roman" w:eastAsia="Times New Roman" w:hAnsi="Times New Roman"/>
          <w:sz w:val="18"/>
          <w:szCs w:val="18"/>
          <w:color w:val="auto"/>
        </w:rPr>
        <w:t>as a Lender and an L/C Issuer</w:t>
      </w:r>
    </w:p>
    <w:p>
      <w:pPr>
        <w:spacing w:after="0" w:line="200" w:lineRule="exact"/>
        <w:rPr>
          <w:sz w:val="20"/>
          <w:szCs w:val="20"/>
          <w:color w:val="auto"/>
        </w:rPr>
      </w:pPr>
    </w:p>
    <w:p>
      <w:pPr>
        <w:spacing w:after="0" w:line="27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Maureen Maroney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50"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S-4</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43" w:name="page44"/>
    <w:bookmarkEnd w:id="43"/>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JPMORGAN CHASE BANK, N.A., </w:t>
      </w:r>
      <w:r>
        <w:rPr>
          <w:rFonts w:ascii="Times New Roman" w:cs="Times New Roman" w:eastAsia="Times New Roman" w:hAnsi="Times New Roman"/>
          <w:sz w:val="18"/>
          <w:szCs w:val="18"/>
          <w:color w:val="auto"/>
        </w:rPr>
        <w:t>as a Lender and an L/C Issuer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Gruen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Kyle Gruen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0" w:lineRule="exact"/>
        <w:rPr>
          <w:sz w:val="20"/>
          <w:szCs w:val="20"/>
          <w:color w:val="auto"/>
        </w:rPr>
      </w:pPr>
    </w:p>
    <w:p>
      <w:pPr>
        <w:spacing w:after="0" w:line="223"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S-5</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44" w:name="page45"/>
    <w:bookmarkEnd w:id="44"/>
    <w:p>
      <w:pPr>
        <w:ind w:left="452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WELLS FARGO BANK, NATIONAL ASSOCIATION, </w:t>
      </w:r>
      <w:r>
        <w:rPr>
          <w:rFonts w:ascii="Times New Roman" w:cs="Times New Roman" w:eastAsia="Times New Roman" w:hAnsi="Times New Roman"/>
          <w:sz w:val="18"/>
          <w:szCs w:val="18"/>
          <w:color w:val="auto"/>
        </w:rPr>
        <w:t>as a Lender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L/C Issuer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Nathan Starr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S-6</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 w:name="page46"/>
    <w:bookmarkEnd w:id="45"/>
    <w:p>
      <w:pPr>
        <w:ind w:left="4520"/>
        <w:spacing w:after="0"/>
        <w:rPr>
          <w:sz w:val="20"/>
          <w:szCs w:val="20"/>
          <w:color w:val="auto"/>
        </w:rPr>
      </w:pPr>
      <w:r>
        <w:rPr>
          <w:rFonts w:ascii="Times New Roman" w:cs="Times New Roman" w:eastAsia="Times New Roman" w:hAnsi="Times New Roman"/>
          <w:sz w:val="18"/>
          <w:szCs w:val="18"/>
          <w:b w:val="1"/>
          <w:bCs w:val="1"/>
          <w:color w:val="auto"/>
        </w:rPr>
        <w:t>BANCO BILBAO VIZCAYA ARGENTARIA, S.A. NEW YORK</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BRANCH,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Cara Younger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S-7</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46" w:name="page47"/>
    <w:bookmarkEnd w:id="46"/>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BANK OF MONTREAL,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Jason Lang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47" w:name="page48"/>
    <w:bookmarkEnd w:id="47"/>
    <w:p>
      <w:pPr>
        <w:ind w:left="4520"/>
        <w:spacing w:after="0"/>
        <w:rPr>
          <w:sz w:val="20"/>
          <w:szCs w:val="20"/>
          <w:color w:val="auto"/>
        </w:rPr>
      </w:pPr>
      <w:r>
        <w:rPr>
          <w:rFonts w:ascii="Times New Roman" w:cs="Times New Roman" w:eastAsia="Times New Roman" w:hAnsi="Times New Roman"/>
          <w:sz w:val="18"/>
          <w:szCs w:val="18"/>
          <w:b w:val="1"/>
          <w:bCs w:val="1"/>
          <w:color w:val="auto"/>
        </w:rPr>
        <w:t>BANK OF NOVA SCOTIA, HOUSTON BRANCH</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Lattanzi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Joe Lattanzi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S-9</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8" w:name="page49"/>
    <w:bookmarkEnd w:id="48"/>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BARCLAYS BANK PLC,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Sydney G. Dennis</w:t>
            </w:r>
          </w:p>
        </w:tc>
        <w:tc>
          <w:tcPr>
            <w:tcW w:w="2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S-10</w:t>
            </w:r>
          </w:p>
        </w:tc>
        <w:tc>
          <w:tcPr>
            <w:tcW w:w="506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color w:val="auto"/>
                <w:w w:val="99"/>
              </w:rPr>
              <w:t>PMLP 2nd Amendment</w:t>
            </w:r>
          </w:p>
        </w:tc>
      </w:tr>
    </w:tbl>
    <w:p>
      <w:pPr>
        <w:sectPr>
          <w:pgSz w:w="11900" w:h="16838" w:orient="portrait"/>
          <w:cols w:equalWidth="0" w:num="1">
            <w:col w:w="11240"/>
          </w:cols>
          <w:pgMar w:left="320" w:top="900" w:right="339" w:bottom="1440" w:gutter="0" w:footer="0" w:header="0"/>
        </w:sectPr>
      </w:pPr>
    </w:p>
    <w:bookmarkStart w:id="49" w:name="page50"/>
    <w:bookmarkEnd w:id="49"/>
    <w:p>
      <w:pPr>
        <w:ind w:left="5640"/>
        <w:spacing w:after="0"/>
        <w:rPr>
          <w:sz w:val="20"/>
          <w:szCs w:val="20"/>
          <w:color w:val="auto"/>
        </w:rPr>
      </w:pPr>
      <w:r>
        <w:rPr>
          <w:rFonts w:ascii="Times New Roman" w:cs="Times New Roman" w:eastAsia="Times New Roman" w:hAnsi="Times New Roman"/>
          <w:sz w:val="18"/>
          <w:szCs w:val="18"/>
          <w:b w:val="1"/>
          <w:bCs w:val="1"/>
          <w:color w:val="auto"/>
        </w:rPr>
        <w:t>CANADIAN IMPERIAL BANK OF COMMERCE, NEW YORK</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Scott W. Danvers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W. Danvers</w:t>
            </w:r>
          </w:p>
        </w:tc>
        <w:tc>
          <w:tcPr>
            <w:tcW w:w="2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Donovan C. Broussard</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Donovan C. Broussard</w:t>
            </w:r>
          </w:p>
        </w:tc>
        <w:tc>
          <w:tcPr>
            <w:tcW w:w="2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4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S-11</w:t>
            </w:r>
          </w:p>
        </w:tc>
        <w:tc>
          <w:tcPr>
            <w:tcW w:w="506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color w:val="auto"/>
                <w:w w:val="99"/>
              </w:rPr>
              <w:t>PMLP 2nd Amendment</w:t>
            </w:r>
          </w:p>
        </w:tc>
      </w:tr>
    </w:tbl>
    <w:p>
      <w:pPr>
        <w:sectPr>
          <w:pgSz w:w="11900" w:h="16838" w:orient="portrait"/>
          <w:cols w:equalWidth="0" w:num="1">
            <w:col w:w="11240"/>
          </w:cols>
          <w:pgMar w:left="320" w:top="900" w:right="339" w:bottom="1440" w:gutter="0" w:footer="0" w:header="0"/>
        </w:sectPr>
      </w:pPr>
    </w:p>
    <w:bookmarkStart w:id="50" w:name="page51"/>
    <w:bookmarkEnd w:id="50"/>
    <w:p>
      <w:pPr>
        <w:ind w:left="4520"/>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Connor Schrotel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Connor Schrotel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S-12</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1" w:name="page52"/>
    <w:bookmarkEnd w:id="51"/>
    <w:p>
      <w:pPr>
        <w:ind w:left="4520"/>
        <w:spacing w:after="0"/>
        <w:rPr>
          <w:sz w:val="20"/>
          <w:szCs w:val="20"/>
          <w:color w:val="auto"/>
        </w:rPr>
      </w:pPr>
      <w:r>
        <w:rPr>
          <w:rFonts w:ascii="Times New Roman" w:cs="Times New Roman" w:eastAsia="Times New Roman" w:hAnsi="Times New Roman"/>
          <w:sz w:val="18"/>
          <w:szCs w:val="18"/>
          <w:b w:val="1"/>
          <w:bCs w:val="1"/>
          <w:color w:val="auto"/>
        </w:rPr>
        <w:t>ING CAPITAL LLC</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Mandeville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Mandeville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Anthony Rivera</w:t>
      </w:r>
    </w:p>
    <w:p>
      <w:pPr>
        <w:spacing w:after="0" w:line="23" w:lineRule="exact"/>
        <w:rPr>
          <w:sz w:val="20"/>
          <w:szCs w:val="20"/>
          <w:color w:val="auto"/>
        </w:rPr>
      </w:pPr>
    </w:p>
    <w:p>
      <w:pPr>
        <w:jc w:val="center"/>
        <w:ind w:right="-7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S-13</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2" w:name="page53"/>
    <w:bookmarkEnd w:id="52"/>
    <w:p>
      <w:pPr>
        <w:ind w:left="4520"/>
        <w:spacing w:after="0"/>
        <w:rPr>
          <w:sz w:val="20"/>
          <w:szCs w:val="20"/>
          <w:color w:val="auto"/>
        </w:rPr>
      </w:pPr>
      <w:r>
        <w:rPr>
          <w:rFonts w:ascii="Times New Roman" w:cs="Times New Roman" w:eastAsia="Times New Roman" w:hAnsi="Times New Roman"/>
          <w:sz w:val="18"/>
          <w:szCs w:val="18"/>
          <w:b w:val="1"/>
          <w:bCs w:val="1"/>
          <w:color w:val="auto"/>
        </w:rPr>
        <w:t>MIZUHO BANK, LTD.</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S-14</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3" w:name="page54"/>
    <w:bookmarkEnd w:id="53"/>
    <w:p>
      <w:pPr>
        <w:ind w:left="4520"/>
        <w:spacing w:after="0"/>
        <w:rPr>
          <w:sz w:val="20"/>
          <w:szCs w:val="20"/>
          <w:color w:val="auto"/>
        </w:rPr>
      </w:pPr>
      <w:r>
        <w:rPr>
          <w:rFonts w:ascii="Times New Roman" w:cs="Times New Roman" w:eastAsia="Times New Roman" w:hAnsi="Times New Roman"/>
          <w:sz w:val="18"/>
          <w:szCs w:val="18"/>
          <w:b w:val="1"/>
          <w:bCs w:val="1"/>
          <w:color w:val="auto"/>
        </w:rPr>
        <w:t>MUFG BANK, LTD.</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Facenda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Christopher Facenda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S-15</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4" w:name="page55"/>
    <w:bookmarkEnd w:id="54"/>
    <w:p>
      <w:pPr>
        <w:ind w:left="452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Danielle Bernicky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Danielle Bernicky</w:t>
      </w:r>
    </w:p>
    <w:p>
      <w:pPr>
        <w:spacing w:after="0" w:line="23" w:lineRule="exact"/>
        <w:rPr>
          <w:sz w:val="20"/>
          <w:szCs w:val="20"/>
          <w:color w:val="auto"/>
        </w:rPr>
      </w:pPr>
    </w:p>
    <w:p>
      <w:pPr>
        <w:jc w:val="center"/>
        <w:ind w:right="2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Officer</w:t>
      </w:r>
    </w:p>
    <w:p>
      <w:pPr>
        <w:spacing w:after="0" w:line="200" w:lineRule="exact"/>
        <w:rPr>
          <w:sz w:val="20"/>
          <w:szCs w:val="20"/>
          <w:color w:val="auto"/>
        </w:rPr>
      </w:pPr>
    </w:p>
    <w:p>
      <w:pPr>
        <w:spacing w:after="0" w:line="250"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S-16</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5" w:name="page56"/>
    <w:bookmarkEnd w:id="55"/>
    <w:p>
      <w:pPr>
        <w:ind w:left="4520"/>
        <w:spacing w:after="0"/>
        <w:rPr>
          <w:sz w:val="20"/>
          <w:szCs w:val="20"/>
          <w:color w:val="auto"/>
        </w:rPr>
      </w:pPr>
      <w:r>
        <w:rPr>
          <w:rFonts w:ascii="Times New Roman" w:cs="Times New Roman" w:eastAsia="Times New Roman" w:hAnsi="Times New Roman"/>
          <w:sz w:val="18"/>
          <w:szCs w:val="18"/>
          <w:b w:val="1"/>
          <w:bCs w:val="1"/>
          <w:color w:val="auto"/>
        </w:rPr>
        <w:t>REGIONS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Valentine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S-17</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56" w:name="page57"/>
    <w:bookmarkEnd w:id="56"/>
    <w:p>
      <w:pPr>
        <w:ind w:left="5640"/>
        <w:spacing w:after="0"/>
        <w:rPr>
          <w:sz w:val="20"/>
          <w:szCs w:val="20"/>
          <w:color w:val="auto"/>
        </w:rPr>
      </w:pP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Sue Carol Sedillo</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Sue Carol Sedillo</w:t>
            </w:r>
          </w:p>
        </w:tc>
        <w:tc>
          <w:tcPr>
            <w:tcW w:w="2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4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S-18</w:t>
            </w:r>
          </w:p>
        </w:tc>
        <w:tc>
          <w:tcPr>
            <w:tcW w:w="506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color w:val="auto"/>
                <w:w w:val="99"/>
              </w:rPr>
              <w:t>PMLP 2nd Amendment</w:t>
            </w:r>
          </w:p>
        </w:tc>
      </w:tr>
    </w:tbl>
    <w:p>
      <w:pPr>
        <w:sectPr>
          <w:pgSz w:w="11900" w:h="16838" w:orient="portrait"/>
          <w:cols w:equalWidth="0" w:num="1">
            <w:col w:w="11240"/>
          </w:cols>
          <w:pgMar w:left="320" w:top="927" w:right="339" w:bottom="1440" w:gutter="0" w:footer="0" w:header="0"/>
        </w:sectPr>
      </w:pPr>
    </w:p>
    <w:bookmarkStart w:id="57" w:name="page58"/>
    <w:bookmarkEnd w:id="57"/>
    <w:p>
      <w:pPr>
        <w:ind w:left="452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Alkesh Nanavaty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Alkesh Nanavaty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S-19</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8" w:name="page59"/>
    <w:bookmarkEnd w:id="58"/>
    <w:p>
      <w:pPr>
        <w:ind w:left="4520"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TORONTO-DOMINION BANK, NEW YORK BRANCH,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Jonathan Schwartz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S-20</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9" w:name="page60"/>
    <w:bookmarkEnd w:id="59"/>
    <w:p>
      <w:pPr>
        <w:ind w:left="4520"/>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Lincoln LaCour</w:t>
      </w:r>
    </w:p>
    <w:p>
      <w:pPr>
        <w:spacing w:after="0" w:line="23" w:lineRule="exact"/>
        <w:rPr>
          <w:sz w:val="20"/>
          <w:szCs w:val="20"/>
          <w:color w:val="auto"/>
        </w:rPr>
      </w:pPr>
    </w:p>
    <w:p>
      <w:pPr>
        <w:jc w:val="center"/>
        <w:ind w:right="-7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S-21</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60" w:name="page61"/>
    <w:bookmarkEnd w:id="60"/>
    <w:p>
      <w:pPr>
        <w:ind w:left="45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Beth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Beth Johnson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S-22</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61" w:name="page62"/>
    <w:bookmarkEnd w:id="61"/>
    <w:p>
      <w:pPr>
        <w:ind w:left="4520"/>
        <w:spacing w:after="0"/>
        <w:rPr>
          <w:sz w:val="20"/>
          <w:szCs w:val="20"/>
          <w:color w:val="auto"/>
        </w:rPr>
      </w:pPr>
      <w:r>
        <w:rPr>
          <w:rFonts w:ascii="Times New Roman" w:cs="Times New Roman" w:eastAsia="Times New Roman" w:hAnsi="Times New Roman"/>
          <w:sz w:val="18"/>
          <w:szCs w:val="18"/>
          <w:b w:val="1"/>
          <w:bCs w:val="1"/>
          <w:color w:val="auto"/>
        </w:rPr>
        <w:t>ZIONS BANCORPORATION, N.A. DBA AMEGY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Cameron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Cameron Burns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S-23</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62" w:name="page63"/>
    <w:bookmarkEnd w:id="62"/>
    <w:p>
      <w:pPr>
        <w:ind w:left="4520"/>
        <w:spacing w:after="0"/>
        <w:rPr>
          <w:sz w:val="20"/>
          <w:szCs w:val="20"/>
          <w:color w:val="auto"/>
        </w:rPr>
      </w:pPr>
      <w:r>
        <w:rPr>
          <w:rFonts w:ascii="Times New Roman" w:cs="Times New Roman" w:eastAsia="Times New Roman" w:hAnsi="Times New Roman"/>
          <w:sz w:val="18"/>
          <w:szCs w:val="18"/>
          <w:b w:val="1"/>
          <w:bCs w:val="1"/>
          <w:color w:val="auto"/>
        </w:rPr>
        <w:t>MORGAN STANLEY BANK,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S-24</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COMMITTED LOAN NOTICE</w:t>
      </w:r>
    </w:p>
    <w:p>
      <w:pPr>
        <w:spacing w:after="0" w:line="22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7"/>
          <w:szCs w:val="17"/>
          <w:color w:val="auto"/>
        </w:rPr>
        <w:t>Date: ___________, _____</w:t>
      </w:r>
    </w:p>
    <w:p>
      <w:pPr>
        <w:spacing w:after="0" w:line="2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Fourth Amended and Restated Credit Agreement, dated as of August 20, 2021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Plains Marketing, L.P., a Texas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Plains All American Pipeline, L.P., a Delaware limited partnership, as guarantor, Bank of America, N.A., as Administrative Agent and Swing Line Lender, Bank of America, N.A., Citibank, N.A., JPMorgan Chase Bank, N.A., and Wells Fargo Bank, National Association, as L/C Issuers, and the Lenders from time to time party thereto.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(select one):</w:t>
      </w:r>
    </w:p>
    <w:p>
      <w:pPr>
        <w:spacing w:after="0" w:line="225" w:lineRule="exact"/>
        <w:rPr>
          <w:sz w:val="20"/>
          <w:szCs w:val="20"/>
          <w:color w:val="auto"/>
        </w:rPr>
      </w:pPr>
    </w:p>
    <w:p>
      <w:pPr>
        <w:ind w:left="860" w:hanging="204"/>
        <w:spacing w:after="0"/>
        <w:tabs>
          <w:tab w:leader="none" w:pos="86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Borrowing of Committed Loans</w:t>
      </w:r>
    </w:p>
    <w:p>
      <w:pPr>
        <w:spacing w:after="0" w:line="225" w:lineRule="exact"/>
        <w:rPr>
          <w:rFonts w:ascii="MS PGothic" w:cs="MS PGothic" w:eastAsia="MS PGothic" w:hAnsi="MS PGothic"/>
          <w:sz w:val="18"/>
          <w:szCs w:val="18"/>
          <w:color w:val="auto"/>
        </w:rPr>
      </w:pPr>
    </w:p>
    <w:p>
      <w:pPr>
        <w:ind w:left="660" w:right="6740" w:hanging="4"/>
        <w:spacing w:after="0" w:line="601" w:lineRule="auto"/>
        <w:tabs>
          <w:tab w:leader="none" w:pos="857" w:val="left"/>
        </w:tabs>
        <w:numPr>
          <w:ilvl w:val="0"/>
          <w:numId w:val="17"/>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A conversion or continuation of Committed Loans 1.       On </w:t>
      </w:r>
      <w:r>
        <w:rPr>
          <w:rFonts w:ascii="Times New Roman" w:cs="Times New Roman" w:eastAsia="Times New Roman" w:hAnsi="Times New Roman"/>
          <w:sz w:val="15"/>
          <w:szCs w:val="15"/>
          <w:u w:val="single" w:color="auto"/>
          <w:color w:val="auto"/>
        </w:rPr>
        <w:t>                                                                      </w:t>
      </w:r>
      <w:r>
        <w:rPr>
          <w:rFonts w:ascii="Times New Roman" w:cs="Times New Roman" w:eastAsia="Times New Roman" w:hAnsi="Times New Roman"/>
          <w:sz w:val="15"/>
          <w:szCs w:val="15"/>
          <w:color w:val="auto"/>
        </w:rPr>
        <w:t>  (a Business Day).</w:t>
      </w:r>
    </w:p>
    <w:p>
      <w:pPr>
        <w:ind w:left="660"/>
        <w:spacing w:after="0"/>
        <w:rPr>
          <w:rFonts w:ascii="MS PGothic" w:cs="MS PGothic" w:eastAsia="MS PGothic" w:hAnsi="MS PGothic"/>
          <w:sz w:val="15"/>
          <w:szCs w:val="15"/>
          <w:color w:val="auto"/>
        </w:rPr>
      </w:pPr>
      <w:r>
        <w:rPr>
          <w:rFonts w:ascii="Times New Roman" w:cs="Times New Roman" w:eastAsia="Times New Roman" w:hAnsi="Times New Roman"/>
          <w:sz w:val="18"/>
          <w:szCs w:val="18"/>
          <w:color w:val="auto"/>
        </w:rPr>
        <w:t>2.       In the principal amount of [$/C$]___________.</w:t>
      </w:r>
    </w:p>
    <w:p>
      <w:pPr>
        <w:spacing w:after="0" w:line="225" w:lineRule="exact"/>
        <w:rPr>
          <w:rFonts w:ascii="MS PGothic" w:cs="MS PGothic" w:eastAsia="MS PGothic" w:hAnsi="MS PGothic"/>
          <w:sz w:val="15"/>
          <w:szCs w:val="15"/>
          <w:color w:val="auto"/>
        </w:rPr>
      </w:pPr>
    </w:p>
    <w:p>
      <w:pPr>
        <w:ind w:left="660"/>
        <w:spacing w:after="0"/>
        <w:rPr>
          <w:rFonts w:ascii="MS PGothic" w:cs="MS PGothic" w:eastAsia="MS PGothic" w:hAnsi="MS PGothic"/>
          <w:sz w:val="15"/>
          <w:szCs w:val="15"/>
          <w:color w:val="auto"/>
        </w:rPr>
      </w:pPr>
      <w:r>
        <w:rPr>
          <w:rFonts w:ascii="Times New Roman" w:cs="Times New Roman" w:eastAsia="Times New Roman" w:hAnsi="Times New Roman"/>
          <w:sz w:val="18"/>
          <w:szCs w:val="18"/>
          <w:color w:val="auto"/>
        </w:rPr>
        <w:t>3.       Comprised of [Base Rate Loans] [Term SOFR/Canadian Term Rate Loans].</w:t>
      </w:r>
    </w:p>
    <w:p>
      <w:pPr>
        <w:spacing w:after="0" w:line="225" w:lineRule="exact"/>
        <w:rPr>
          <w:rFonts w:ascii="MS PGothic" w:cs="MS PGothic" w:eastAsia="MS PGothic" w:hAnsi="MS PGothic"/>
          <w:sz w:val="15"/>
          <w:szCs w:val="15"/>
          <w:color w:val="auto"/>
        </w:rPr>
      </w:pPr>
    </w:p>
    <w:p>
      <w:pPr>
        <w:jc w:val="center"/>
        <w:ind w:left="980" w:right="4040" w:hanging="324"/>
        <w:spacing w:after="0" w:line="530" w:lineRule="auto"/>
        <w:rPr>
          <w:rFonts w:ascii="MS PGothic" w:cs="MS PGothic" w:eastAsia="MS PGothic" w:hAnsi="MS PGothic"/>
          <w:sz w:val="15"/>
          <w:szCs w:val="15"/>
          <w:color w:val="auto"/>
        </w:rPr>
      </w:pPr>
      <w:r>
        <w:rPr>
          <w:rFonts w:ascii="Times New Roman" w:cs="Times New Roman" w:eastAsia="Times New Roman" w:hAnsi="Times New Roman"/>
          <w:sz w:val="17"/>
          <w:szCs w:val="17"/>
          <w:color w:val="auto"/>
        </w:rPr>
        <w:t>4.       For Term SOFR Loans: with an Interest Period of [one] [three] [six] [_____] month[s].   For Canadian Term Rate Loans: with an Interest Period of [one] [three] month[s].</w:t>
      </w:r>
    </w:p>
    <w:p>
      <w:pPr>
        <w:ind w:left="660" w:right="900"/>
        <w:spacing w:after="0" w:line="500" w:lineRule="auto"/>
        <w:rPr>
          <w:rFonts w:ascii="MS PGothic" w:cs="MS PGothic" w:eastAsia="MS PGothic" w:hAnsi="MS PGothic"/>
          <w:sz w:val="15"/>
          <w:szCs w:val="15"/>
          <w:color w:val="auto"/>
        </w:rPr>
      </w:pPr>
      <w:r>
        <w:rPr>
          <w:rFonts w:ascii="Times New Roman" w:cs="Times New Roman" w:eastAsia="Times New Roman" w:hAnsi="Times New Roman"/>
          <w:sz w:val="18"/>
          <w:szCs w:val="18"/>
          <w:color w:val="auto"/>
        </w:rPr>
        <w:t>[5.     If a conversion or continuation of Committed Loans, the existing Borrowing(s) of Committed Loans to be converted or continued: Principal amount of [$/C$] ____________ of [Term SOFR/Canadian Term Rate] Loans with an Interest Period ending _________. Principal amount of [$/C$] ____________ of Base Rate Loans.]</w:t>
      </w:r>
    </w:p>
    <w:p>
      <w:pPr>
        <w:spacing w:after="0" w:line="2" w:lineRule="exact"/>
        <w:rPr>
          <w:rFonts w:ascii="MS PGothic" w:cs="MS PGothic" w:eastAsia="MS PGothic" w:hAnsi="MS PGothic"/>
          <w:sz w:val="15"/>
          <w:szCs w:val="15"/>
          <w:color w:val="auto"/>
        </w:rPr>
      </w:pPr>
    </w:p>
    <w:p>
      <w:pPr>
        <w:ind w:left="660"/>
        <w:spacing w:after="0"/>
        <w:rPr>
          <w:rFonts w:ascii="MS PGothic" w:cs="MS PGothic" w:eastAsia="MS PGothic" w:hAnsi="MS PGothic"/>
          <w:sz w:val="15"/>
          <w:szCs w:val="15"/>
          <w:color w:val="auto"/>
        </w:rPr>
      </w:pPr>
      <w:r>
        <w:rPr>
          <w:rFonts w:ascii="Times New Roman" w:cs="Times New Roman" w:eastAsia="Times New Roman" w:hAnsi="Times New Roman"/>
          <w:sz w:val="18"/>
          <w:szCs w:val="18"/>
          <w:color w:val="auto"/>
        </w:rPr>
        <w:t xml:space="preserve">The Committed Borrowing, if any, requested herein complies with the proviso to the first sentence of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ind w:left="4180"/>
        <w:spacing w:after="0"/>
        <w:rPr>
          <w:sz w:val="20"/>
          <w:szCs w:val="20"/>
          <w:color w:val="auto"/>
        </w:rPr>
      </w:pPr>
      <w:r>
        <w:rPr>
          <w:rFonts w:ascii="Times New Roman" w:cs="Times New Roman" w:eastAsia="Times New Roman" w:hAnsi="Times New Roman"/>
          <w:sz w:val="17"/>
          <w:szCs w:val="17"/>
          <w:b w:val="1"/>
          <w:bCs w:val="1"/>
          <w:color w:val="auto"/>
        </w:rPr>
        <w:t>[BORROWER]</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SWING LINE LOAN NOTICE</w:t>
      </w:r>
    </w:p>
    <w:p>
      <w:pPr>
        <w:spacing w:after="0" w:line="22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7"/>
          <w:szCs w:val="17"/>
          <w:color w:val="auto"/>
        </w:rPr>
        <w:t>Date: ___________, _____</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 as Swing Line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 as Administrative Agent</w:t>
      </w:r>
    </w:p>
    <w:p>
      <w:pPr>
        <w:spacing w:after="0" w:line="200" w:lineRule="exact"/>
        <w:rPr>
          <w:sz w:val="20"/>
          <w:szCs w:val="20"/>
          <w:color w:val="auto"/>
        </w:rPr>
      </w:pPr>
    </w:p>
    <w:p>
      <w:pPr>
        <w:sectPr>
          <w:pgSz w:w="11900" w:h="16838" w:orient="portrait"/>
          <w:cols w:equalWidth="0" w:num="2">
            <w:col w:w="240" w:space="420"/>
            <w:col w:w="10580"/>
          </w:cols>
          <w:pgMar w:left="320" w:top="900"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Fourth Amended and Restated Credit Agreement, dated as of August 20, 2021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Plains Marketing, L.P., a Texas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Plains All American Pipeline, L.P., a Delaware limited partnership, as guarantor, Bank of America, N.A., as Administrative Agent and Swing Line Lender, Bank of America, N.A., Citibank, N.A., JPMorgan Chase Bank, N.A., and Wells Fargo Bank, National Association, as L/C Issuers, and the Lenders from time to time party thereto.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a Swing Line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On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(a Business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In the principal amount of [$/C$]</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Comprised of [Base Rate/Term SOFR] [Canadian Prime Rate/Canadian Swing Line Rate] Loans.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Swing Line Borrowing requested herein complies with the requirements of the provisos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of the Agreement.</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SCHEDULE 2.01</w:t>
            </w:r>
          </w:p>
        </w:tc>
      </w:tr>
      <w:tr>
        <w:trPr>
          <w:trHeight w:val="410"/>
        </w:trPr>
        <w:tc>
          <w:tcPr>
            <w:tcW w:w="4540" w:type="dxa"/>
            <w:vAlign w:val="bottom"/>
          </w:tcPr>
          <w:p>
            <w:pPr>
              <w:spacing w:after="0"/>
              <w:rPr>
                <w:sz w:val="24"/>
                <w:szCs w:val="24"/>
                <w:color w:val="auto"/>
              </w:rPr>
            </w:pPr>
          </w:p>
        </w:tc>
        <w:tc>
          <w:tcPr>
            <w:tcW w:w="3040" w:type="dxa"/>
            <w:vAlign w:val="bottom"/>
            <w:gridSpan w:val="5"/>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8"/>
        </w:trPr>
        <w:tc>
          <w:tcPr>
            <w:tcW w:w="7580" w:type="dxa"/>
            <w:vAlign w:val="bottom"/>
            <w:gridSpan w:val="6"/>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AND APPLICABLE PERCENTAGES</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61"/>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Applicable Percentage</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09"/>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4.7407407407%</w:t>
            </w:r>
          </w:p>
        </w:tc>
        <w:tc>
          <w:tcPr>
            <w:tcW w:w="2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2026</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Nova Scotia, Houston Branch</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CoBank, ACB**</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Capital LLC</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Bank</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Zions Bancorporation, N.A. DBA Amegy Bank</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2.5925925926%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1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35,000,000.00</w:t>
            </w:r>
          </w:p>
        </w:tc>
        <w:tc>
          <w:tcPr>
            <w:tcW w:w="2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2.5925925926%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1,350,000,000.00</w:t>
            </w: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100.0000000000%</w:t>
            </w:r>
          </w:p>
        </w:tc>
        <w:tc>
          <w:tcPr>
            <w:tcW w:w="15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*Rounded to ten decimal places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**Unlicensed Term CORRA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SCHEDULE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EXTENDING AND NON-EXTENDING LENDERS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EXTENDING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Montreal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Nova Scotia, Houston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CoBank ACB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Zions Bancorporation, N.A. DBA Amegy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Bank, 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NON-EXTENDING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Roman"/>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2024-08-22T16:29:45Z</dcterms:created>
  <dcterms:modified xsi:type="dcterms:W3CDTF">2024-08-22T16:29:45Z</dcterms:modified>
</cp:coreProperties>
</file>