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OMB APPROVAL</w:t>
      </w:r>
    </w:p>
    <w:p>
      <w:pPr>
        <w:spacing w:after="0" w:line="27"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8"/>
          <w:szCs w:val="18"/>
          <w:color w:val="auto"/>
        </w:rPr>
        <w:t>OMB Number: 3235-0145</w:t>
      </w:r>
    </w:p>
    <w:p>
      <w:pPr>
        <w:spacing w:after="0" w:line="9"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8"/>
          <w:szCs w:val="18"/>
          <w:color w:val="auto"/>
        </w:rPr>
        <w:t>Expires: October 31, 2002</w:t>
      </w:r>
    </w:p>
    <w:p>
      <w:pPr>
        <w:spacing w:after="0" w:line="9"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8"/>
          <w:szCs w:val="18"/>
          <w:color w:val="auto"/>
        </w:rPr>
        <w:t>Estimated average burden</w:t>
      </w:r>
    </w:p>
    <w:p>
      <w:pPr>
        <w:spacing w:after="0" w:line="9"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8"/>
          <w:szCs w:val="18"/>
          <w:color w:val="auto"/>
        </w:rPr>
        <w:t>Hours per response ... 14.90</w:t>
      </w:r>
    </w:p>
    <w:p>
      <w:pPr>
        <w:spacing w:after="0" w:line="2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color w:val="auto"/>
        </w:rPr>
        <w:t>SCHEDULE 13D</w:t>
      </w:r>
    </w:p>
    <w:p>
      <w:pPr>
        <w:spacing w:after="0" w:line="2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(AMENDMENT NO.8)</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31115</wp:posOffset>
            </wp:positionV>
            <wp:extent cx="57975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52"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(CUSIP Number)</w:t>
      </w:r>
    </w:p>
    <w:p>
      <w:pPr>
        <w:spacing w:after="0" w:line="252" w:lineRule="exact"/>
        <w:rPr>
          <w:sz w:val="24"/>
          <w:szCs w:val="24"/>
          <w:color w:val="auto"/>
        </w:rPr>
      </w:pPr>
    </w:p>
    <w:p>
      <w:pPr>
        <w:jc w:val="center"/>
        <w:ind w:left="360" w:right="2520"/>
        <w:spacing w:after="0" w:line="260" w:lineRule="auto"/>
        <w:rPr>
          <w:sz w:val="20"/>
          <w:szCs w:val="20"/>
          <w:color w:val="auto"/>
        </w:rPr>
      </w:pPr>
      <w:r>
        <w:rPr>
          <w:rFonts w:ascii="Times New Roman" w:cs="Times New Roman" w:eastAsia="Times New Roman" w:hAnsi="Times New Roman"/>
          <w:sz w:val="18"/>
          <w:szCs w:val="18"/>
          <w:color w:val="auto"/>
        </w:rPr>
        <w:t>DAVID J. SHLADOVSKY, C/O KAYNE ANDERSON CAPITAL ADVISORS, L.P. 1800 AVENUE OF THE STARS, THIRD FLOOR, LOS ANGELES, CA 90067 (310) 556-2721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-3175</wp:posOffset>
            </wp:positionV>
            <wp:extent cx="57975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189"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13d-7(b) for other parties to whom copies are to be sent.</w:t>
      </w:r>
    </w:p>
    <w:p>
      <w:pPr>
        <w:spacing w:after="0" w:line="18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397510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783" w:right="359" w:bottom="1440" w:gutter="0" w:footer="0" w:header="0"/>
        </w:sectPr>
      </w:pPr>
    </w:p>
    <w:bookmarkStart w:id="1" w:name="page2"/>
    <w:bookmarkEnd w:id="1"/>
    <w:p>
      <w:pPr>
        <w:spacing w:after="0"/>
        <w:tabs>
          <w:tab w:leader="none" w:pos="5760" w:val="left"/>
          <w:tab w:leader="none" w:pos="9800" w:val="left"/>
        </w:tabs>
        <w:rPr>
          <w:sz w:val="20"/>
          <w:szCs w:val="20"/>
          <w:color w:val="auto"/>
        </w:rPr>
      </w:pPr>
      <w:r>
        <w:rPr>
          <w:rFonts w:ascii="Times New Roman" w:cs="Times New Roman" w:eastAsia="Times New Roman" w:hAnsi="Times New Roman"/>
          <w:sz w:val="18"/>
          <w:szCs w:val="18"/>
          <w:color w:val="auto"/>
        </w:rPr>
        <w:t>CUSIP NO. 726503105</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0" w:hanging="61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KAYNE ANDERSON CAPITAL ADVISORS, L.P.- 95-4486379</w:t>
      </w:r>
    </w:p>
    <w:p>
      <w:pPr>
        <w:spacing w:after="0" w:line="27"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Richard A. Kayne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77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top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3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3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 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20" w:right="9180" w:hanging="612"/>
        <w:spacing w:after="0" w:line="51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 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600" w:val="left"/>
          <w:tab w:leader="none" w:pos="10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20" w:hanging="61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CALIFORNIA LIMITED PARTNERSHIP</w:t>
      </w:r>
    </w:p>
    <w:p>
      <w:pPr>
        <w:spacing w:after="0" w:line="27"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4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87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396"/>
        </w:trPr>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1,320,253</w:t>
            </w:r>
          </w:p>
        </w:tc>
      </w:tr>
      <w:tr>
        <w:trPr>
          <w:trHeight w:val="24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spacing w:after="0"/>
              <w:rPr>
                <w:sz w:val="20"/>
                <w:szCs w:val="20"/>
                <w:color w:val="auto"/>
              </w:rPr>
            </w:pP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w:t>
            </w:r>
          </w:p>
        </w:tc>
        <w:tc>
          <w:tcPr>
            <w:tcW w:w="870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9,911,894</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30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9,911,894</w:t>
            </w:r>
          </w:p>
        </w:tc>
      </w:tr>
      <w:tr>
        <w:trPr>
          <w:trHeight w:val="24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spacing w:after="0"/>
              <w:rPr>
                <w:sz w:val="20"/>
                <w:szCs w:val="20"/>
                <w:color w:val="auto"/>
              </w:rPr>
            </w:pPr>
          </w:p>
        </w:tc>
      </w:tr>
      <w:tr>
        <w:trPr>
          <w:trHeight w:val="198"/>
        </w:trPr>
        <w:tc>
          <w:tcPr>
            <w:tcW w:w="2420" w:type="dxa"/>
            <w:vAlign w:val="bottom"/>
          </w:tcPr>
          <w:p>
            <w:pPr>
              <w:spacing w:after="0"/>
              <w:rPr>
                <w:sz w:val="17"/>
                <w:szCs w:val="17"/>
                <w:color w:val="auto"/>
              </w:rPr>
            </w:pPr>
          </w:p>
        </w:tc>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870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1,320,253</w:t>
            </w:r>
          </w:p>
        </w:tc>
      </w:tr>
      <w:tr>
        <w:trPr>
          <w:trHeight w:val="223"/>
        </w:trPr>
        <w:tc>
          <w:tcPr>
            <w:tcW w:w="2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gridSpan w:val="2"/>
          </w:tcPr>
          <w:p>
            <w:pPr>
              <w:spacing w:after="0"/>
              <w:rPr>
                <w:sz w:val="19"/>
                <w:szCs w:val="19"/>
                <w:color w:val="auto"/>
              </w:rPr>
            </w:pPr>
          </w:p>
        </w:tc>
      </w:tr>
      <w:tr>
        <w:trPr>
          <w:trHeight w:val="198"/>
        </w:trPr>
        <w:tc>
          <w:tcPr>
            <w:tcW w:w="2420" w:type="dxa"/>
            <w:vAlign w:val="bottom"/>
          </w:tcPr>
          <w:p>
            <w:pPr>
              <w:spacing w:after="0"/>
              <w:rPr>
                <w:sz w:val="17"/>
                <w:szCs w:val="17"/>
                <w:color w:val="auto"/>
              </w:rPr>
            </w:pPr>
          </w:p>
        </w:tc>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w:t>
            </w:r>
          </w:p>
        </w:tc>
        <w:tc>
          <w:tcPr>
            <w:tcW w:w="870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SHARED DISPOSITIVE POWER</w:t>
            </w:r>
          </w:p>
        </w:tc>
      </w:tr>
      <w:tr>
        <w:trPr>
          <w:trHeight w:val="216"/>
        </w:trPr>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9,911,894</w:t>
            </w:r>
          </w:p>
        </w:tc>
      </w:tr>
      <w:tr>
        <w:trPr>
          <w:trHeight w:val="234"/>
        </w:trPr>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9,911,894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9,911,894</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11,232,147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560" w:val="left"/>
          <w:tab w:leader="none" w:pos="107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PAGE 3</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Units.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CUSIP:726503105</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23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include Kayne Anderson Capital Advisors, L.P. and Richard A. Kayne.</w:t>
      </w:r>
    </w:p>
    <w:p>
      <w:pPr>
        <w:spacing w:after="0" w:line="248"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Kayne Anderson Capital Advisors, L.P.</w:t>
      </w:r>
    </w:p>
    <w:p>
      <w:pPr>
        <w:spacing w:after="0" w:line="256" w:lineRule="exact"/>
        <w:rPr>
          <w:rFonts w:ascii="Times New Roman" w:cs="Times New Roman" w:eastAsia="Times New Roman" w:hAnsi="Times New Roman"/>
          <w:sz w:val="18"/>
          <w:szCs w:val="18"/>
          <w:color w:val="auto"/>
        </w:rPr>
      </w:pPr>
    </w:p>
    <w:p>
      <w:pPr>
        <w:ind w:left="50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Kayne Anderson Capital Advisors, L.P. (“KACALP”), a California limited partnership, is an investment adviser registered with the Securities and Exchange Commission under the Investment Advisers Act of 1940. It serves as sole general partner of and investment adviser to various investment partnerships holding the issuer’s Common Units. KACALP also serves as the sole managing member of KA Fund Advisors, LLC investment adviser to Kayne Anderson MLP Investment Company (“KYN”), Kayne Anderson Energy Total Return Fund (“KYE”), Kayne Anderson Midstream/ Energy Fund, Inc. (“KMF”)and Kayne Anderson Energy Development Company (“KED”), publicly traded closed-end funds, and a small number of separate account clients which hold the issuer’s Common Stock.</w:t>
      </w:r>
    </w:p>
    <w:p>
      <w:pPr>
        <w:spacing w:after="0" w:line="214" w:lineRule="exact"/>
        <w:rPr>
          <w:rFonts w:ascii="Times New Roman" w:cs="Times New Roman" w:eastAsia="Times New Roman" w:hAnsi="Times New Roman"/>
          <w:sz w:val="18"/>
          <w:szCs w:val="18"/>
          <w:color w:val="auto"/>
        </w:rPr>
      </w:pPr>
    </w:p>
    <w:p>
      <w:pPr>
        <w:ind w:left="50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Kayne Anderson Investment Management, Inc. (“KAIM”), a Nevada corporation, is the sole general partner of KACALP. KAIM is owned by KA Holdings, Inc. (“KA Holdings”), a California corporation, the shareholders of which are Richard A. Kayne and the estate of John E. Anderson. The principal business address of the Reporting Persons, KAIM and KA Holdings is 1800 Avenue of the Stars, Second Floor, Los Angeles, California 90067.</w:t>
      </w:r>
    </w:p>
    <w:p>
      <w:pPr>
        <w:spacing w:after="0" w:line="20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Richard A. Kayne</w:t>
      </w:r>
    </w:p>
    <w:p>
      <w:pPr>
        <w:spacing w:after="0" w:line="256"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Kayne, a U.S. citizen, is President, Chief Executive Officer and Director of KAIM and KA Holdings.</w:t>
      </w:r>
    </w:p>
    <w:p>
      <w:pPr>
        <w:spacing w:after="0" w:line="252" w:lineRule="exact"/>
        <w:rPr>
          <w:rFonts w:ascii="Times New Roman" w:cs="Times New Roman" w:eastAsia="Times New Roman" w:hAnsi="Times New Roman"/>
          <w:sz w:val="18"/>
          <w:szCs w:val="18"/>
          <w:color w:val="auto"/>
        </w:rPr>
      </w:pPr>
    </w:p>
    <w:p>
      <w:pPr>
        <w:ind w:left="50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Kayne also serves as President and Director of KA Associates, Inc., a Nevada corporation (“KAA”). KAA is a registered broker/dealer. The principal business address of KAA is 1800 Avenue of the Stars, Second Floor, Los Angeles, CA 90067.</w:t>
      </w:r>
    </w:p>
    <w:p>
      <w:pPr>
        <w:spacing w:after="0" w:line="188" w:lineRule="exact"/>
        <w:rPr>
          <w:rFonts w:ascii="Times New Roman" w:cs="Times New Roman" w:eastAsia="Times New Roman" w:hAnsi="Times New Roman"/>
          <w:sz w:val="18"/>
          <w:szCs w:val="18"/>
          <w:color w:val="auto"/>
        </w:rPr>
      </w:pPr>
    </w:p>
    <w:p>
      <w:pPr>
        <w:ind w:left="500" w:hanging="492"/>
        <w:spacing w:after="0" w:line="261"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KAIM or KA Holdings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PAGE 4</w:t>
      </w:r>
    </w:p>
    <w:p>
      <w:pPr>
        <w:spacing w:after="0" w:line="252" w:lineRule="exact"/>
        <w:rPr>
          <w:sz w:val="20"/>
          <w:szCs w:val="20"/>
          <w:color w:val="auto"/>
        </w:rPr>
      </w:pPr>
    </w:p>
    <w:p>
      <w:pPr>
        <w:ind w:left="500" w:right="60" w:hanging="492"/>
        <w:spacing w:after="0" w:line="25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persons are officers and/or directors of one or more of KAIM and KA Holdings. (KACALP, a limited partnership, does not have any formal executive officers or directors.) Each such person is a U.S. citizen whose address is, unless noted otherwise, 1800 Avenue of the Stars, Third Floor, Los Angeles, California 90067. None of such persons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ectPr>
          <w:pgSz w:w="11900" w:h="16838" w:orient="portrait"/>
          <w:cols w:equalWidth="0" w:num="1">
            <w:col w:w="11360"/>
          </w:cols>
          <w:pgMar w:left="240" w:top="121" w:right="299" w:bottom="1440" w:gutter="0" w:footer="0" w:header="0"/>
        </w:sectPr>
      </w:pP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Howard M. Zelikow</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and Director of KAIM</w:t>
      </w:r>
    </w:p>
    <w:p>
      <w:pPr>
        <w:spacing w:after="0" w:line="200" w:lineRule="exact"/>
        <w:rPr>
          <w:sz w:val="20"/>
          <w:szCs w:val="20"/>
          <w:color w:val="auto"/>
        </w:rPr>
      </w:pPr>
    </w:p>
    <w:p>
      <w:pPr>
        <w:sectPr>
          <w:pgSz w:w="11900" w:h="16838" w:orient="portrait"/>
          <w:cols w:equalWidth="0" w:num="2">
            <w:col w:w="2660" w:space="720"/>
            <w:col w:w="7980"/>
          </w:cols>
          <w:pgMar w:left="240" w:top="121" w:right="299" w:bottom="1440" w:gutter="0" w:footer="0" w:header="0"/>
          <w:type w:val="continuous"/>
        </w:sectPr>
      </w:pP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Robert V. Sinnott.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of KAIM</w:t>
      </w:r>
    </w:p>
    <w:p>
      <w:pPr>
        <w:spacing w:after="0" w:line="200" w:lineRule="exact"/>
        <w:rPr>
          <w:sz w:val="20"/>
          <w:szCs w:val="20"/>
          <w:color w:val="auto"/>
        </w:rPr>
      </w:pPr>
    </w:p>
    <w:p>
      <w:pPr>
        <w:sectPr>
          <w:pgSz w:w="11900" w:h="16838" w:orient="portrait"/>
          <w:cols w:equalWidth="0" w:num="2">
            <w:col w:w="2660" w:space="720"/>
            <w:col w:w="7980"/>
          </w:cols>
          <w:pgMar w:left="240" w:top="121" w:right="299" w:bottom="1440" w:gutter="0" w:footer="0" w:header="0"/>
          <w:type w:val="continuous"/>
        </w:sectPr>
      </w:pP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David J. Shladovsky.</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Counsel and Secretary of KAIM and KA Holdings.</w:t>
      </w:r>
    </w:p>
    <w:p>
      <w:pPr>
        <w:spacing w:after="0" w:line="207" w:lineRule="exact"/>
        <w:rPr>
          <w:sz w:val="20"/>
          <w:szCs w:val="20"/>
          <w:color w:val="auto"/>
        </w:rPr>
      </w:pPr>
    </w:p>
    <w:p>
      <w:pPr>
        <w:sectPr>
          <w:pgSz w:w="11900" w:h="16838" w:orient="portrait"/>
          <w:cols w:equalWidth="0" w:num="2">
            <w:col w:w="2660" w:space="720"/>
            <w:col w:w="7980"/>
          </w:cols>
          <w:pgMar w:left="240" w:top="121" w:right="299" w:bottom="1440" w:gutter="0" w:footer="0" w:header="0"/>
          <w:type w:val="continuous"/>
        </w:sectPr>
      </w:pP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Paul Stapleton.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and Treasurer of KAIM and KA Holdings.</w:t>
      </w:r>
    </w:p>
    <w:p>
      <w:pPr>
        <w:spacing w:after="0" w:line="207" w:lineRule="exact"/>
        <w:rPr>
          <w:sz w:val="20"/>
          <w:szCs w:val="20"/>
          <w:color w:val="auto"/>
        </w:rPr>
      </w:pPr>
    </w:p>
    <w:p>
      <w:pPr>
        <w:sectPr>
          <w:pgSz w:w="11900" w:h="16838" w:orient="portrait"/>
          <w:cols w:equalWidth="0" w:num="2">
            <w:col w:w="2660" w:space="720"/>
            <w:col w:w="7980"/>
          </w:cols>
          <w:pgMar w:left="240" w:top="121" w:right="299" w:bottom="1440" w:gutter="0" w:footer="0" w:header="0"/>
          <w:type w:val="continuous"/>
        </w:sectPr>
      </w:pPr>
    </w:p>
    <w:p>
      <w:pPr>
        <w:spacing w:after="0" w:line="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This Schedule 13D is filed for purposes of disclosing that the Reporting Persons ownership has declined as a result of a October 9, 2013 distribution to partners by a KACALP managed partnership of all of its shares of Issuer’s outstanding Common Units. As a result of this decline KACALP and Richard Kayne are making this extinguishing filing of the 13D currently on file with the SEC.</w:t>
      </w:r>
    </w:p>
    <w:p>
      <w:pPr>
        <w:spacing w:after="0" w:line="19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56" w:lineRule="exact"/>
        <w:rPr>
          <w:sz w:val="20"/>
          <w:szCs w:val="20"/>
          <w:color w:val="auto"/>
        </w:rPr>
      </w:pPr>
    </w:p>
    <w:p>
      <w:pPr>
        <w:ind w:firstLine="8"/>
        <w:spacing w:after="0" w:line="266" w:lineRule="auto"/>
        <w:tabs>
          <w:tab w:leader="none" w:pos="4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9, 2013 (after giving effect to the distribution described in Item 4), Mr. Kayne beneficially owns 7,207,459 Common Units, or approximately 5.60% of the outstanding Common Units. Of those Common Units, KACALP, as general partner of or investment adviser to investment funds accounts, beneficially owns 6,932,810 Common Units, or approximately 5.39% of the outstanding Common Units.</w:t>
      </w:r>
    </w:p>
    <w:p>
      <w:pPr>
        <w:spacing w:after="0" w:line="203" w:lineRule="exact"/>
        <w:rPr>
          <w:rFonts w:ascii="Times New Roman" w:cs="Times New Roman" w:eastAsia="Times New Roman" w:hAnsi="Times New Roman"/>
          <w:sz w:val="18"/>
          <w:szCs w:val="18"/>
          <w:color w:val="auto"/>
        </w:rPr>
      </w:pPr>
    </w:p>
    <w:p>
      <w:pPr>
        <w:ind w:right="180" w:firstLine="8"/>
        <w:spacing w:after="0" w:line="282" w:lineRule="auto"/>
        <w:tabs>
          <w:tab w:leader="none" w:pos="4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Mr. Kayne has the sole power to vote and dispose, or direct the disposition, of 274,649 Common Units, and (ii) Mr. Kayne and KACALP have the shared power to vote and dispose, or direct the disposition, of 6,932,810 Common Units.</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Common Units over which Mr. Kayne has sole voting and dispositive power are held by him directly or by accounts for which he serves as trustee or custodian. The Common Units over which Mr. Kayne and KACALP have shared voting and dispositive power are held by accounts for which KACALP serves as general partner or investment adviser.</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KACALP disclaims beneficial ownership of the Common Units reported, except those Common Units attributable to it by virtue of its general partner interests in the limited partnerships holding such shares. Mr. Kayne disclaims beneficial ownership of the Common Units reported, except those Common Units held by him or attributable to him by virtue of his limited partner interests in such limited partnerships, his indirect interest in the interest of KACALP in such limited partnerships and by his ownership common stock of the respective registered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PAGE 5</w:t>
      </w:r>
    </w:p>
    <w:p>
      <w:pPr>
        <w:spacing w:after="0" w:line="252"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transactions in the Common Units beneficially owned by the Reporting Persons were effected in the last 60 days: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Borders>
              <w:righ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120" w:type="dxa"/>
            <w:vAlign w:val="bottom"/>
            <w:tcBorders>
              <w:top w:val="single" w:sz="8" w:color="auto"/>
              <w:right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6280" w:type="dxa"/>
            <w:vAlign w:val="bottom"/>
            <w:tcBorders>
              <w:top w:val="single" w:sz="8" w:color="auto"/>
              <w:right w:val="single" w:sz="8" w:color="auto"/>
            </w:tcBorders>
            <w:gridSpan w:val="3"/>
          </w:tcPr>
          <w:p>
            <w:pPr>
              <w:ind w:left="1900"/>
              <w:spacing w:after="0"/>
              <w:rPr>
                <w:sz w:val="20"/>
                <w:szCs w:val="20"/>
                <w:color w:val="auto"/>
              </w:rPr>
            </w:pPr>
            <w:r>
              <w:rPr>
                <w:rFonts w:ascii="Times New Roman" w:cs="Times New Roman" w:eastAsia="Times New Roman" w:hAnsi="Times New Roman"/>
                <w:sz w:val="18"/>
                <w:szCs w:val="18"/>
                <w:color w:val="auto"/>
              </w:rPr>
              <w:t>Where/How Transaction Effected</w:t>
            </w:r>
          </w:p>
        </w:tc>
      </w:tr>
      <w:tr>
        <w:trPr>
          <w:trHeight w:val="196"/>
        </w:trPr>
        <w:tc>
          <w:tcPr>
            <w:tcW w:w="6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Stock</w:t>
            </w:r>
          </w:p>
        </w:tc>
        <w:tc>
          <w:tcPr>
            <w:tcW w:w="120" w:type="dxa"/>
            <w:vAlign w:val="bottom"/>
            <w:tcBorders>
              <w:top w:val="single" w:sz="8" w:color="auto"/>
            </w:tcBorders>
          </w:tcPr>
          <w:p>
            <w:pPr>
              <w:spacing w:after="0"/>
              <w:rPr>
                <w:sz w:val="17"/>
                <w:szCs w:val="17"/>
                <w:color w:val="auto"/>
              </w:rPr>
            </w:pPr>
          </w:p>
        </w:tc>
        <w:tc>
          <w:tcPr>
            <w:tcW w:w="280" w:type="dxa"/>
            <w:vAlign w:val="bottom"/>
            <w:tcBorders>
              <w:right w:val="single" w:sz="8" w:color="auto"/>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Price</w:t>
            </w:r>
          </w:p>
        </w:tc>
        <w:tc>
          <w:tcPr>
            <w:tcW w:w="20" w:type="dxa"/>
            <w:vAlign w:val="bottom"/>
            <w:tcBorders>
              <w:top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r>
      <w:tr>
        <w:trPr>
          <w:trHeight w:val="196"/>
        </w:trPr>
        <w:tc>
          <w:tcPr>
            <w:tcW w:w="6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right w:val="single" w:sz="8" w:color="auto"/>
            </w:tcBorders>
            <w:gridSpan w:val="6"/>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rPr>
              <w:t># of Shares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r>
      <w:tr>
        <w:trPr>
          <w:trHeight w:val="41"/>
        </w:trPr>
        <w:tc>
          <w:tcPr>
            <w:tcW w:w="620" w:type="dxa"/>
            <w:vAlign w:val="bottom"/>
            <w:tcBorders>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50"/>
        </w:trPr>
        <w:tc>
          <w:tcPr>
            <w:tcW w:w="620" w:type="dxa"/>
            <w:vAlign w:val="bottom"/>
            <w:tcBorders>
              <w:right w:val="single" w:sz="8" w:color="auto"/>
            </w:tcBorders>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8/12/13</w:t>
            </w: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right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9,100</w:t>
            </w:r>
          </w:p>
        </w:tc>
        <w:tc>
          <w:tcPr>
            <w:tcW w:w="1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right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54.98</w:t>
            </w: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right w:val="single" w:sz="8" w:color="auto"/>
            </w:tcBorders>
            <w:shd w:val="clear" w:color="auto" w:fill="CCEEFF"/>
          </w:tcPr>
          <w:p>
            <w:pPr>
              <w:spacing w:after="0"/>
              <w:rPr>
                <w:sz w:val="21"/>
                <w:szCs w:val="21"/>
                <w:color w:val="auto"/>
              </w:rPr>
            </w:pPr>
          </w:p>
        </w:tc>
        <w:tc>
          <w:tcPr>
            <w:tcW w:w="628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shares for a sub-adviser ‘40 Act Mutual Fund.</w:t>
            </w:r>
          </w:p>
        </w:tc>
      </w:tr>
      <w:tr>
        <w:trPr>
          <w:trHeight w:val="250"/>
        </w:trPr>
        <w:tc>
          <w:tcPr>
            <w:tcW w:w="620" w:type="dxa"/>
            <w:vAlign w:val="bottom"/>
            <w:tcBorders>
              <w:right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10/9/13</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2,170,789</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NA</w:t>
            </w:r>
          </w:p>
        </w:tc>
        <w:tc>
          <w:tcPr>
            <w:tcW w:w="62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Pro rata distribution to partners in investment partnership</w:t>
            </w:r>
          </w:p>
        </w:tc>
      </w:tr>
      <w:tr>
        <w:trPr>
          <w:trHeight w:val="459"/>
        </w:trPr>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Not applicable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59"/>
        </w:trPr>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  Not applicable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2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October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09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09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KAYNE ANDERSON CAPITAL ADVISORS, L.P.</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Kayne Anderson Investment Management, Inc.</w:t>
      </w:r>
    </w:p>
    <w:p>
      <w:pPr>
        <w:spacing w:after="0" w:line="225"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17145</wp:posOffset>
            </wp:positionV>
            <wp:extent cx="17583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58315" cy="17145"/>
                    </a:xfrm>
                    <a:prstGeom prst="rect">
                      <a:avLst/>
                    </a:prstGeom>
                    <a:noFill/>
                  </pic:spPr>
                </pic:pic>
              </a:graphicData>
            </a:graphic>
          </wp:anchor>
        </w:drawing>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David J. Shladovsky,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JOINT FILING AGREEMENT PURSUANT TO RULE 13d-1(f)(1)</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Richard A. Kayne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Kayne Anderson Capital Advisors, L.P., by</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David J. Shladovsky, Secretary of</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Kayne Anderson Investment Management,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4"/>
      <w:numFmt w:val="bullet"/>
      <w:start w:val="1"/>
    </w:lvl>
  </w:abstractNum>
  <w:abstractNum w:abstractNumId="3">
    <w:nsid w:val="79E2A9E3"/>
    <w:multiLevelType w:val="hybridMultilevel"/>
    <w:lvl w:ilvl="0">
      <w:lvlJc w:val="left"/>
      <w:lvlText w:val="6"/>
      <w:numFmt w:val="bullet"/>
      <w:start w:val="1"/>
    </w:lvl>
    <w:lvl w:ilvl="1">
      <w:lvlJc w:val="left"/>
      <w:lvlText w:val="(%2)"/>
      <w:numFmt w:val="upperLetter"/>
      <w:start w:val="1"/>
    </w:lvl>
  </w:abstractNum>
  <w:abstractNum w:abstractNumId="4">
    <w:nsid w:val="7545E146"/>
    <w:multiLevelType w:val="hybridMultilevel"/>
    <w:lvl w:ilvl="0">
      <w:lvlJc w:val="left"/>
      <w:lvlText w:val="%1"/>
      <w:numFmt w:val="decimal"/>
      <w:start w:val="11"/>
    </w:lvl>
    <w:lvl w:ilvl="1">
      <w:lvlJc w:val="left"/>
      <w:lvlText w:val="(%2)"/>
      <w:numFmt w:val="upperLetter"/>
      <w:start w:val="1"/>
    </w:lvl>
  </w:abstractNum>
  <w:abstractNum w:abstractNumId="5">
    <w:nsid w:val="515F007C"/>
    <w:multiLevelType w:val="hybridMultilevel"/>
    <w:lvl w:ilvl="0">
      <w:lvlJc w:val="left"/>
      <w:lvlText w:val="%1"/>
      <w:numFmt w:val="decimal"/>
      <w:start w:val="13"/>
    </w:lvl>
    <w:lvl w:ilvl="1">
      <w:lvlJc w:val="left"/>
      <w:lvlText w:val="(%2)"/>
      <w:numFmt w:val="upperLetter"/>
      <w:start w:val="1"/>
    </w:lvl>
  </w:abstractNum>
  <w:abstractNum w:abstractNumId="6">
    <w:nsid w:val="5BD062C2"/>
    <w:multiLevelType w:val="hybridMultilevel"/>
    <w:lvl w:ilvl="0">
      <w:lvlJc w:val="left"/>
      <w:lvlText w:val="%1"/>
      <w:numFmt w:val="decimal"/>
      <w:start w:val="12"/>
    </w:lvl>
    <w:lvl w:ilvl="1">
      <w:lvlJc w:val="left"/>
      <w:lvlText w:val="(%2)"/>
      <w:numFmt w:val="upp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2019-12-17T06:03:44Z</dcterms:created>
  <dcterms:modified xsi:type="dcterms:W3CDTF">2019-12-17T06:03:44Z</dcterms:modified>
</cp:coreProperties>
</file>