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4,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60"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40" w:space="720"/>
            <w:col w:w="2780" w:space="720"/>
            <w:col w:w="3060"/>
          </w:cols>
          <w:pgMar w:left="240" w:top="760" w:right="23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60"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and Item 7.01. Results of Operations and Financial Condition; Regulation FD Disclosure.</w:t>
      </w:r>
    </w:p>
    <w:p>
      <w:pPr>
        <w:spacing w:after="0" w:line="21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February 4, 2020, the Registrant issued a press release reporting its fourth-quarter 2019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 — Press Release dated February 4, 2020</w:t>
        </w:r>
      </w:hyperlink>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104 — Cover Page Interactive Data File (embedded within the Inline XBRL document)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680" w:type="dxa"/>
            <w:vAlign w:val="bottom"/>
          </w:tcPr>
          <w:p>
            <w:pPr>
              <w:spacing w:after="0"/>
              <w:rPr>
                <w:sz w:val="24"/>
                <w:szCs w:val="24"/>
                <w:color w:val="auto"/>
              </w:rPr>
            </w:pP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By: PAA GP LLC, its general partner</w:t>
            </w:r>
          </w:p>
        </w:tc>
      </w:tr>
      <w:tr>
        <w:trPr>
          <w:trHeight w:val="432"/>
        </w:trPr>
        <w:tc>
          <w:tcPr>
            <w:tcW w:w="3680" w:type="dxa"/>
            <w:vAlign w:val="bottom"/>
          </w:tcPr>
          <w:p>
            <w:pPr>
              <w:spacing w:after="0"/>
              <w:rPr>
                <w:sz w:val="24"/>
                <w:szCs w:val="24"/>
                <w:color w:val="auto"/>
              </w:rPr>
            </w:pP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By: PLAINS AAP, L.P., its sole member</w:t>
            </w:r>
          </w:p>
        </w:tc>
      </w:tr>
      <w:tr>
        <w:trPr>
          <w:trHeight w:val="432"/>
        </w:trPr>
        <w:tc>
          <w:tcPr>
            <w:tcW w:w="3680" w:type="dxa"/>
            <w:vAlign w:val="bottom"/>
          </w:tcPr>
          <w:p>
            <w:pPr>
              <w:spacing w:after="0"/>
              <w:rPr>
                <w:sz w:val="24"/>
                <w:szCs w:val="24"/>
                <w:color w:val="auto"/>
              </w:rPr>
            </w:pP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By: PLAINS ALL AMERICAN GP LLC, its general partner</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February 4, 2020</w:t>
            </w: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By: /s/ Sharon Spurlin</w:t>
            </w:r>
          </w:p>
        </w:tc>
      </w:tr>
      <w:tr>
        <w:trPr>
          <w:trHeight w:val="195"/>
        </w:trPr>
        <w:tc>
          <w:tcPr>
            <w:tcW w:w="36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Sharon Spurlin</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Senior Vice President and Treasurer</w:t>
            </w:r>
          </w:p>
        </w:tc>
      </w:tr>
      <w:tr>
        <w:trPr>
          <w:trHeight w:val="675"/>
        </w:trPr>
        <w:tc>
          <w:tcPr>
            <w:tcW w:w="36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3</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3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11430</wp:posOffset>
            </wp:positionV>
            <wp:extent cx="5857240"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72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Fourth-Quarter and Full-Year 2019 Results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(Houston — February 4, 2020) Plains All American Pipeline, L.P. (NYSE: PAA) and Plains GP Holdings (NYSE: PAGP) today reported fourth-quarter and full-year 2019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&amp; Announcements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Delivered fourth-quarter and full-year 2019 financial and operating results ahead of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Progressing strategic / complementary projects that align with long-term industry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 material annual reductions of organic growth capital investment in 2021 and 2022 as projects are completed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Advancing portfolio optimization initiatives: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Targeting ~$600 million of 2020 divestitures (non-core asset sales and strategic JVs)</w:t>
      </w:r>
    </w:p>
    <w:p>
      <w:pPr>
        <w:spacing w:after="0" w:line="225" w:lineRule="exact"/>
        <w:rPr>
          <w:rFonts w:ascii="Arial" w:cs="Arial" w:eastAsia="Arial" w:hAnsi="Arial"/>
          <w:sz w:val="18"/>
          <w:szCs w:val="18"/>
          <w:color w:val="auto"/>
        </w:rPr>
      </w:pPr>
    </w:p>
    <w:p>
      <w:pPr>
        <w:ind w:left="1300" w:right="48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Completed a ~$300 million strategic transaction with Felix Midstream (extension and modification of existing acreage dedication and gathering agreement and bolt-on acquisition of Delaware Basin gathering system)</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executed well on our 2019 goals and key initiatives, capping the year with fourth-quarter and full-year 2019 results that exceeded expectations,” stated Willie Chiang, Chairman &amp; CEO of Plains All American Pipeline. “We enter 2020 expecting a more competitive market environment. We have a solid financial position and continue to optimize our base business, high-grade our asset portfolio, execute our capital program and streamline the organization to drive efficiencies. Looking to 2021 and beyond, we expect continued growth in fee-based cash flow and a meaningful reduction in capital investment to improve leverage and benefit free cash flow.”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Page 2</w:t>
            </w:r>
          </w:p>
        </w:tc>
        <w:tc>
          <w:tcPr>
            <w:tcW w:w="39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Plains All American Pipeline, L.P.</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2"/>
        </w:trPr>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Summary Financial Information </w:t>
            </w:r>
            <w:r>
              <w:rPr>
                <w:rFonts w:ascii="Arial" w:cs="Arial" w:eastAsia="Arial" w:hAnsi="Arial"/>
                <w:sz w:val="18"/>
                <w:szCs w:val="18"/>
                <w:color w:val="auto"/>
              </w:rPr>
              <w:t>(unaudited)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2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(in millions, except per unit data)</w:t>
            </w:r>
          </w:p>
        </w:tc>
        <w:tc>
          <w:tcPr>
            <w:tcW w:w="19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90"/>
              </w:rPr>
              <w:t>Twelve Months Ended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23"/>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rPr>
              <w:t>GAAP Results</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Change</w:t>
            </w: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Borders>
              <w:bottom w:val="single" w:sz="8" w:color="CCEEFF"/>
            </w:tcBorders>
          </w:tcPr>
          <w:p>
            <w:pPr>
              <w:spacing w:after="0"/>
              <w:rPr>
                <w:sz w:val="19"/>
                <w:szCs w:val="19"/>
                <w:color w:val="auto"/>
              </w:rPr>
            </w:pPr>
          </w:p>
        </w:tc>
      </w:tr>
      <w:tr>
        <w:trPr>
          <w:trHeight w:val="210"/>
        </w:trPr>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40" w:type="dxa"/>
            <w:vAlign w:val="bottom"/>
            <w:gridSpan w:val="4"/>
          </w:tcPr>
          <w:p>
            <w:pPr>
              <w:spacing w:after="0"/>
              <w:rPr>
                <w:sz w:val="20"/>
                <w:szCs w:val="20"/>
                <w:color w:val="auto"/>
              </w:rPr>
            </w:pPr>
            <w:r>
              <w:rPr>
                <w:rFonts w:ascii="Arial" w:cs="Arial" w:eastAsia="Arial" w:hAnsi="Arial"/>
                <w:sz w:val="18"/>
                <w:szCs w:val="18"/>
                <w:color w:val="auto"/>
              </w:rPr>
              <w:t>Diluted net income per common unit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32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440" w:type="dxa"/>
            <w:vAlign w:val="bottom"/>
            <w:gridSpan w:val="4"/>
            <w:shd w:val="clear" w:color="auto" w:fill="CCEEFF"/>
          </w:tcPr>
          <w:p>
            <w:pPr>
              <w:spacing w:after="0" w:line="269" w:lineRule="exact"/>
              <w:rPr>
                <w:sz w:val="20"/>
                <w:szCs w:val="20"/>
                <w:color w:val="auto"/>
              </w:rPr>
            </w:pPr>
            <w:r>
              <w:rPr>
                <w:rFonts w:ascii="Arial" w:cs="Arial" w:eastAsia="Arial" w:hAnsi="Arial"/>
                <w:sz w:val="18"/>
                <w:szCs w:val="18"/>
                <w:color w:val="auto"/>
                <w:w w:val="98"/>
              </w:rPr>
              <w:t xml:space="preserve">Diluted weighted average common units outstanding </w:t>
            </w:r>
            <w:r>
              <w:rPr>
                <w:rFonts w:ascii="Arial" w:cs="Arial" w:eastAsia="Arial" w:hAnsi="Arial"/>
                <w:sz w:val="30"/>
                <w:szCs w:val="30"/>
                <w:color w:val="auto"/>
                <w:w w:val="98"/>
                <w:vertAlign w:val="superscript"/>
              </w:rPr>
              <w:t>(1)</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23"/>
                <w:szCs w:val="23"/>
                <w:color w:val="auto"/>
              </w:rPr>
            </w:pPr>
          </w:p>
        </w:tc>
        <w:tc>
          <w:tcPr>
            <w:tcW w:w="1140" w:type="dxa"/>
            <w:vAlign w:val="bottom"/>
            <w:tcBorders>
              <w:right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4440" w:type="dxa"/>
            <w:vAlign w:val="bottom"/>
            <w:gridSpan w:val="4"/>
          </w:tcPr>
          <w:p>
            <w:pPr>
              <w:spacing w:after="0"/>
              <w:rPr>
                <w:sz w:val="20"/>
                <w:szCs w:val="20"/>
                <w:color w:val="auto"/>
              </w:rPr>
            </w:pPr>
            <w:r>
              <w:rPr>
                <w:rFonts w:ascii="Arial" w:cs="Arial" w:eastAsia="Arial" w:hAnsi="Arial"/>
                <w:sz w:val="18"/>
                <w:szCs w:val="18"/>
                <w:color w:val="auto"/>
              </w:rPr>
              <w:t>Distribution per common unit declared for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ind w:left="340" w:right="180" w:hanging="332"/>
        <w:spacing w:after="0" w:line="209" w:lineRule="auto"/>
        <w:tabs>
          <w:tab w:leader="none" w:pos="3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For the twelve months ended December 31, 2019 and the three and twelve months ended December 31, 2018, includes all potentially dilutive securities outstanding (our Series A preferred units and equity-indexed compensation awards) during the period. See the “Computation of Basic and Diluted Net Income Per Common Unit” table attached hereto for additional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Twelve Months Ended</w:t>
            </w: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 xml:space="preserve">Non-GAAP Results </w:t>
            </w:r>
            <w:r>
              <w:rPr>
                <w:rFonts w:ascii="Arial" w:cs="Arial" w:eastAsia="Arial" w:hAnsi="Arial"/>
                <w:sz w:val="30"/>
                <w:szCs w:val="30"/>
                <w:b w:val="1"/>
                <w:bCs w:val="1"/>
                <w:i w:val="1"/>
                <w:iCs w:val="1"/>
                <w:color w:val="auto"/>
                <w:vertAlign w:val="superscript"/>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Diluted adjusted net income per common unit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12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1240" w:type="dxa"/>
            <w:vAlign w:val="bottom"/>
            <w:tcBorders>
              <w:right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Implied DCF per common unit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12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6" w:lineRule="exact"/>
        <w:rPr>
          <w:sz w:val="20"/>
          <w:szCs w:val="20"/>
          <w:color w:val="auto"/>
        </w:rPr>
      </w:pPr>
    </w:p>
    <w:p>
      <w:pPr>
        <w:ind w:left="340" w:right="180" w:hanging="332"/>
        <w:spacing w:after="0" w:line="218"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Implied DCF) and their reconciliation to the most directly comparable measures as reported in accordance with GAAP.</w:t>
      </w:r>
    </w:p>
    <w:p>
      <w:pPr>
        <w:spacing w:after="0" w:line="203"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fourth quarter and full year of 2019 and 2018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11"/>
          </w:tcPr>
          <w:p>
            <w:pPr>
              <w:jc w:val="center"/>
              <w:ind w:left="470"/>
              <w:spacing w:after="0"/>
              <w:rPr>
                <w:sz w:val="20"/>
                <w:szCs w:val="20"/>
                <w:color w:val="auto"/>
              </w:rPr>
            </w:pPr>
            <w:r>
              <w:rPr>
                <w:rFonts w:ascii="Arial" w:cs="Arial" w:eastAsia="Arial" w:hAnsi="Arial"/>
                <w:sz w:val="18"/>
                <w:szCs w:val="18"/>
                <w:b w:val="1"/>
                <w:bCs w:val="1"/>
                <w:color w:val="auto"/>
                <w:w w:val="93"/>
              </w:rPr>
              <w:t>Segment Adjusted EBITDA</w:t>
            </w:r>
          </w:p>
        </w:tc>
        <w:tc>
          <w:tcPr>
            <w:tcW w:w="10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Supply and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p>
        </w:tc>
        <w:tc>
          <w:tcPr>
            <w:tcW w:w="1440" w:type="dxa"/>
            <w:vAlign w:val="bottom"/>
            <w:gridSpan w:val="5"/>
          </w:tcPr>
          <w:p>
            <w:pPr>
              <w:ind w:left="40"/>
              <w:spacing w:after="0"/>
              <w:rPr>
                <w:sz w:val="20"/>
                <w:szCs w:val="20"/>
                <w:color w:val="auto"/>
              </w:rPr>
            </w:pPr>
            <w:r>
              <w:rPr>
                <w:rFonts w:ascii="Arial" w:cs="Arial" w:eastAsia="Arial" w:hAnsi="Arial"/>
                <w:sz w:val="18"/>
                <w:szCs w:val="18"/>
                <w:b w:val="1"/>
                <w:bCs w:val="1"/>
                <w:color w:val="auto"/>
              </w:rPr>
              <w:t>Transportation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w w:val="95"/>
              </w:rPr>
              <w:t>Facilities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5"/>
              </w:rPr>
              <w:t>Logistics</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December 31, 2019</w:t>
            </w:r>
          </w:p>
        </w:tc>
        <w:tc>
          <w:tcPr>
            <w:tcW w:w="500" w:type="dxa"/>
            <w:vAlign w:val="bottom"/>
            <w:tcBorders>
              <w:top w:val="single" w:sz="8" w:color="auto"/>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Three Months Ended December 31, 2018</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w:t>
            </w:r>
          </w:p>
        </w:tc>
        <w:tc>
          <w:tcPr>
            <w:tcW w:w="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w:t>
            </w:r>
          </w:p>
        </w:tc>
        <w:tc>
          <w:tcPr>
            <w:tcW w:w="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jc w:val="right"/>
              <w:ind w:right="5"/>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w:t>
            </w: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6</w:t>
            </w:r>
          </w:p>
        </w:tc>
        <w:tc>
          <w:tcPr>
            <w:tcW w:w="200" w:type="dxa"/>
            <w:vAlign w:val="bottom"/>
            <w:tcBorders>
              <w:bottom w:val="single" w:sz="8" w:color="CCEEFF"/>
            </w:tcBorders>
            <w:gridSpan w:val="2"/>
            <w:shd w:val="clear" w:color="auto" w:fill="CCEEFF"/>
          </w:tcPr>
          <w:p>
            <w:pPr>
              <w:jc w:val="right"/>
              <w:ind w:right="60"/>
              <w:spacing w:after="0" w:line="190" w:lineRule="exact"/>
              <w:rPr>
                <w:sz w:val="20"/>
                <w:szCs w:val="20"/>
                <w:color w:val="auto"/>
              </w:rPr>
            </w:pPr>
            <w:r>
              <w:rPr>
                <w:rFonts w:ascii="Arial" w:cs="Arial" w:eastAsia="Arial" w:hAnsi="Arial"/>
                <w:sz w:val="18"/>
                <w:szCs w:val="18"/>
                <w:b w:val="1"/>
                <w:bCs w:val="1"/>
                <w:i w:val="1"/>
                <w:iCs w:val="1"/>
                <w:color w:val="auto"/>
                <w:w w:val="74"/>
              </w:rPr>
              <w:t>%</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(3</w:t>
            </w:r>
          </w:p>
        </w:tc>
        <w:tc>
          <w:tcPr>
            <w:tcW w:w="320" w:type="dxa"/>
            <w:vAlign w:val="bottom"/>
            <w:tcBorders>
              <w:bottom w:val="single" w:sz="8" w:color="CCEEFF"/>
            </w:tcBorders>
            <w:gridSpan w:val="2"/>
            <w:shd w:val="clear" w:color="auto" w:fill="CCEEFF"/>
          </w:tcPr>
          <w:p>
            <w:pPr>
              <w:jc w:val="right"/>
              <w:ind w:right="120"/>
              <w:spacing w:after="0" w:line="190" w:lineRule="exact"/>
              <w:rPr>
                <w:sz w:val="20"/>
                <w:szCs w:val="20"/>
                <w:color w:val="auto"/>
              </w:rPr>
            </w:pPr>
            <w:r>
              <w:rPr>
                <w:rFonts w:ascii="Arial" w:cs="Arial" w:eastAsia="Arial" w:hAnsi="Arial"/>
                <w:sz w:val="18"/>
                <w:szCs w:val="18"/>
                <w:b w:val="1"/>
                <w:bCs w:val="1"/>
                <w:i w:val="1"/>
                <w:iCs w:val="1"/>
                <w:color w:val="auto"/>
                <w:w w:val="81"/>
              </w:rPr>
              <w:t>)%</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(32</w:t>
            </w:r>
          </w:p>
        </w:tc>
        <w:tc>
          <w:tcPr>
            <w:tcW w:w="22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b w:val="1"/>
                <w:bCs w:val="1"/>
                <w:i w:val="1"/>
                <w:iCs w:val="1"/>
                <w:color w:val="auto"/>
                <w:w w:val="90"/>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20" w:type="dxa"/>
            <w:vAlign w:val="bottom"/>
            <w:gridSpan w:val="14"/>
          </w:tcPr>
          <w:p>
            <w:pPr>
              <w:jc w:val="right"/>
              <w:ind w:right="1260"/>
              <w:spacing w:after="0"/>
              <w:rPr>
                <w:sz w:val="20"/>
                <w:szCs w:val="20"/>
                <w:color w:val="auto"/>
              </w:rPr>
            </w:pPr>
            <w:r>
              <w:rPr>
                <w:rFonts w:ascii="Arial" w:cs="Arial" w:eastAsia="Arial" w:hAnsi="Arial"/>
                <w:sz w:val="18"/>
                <w:szCs w:val="18"/>
                <w:b w:val="1"/>
                <w:bCs w:val="1"/>
                <w:color w:val="auto"/>
              </w:rPr>
              <w:t>Segment Adjusted EBITDA</w:t>
            </w:r>
          </w:p>
        </w:tc>
        <w:tc>
          <w:tcPr>
            <w:tcW w:w="0" w:type="dxa"/>
            <w:vAlign w:val="bottom"/>
          </w:tcPr>
          <w:p>
            <w:pPr>
              <w:spacing w:after="0"/>
              <w:rPr>
                <w:sz w:val="1"/>
                <w:szCs w:val="1"/>
                <w:color w:val="auto"/>
              </w:rPr>
            </w:pPr>
          </w:p>
        </w:tc>
      </w:tr>
      <w:tr>
        <w:trPr>
          <w:trHeight w:val="191"/>
        </w:trPr>
        <w:tc>
          <w:tcPr>
            <w:tcW w:w="6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Supply and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rPr>
              <w:t>Transportation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Facilities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Logistics</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Twelve Months Ended December 31, 2019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Twelve Months Ended December 31, 2018</w:t>
            </w:r>
          </w:p>
        </w:tc>
        <w:tc>
          <w:tcPr>
            <w:tcW w:w="4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1,508</w:t>
            </w:r>
          </w:p>
        </w:tc>
        <w:tc>
          <w:tcPr>
            <w:tcW w:w="160" w:type="dxa"/>
            <w:vAlign w:val="bottom"/>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711</w:t>
            </w:r>
          </w:p>
        </w:tc>
        <w:tc>
          <w:tcPr>
            <w:tcW w:w="2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462</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w w:val="8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74</w:t>
            </w:r>
          </w:p>
        </w:tc>
        <w:tc>
          <w:tcPr>
            <w:tcW w:w="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w w:val="74"/>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line="199" w:lineRule="exact"/>
              <w:rPr>
                <w:sz w:val="20"/>
                <w:szCs w:val="20"/>
                <w:color w:val="auto"/>
              </w:rPr>
            </w:pPr>
            <w:r>
              <w:rPr>
                <w:rFonts w:ascii="Arial" w:cs="Arial" w:eastAsia="Arial" w:hAnsi="Arial"/>
                <w:sz w:val="18"/>
                <w:szCs w:val="18"/>
                <w:b w:val="1"/>
                <w:bCs w:val="1"/>
                <w:i w:val="1"/>
                <w:iCs w:val="1"/>
                <w:color w:val="auto"/>
                <w:w w:val="91"/>
              </w:rPr>
              <w:t>Percentage change in Segment Adjusted EBITDA versus 2018 period further adjusted for</w:t>
            </w: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4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6940" w:type="dxa"/>
            <w:vAlign w:val="bottom"/>
          </w:tcPr>
          <w:p>
            <w:pPr>
              <w:ind w:left="180"/>
              <w:spacing w:after="0" w:line="294" w:lineRule="exact"/>
              <w:rPr>
                <w:sz w:val="20"/>
                <w:szCs w:val="20"/>
                <w:color w:val="auto"/>
              </w:rPr>
            </w:pPr>
            <w:r>
              <w:rPr>
                <w:rFonts w:ascii="Arial" w:cs="Arial" w:eastAsia="Arial" w:hAnsi="Arial"/>
                <w:sz w:val="18"/>
                <w:szCs w:val="18"/>
                <w:b w:val="1"/>
                <w:bCs w:val="1"/>
                <w:i w:val="1"/>
                <w:iCs w:val="1"/>
                <w:color w:val="auto"/>
              </w:rPr>
              <w:t xml:space="preserve">impact of divested assets </w:t>
            </w:r>
            <w:r>
              <w:rPr>
                <w:rFonts w:ascii="Arial" w:cs="Arial" w:eastAsia="Arial" w:hAnsi="Arial"/>
                <w:sz w:val="30"/>
                <w:szCs w:val="30"/>
                <w:b w:val="1"/>
                <w:bCs w:val="1"/>
                <w:i w:val="1"/>
                <w:iCs w:val="1"/>
                <w:color w:val="auto"/>
                <w:vertAlign w:val="superscript"/>
              </w:rPr>
              <w:t>(1)</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b w:val="1"/>
                <w:bCs w:val="1"/>
                <w:i w:val="1"/>
                <w:iCs w:val="1"/>
                <w:color w:val="auto"/>
              </w:rPr>
              <w:t>19%</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i w:val="1"/>
                <w:iCs w:val="1"/>
                <w:color w:val="auto"/>
              </w:rPr>
              <w:t>(1)%</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0" w:right="260" w:hanging="332"/>
        <w:spacing w:after="0" w:line="218"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Estimated impact of divestitures completed during 2018 and 2019, assuming an effective date of January 1, 2018. Divested assets primarily included a 30% interest in BridgeTex Pipeline Company, LLC and certain pipelines in the Rocky Mountain region that were previously reported in our Transportation segment, and a natural gas processing facility and certain crude oil and NGL terminals that were previously reported in our Facilities segment.</w:t>
      </w:r>
    </w:p>
    <w:p>
      <w:pPr>
        <w:spacing w:after="0" w:line="20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Fourth-quarter 2019 Transportation Segment Adjusted EBITDA increased by 6% over comparable 2018 results, primarily driven by higher volumes on our Permian Basin systems, including the Cactus II pipeline, which went into service in August 2019.</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Fourth-quarter 2019 Facilities Segment Adjusted EBITDA decreased by 3% versus comparable 2018 results, primarily due to lower activity at certain of our rail terminals.</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Fourth-quarter 2019 Supply and Logistics Segment Adjusted EBITDA decreased by 32% versus comparable 2018 results primarily due to less favorable crude oil differentials in the Permian Basin, partially offset by higher NGL margins.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4"/>
              </w:rPr>
              <w:t>Page 4</w:t>
            </w:r>
          </w:p>
        </w:tc>
        <w:tc>
          <w:tcPr>
            <w:tcW w:w="64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2020 Full-Year Guidance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The table below presents our full-year 2020 financial and operating guidance: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Financial and Operating Guidance </w:t>
            </w:r>
            <w:r>
              <w:rPr>
                <w:rFonts w:ascii="Arial" w:cs="Arial" w:eastAsia="Arial" w:hAnsi="Arial"/>
                <w:sz w:val="18"/>
                <w:szCs w:val="18"/>
                <w:color w:val="auto"/>
              </w:rPr>
              <w:t>(unaudited)</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80" w:type="dxa"/>
            <w:vAlign w:val="bottom"/>
            <w:gridSpan w:val="3"/>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gridSpan w:val="4"/>
          </w:tcPr>
          <w:p>
            <w:pPr>
              <w:spacing w:after="0"/>
              <w:rPr>
                <w:sz w:val="20"/>
                <w:szCs w:val="20"/>
                <w:color w:val="auto"/>
              </w:rPr>
            </w:pPr>
            <w:r>
              <w:rPr>
                <w:rFonts w:ascii="Arial" w:cs="Arial" w:eastAsia="Arial" w:hAnsi="Arial"/>
                <w:sz w:val="18"/>
                <w:szCs w:val="18"/>
                <w:color w:val="auto"/>
              </w:rPr>
              <w:t>(in millions, except volumes, per unit and per barrel data)</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80" w:type="dxa"/>
            <w:vAlign w:val="bottom"/>
            <w:gridSpan w:val="10"/>
          </w:tcPr>
          <w:p>
            <w:pPr>
              <w:jc w:val="right"/>
              <w:ind w:right="920"/>
              <w:spacing w:after="0"/>
              <w:rPr>
                <w:sz w:val="20"/>
                <w:szCs w:val="20"/>
                <w:color w:val="auto"/>
              </w:rPr>
            </w:pPr>
            <w:r>
              <w:rPr>
                <w:rFonts w:ascii="Arial" w:cs="Arial" w:eastAsia="Arial" w:hAnsi="Arial"/>
                <w:sz w:val="18"/>
                <w:szCs w:val="18"/>
                <w:b w:val="1"/>
                <w:bCs w:val="1"/>
                <w:color w:val="auto"/>
              </w:rPr>
              <w:t>Twelve Months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 (G)</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 /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240"/>
              <w:spacing w:after="0"/>
              <w:rPr>
                <w:sz w:val="20"/>
                <w:szCs w:val="20"/>
                <w:color w:val="auto"/>
              </w:rPr>
            </w:pPr>
            <w:r>
              <w:rPr>
                <w:rFonts w:ascii="Arial" w:cs="Arial" w:eastAsia="Arial" w:hAnsi="Arial"/>
                <w:sz w:val="18"/>
                <w:szCs w:val="18"/>
                <w:color w:val="auto"/>
              </w:rPr>
              <w:t>Transportation</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1,508</w:t>
            </w:r>
          </w:p>
        </w:tc>
        <w:tc>
          <w:tcPr>
            <w:tcW w:w="8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1,722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Facilities</w:t>
            </w:r>
          </w:p>
        </w:tc>
        <w:tc>
          <w:tcPr>
            <w:tcW w:w="8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Fee-Based</w:t>
            </w: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2,219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2,427</w:t>
            </w:r>
          </w:p>
        </w:tc>
        <w:tc>
          <w:tcPr>
            <w:tcW w:w="3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Supply and Logistics</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240"/>
              <w:spacing w:after="0"/>
              <w:rPr>
                <w:sz w:val="20"/>
                <w:szCs w:val="20"/>
                <w:color w:val="auto"/>
              </w:rPr>
            </w:pPr>
            <w:r>
              <w:rPr>
                <w:rFonts w:ascii="Arial" w:cs="Arial" w:eastAsia="Arial" w:hAnsi="Arial"/>
                <w:sz w:val="18"/>
                <w:szCs w:val="18"/>
                <w:color w:val="auto"/>
              </w:rPr>
              <w:t>Adjusted other income/(expense), net</w:t>
            </w:r>
          </w:p>
        </w:tc>
        <w:tc>
          <w:tcPr>
            <w:tcW w:w="8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top w:val="single" w:sz="8" w:color="CCEEFF"/>
              <w:bottom w:val="single" w:sz="8" w:color="CCEEFF"/>
            </w:tcBorders>
            <w:gridSpan w:val="3"/>
            <w:shd w:val="clear" w:color="auto" w:fill="CCEEFF"/>
          </w:tcPr>
          <w:p>
            <w:pPr>
              <w:spacing w:after="0" w:line="223"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5"/>
                <w:szCs w:val="25"/>
                <w:b w:val="1"/>
                <w:bCs w:val="1"/>
                <w:color w:val="auto"/>
                <w:vertAlign w:val="superscript"/>
              </w:rPr>
              <w:t>(1)</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2,684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3,237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gridSpan w:val="3"/>
            <w:vMerge w:val="restart"/>
          </w:tcPr>
          <w:p>
            <w:pPr>
              <w:ind w:left="240"/>
              <w:spacing w:after="0" w:line="250"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8"/>
                <w:szCs w:val="28"/>
                <w:color w:val="auto"/>
                <w:vertAlign w:val="superscript"/>
              </w:rPr>
              <w:t>(2)</w:t>
            </w:r>
          </w:p>
        </w:tc>
        <w:tc>
          <w:tcPr>
            <w:tcW w:w="8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3"/>
            <w:vMerge w:val="continue"/>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(419)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(407)</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Maintenance capital</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240"/>
              <w:spacing w:after="0"/>
              <w:rPr>
                <w:sz w:val="20"/>
                <w:szCs w:val="20"/>
                <w:color w:val="auto"/>
              </w:rPr>
            </w:pPr>
            <w:r>
              <w:rPr>
                <w:rFonts w:ascii="Arial" w:cs="Arial" w:eastAsia="Arial" w:hAnsi="Arial"/>
                <w:sz w:val="18"/>
                <w:szCs w:val="18"/>
                <w:color w:val="auto"/>
              </w:rPr>
              <w:t>Current income tax expense</w:t>
            </w:r>
          </w:p>
        </w:tc>
        <w:tc>
          <w:tcPr>
            <w:tcW w:w="8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gridSpan w:val="3"/>
            <w:vMerge w:val="restart"/>
          </w:tcPr>
          <w:p>
            <w:pPr>
              <w:spacing w:after="0" w:line="256"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9"/>
                <w:szCs w:val="29"/>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gridSpan w:val="3"/>
            <w:vMerge w:val="continue"/>
          </w:tcPr>
          <w:p>
            <w:pPr>
              <w:spacing w:after="0"/>
              <w:rPr>
                <w:sz w:val="20"/>
                <w:szCs w:val="20"/>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1,948</w:t>
            </w:r>
          </w:p>
        </w:tc>
        <w:tc>
          <w:tcPr>
            <w:tcW w:w="240" w:type="dxa"/>
            <w:vAlign w:val="bottom"/>
          </w:tcPr>
          <w:p>
            <w:pPr>
              <w:spacing w:after="0"/>
              <w:rPr>
                <w:sz w:val="20"/>
                <w:szCs w:val="20"/>
                <w:color w:val="auto"/>
              </w:rPr>
            </w:pPr>
          </w:p>
        </w:tc>
        <w:tc>
          <w:tcPr>
            <w:tcW w:w="860" w:type="dxa"/>
            <w:vAlign w:val="bottom"/>
            <w:gridSpan w:val="2"/>
          </w:tcPr>
          <w:p>
            <w:pPr>
              <w:jc w:val="right"/>
              <w:ind w:right="645"/>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2,376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3"/>
            <w:shd w:val="clear" w:color="auto" w:fill="CCEEFF"/>
          </w:tcPr>
          <w:p>
            <w:pPr>
              <w:ind w:left="240"/>
              <w:spacing w:after="0" w:line="25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9"/>
                <w:szCs w:val="29"/>
                <w:color w:val="auto"/>
                <w:vertAlign w:val="superscript"/>
              </w:rPr>
              <w:t>(3)</w:t>
            </w:r>
          </w:p>
        </w:tc>
        <w:tc>
          <w:tcPr>
            <w:tcW w:w="8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63"/>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1,787</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2,178</w:t>
            </w:r>
          </w:p>
        </w:tc>
        <w:tc>
          <w:tcPr>
            <w:tcW w:w="3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tcPr>
          <w:p>
            <w:pPr>
              <w:spacing w:after="0" w:line="25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9"/>
                <w:szCs w:val="29"/>
                <w:b w:val="1"/>
                <w:bCs w:val="1"/>
                <w:color w:val="auto"/>
                <w:vertAlign w:val="superscript"/>
              </w:rPr>
              <w:t>(1)</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8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9"/>
                <w:szCs w:val="29"/>
                <w:b w:val="1"/>
                <w:bCs w:val="1"/>
                <w:color w:val="auto"/>
                <w:vertAlign w:val="superscript"/>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9"/>
                <w:szCs w:val="29"/>
                <w:b w:val="1"/>
                <w:bCs w:val="1"/>
                <w:color w:val="auto"/>
                <w:vertAlign w:val="superscript"/>
              </w:rPr>
              <w:t>(4)</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2.05x</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2.17x</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tcPr>
          <w:p>
            <w:pPr>
              <w:spacing w:after="0" w:line="256"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9"/>
                <w:szCs w:val="29"/>
                <w:b w:val="1"/>
                <w:bCs w:val="1"/>
                <w:color w:val="auto"/>
                <w:vertAlign w:val="superscript"/>
              </w:rPr>
              <w:t>(1)</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8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Operating Data</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Transportation</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daily volumes (MBbls/d)</w:t>
            </w:r>
          </w:p>
        </w:tc>
        <w:tc>
          <w:tcPr>
            <w:tcW w:w="8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5,889</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6,893</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0.70</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Facilities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capacity (MMBbls/Mo)</w:t>
            </w:r>
          </w:p>
        </w:tc>
        <w:tc>
          <w:tcPr>
            <w:tcW w:w="8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0.48</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daily volumes (MBbls/d)</w:t>
            </w:r>
          </w:p>
        </w:tc>
        <w:tc>
          <w:tcPr>
            <w:tcW w:w="8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1,309</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1,369</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0.97</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1,888</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8"/>
              </w:rPr>
              <w:t>1,340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First-Quarter Adjusted EBITDA as Percentage of Full Year</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(G) 2020 Guidance forecasts are intended to be + / - amounts.</w:t>
      </w:r>
    </w:p>
    <w:p>
      <w:pPr>
        <w:spacing w:after="0" w:line="225" w:lineRule="exact"/>
        <w:rPr>
          <w:sz w:val="20"/>
          <w:szCs w:val="20"/>
          <w:color w:val="auto"/>
        </w:rPr>
      </w:pPr>
    </w:p>
    <w:p>
      <w:pPr>
        <w:ind w:left="340" w:right="40" w:hanging="332"/>
        <w:spacing w:after="0" w:line="245" w:lineRule="auto"/>
        <w:tabs>
          <w:tab w:leader="none" w:pos="34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2018 and 2019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202"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711"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13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1" w:lineRule="exact"/>
        <w:rPr>
          <w:rFonts w:ascii="Arial" w:cs="Arial" w:eastAsia="Arial" w:hAnsi="Arial"/>
          <w:sz w:val="28"/>
          <w:szCs w:val="28"/>
          <w:color w:val="auto"/>
          <w:vertAlign w:val="superscript"/>
        </w:rPr>
      </w:pPr>
    </w:p>
    <w:p>
      <w:pPr>
        <w:jc w:val="both"/>
        <w:ind w:left="340" w:right="380" w:hanging="332"/>
        <w:spacing w:after="0" w:line="223"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Cash distributions paid to our preferred unitholders during the year presented. Distributions on our Series A preferred units were paid-in-kind for the February 2018 quarterly distribution. Distributions on our Series A preferred units have been paid in cash since the May 2018 quarterly distribution. Distributions on our Series B preferred units are payable in cash semi-annually in arrears on May 15 and November 15.</w:t>
      </w:r>
    </w:p>
    <w:p>
      <w:pPr>
        <w:spacing w:after="0" w:line="87" w:lineRule="exact"/>
        <w:rPr>
          <w:rFonts w:ascii="Arial" w:cs="Arial" w:eastAsia="Arial" w:hAnsi="Arial"/>
          <w:sz w:val="28"/>
          <w:szCs w:val="28"/>
          <w:color w:val="auto"/>
          <w:vertAlign w:val="superscript"/>
        </w:rPr>
      </w:pPr>
    </w:p>
    <w:p>
      <w:pPr>
        <w:ind w:left="340" w:hanging="332"/>
        <w:spacing w:after="0"/>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Cash distributions per common unit paid during 2018 and 2019. 2020(G) reflects the current distribution rate of $1.44 per common unit.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Q4 2019</w:t>
            </w:r>
          </w:p>
        </w:tc>
        <w:tc>
          <w:tcPr>
            <w:tcW w:w="200" w:type="dxa"/>
            <w:vAlign w:val="bottom"/>
          </w:tcPr>
          <w:p>
            <w:pPr>
              <w:spacing w:after="0"/>
              <w:rPr>
                <w:sz w:val="20"/>
                <w:szCs w:val="20"/>
                <w:color w:val="auto"/>
              </w:rPr>
            </w:pPr>
          </w:p>
        </w:tc>
        <w:tc>
          <w:tcPr>
            <w:tcW w:w="12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Q3 2019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Q4 2018</w:t>
            </w:r>
          </w:p>
        </w:tc>
      </w:tr>
      <w:tr>
        <w:trPr>
          <w:trHeight w:val="223"/>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1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Q4 2019 distribution percentage change from prior periods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February 4, 2020 to discuss the following items:</w:t>
      </w:r>
    </w:p>
    <w:p>
      <w:pPr>
        <w:spacing w:after="0" w:line="225"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fourth-quarter and full-year 2019 performance;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Plains’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0000FF"/>
        </w:rPr>
        <w:t>https://event.webcasts.com/starthere.jsp?ei=1277780&amp;tp_key=2a3486ef6a.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126365</wp:posOffset>
            </wp:positionV>
            <wp:extent cx="285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 and Implied distributable cash flow (“DCF”).</w:t>
      </w:r>
    </w:p>
    <w:p>
      <w:pPr>
        <w:spacing w:after="0" w:line="17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3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Annual Report on Form 10-K.</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including the effects of capacity overbuild in areas where we operate;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cyber or other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3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0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310"/>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6,955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29,452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w w:val="99"/>
              </w:rPr>
              <w:t>(Gains)/losses on asset sales and asset impairments, net</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Equity earnings in unconsolidated entities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 on investment in unconsolidated entities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Net income allocated to common unitholders — Basic</w:t>
            </w:r>
          </w:p>
        </w:tc>
        <w:tc>
          <w:tcPr>
            <w:tcW w:w="14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1,063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1,967</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Basic net income per common unit</w:t>
            </w:r>
          </w:p>
        </w:tc>
        <w:tc>
          <w:tcPr>
            <w:tcW w:w="14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w w:val="98"/>
              </w:rPr>
              <w:t>Net income allocated to common unitholders — Diluted</w:t>
            </w:r>
          </w:p>
        </w:tc>
        <w:tc>
          <w:tcPr>
            <w:tcW w:w="14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1,104</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2,119</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Diluted net income per common unit</w:t>
            </w:r>
          </w:p>
        </w:tc>
        <w:tc>
          <w:tcPr>
            <w:tcW w:w="14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8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00" w:type="dxa"/>
            <w:vAlign w:val="bottom"/>
            <w:gridSpan w:val="6"/>
            <w:vMerge w:val="restart"/>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vMerge w:val="restart"/>
          </w:tcPr>
          <w:p>
            <w:pPr>
              <w:jc w:val="center"/>
              <w:ind w:right="420"/>
              <w:spacing w:after="0"/>
              <w:rPr>
                <w:sz w:val="20"/>
                <w:szCs w:val="20"/>
                <w:color w:val="auto"/>
              </w:rPr>
            </w:pPr>
            <w:r>
              <w:rPr>
                <w:rFonts w:ascii="Arial" w:cs="Arial" w:eastAsia="Arial" w:hAnsi="Arial"/>
                <w:sz w:val="18"/>
                <w:szCs w:val="18"/>
                <w:b w:val="1"/>
                <w:bCs w:val="1"/>
                <w:color w:val="auto"/>
                <w:w w:val="90"/>
              </w:rPr>
              <w:t>Twelve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0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310"/>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0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4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0.63</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3,237</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more -</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1700"/>
              <w:spacing w:after="0"/>
              <w:rPr>
                <w:sz w:val="20"/>
                <w:szCs w:val="20"/>
                <w:color w:val="auto"/>
              </w:rPr>
            </w:pPr>
            <w:r>
              <w:rPr>
                <w:rFonts w:ascii="Arial" w:cs="Arial" w:eastAsia="Arial" w:hAnsi="Arial"/>
                <w:sz w:val="18"/>
                <w:szCs w:val="18"/>
                <w:b w:val="1"/>
                <w:bCs w:val="1"/>
                <w:color w:val="auto"/>
              </w:rPr>
              <w:t>333 Clay Street, Suite 1600</w:t>
            </w:r>
          </w:p>
        </w:tc>
        <w:tc>
          <w:tcPr>
            <w:tcW w:w="246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Houston, Texas 77002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713-646-4100 / 866-809-1291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7"/>
              </w:rPr>
              <w:t>December 31,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4,612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15,355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2,540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981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assets</w:t>
            </w:r>
          </w:p>
        </w:tc>
        <w:tc>
          <w:tcPr>
            <w:tcW w:w="23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28,677</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8,939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8"/>
                <w:szCs w:val="18"/>
                <w:color w:val="auto"/>
              </w:rPr>
              <w:t>Total liabilities</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15,482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13,062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partners’ capital</w:t>
            </w:r>
          </w:p>
        </w:tc>
        <w:tc>
          <w:tcPr>
            <w:tcW w:w="23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liabilities and partners’ capital</w:t>
            </w:r>
          </w:p>
        </w:tc>
        <w:tc>
          <w:tcPr>
            <w:tcW w:w="2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9,187</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2"/>
            <w:vMerge w:val="restart"/>
          </w:tcPr>
          <w:p>
            <w:pPr>
              <w:ind w:left="320"/>
              <w:spacing w:after="0"/>
              <w:rPr>
                <w:sz w:val="20"/>
                <w:szCs w:val="20"/>
                <w:color w:val="auto"/>
              </w:rPr>
            </w:pPr>
            <w:r>
              <w:rPr>
                <w:rFonts w:ascii="Arial" w:cs="Arial" w:eastAsia="Arial" w:hAnsi="Arial"/>
                <w:sz w:val="18"/>
                <w:szCs w:val="18"/>
                <w:color w:val="auto"/>
              </w:rPr>
              <w:t>Total book capitalization, including short-term debt</w:t>
            </w:r>
          </w:p>
        </w:tc>
        <w:tc>
          <w:tcPr>
            <w:tcW w:w="2360" w:type="dxa"/>
            <w:vAlign w:val="bottom"/>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Borders>
              <w:bottom w:val="single" w:sz="8" w:color="CCEEFF"/>
            </w:tcBorders>
            <w:gridSpan w:val="2"/>
            <w:vMerge w:val="continue"/>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22,886</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jc w:val="right"/>
              <w:ind w:right="5"/>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21,211</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60" w:type="dxa"/>
            <w:vAlign w:val="bottom"/>
          </w:tcPr>
          <w:p>
            <w:pPr>
              <w:jc w:val="center"/>
              <w:ind w:right="370"/>
              <w:spacing w:after="0"/>
              <w:rPr>
                <w:sz w:val="20"/>
                <w:szCs w:val="20"/>
                <w:color w:val="auto"/>
              </w:rPr>
            </w:pPr>
            <w:r>
              <w:rPr>
                <w:rFonts w:ascii="Arial" w:cs="Arial" w:eastAsia="Arial" w:hAnsi="Arial"/>
                <w:sz w:val="18"/>
                <w:szCs w:val="18"/>
                <w:color w:val="auto"/>
                <w:w w:val="91"/>
              </w:rPr>
              <w:t>- more -</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1700"/>
              <w:spacing w:after="0"/>
              <w:rPr>
                <w:sz w:val="20"/>
                <w:szCs w:val="20"/>
                <w:color w:val="auto"/>
              </w:rPr>
            </w:pPr>
            <w:r>
              <w:rPr>
                <w:rFonts w:ascii="Arial" w:cs="Arial" w:eastAsia="Arial" w:hAnsi="Arial"/>
                <w:sz w:val="18"/>
                <w:szCs w:val="18"/>
                <w:b w:val="1"/>
                <w:bCs w:val="1"/>
                <w:color w:val="auto"/>
              </w:rPr>
              <w:t>333 Clay Street, Suite 1600</w:t>
            </w:r>
          </w:p>
        </w:tc>
        <w:tc>
          <w:tcPr>
            <w:tcW w:w="236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Houston, Texas 77002</w:t>
            </w:r>
          </w:p>
        </w:tc>
        <w:tc>
          <w:tcPr>
            <w:tcW w:w="2840" w:type="dxa"/>
            <w:vAlign w:val="bottom"/>
            <w:gridSpan w:val="9"/>
          </w:tcPr>
          <w:p>
            <w:pPr>
              <w:jc w:val="center"/>
              <w:ind w:left="330"/>
              <w:spacing w:after="0"/>
              <w:rPr>
                <w:sz w:val="20"/>
                <w:szCs w:val="20"/>
                <w:color w:val="auto"/>
              </w:rPr>
            </w:pPr>
            <w:r>
              <w:rPr>
                <w:rFonts w:ascii="Arial" w:cs="Arial" w:eastAsia="Arial" w:hAnsi="Arial"/>
                <w:sz w:val="18"/>
                <w:szCs w:val="18"/>
                <w:b w:val="1"/>
                <w:bCs w:val="1"/>
                <w:color w:val="auto"/>
                <w:w w:val="91"/>
              </w:rPr>
              <w:t>713-646-4100 / 866-809-1291</w:t>
            </w: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34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Income per Common Unit</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1,117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2,171</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8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8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1,117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8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840" w:type="dxa"/>
            <w:vAlign w:val="bottom"/>
            <w:tcBorders>
              <w:top w:val="single" w:sz="8" w:color="auto"/>
              <w:bottom w:val="single" w:sz="8" w:color="auto"/>
            </w:tcBorders>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480"/>
              <w:spacing w:after="0" w:line="25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9"/>
                <w:szCs w:val="29"/>
                <w:color w:val="auto"/>
                <w:vertAlign w:val="superscript"/>
              </w:rPr>
              <w:t>(2)</w:t>
            </w: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Pr>
          <w:p>
            <w:pPr>
              <w:ind w:left="480"/>
              <w:spacing w:after="0" w:line="25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9"/>
                <w:szCs w:val="29"/>
                <w:color w:val="auto"/>
                <w:vertAlign w:val="superscript"/>
              </w:rPr>
              <w:t>(3)</w:t>
            </w:r>
          </w:p>
        </w:tc>
        <w:tc>
          <w:tcPr>
            <w:tcW w:w="84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6" w:lineRule="exact"/>
        <w:rPr>
          <w:sz w:val="20"/>
          <w:szCs w:val="20"/>
          <w:color w:val="auto"/>
        </w:rPr>
      </w:pPr>
    </w:p>
    <w:p>
      <w:pPr>
        <w:ind w:left="340" w:hanging="332"/>
        <w:spacing w:after="0" w:line="218"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1" w:lineRule="exact"/>
        <w:rPr>
          <w:rFonts w:ascii="Arial" w:cs="Arial" w:eastAsia="Arial" w:hAnsi="Arial"/>
          <w:sz w:val="30"/>
          <w:szCs w:val="30"/>
          <w:color w:val="auto"/>
          <w:vertAlign w:val="superscript"/>
        </w:rPr>
      </w:pPr>
    </w:p>
    <w:p>
      <w:pPr>
        <w:ind w:left="340" w:right="240" w:hanging="332"/>
        <w:spacing w:after="0" w:line="187"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months ended December 31, 2019 as the effect was antidilutive.</w:t>
      </w:r>
    </w:p>
    <w:p>
      <w:pPr>
        <w:spacing w:after="0" w:line="2" w:lineRule="exact"/>
        <w:rPr>
          <w:rFonts w:ascii="Arial" w:cs="Arial" w:eastAsia="Arial" w:hAnsi="Arial"/>
          <w:sz w:val="30"/>
          <w:szCs w:val="30"/>
          <w:color w:val="auto"/>
          <w:vertAlign w:val="superscript"/>
        </w:rPr>
      </w:pPr>
    </w:p>
    <w:p>
      <w:pPr>
        <w:ind w:left="340" w:right="40" w:hanging="332"/>
        <w:spacing w:after="0" w:line="21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4"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8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88"/>
              </w:rPr>
              <w:t>December 31,</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r>
      <w:tr>
        <w:trPr>
          <w:trHeight w:val="237"/>
        </w:trPr>
        <w:tc>
          <w:tcPr>
            <w:tcW w:w="562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7"/>
                <w:szCs w:val="27"/>
                <w:b w:val="1"/>
                <w:bCs w:val="1"/>
                <w:color w:val="auto"/>
                <w:vertAlign w:val="superscript"/>
              </w:rPr>
              <w:t>(1)</w:t>
            </w:r>
          </w:p>
        </w:tc>
        <w:tc>
          <w:tcPr>
            <w:tcW w:w="84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05"/>
        </w:trPr>
        <w:tc>
          <w:tcPr>
            <w:tcW w:w="5620" w:type="dxa"/>
            <w:vAlign w:val="bottom"/>
          </w:tcPr>
          <w:p>
            <w:pPr>
              <w:spacing w:after="0" w:line="206" w:lineRule="exact"/>
              <w:rPr>
                <w:sz w:val="20"/>
                <w:szCs w:val="20"/>
                <w:color w:val="auto"/>
              </w:rPr>
            </w:pPr>
            <w:r>
              <w:rPr>
                <w:rFonts w:ascii="Arial" w:cs="Arial" w:eastAsia="Arial" w:hAnsi="Arial"/>
                <w:sz w:val="18"/>
                <w:szCs w:val="18"/>
                <w:color w:val="auto"/>
              </w:rPr>
              <w:t>Gains/(losses) from derivative activities net of inventory valuation</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7"/>
        </w:trPr>
        <w:tc>
          <w:tcPr>
            <w:tcW w:w="5620" w:type="dxa"/>
            <w:vAlign w:val="bottom"/>
          </w:tcPr>
          <w:p>
            <w:pPr>
              <w:ind w:left="180"/>
              <w:spacing w:after="0" w:line="26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30"/>
                <w:szCs w:val="30"/>
                <w:color w:val="auto"/>
                <w:vertAlign w:val="superscript"/>
              </w:rPr>
              <w:t>(2)</w:t>
            </w: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610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9"/>
                <w:szCs w:val="29"/>
                <w:color w:val="auto"/>
                <w:vertAlign w:val="superscript"/>
              </w:rPr>
              <w:t>(3)</w:t>
            </w:r>
          </w:p>
        </w:tc>
        <w:tc>
          <w:tcPr>
            <w:tcW w:w="8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9"/>
                <w:szCs w:val="29"/>
                <w:color w:val="auto"/>
                <w:vertAlign w:val="superscript"/>
              </w:rPr>
              <w:t>(4)</w:t>
            </w:r>
          </w:p>
        </w:tc>
        <w:tc>
          <w:tcPr>
            <w:tcW w:w="84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9"/>
                <w:szCs w:val="29"/>
                <w:color w:val="auto"/>
                <w:vertAlign w:val="superscript"/>
              </w:rPr>
              <w:t>(5)</w:t>
            </w: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9"/>
                <w:szCs w:val="29"/>
                <w:color w:val="auto"/>
                <w:vertAlign w:val="superscript"/>
              </w:rPr>
              <w:t>(6)</w:t>
            </w:r>
          </w:p>
        </w:tc>
        <w:tc>
          <w:tcPr>
            <w:tcW w:w="84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70"/>
        </w:trPr>
        <w:tc>
          <w:tcPr>
            <w:tcW w:w="56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30"/>
                <w:szCs w:val="30"/>
                <w:color w:val="auto"/>
                <w:vertAlign w:val="superscript"/>
              </w:rPr>
              <w:t>(7)</w:t>
            </w: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840" w:type="dxa"/>
            <w:vAlign w:val="bottom"/>
            <w:tcBorders>
              <w:top w:val="single" w:sz="8" w:color="auto"/>
            </w:tcBorders>
          </w:tcPr>
          <w:p>
            <w:pPr>
              <w:jc w:val="right"/>
              <w:ind w:right="6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9"/>
                <w:szCs w:val="29"/>
                <w:color w:val="auto"/>
                <w:vertAlign w:val="superscript"/>
              </w:rPr>
              <w:t>(2)</w:t>
            </w: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Gain/(loss) on investment in unconsolidated entities</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182"/>
        </w:trPr>
        <w:tc>
          <w:tcPr>
            <w:tcW w:w="562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Selected items impacting comparability - Adjusted net income</w:t>
            </w:r>
          </w:p>
        </w:tc>
        <w:tc>
          <w:tcPr>
            <w:tcW w:w="8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attributable to PAA</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30"/>
          <w:szCs w:val="30"/>
          <w:color w:val="auto"/>
          <w:vertAlign w:val="superscript"/>
        </w:rPr>
      </w:pPr>
    </w:p>
    <w:p>
      <w:pPr>
        <w:ind w:left="340" w:hanging="332"/>
        <w:spacing w:after="0" w:line="242" w:lineRule="auto"/>
        <w:tabs>
          <w:tab w:leader="none" w:pos="34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 w:lineRule="exact"/>
        <w:rPr>
          <w:rFonts w:ascii="Arial" w:cs="Arial" w:eastAsia="Arial" w:hAnsi="Arial"/>
          <w:sz w:val="28"/>
          <w:szCs w:val="28"/>
          <w:color w:val="auto"/>
          <w:vertAlign w:val="superscript"/>
        </w:rPr>
      </w:pPr>
    </w:p>
    <w:p>
      <w:pPr>
        <w:ind w:left="340" w:right="160" w:hanging="332"/>
        <w:spacing w:after="0" w:line="250" w:lineRule="auto"/>
        <w:tabs>
          <w:tab w:leader="none" w:pos="34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 w:lineRule="exact"/>
        <w:rPr>
          <w:rFonts w:ascii="Arial" w:cs="Arial" w:eastAsia="Arial" w:hAnsi="Arial"/>
          <w:sz w:val="26"/>
          <w:szCs w:val="26"/>
          <w:color w:val="auto"/>
          <w:vertAlign w:val="superscript"/>
        </w:rPr>
      </w:pPr>
    </w:p>
    <w:p>
      <w:pPr>
        <w:ind w:left="340" w:right="20" w:hanging="332"/>
        <w:spacing w:after="0" w:line="265" w:lineRule="auto"/>
        <w:tabs>
          <w:tab w:leader="none" w:pos="34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6"/>
          <w:szCs w:val="26"/>
          <w:color w:val="auto"/>
          <w:vertAlign w:val="superscript"/>
        </w:rPr>
      </w:pPr>
    </w:p>
    <w:p>
      <w:pPr>
        <w:ind w:left="340" w:right="120" w:hanging="332"/>
        <w:spacing w:after="0" w:line="225"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30"/>
          <w:szCs w:val="30"/>
          <w:color w:val="auto"/>
          <w:vertAlign w:val="superscript"/>
        </w:rPr>
      </w:pPr>
    </w:p>
    <w:p>
      <w:pPr>
        <w:ind w:left="340" w:right="360" w:hanging="332"/>
        <w:spacing w:after="0" w:line="200" w:lineRule="auto"/>
        <w:tabs>
          <w:tab w:leader="none" w:pos="34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40" w:right="580" w:hanging="332"/>
        <w:spacing w:after="0" w:line="187"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230"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98"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340" w:type="dxa"/>
            <w:vAlign w:val="bottom"/>
            <w:gridSpan w:val="5"/>
          </w:tcPr>
          <w:p>
            <w:pPr>
              <w:jc w:val="right"/>
              <w:ind w:right="50"/>
              <w:spacing w:after="0" w:line="205" w:lineRule="exact"/>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gridSpan w:val="5"/>
          </w:tcPr>
          <w:p>
            <w:pPr>
              <w:jc w:val="right"/>
              <w:spacing w:after="0" w:line="205" w:lineRule="exact"/>
              <w:rPr>
                <w:sz w:val="20"/>
                <w:szCs w:val="20"/>
                <w:color w:val="auto"/>
              </w:rPr>
            </w:pPr>
            <w:r>
              <w:rPr>
                <w:rFonts w:ascii="Arial" w:cs="Arial" w:eastAsia="Arial" w:hAnsi="Arial"/>
                <w:sz w:val="18"/>
                <w:szCs w:val="18"/>
                <w:b w:val="1"/>
                <w:bCs w:val="1"/>
                <w:color w:val="auto"/>
              </w:rPr>
              <w:t>Twelve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Adjusted Net Income per Common Unit</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1,117</w:t>
            </w: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2,171</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Selected items impacting comparability - Adjusted net income</w:t>
            </w: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600" w:type="dxa"/>
            <w:vAlign w:val="bottom"/>
            <w:shd w:val="clear" w:color="auto" w:fill="CCEEFF"/>
          </w:tcPr>
          <w:p>
            <w:pPr>
              <w:ind w:left="320"/>
              <w:spacing w:after="0" w:line="28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30"/>
                <w:szCs w:val="30"/>
                <w:color w:val="auto"/>
                <w:vertAlign w:val="superscript"/>
              </w:rPr>
              <w:t>(2)</w:t>
            </w:r>
          </w:p>
        </w:tc>
        <w:tc>
          <w:tcPr>
            <w:tcW w:w="8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840" w:type="dxa"/>
            <w:vAlign w:val="bottom"/>
            <w:tcBorders>
              <w:top w:val="single" w:sz="8" w:color="auto"/>
            </w:tcBorders>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2,063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84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1,859</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1,366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0.83</w:t>
            </w: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1,117</w:t>
            </w: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2,171</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160"/>
              <w:spacing w:after="0" w:line="206" w:lineRule="exact"/>
              <w:rPr>
                <w:sz w:val="20"/>
                <w:szCs w:val="20"/>
                <w:color w:val="auto"/>
              </w:rPr>
            </w:pPr>
            <w:r>
              <w:rPr>
                <w:rFonts w:ascii="Arial" w:cs="Arial" w:eastAsia="Arial" w:hAnsi="Arial"/>
                <w:sz w:val="18"/>
                <w:szCs w:val="18"/>
                <w:color w:val="auto"/>
              </w:rPr>
              <w:t>Selected items impacting comparability - Adjusted net income</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600" w:type="dxa"/>
            <w:vAlign w:val="bottom"/>
          </w:tcPr>
          <w:p>
            <w:pPr>
              <w:ind w:left="320"/>
              <w:spacing w:after="0" w:line="28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30"/>
                <w:szCs w:val="30"/>
                <w:color w:val="auto"/>
                <w:vertAlign w:val="superscript"/>
              </w:rPr>
              <w:t>(2)</w:t>
            </w:r>
          </w:p>
        </w:tc>
        <w:tc>
          <w:tcPr>
            <w:tcW w:w="8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84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2,063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84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9"/>
                <w:szCs w:val="29"/>
                <w:color w:val="auto"/>
                <w:vertAlign w:val="superscript"/>
              </w:rPr>
              <w:t>(3)</w:t>
            </w:r>
          </w:p>
        </w:tc>
        <w:tc>
          <w:tcPr>
            <w:tcW w:w="8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ind w:left="160"/>
              <w:spacing w:after="0" w:line="269"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30"/>
                <w:szCs w:val="30"/>
                <w:color w:val="auto"/>
                <w:vertAlign w:val="superscript"/>
              </w:rPr>
              <w:t>(4)</w:t>
            </w:r>
          </w:p>
        </w:tc>
        <w:tc>
          <w:tcPr>
            <w:tcW w:w="84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0.63</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w:t>
            </w: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right="20" w:hanging="332"/>
        <w:spacing w:after="0" w:line="218"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15"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28" w:lineRule="exact"/>
        <w:rPr>
          <w:rFonts w:ascii="Arial" w:cs="Arial" w:eastAsia="Arial" w:hAnsi="Arial"/>
          <w:sz w:val="30"/>
          <w:szCs w:val="30"/>
          <w:color w:val="auto"/>
          <w:vertAlign w:val="superscript"/>
        </w:rPr>
      </w:pPr>
    </w:p>
    <w:p>
      <w:pPr>
        <w:ind w:left="340" w:right="4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twelve months ended December 31, 2018 as the effect was antidilutive.</w:t>
      </w:r>
    </w:p>
    <w:p>
      <w:pPr>
        <w:spacing w:after="0" w:line="229" w:lineRule="exact"/>
        <w:rPr>
          <w:rFonts w:ascii="Arial" w:cs="Arial" w:eastAsia="Arial" w:hAnsi="Arial"/>
          <w:sz w:val="30"/>
          <w:szCs w:val="30"/>
          <w:color w:val="auto"/>
          <w:vertAlign w:val="superscript"/>
        </w:rPr>
      </w:pPr>
    </w:p>
    <w:p>
      <w:pPr>
        <w:ind w:left="340" w:right="40" w:hanging="332"/>
        <w:spacing w:after="0" w:line="218"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3"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Adjusted Net Income Per Common Unit Reconciliations: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5"/>
          </w:tcPr>
          <w:p>
            <w:pPr>
              <w:jc w:val="right"/>
              <w:spacing w:after="0"/>
              <w:rPr>
                <w:sz w:val="20"/>
                <w:szCs w:val="20"/>
                <w:color w:val="auto"/>
              </w:rPr>
            </w:pPr>
            <w:r>
              <w:rPr>
                <w:rFonts w:ascii="Arial" w:cs="Arial" w:eastAsia="Arial" w:hAnsi="Arial"/>
                <w:sz w:val="18"/>
                <w:szCs w:val="18"/>
                <w:b w:val="1"/>
                <w:bCs w:val="1"/>
                <w:color w:val="auto"/>
              </w:rPr>
              <w:t>Twelve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Basic net income per common unit</w:t>
            </w:r>
          </w:p>
        </w:tc>
        <w:tc>
          <w:tcPr>
            <w:tcW w:w="840" w:type="dxa"/>
            <w:vAlign w:val="bottom"/>
            <w:tcBorders>
              <w:top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5620" w:type="dxa"/>
            <w:vAlign w:val="bottom"/>
          </w:tcPr>
          <w:p>
            <w:pPr>
              <w:ind w:left="60"/>
              <w:spacing w:after="0" w:line="269"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30"/>
                <w:szCs w:val="30"/>
                <w:color w:val="auto"/>
                <w:vertAlign w:val="superscript"/>
              </w:rPr>
              <w:t>(1)</w:t>
            </w:r>
          </w:p>
        </w:tc>
        <w:tc>
          <w:tcPr>
            <w:tcW w:w="8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(0.63)</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(0.89)</w:t>
            </w:r>
          </w:p>
        </w:tc>
      </w:tr>
      <w:tr>
        <w:trPr>
          <w:trHeight w:val="223"/>
        </w:trPr>
        <w:tc>
          <w:tcPr>
            <w:tcW w:w="5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Basic adjusted net income per common unit</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Diluted net income per common unit</w:t>
            </w: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8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r>
      <w:tr>
        <w:trPr>
          <w:trHeight w:val="270"/>
        </w:trPr>
        <w:tc>
          <w:tcPr>
            <w:tcW w:w="5620" w:type="dxa"/>
            <w:vAlign w:val="bottom"/>
          </w:tcPr>
          <w:p>
            <w:pPr>
              <w:ind w:left="60"/>
              <w:spacing w:after="0" w:line="269"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30"/>
                <w:szCs w:val="30"/>
                <w:color w:val="auto"/>
                <w:vertAlign w:val="superscript"/>
              </w:rPr>
              <w:t>(1)</w:t>
            </w:r>
          </w:p>
        </w:tc>
        <w:tc>
          <w:tcPr>
            <w:tcW w:w="8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(0.58)</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(0.83)</w:t>
            </w:r>
          </w:p>
        </w:tc>
      </w:tr>
      <w:tr>
        <w:trPr>
          <w:trHeight w:val="223"/>
        </w:trPr>
        <w:tc>
          <w:tcPr>
            <w:tcW w:w="5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Diluted adjusted net income per common unit</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right="540" w:hanging="332"/>
        <w:spacing w:after="0" w:line="194"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202"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NON-GAAP RECONCILIATIONS (continued)</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and ratio data)</w:t>
            </w:r>
          </w:p>
        </w:tc>
        <w:tc>
          <w:tcPr>
            <w:tcW w:w="1960" w:type="dxa"/>
            <w:vAlign w:val="bottom"/>
          </w:tcPr>
          <w:p>
            <w:pPr>
              <w:spacing w:after="0"/>
              <w:rPr>
                <w:sz w:val="20"/>
                <w:szCs w:val="20"/>
                <w:color w:val="auto"/>
              </w:rPr>
            </w:pPr>
          </w:p>
        </w:tc>
        <w:tc>
          <w:tcPr>
            <w:tcW w:w="2340" w:type="dxa"/>
            <w:vAlign w:val="bottom"/>
            <w:gridSpan w:val="5"/>
            <w:vMerge w:val="restart"/>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vMerge w:val="restart"/>
          </w:tcPr>
          <w:p>
            <w:pPr>
              <w:jc w:val="right"/>
              <w:ind w:right="6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40" w:type="dxa"/>
            <w:vAlign w:val="bottom"/>
            <w:gridSpan w:val="5"/>
            <w:vMerge w:val="continue"/>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1,117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2,180</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Income tax expense</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(Gains)/losses on asset sales and asset impairments, net</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(Gain)/loss on investment in unconsolidated entities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9"/>
                <w:szCs w:val="29"/>
                <w:color w:val="auto"/>
                <w:vertAlign w:val="superscript"/>
              </w:rPr>
              <w:t>(1)</w:t>
            </w:r>
          </w:p>
        </w:tc>
        <w:tc>
          <w:tcPr>
            <w:tcW w:w="8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gridSpan w:val="2"/>
            <w:shd w:val="clear" w:color="auto" w:fill="CCEEFF"/>
          </w:tcPr>
          <w:p>
            <w:pPr>
              <w:ind w:left="200"/>
              <w:spacing w:after="0" w:line="269"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30"/>
                <w:szCs w:val="30"/>
                <w:color w:val="auto"/>
                <w:vertAlign w:val="superscript"/>
              </w:rPr>
              <w:t>(2)</w:t>
            </w: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840" w:type="dxa"/>
            <w:vAlign w:val="bottom"/>
            <w:tcBorders>
              <w:top w:val="single" w:sz="8" w:color="auto"/>
            </w:tcBorders>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9"/>
                <w:szCs w:val="29"/>
                <w:color w:val="auto"/>
                <w:vertAlign w:val="superscript"/>
              </w:rPr>
              <w:t>(3)</w:t>
            </w: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Maintenance capital</w:t>
            </w:r>
          </w:p>
        </w:tc>
        <w:tc>
          <w:tcPr>
            <w:tcW w:w="8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gridSpan w:val="2"/>
          </w:tcPr>
          <w:p>
            <w:pPr>
              <w:ind w:left="160"/>
              <w:spacing w:after="0" w:line="206" w:lineRule="exact"/>
              <w:rPr>
                <w:sz w:val="20"/>
                <w:szCs w:val="20"/>
                <w:color w:val="auto"/>
              </w:rPr>
            </w:pPr>
            <w:r>
              <w:rPr>
                <w:rFonts w:ascii="Arial" w:cs="Arial" w:eastAsia="Arial" w:hAnsi="Arial"/>
                <w:sz w:val="18"/>
                <w:szCs w:val="18"/>
                <w:color w:val="auto"/>
                <w:w w:val="96"/>
              </w:rPr>
              <w:t>Adjusted equity earnings in unconsolidated entities, net of distributions</w:t>
            </w:r>
          </w:p>
        </w:tc>
        <w:tc>
          <w:tcPr>
            <w:tcW w:w="840" w:type="dxa"/>
            <w:vAlign w:val="bottom"/>
          </w:tcPr>
          <w:p>
            <w:pPr>
              <w:spacing w:after="0"/>
              <w:rPr>
                <w:sz w:val="17"/>
                <w:szCs w:val="17"/>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3660" w:type="dxa"/>
            <w:vAlign w:val="bottom"/>
            <w:gridSpan w:val="2"/>
          </w:tcPr>
          <w:p>
            <w:pPr>
              <w:jc w:val="right"/>
              <w:ind w:right="3070"/>
              <w:spacing w:after="0"/>
              <w:rPr>
                <w:sz w:val="20"/>
                <w:szCs w:val="20"/>
                <w:color w:val="auto"/>
              </w:rPr>
            </w:pPr>
            <w:r>
              <w:rPr>
                <w:rFonts w:ascii="Arial" w:cs="Arial" w:eastAsia="Arial" w:hAnsi="Arial"/>
                <w:sz w:val="15"/>
                <w:szCs w:val="15"/>
                <w:color w:val="auto"/>
              </w:rPr>
              <w:t>(4)</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gridSpan w:val="2"/>
            <w:shd w:val="clear" w:color="auto" w:fill="CCEEFF"/>
          </w:tcPr>
          <w:p>
            <w:pPr>
              <w:ind w:left="200"/>
              <w:spacing w:after="0" w:line="269" w:lineRule="exact"/>
              <w:rPr>
                <w:sz w:val="20"/>
                <w:szCs w:val="20"/>
                <w:color w:val="auto"/>
              </w:rPr>
            </w:pPr>
            <w:r>
              <w:rPr>
                <w:rFonts w:ascii="Arial" w:cs="Arial" w:eastAsia="Arial" w:hAnsi="Arial"/>
                <w:sz w:val="18"/>
                <w:szCs w:val="18"/>
                <w:color w:val="auto"/>
              </w:rPr>
              <w:t xml:space="preserve">Distributions to noncontrolling interest </w:t>
            </w:r>
            <w:r>
              <w:rPr>
                <w:rFonts w:ascii="Arial" w:cs="Arial" w:eastAsia="Arial" w:hAnsi="Arial"/>
                <w:sz w:val="30"/>
                <w:szCs w:val="30"/>
                <w:color w:val="auto"/>
                <w:vertAlign w:val="superscript"/>
              </w:rPr>
              <w:t>(5)</w:t>
            </w: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Implied DCF</w:t>
            </w:r>
          </w:p>
        </w:tc>
        <w:tc>
          <w:tcPr>
            <w:tcW w:w="840" w:type="dxa"/>
            <w:vAlign w:val="bottom"/>
            <w:tcBorders>
              <w:top w:val="single" w:sz="8" w:color="auto"/>
            </w:tcBorders>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gridSpan w:val="2"/>
            <w:shd w:val="clear" w:color="auto" w:fill="CCEEFF"/>
          </w:tcPr>
          <w:p>
            <w:pPr>
              <w:ind w:left="200"/>
              <w:spacing w:after="0" w:line="269"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30"/>
                <w:szCs w:val="30"/>
                <w:color w:val="auto"/>
                <w:vertAlign w:val="superscript"/>
              </w:rPr>
              <w:t>(6)</w:t>
            </w: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Implied DCF Available to Common Unitholders</w:t>
            </w:r>
          </w:p>
        </w:tc>
        <w:tc>
          <w:tcPr>
            <w:tcW w:w="84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 Average Common Units Outstanding</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9"/>
                <w:szCs w:val="29"/>
                <w:color w:val="auto"/>
                <w:vertAlign w:val="superscript"/>
              </w:rPr>
              <w:t>(7)</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0.94</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9"/>
                <w:szCs w:val="29"/>
                <w:color w:val="auto"/>
                <w:vertAlign w:val="superscript"/>
              </w:rPr>
              <w:t>(8)</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0.71</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Cash Distribution Paid per Common Unit</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9"/>
                <w:szCs w:val="29"/>
                <w:color w:val="auto"/>
                <w:vertAlign w:val="superscript"/>
              </w:rPr>
              <w:t>(5)</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Common Unit Distribution Coverage Ratio</w:t>
            </w: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2.00x</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3.11x</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2.17x</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Implied DCF Excess / (Shortage)</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461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1,174</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09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2" w:lineRule="exact"/>
        <w:rPr>
          <w:sz w:val="20"/>
          <w:szCs w:val="20"/>
          <w:color w:val="auto"/>
        </w:rPr>
      </w:pPr>
    </w:p>
    <w:p>
      <w:pPr>
        <w:ind w:left="340" w:right="1080" w:hanging="332"/>
        <w:spacing w:after="0" w:line="194"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Adjustment to add back our proportionate share of depreciation and amortization expense and gains and losses on significant asset sales by unconsolidated entities.</w:t>
      </w:r>
    </w:p>
    <w:p>
      <w:pPr>
        <w:ind w:left="340" w:hanging="332"/>
        <w:spacing w:after="0" w:line="180"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4"/>
          <w:szCs w:val="24"/>
          <w:color w:val="auto"/>
          <w:vertAlign w:val="superscript"/>
        </w:rPr>
      </w:pPr>
    </w:p>
    <w:p>
      <w:pPr>
        <w:ind w:left="340" w:right="20" w:hanging="332"/>
        <w:spacing w:after="0" w:line="187"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ind w:left="340" w:hanging="332"/>
        <w:spacing w:after="0" w:line="180"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Cash distributions paid during the period presented.</w:t>
      </w:r>
    </w:p>
    <w:p>
      <w:pPr>
        <w:spacing w:after="0" w:line="2" w:lineRule="exact"/>
        <w:rPr>
          <w:rFonts w:ascii="Arial" w:cs="Arial" w:eastAsia="Arial" w:hAnsi="Arial"/>
          <w:sz w:val="25"/>
          <w:szCs w:val="25"/>
          <w:color w:val="auto"/>
          <w:vertAlign w:val="superscript"/>
        </w:rPr>
      </w:pPr>
    </w:p>
    <w:p>
      <w:pPr>
        <w:ind w:left="340" w:hanging="332"/>
        <w:spacing w:after="0" w:line="227" w:lineRule="auto"/>
        <w:tabs>
          <w:tab w:leader="none" w:pos="34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in cash semi-annually in arrears on May 15 and November 15.</w:t>
      </w:r>
    </w:p>
    <w:p>
      <w:pPr>
        <w:spacing w:after="0" w:line="3" w:lineRule="exact"/>
        <w:rPr>
          <w:rFonts w:ascii="Arial" w:cs="Arial" w:eastAsia="Arial" w:hAnsi="Arial"/>
          <w:sz w:val="28"/>
          <w:szCs w:val="28"/>
          <w:color w:val="auto"/>
          <w:vertAlign w:val="superscript"/>
        </w:rPr>
      </w:pPr>
    </w:p>
    <w:p>
      <w:pPr>
        <w:ind w:left="340" w:hanging="332"/>
        <w:spacing w:after="0" w:line="180"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Implied DCF Available to Common Unitholders for the period divided by the weighted average common units outstanding for the period.</w:t>
      </w:r>
    </w:p>
    <w:p>
      <w:pPr>
        <w:spacing w:after="0" w:line="2" w:lineRule="exact"/>
        <w:rPr>
          <w:rFonts w:ascii="Arial" w:cs="Arial" w:eastAsia="Arial" w:hAnsi="Arial"/>
          <w:sz w:val="25"/>
          <w:szCs w:val="25"/>
          <w:color w:val="auto"/>
          <w:vertAlign w:val="superscript"/>
        </w:rPr>
      </w:pPr>
    </w:p>
    <w:p>
      <w:pPr>
        <w:ind w:left="340" w:right="340" w:hanging="332"/>
        <w:spacing w:after="0" w:line="214"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in whole or in part, subject to certain minimum conversion amounts.</w:t>
      </w:r>
    </w:p>
    <w:p>
      <w:pPr>
        <w:spacing w:after="0" w:line="203"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89"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Implied DCF Per Common Unit and Common Equivalent Unit Reconciliation: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5"/>
          </w:tcPr>
          <w:p>
            <w:pPr>
              <w:jc w:val="right"/>
              <w:spacing w:after="0"/>
              <w:rPr>
                <w:sz w:val="20"/>
                <w:szCs w:val="20"/>
                <w:color w:val="auto"/>
              </w:rPr>
            </w:pPr>
            <w:r>
              <w:rPr>
                <w:rFonts w:ascii="Arial" w:cs="Arial" w:eastAsia="Arial" w:hAnsi="Arial"/>
                <w:sz w:val="18"/>
                <w:szCs w:val="18"/>
                <w:b w:val="1"/>
                <w:bCs w:val="1"/>
                <w:color w:val="auto"/>
              </w:rPr>
              <w:t>Twelve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Basic net income per common unit</w:t>
            </w:r>
          </w:p>
        </w:tc>
        <w:tc>
          <w:tcPr>
            <w:tcW w:w="840" w:type="dxa"/>
            <w:vAlign w:val="bottom"/>
            <w:tcBorders>
              <w:top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5620" w:type="dxa"/>
            <w:vAlign w:val="bottom"/>
          </w:tcPr>
          <w:p>
            <w:pPr>
              <w:ind w:left="60"/>
              <w:spacing w:after="0" w:line="269"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30"/>
                <w:szCs w:val="30"/>
                <w:color w:val="auto"/>
                <w:vertAlign w:val="superscript"/>
              </w:rPr>
              <w:t>(1) (2)</w:t>
            </w:r>
          </w:p>
        </w:tc>
        <w:tc>
          <w:tcPr>
            <w:tcW w:w="8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(0.52)</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(0.31)</w:t>
            </w:r>
          </w:p>
        </w:tc>
      </w:tr>
      <w:tr>
        <w:trPr>
          <w:trHeight w:val="223"/>
        </w:trPr>
        <w:tc>
          <w:tcPr>
            <w:tcW w:w="5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Implied DCF per common unit</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Basic net income per common unit</w:t>
            </w: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8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r>
      <w:tr>
        <w:trPr>
          <w:trHeight w:val="270"/>
        </w:trPr>
        <w:tc>
          <w:tcPr>
            <w:tcW w:w="5620" w:type="dxa"/>
            <w:vAlign w:val="bottom"/>
          </w:tcPr>
          <w:p>
            <w:pPr>
              <w:ind w:left="60"/>
              <w:spacing w:after="0" w:line="269" w:lineRule="exact"/>
              <w:rPr>
                <w:sz w:val="20"/>
                <w:szCs w:val="20"/>
                <w:color w:val="auto"/>
              </w:rPr>
            </w:pPr>
            <w:r>
              <w:rPr>
                <w:rFonts w:ascii="Arial" w:cs="Arial" w:eastAsia="Arial" w:hAnsi="Arial"/>
                <w:sz w:val="18"/>
                <w:szCs w:val="18"/>
                <w:color w:val="auto"/>
                <w:w w:val="97"/>
              </w:rPr>
              <w:t xml:space="preserve">Reconciling items per common unit and common equivalent unit </w:t>
            </w:r>
            <w:r>
              <w:rPr>
                <w:rFonts w:ascii="Arial" w:cs="Arial" w:eastAsia="Arial" w:hAnsi="Arial"/>
                <w:sz w:val="30"/>
                <w:szCs w:val="30"/>
                <w:color w:val="auto"/>
                <w:w w:val="97"/>
                <w:vertAlign w:val="superscript"/>
              </w:rPr>
              <w:t>(1) (3)</w:t>
            </w:r>
          </w:p>
        </w:tc>
        <w:tc>
          <w:tcPr>
            <w:tcW w:w="8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(0.56)</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(0.39)</w:t>
            </w:r>
          </w:p>
        </w:tc>
      </w:tr>
      <w:tr>
        <w:trPr>
          <w:trHeight w:val="223"/>
        </w:trPr>
        <w:tc>
          <w:tcPr>
            <w:tcW w:w="5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Implied DCF per common unit and common equivalent unit</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right="460" w:hanging="332"/>
        <w:spacing w:after="0" w:line="194"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40" w:hanging="332"/>
        <w:spacing w:after="0" w:line="180"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Based on weighted average common units outstanding for the period of 728 million, 726 million, 727 million and 726 million, respectively.</w:t>
      </w:r>
    </w:p>
    <w:p>
      <w:pPr>
        <w:spacing w:after="0" w:line="2" w:lineRule="exact"/>
        <w:rPr>
          <w:rFonts w:ascii="Arial" w:cs="Arial" w:eastAsia="Arial" w:hAnsi="Arial"/>
          <w:sz w:val="25"/>
          <w:szCs w:val="25"/>
          <w:color w:val="auto"/>
          <w:vertAlign w:val="superscript"/>
        </w:rPr>
      </w:pPr>
    </w:p>
    <w:p>
      <w:pPr>
        <w:ind w:left="340" w:right="160" w:hanging="332"/>
        <w:spacing w:after="0" w:line="187"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02"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gridSpan w:val="5"/>
          </w:tcPr>
          <w:p>
            <w:pPr>
              <w:jc w:val="center"/>
              <w:ind w:left="519"/>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1"/>
              </w:rPr>
              <w:t>December 31, 2018</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Supply and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w w:val="95"/>
              </w:rPr>
              <w:t>Transportation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Facilities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Logistics</w:t>
            </w:r>
          </w:p>
        </w:tc>
        <w:tc>
          <w:tcPr>
            <w:tcW w:w="120" w:type="dxa"/>
            <w:vAlign w:val="bottom"/>
          </w:tcPr>
          <w:p>
            <w:pPr>
              <w:spacing w:after="0"/>
              <w:rPr>
                <w:sz w:val="18"/>
                <w:szCs w:val="18"/>
                <w:color w:val="auto"/>
              </w:rPr>
            </w:pP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w w:val="92"/>
              </w:rPr>
              <w:t>Transportation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Logistics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line="249" w:lineRule="exact"/>
              <w:rPr>
                <w:sz w:val="20"/>
                <w:szCs w:val="20"/>
                <w:color w:val="auto"/>
              </w:rPr>
            </w:pPr>
            <w:r>
              <w:rPr>
                <w:rFonts w:ascii="Arial" w:cs="Arial" w:eastAsia="Arial" w:hAnsi="Arial"/>
                <w:sz w:val="16"/>
                <w:szCs w:val="16"/>
                <w:color w:val="auto"/>
              </w:rPr>
              <w:t xml:space="preserve">Revenues </w:t>
            </w:r>
            <w:r>
              <w:rPr>
                <w:rFonts w:ascii="Arial" w:cs="Arial" w:eastAsia="Arial" w:hAnsi="Arial"/>
                <w:sz w:val="27"/>
                <w:szCs w:val="27"/>
                <w:color w:val="auto"/>
                <w:vertAlign w:val="superscript"/>
              </w:rPr>
              <w:t>(1)</w:t>
            </w: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vMerge w:val="continue"/>
            <w:shd w:val="clear" w:color="auto" w:fill="CCEEFF"/>
          </w:tcPr>
          <w:p>
            <w:pPr>
              <w:spacing w:after="0"/>
              <w:rPr>
                <w:sz w:val="19"/>
                <w:szCs w:val="19"/>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8,796</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Purchases and related costs </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(8,677)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(7,411)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Field operating costs </w:t>
            </w:r>
            <w:r>
              <w:rPr>
                <w:rFonts w:ascii="Arial" w:cs="Arial" w:eastAsia="Arial" w:hAnsi="Arial"/>
                <w:sz w:val="27"/>
                <w:szCs w:val="27"/>
                <w:color w:val="auto"/>
                <w:vertAlign w:val="superscript"/>
              </w:rPr>
              <w:t>(1) (2)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Segment general and administrative expenses </w:t>
            </w:r>
            <w:r>
              <w:rPr>
                <w:rFonts w:ascii="Arial" w:cs="Arial" w:eastAsia="Arial" w:hAnsi="Arial"/>
                <w:sz w:val="27"/>
                <w:szCs w:val="27"/>
                <w:color w:val="auto"/>
                <w:vertAlign w:val="superscript"/>
              </w:rPr>
              <w:t>(2) (3)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Equity earnings in unconsolidated entities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7"/>
                <w:szCs w:val="27"/>
                <w:color w:val="auto"/>
                <w:vertAlign w:val="superscript"/>
              </w:rPr>
              <w:t>(4)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w w:val="94"/>
              </w:rPr>
              <w:t>Depreciation and amortization of unconsolidated entities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(Gains)/losses from derivative activities net of inventory</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valuation adjustments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Long-term inventory costing adjustments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Deficiencies under minimum volume commitments, net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Equity-indexed compensation expense</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(gain)/loss on foreign currency revaluation</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6"/>
        </w:trPr>
        <w:tc>
          <w:tcPr>
            <w:tcW w:w="3940" w:type="dxa"/>
            <w:vAlign w:val="bottom"/>
            <w:gridSpan w:val="2"/>
          </w:tcPr>
          <w:p>
            <w:pPr>
              <w:spacing w:after="0"/>
              <w:rPr>
                <w:sz w:val="20"/>
                <w:szCs w:val="20"/>
                <w:color w:val="auto"/>
              </w:rPr>
            </w:pPr>
            <w:r>
              <w:rPr>
                <w:rFonts w:ascii="Arial" w:cs="Arial" w:eastAsia="Arial" w:hAnsi="Arial"/>
                <w:sz w:val="16"/>
                <w:szCs w:val="16"/>
                <w:color w:val="auto"/>
              </w:rPr>
              <w:t>Segment Adjusted EBITDA</w:t>
            </w: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rPr>
                <w:sz w:val="20"/>
                <w:szCs w:val="20"/>
                <w:color w:val="auto"/>
              </w:rPr>
            </w:pPr>
            <w:r>
              <w:rPr>
                <w:rFonts w:ascii="Arial" w:cs="Arial" w:eastAsia="Arial" w:hAnsi="Arial"/>
                <w:sz w:val="16"/>
                <w:szCs w:val="16"/>
                <w:color w:val="auto"/>
              </w:rPr>
              <w:t>Maintenance capital</w:t>
            </w: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w:t>
            </w: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Includes intersegment amounts.</w:t>
      </w:r>
    </w:p>
    <w:p>
      <w:pPr>
        <w:spacing w:after="0" w:line="145" w:lineRule="exact"/>
        <w:rPr>
          <w:rFonts w:ascii="Arial" w:cs="Arial" w:eastAsia="Arial" w:hAnsi="Arial"/>
          <w:sz w:val="27"/>
          <w:szCs w:val="27"/>
          <w:color w:val="auto"/>
          <w:vertAlign w:val="superscript"/>
        </w:rPr>
      </w:pPr>
    </w:p>
    <w:p>
      <w:pPr>
        <w:ind w:left="340" w:hanging="332"/>
        <w:spacing w:after="0" w:line="200" w:lineRule="auto"/>
        <w:tabs>
          <w:tab w:leader="none" w:pos="34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Field operating costs and Segment general and administrative expenses include equity-indexed compensation expense.</w:t>
      </w:r>
    </w:p>
    <w:p>
      <w:pPr>
        <w:spacing w:after="0" w:line="199" w:lineRule="exact"/>
        <w:rPr>
          <w:rFonts w:ascii="Arial" w:cs="Arial" w:eastAsia="Arial" w:hAnsi="Arial"/>
          <w:sz w:val="27"/>
          <w:szCs w:val="27"/>
          <w:color w:val="auto"/>
          <w:vertAlign w:val="superscript"/>
        </w:rPr>
      </w:pPr>
    </w:p>
    <w:p>
      <w:pPr>
        <w:ind w:left="340" w:right="500" w:hanging="332"/>
        <w:spacing w:after="0" w:line="198" w:lineRule="auto"/>
        <w:tabs>
          <w:tab w:leader="none" w:pos="34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99" w:lineRule="exact"/>
        <w:rPr>
          <w:rFonts w:ascii="Arial" w:cs="Arial" w:eastAsia="Arial" w:hAnsi="Arial"/>
          <w:sz w:val="27"/>
          <w:szCs w:val="27"/>
          <w:color w:val="auto"/>
          <w:vertAlign w:val="superscript"/>
        </w:rPr>
      </w:pPr>
    </w:p>
    <w:p>
      <w:pPr>
        <w:ind w:left="340" w:right="180" w:hanging="332"/>
        <w:spacing w:after="0" w:line="216" w:lineRule="auto"/>
        <w:tabs>
          <w:tab w:leader="none" w:pos="34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95"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auto"/>
        </w:rPr>
        <w:t>Page 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gridSpan w:val="5"/>
          </w:tcPr>
          <w:p>
            <w:pPr>
              <w:jc w:val="right"/>
              <w:spacing w:after="0"/>
              <w:rPr>
                <w:sz w:val="20"/>
                <w:szCs w:val="20"/>
                <w:color w:val="auto"/>
              </w:rPr>
            </w:pPr>
            <w:r>
              <w:rPr>
                <w:rFonts w:ascii="Arial" w:cs="Arial" w:eastAsia="Arial" w:hAnsi="Arial"/>
                <w:sz w:val="16"/>
                <w:szCs w:val="16"/>
                <w:b w:val="1"/>
                <w:bCs w:val="1"/>
                <w:color w:val="auto"/>
              </w:rPr>
              <w:t>Twelve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6"/>
          </w:tcPr>
          <w:p>
            <w:pPr>
              <w:jc w:val="center"/>
              <w:ind w:left="459"/>
              <w:spacing w:after="0"/>
              <w:rPr>
                <w:sz w:val="20"/>
                <w:szCs w:val="20"/>
                <w:color w:val="auto"/>
              </w:rPr>
            </w:pPr>
            <w:r>
              <w:rPr>
                <w:rFonts w:ascii="Arial" w:cs="Arial" w:eastAsia="Arial" w:hAnsi="Arial"/>
                <w:sz w:val="16"/>
                <w:szCs w:val="16"/>
                <w:b w:val="1"/>
                <w:bCs w:val="1"/>
                <w:color w:val="auto"/>
                <w:w w:val="91"/>
              </w:rPr>
              <w:t>Twelve Months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1"/>
              </w:rPr>
              <w:t>December 31,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w w:val="95"/>
              </w:rPr>
              <w:t>Transportation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Facilities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Logistics</w:t>
            </w:r>
          </w:p>
        </w:tc>
        <w:tc>
          <w:tcPr>
            <w:tcW w:w="120" w:type="dxa"/>
            <w:vAlign w:val="bottom"/>
          </w:tcPr>
          <w:p>
            <w:pPr>
              <w:spacing w:after="0"/>
              <w:rPr>
                <w:sz w:val="18"/>
                <w:szCs w:val="18"/>
                <w:color w:val="auto"/>
              </w:rPr>
            </w:pP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w w:val="92"/>
              </w:rPr>
              <w:t>Transportation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Logistics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line="249" w:lineRule="exact"/>
              <w:rPr>
                <w:sz w:val="20"/>
                <w:szCs w:val="20"/>
                <w:color w:val="auto"/>
              </w:rPr>
            </w:pPr>
            <w:r>
              <w:rPr>
                <w:rFonts w:ascii="Arial" w:cs="Arial" w:eastAsia="Arial" w:hAnsi="Arial"/>
                <w:sz w:val="16"/>
                <w:szCs w:val="16"/>
                <w:color w:val="auto"/>
              </w:rPr>
              <w:t xml:space="preserve">Revenues </w:t>
            </w:r>
            <w:r>
              <w:rPr>
                <w:rFonts w:ascii="Arial" w:cs="Arial" w:eastAsia="Arial" w:hAnsi="Arial"/>
                <w:sz w:val="27"/>
                <w:szCs w:val="27"/>
                <w:color w:val="auto"/>
                <w:vertAlign w:val="superscript"/>
              </w:rPr>
              <w:t>(1)</w:t>
            </w: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vMerge w:val="continue"/>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32,276</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32,822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Purchases and related costs </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(31,276)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(31,487)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Field operating costs </w:t>
            </w:r>
            <w:r>
              <w:rPr>
                <w:rFonts w:ascii="Arial" w:cs="Arial" w:eastAsia="Arial" w:hAnsi="Arial"/>
                <w:sz w:val="27"/>
                <w:szCs w:val="27"/>
                <w:color w:val="auto"/>
                <w:vertAlign w:val="superscript"/>
              </w:rPr>
              <w:t>(1) (2)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Segment general and administrative expenses </w:t>
            </w:r>
            <w:r>
              <w:rPr>
                <w:rFonts w:ascii="Arial" w:cs="Arial" w:eastAsia="Arial" w:hAnsi="Arial"/>
                <w:sz w:val="27"/>
                <w:szCs w:val="27"/>
                <w:color w:val="auto"/>
                <w:vertAlign w:val="superscript"/>
              </w:rPr>
              <w:t>(2) (3)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Equity earnings in unconsolidated entities</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7"/>
                <w:szCs w:val="27"/>
                <w:color w:val="auto"/>
                <w:vertAlign w:val="superscript"/>
              </w:rPr>
              <w:t>(4)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w w:val="94"/>
              </w:rPr>
              <w:t>Depreciation and amortization of unconsolidated entities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(Gains)/losses from derivative activities net of inventory</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valuation adjustments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Long-term inventory costing adjustments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Deficiencies under minimum volume commitments, net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Equity-indexed compensation expense</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on foreign currency revaluation</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Line 901 incident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vMerge w:val="continue"/>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803</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Maintenance capital</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Includes intersegment amounts.</w:t>
      </w:r>
    </w:p>
    <w:p>
      <w:pPr>
        <w:spacing w:after="0" w:line="145" w:lineRule="exact"/>
        <w:rPr>
          <w:rFonts w:ascii="Arial" w:cs="Arial" w:eastAsia="Arial" w:hAnsi="Arial"/>
          <w:sz w:val="27"/>
          <w:szCs w:val="27"/>
          <w:color w:val="auto"/>
          <w:vertAlign w:val="superscript"/>
        </w:rPr>
      </w:pPr>
    </w:p>
    <w:p>
      <w:pPr>
        <w:ind w:left="340" w:hanging="332"/>
        <w:spacing w:after="0" w:line="200"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Field operating costs and Segment general and administrative expenses include equity-indexed compensation expense.</w:t>
      </w:r>
    </w:p>
    <w:p>
      <w:pPr>
        <w:spacing w:after="0" w:line="199" w:lineRule="exact"/>
        <w:rPr>
          <w:rFonts w:ascii="Arial" w:cs="Arial" w:eastAsia="Arial" w:hAnsi="Arial"/>
          <w:sz w:val="27"/>
          <w:szCs w:val="27"/>
          <w:color w:val="auto"/>
          <w:vertAlign w:val="superscript"/>
        </w:rPr>
      </w:pPr>
    </w:p>
    <w:p>
      <w:pPr>
        <w:ind w:left="340" w:right="500" w:hanging="332"/>
        <w:spacing w:after="0" w:line="198"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99" w:lineRule="exact"/>
        <w:rPr>
          <w:rFonts w:ascii="Arial" w:cs="Arial" w:eastAsia="Arial" w:hAnsi="Arial"/>
          <w:sz w:val="27"/>
          <w:szCs w:val="27"/>
          <w:color w:val="auto"/>
          <w:vertAlign w:val="superscript"/>
        </w:rPr>
      </w:pPr>
    </w:p>
    <w:p>
      <w:pPr>
        <w:ind w:left="340" w:right="20" w:hanging="332"/>
        <w:spacing w:after="0" w:line="216"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95"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9"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auto"/>
        </w:rPr>
        <w:t>Page 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64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OPERATING DATA BY SEGMENT </w:t>
            </w:r>
            <w:r>
              <w:rPr>
                <w:rFonts w:ascii="Arial" w:cs="Arial" w:eastAsia="Arial" w:hAnsi="Arial"/>
                <w:sz w:val="30"/>
                <w:szCs w:val="30"/>
                <w:b w:val="1"/>
                <w:bCs w:val="1"/>
                <w:color w:val="auto"/>
                <w:vertAlign w:val="superscript"/>
              </w:rPr>
              <w:t>(1)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23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19"/>
                <w:szCs w:val="19"/>
                <w:color w:val="auto"/>
              </w:rPr>
            </w:pPr>
          </w:p>
        </w:tc>
        <w:tc>
          <w:tcPr>
            <w:tcW w:w="2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0"/>
              </w:rPr>
              <w:t>Transportation segment (average daily volumes in thousands of barrels</w:t>
            </w:r>
          </w:p>
        </w:tc>
        <w:tc>
          <w:tcPr>
            <w:tcW w:w="8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per day):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Tariff activities volumes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Crude oil pipelines (by region):</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3"/>
          </w:tcPr>
          <w:p>
            <w:pPr>
              <w:ind w:left="480"/>
              <w:spacing w:after="0" w:line="25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9"/>
                <w:szCs w:val="29"/>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5,052</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4,063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4,690</w:t>
            </w:r>
          </w:p>
        </w:tc>
        <w:tc>
          <w:tcPr>
            <w:tcW w:w="44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3,732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3"/>
            <w:shd w:val="clear" w:color="auto" w:fill="CCEEFF"/>
          </w:tcPr>
          <w:p>
            <w:pPr>
              <w:ind w:left="480"/>
              <w:spacing w:after="0" w:line="25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9"/>
                <w:szCs w:val="29"/>
                <w:color w:val="auto"/>
                <w:vertAlign w:val="superscript"/>
              </w:rPr>
              <w:t>(2)</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8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4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3"/>
          </w:tcPr>
          <w:p>
            <w:pPr>
              <w:ind w:left="480"/>
              <w:spacing w:after="0" w:line="25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9"/>
                <w:szCs w:val="29"/>
                <w:color w:val="auto"/>
                <w:vertAlign w:val="superscript"/>
              </w:rPr>
              <w:t>(2)</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420</w:t>
            </w: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523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44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Gulf Coast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3"/>
          </w:tcPr>
          <w:p>
            <w:pPr>
              <w:ind w:left="480"/>
              <w:spacing w:after="0" w:line="25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9"/>
                <w:szCs w:val="29"/>
                <w:color w:val="auto"/>
                <w:vertAlign w:val="superscript"/>
              </w:rPr>
              <w:t>(2)</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275</w:t>
            </w: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44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Western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gridSpan w:val="3"/>
          </w:tcPr>
          <w:p>
            <w:pPr>
              <w:ind w:left="480"/>
              <w:spacing w:after="0"/>
              <w:rPr>
                <w:sz w:val="20"/>
                <w:szCs w:val="20"/>
                <w:color w:val="auto"/>
              </w:rPr>
            </w:pPr>
            <w:r>
              <w:rPr>
                <w:rFonts w:ascii="Arial" w:cs="Arial" w:eastAsia="Arial" w:hAnsi="Arial"/>
                <w:sz w:val="18"/>
                <w:szCs w:val="18"/>
                <w:color w:val="auto"/>
              </w:rPr>
              <w:t>Canada</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336</w:t>
            </w:r>
          </w:p>
        </w:tc>
        <w:tc>
          <w:tcPr>
            <w:tcW w:w="8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Crude oil pipelines</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6,911</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6,082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gridSpan w:val="3"/>
          </w:tcPr>
          <w:p>
            <w:pPr>
              <w:ind w:left="320"/>
              <w:spacing w:after="0"/>
              <w:rPr>
                <w:sz w:val="20"/>
                <w:szCs w:val="20"/>
                <w:color w:val="auto"/>
              </w:rPr>
            </w:pPr>
            <w:r>
              <w:rPr>
                <w:rFonts w:ascii="Arial" w:cs="Arial" w:eastAsia="Arial" w:hAnsi="Arial"/>
                <w:sz w:val="18"/>
                <w:szCs w:val="18"/>
                <w:color w:val="auto"/>
              </w:rPr>
              <w:t>NGL pipelines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8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7,095</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6,294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Trucking volumes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7,191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6,404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Borders>
              <w:bottom w:val="single" w:sz="8" w:color="CCEEFF"/>
            </w:tcBorders>
            <w:gridSpan w:val="2"/>
          </w:tcPr>
          <w:p>
            <w:pPr>
              <w:ind w:left="160"/>
              <w:spacing w:after="0" w:line="243" w:lineRule="exact"/>
              <w:rPr>
                <w:sz w:val="20"/>
                <w:szCs w:val="20"/>
                <w:color w:val="auto"/>
              </w:rPr>
            </w:pPr>
            <w:r>
              <w:rPr>
                <w:rFonts w:ascii="Arial" w:cs="Arial" w:eastAsia="Arial" w:hAnsi="Arial"/>
                <w:sz w:val="17"/>
                <w:szCs w:val="17"/>
                <w:color w:val="auto"/>
              </w:rPr>
              <w:t xml:space="preserve">Liquids storage (average monthly capacity in millions of barrels) </w:t>
            </w:r>
            <w:r>
              <w:rPr>
                <w:rFonts w:ascii="Arial" w:cs="Arial" w:eastAsia="Arial" w:hAnsi="Arial"/>
                <w:sz w:val="28"/>
                <w:szCs w:val="28"/>
                <w:color w:val="auto"/>
                <w:vertAlign w:val="superscript"/>
              </w:rPr>
              <w:t>(3)</w:t>
            </w: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gridSpan w:val="2"/>
            <w:shd w:val="clear" w:color="auto" w:fill="CCEEFF"/>
          </w:tcPr>
          <w:p>
            <w:pPr>
              <w:ind w:left="160"/>
              <w:spacing w:after="0" w:line="156" w:lineRule="exact"/>
              <w:rPr>
                <w:sz w:val="20"/>
                <w:szCs w:val="20"/>
                <w:color w:val="auto"/>
              </w:rPr>
            </w:pPr>
            <w:r>
              <w:rPr>
                <w:rFonts w:ascii="Arial" w:cs="Arial" w:eastAsia="Arial" w:hAnsi="Arial"/>
                <w:sz w:val="18"/>
                <w:szCs w:val="18"/>
                <w:color w:val="auto"/>
              </w:rPr>
              <w:t>Natural gas storage (average monthly working capacity in billions of</w:t>
            </w:r>
          </w:p>
        </w:tc>
        <w:tc>
          <w:tcPr>
            <w:tcW w:w="8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vMerge w:val="restart"/>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vMerge w:val="restart"/>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cubic feet)</w:t>
            </w: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gridSpan w:val="2"/>
          </w:tcPr>
          <w:p>
            <w:pPr>
              <w:ind w:left="160"/>
              <w:spacing w:after="0" w:line="196" w:lineRule="exact"/>
              <w:rPr>
                <w:sz w:val="20"/>
                <w:szCs w:val="20"/>
                <w:color w:val="auto"/>
              </w:rPr>
            </w:pPr>
            <w:r>
              <w:rPr>
                <w:rFonts w:ascii="Arial" w:cs="Arial" w:eastAsia="Arial" w:hAnsi="Arial"/>
                <w:sz w:val="18"/>
                <w:szCs w:val="18"/>
                <w:color w:val="auto"/>
                <w:w w:val="99"/>
              </w:rPr>
              <w:t>NGL fractionation (average volumes in thousands of barrels per day)</w:t>
            </w:r>
          </w:p>
        </w:tc>
        <w:tc>
          <w:tcPr>
            <w:tcW w:w="8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c>
          <w:tcPr>
            <w:tcW w:w="240" w:type="dxa"/>
            <w:vAlign w:val="bottom"/>
            <w:tcBorders>
              <w:bottom w:val="single" w:sz="8" w:color="CCEEFF"/>
            </w:tcBorders>
            <w:vMerge w:val="continue"/>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vMerge w:val="continue"/>
          </w:tcPr>
          <w:p>
            <w:pPr>
              <w:spacing w:after="0"/>
              <w:rPr>
                <w:sz w:val="20"/>
                <w:szCs w:val="20"/>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vMerge w:val="continue"/>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00" w:type="dxa"/>
            <w:vAlign w:val="bottom"/>
            <w:gridSpan w:val="2"/>
            <w:shd w:val="clear" w:color="auto" w:fill="CCEEFF"/>
          </w:tcPr>
          <w:p>
            <w:pPr>
              <w:spacing w:after="0" w:line="159" w:lineRule="exact"/>
              <w:rPr>
                <w:sz w:val="20"/>
                <w:szCs w:val="20"/>
                <w:color w:val="auto"/>
              </w:rPr>
            </w:pPr>
            <w:r>
              <w:rPr>
                <w:rFonts w:ascii="Arial" w:cs="Arial" w:eastAsia="Arial" w:hAnsi="Arial"/>
                <w:sz w:val="18"/>
                <w:szCs w:val="18"/>
                <w:color w:val="auto"/>
                <w:w w:val="97"/>
              </w:rPr>
              <w:t>Facilities segment total volumes (average monthly volumes in millions of</w:t>
            </w:r>
          </w:p>
        </w:tc>
        <w:tc>
          <w:tcPr>
            <w:tcW w:w="8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440" w:type="dxa"/>
            <w:vAlign w:val="bottom"/>
            <w:gridSpan w:val="3"/>
            <w:shd w:val="clear" w:color="auto" w:fill="CCEEFF"/>
          </w:tcPr>
          <w:p>
            <w:pPr>
              <w:ind w:left="160"/>
              <w:spacing w:after="0" w:line="253"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9"/>
                <w:szCs w:val="29"/>
                <w:color w:val="auto"/>
                <w:vertAlign w:val="superscript"/>
              </w:rPr>
              <w:t>(4)</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8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4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 of</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ind w:left="320"/>
              <w:spacing w:after="0"/>
              <w:rPr>
                <w:sz w:val="20"/>
                <w:szCs w:val="20"/>
                <w:color w:val="auto"/>
              </w:rPr>
            </w:pPr>
            <w:r>
              <w:rPr>
                <w:rFonts w:ascii="Arial" w:cs="Arial" w:eastAsia="Arial" w:hAnsi="Arial"/>
                <w:sz w:val="18"/>
                <w:szCs w:val="18"/>
                <w:color w:val="auto"/>
              </w:rPr>
              <w:t>Crude oil lease gathering purchases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1,271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1,111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1,162</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NGL sales</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color w:val="auto"/>
              </w:rPr>
              <w:t>Supply and Logistics segment total volumes</w:t>
            </w:r>
          </w:p>
        </w:tc>
        <w:tc>
          <w:tcPr>
            <w:tcW w:w="8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1,492</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1,403</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163" w:lineRule="exact"/>
        <w:rPr>
          <w:rFonts w:ascii="Arial" w:cs="Arial" w:eastAsia="Arial" w:hAnsi="Arial"/>
          <w:sz w:val="26"/>
          <w:szCs w:val="26"/>
          <w:color w:val="auto"/>
          <w:vertAlign w:val="superscript"/>
        </w:rPr>
      </w:pPr>
    </w:p>
    <w:p>
      <w:pPr>
        <w:ind w:left="340" w:hanging="332"/>
        <w:spacing w:after="0" w:line="186"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203" w:lineRule="exact"/>
        <w:rPr>
          <w:rFonts w:ascii="Arial" w:cs="Arial" w:eastAsia="Arial" w:hAnsi="Arial"/>
          <w:sz w:val="30"/>
          <w:szCs w:val="30"/>
          <w:color w:val="auto"/>
          <w:vertAlign w:val="superscript"/>
        </w:rPr>
      </w:pPr>
    </w:p>
    <w:p>
      <w:pPr>
        <w:ind w:left="340" w:right="80" w:hanging="332"/>
        <w:spacing w:after="0" w:line="223"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1"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Fee-based Segment Adjusted EBITDA to Adjusted EBITDA Reconciliation: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b w:val="1"/>
                <w:bCs w:val="1"/>
                <w:color w:val="auto"/>
              </w:rPr>
              <w:t>Twelve Months Ended</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88"/>
              </w:rPr>
              <w:t>December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84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8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Fee-based Segment Adjusted EBITDA</w:t>
            </w:r>
          </w:p>
        </w:tc>
        <w:tc>
          <w:tcPr>
            <w:tcW w:w="84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2,427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30"/>
                <w:szCs w:val="30"/>
                <w:color w:val="auto"/>
                <w:vertAlign w:val="superscript"/>
              </w:rPr>
              <w:t>(1)</w:t>
            </w:r>
          </w:p>
        </w:tc>
        <w:tc>
          <w:tcPr>
            <w:tcW w:w="8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line="28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30"/>
                <w:szCs w:val="30"/>
                <w:color w:val="auto"/>
                <w:vertAlign w:val="superscript"/>
              </w:rPr>
              <w:t>(2)</w:t>
            </w: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vMerge w:val="continue"/>
          </w:tcPr>
          <w:p>
            <w:pPr>
              <w:spacing w:after="0"/>
              <w:rPr>
                <w:sz w:val="22"/>
                <w:szCs w:val="22"/>
                <w:color w:val="auto"/>
              </w:rPr>
            </w:pP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860</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92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3,237</w:t>
            </w:r>
          </w:p>
        </w:tc>
        <w:tc>
          <w:tcPr>
            <w:tcW w:w="820" w:type="dxa"/>
            <w:vAlign w:val="bottom"/>
            <w:gridSpan w:val="2"/>
          </w:tcPr>
          <w:p>
            <w:pPr>
              <w:jc w:val="right"/>
              <w:ind w:right="645"/>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2,684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ind w:left="340" w:right="220" w:hanging="332"/>
        <w:spacing w:after="0" w:line="209" w:lineRule="auto"/>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 million, $15 million, $(17) million and $10 million for the three and twelve months ended December 31, 2019 and 2018, respectively. See the “Selected Items Impacting Comparability” table for additional information.</w:t>
      </w:r>
    </w:p>
    <w:p>
      <w:pPr>
        <w:spacing w:after="0" w:line="88"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gridSpan w:val="5"/>
          </w:tcPr>
          <w:p>
            <w:pPr>
              <w:jc w:val="center"/>
              <w:ind w:left="539"/>
              <w:spacing w:after="0"/>
              <w:rPr>
                <w:sz w:val="20"/>
                <w:szCs w:val="20"/>
                <w:color w:val="auto"/>
              </w:rPr>
            </w:pPr>
            <w:r>
              <w:rPr>
                <w:rFonts w:ascii="Arial" w:cs="Arial" w:eastAsia="Arial" w:hAnsi="Arial"/>
                <w:sz w:val="16"/>
                <w:szCs w:val="16"/>
                <w:b w:val="1"/>
                <w:bCs w:val="1"/>
                <w:color w:val="auto"/>
                <w:w w:val="92"/>
              </w:rPr>
              <w:t>Three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gridSpan w:val="6"/>
          </w:tcPr>
          <w:p>
            <w:pPr>
              <w:jc w:val="center"/>
              <w:ind w:left="539"/>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1"/>
              </w:rPr>
              <w:t>December 31,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r>
      <w:tr>
        <w:trPr>
          <w:trHeight w:val="213"/>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6"/>
              </w:rPr>
              <w:t>Facilities</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Logistics</w:t>
            </w:r>
          </w:p>
        </w:tc>
        <w:tc>
          <w:tcPr>
            <w:tcW w:w="1180" w:type="dxa"/>
            <w:vAlign w:val="bottom"/>
            <w:gridSpan w:val="4"/>
          </w:tcPr>
          <w:p>
            <w:pPr>
              <w:ind w:left="100"/>
              <w:spacing w:after="0"/>
              <w:rPr>
                <w:sz w:val="20"/>
                <w:szCs w:val="20"/>
                <w:color w:val="auto"/>
              </w:rPr>
            </w:pPr>
            <w:r>
              <w:rPr>
                <w:rFonts w:ascii="Arial" w:cs="Arial" w:eastAsia="Arial" w:hAnsi="Arial"/>
                <w:sz w:val="16"/>
                <w:szCs w:val="16"/>
                <w:b w:val="1"/>
                <w:bCs w:val="1"/>
                <w:color w:val="auto"/>
                <w:w w:val="93"/>
              </w:rPr>
              <w:t>Transportation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Logistics</w:t>
            </w:r>
          </w:p>
        </w:tc>
      </w:tr>
      <w:tr>
        <w:trPr>
          <w:trHeight w:val="19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top w:val="single" w:sz="8" w:color="CCEEFF"/>
            </w:tcBorders>
            <w:shd w:val="clear" w:color="auto" w:fill="CCEEFF"/>
          </w:tcPr>
          <w:p>
            <w:pPr>
              <w:spacing w:after="0"/>
              <w:rPr>
                <w:sz w:val="17"/>
                <w:szCs w:val="17"/>
                <w:color w:val="auto"/>
              </w:rPr>
            </w:pPr>
          </w:p>
        </w:tc>
      </w:tr>
      <w:tr>
        <w:trPr>
          <w:trHeight w:val="257"/>
        </w:trPr>
        <w:tc>
          <w:tcPr>
            <w:tcW w:w="3900" w:type="dxa"/>
            <w:vAlign w:val="bottom"/>
          </w:tcPr>
          <w:p>
            <w:pPr>
              <w:spacing w:after="0" w:line="25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7"/>
                <w:szCs w:val="27"/>
                <w:color w:val="auto"/>
                <w:vertAlign w:val="superscript"/>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73"/>
        </w:trPr>
        <w:tc>
          <w:tcPr>
            <w:tcW w:w="3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6"/>
              </w:rPr>
              <w:t>Segment Adjusted EBITDA further adjusted for impact of</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6"/>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divested assets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232</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88"/>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5"/>
          </w:tcPr>
          <w:p>
            <w:pPr>
              <w:jc w:val="center"/>
              <w:ind w:left="539"/>
              <w:spacing w:after="0"/>
              <w:rPr>
                <w:sz w:val="20"/>
                <w:szCs w:val="20"/>
                <w:color w:val="auto"/>
              </w:rPr>
            </w:pPr>
            <w:r>
              <w:rPr>
                <w:rFonts w:ascii="Arial" w:cs="Arial" w:eastAsia="Arial" w:hAnsi="Arial"/>
                <w:sz w:val="16"/>
                <w:szCs w:val="16"/>
                <w:b w:val="1"/>
                <w:bCs w:val="1"/>
                <w:color w:val="auto"/>
                <w:w w:val="91"/>
              </w:rPr>
              <w:t>Twelve Months Ended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gridSpan w:val="7"/>
          </w:tcPr>
          <w:p>
            <w:pPr>
              <w:jc w:val="center"/>
              <w:ind w:left="459"/>
              <w:spacing w:after="0"/>
              <w:rPr>
                <w:sz w:val="20"/>
                <w:szCs w:val="20"/>
                <w:color w:val="auto"/>
              </w:rPr>
            </w:pPr>
            <w:r>
              <w:rPr>
                <w:rFonts w:ascii="Arial" w:cs="Arial" w:eastAsia="Arial" w:hAnsi="Arial"/>
                <w:sz w:val="16"/>
                <w:szCs w:val="16"/>
                <w:b w:val="1"/>
                <w:bCs w:val="1"/>
                <w:color w:val="auto"/>
                <w:w w:val="91"/>
              </w:rPr>
              <w:t>Twelve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1"/>
              </w:rPr>
              <w:t>December 31,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r>
      <w:tr>
        <w:trPr>
          <w:trHeight w:val="213"/>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6"/>
              </w:rPr>
              <w:t>Facilities</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Logistics</w:t>
            </w:r>
          </w:p>
        </w:tc>
        <w:tc>
          <w:tcPr>
            <w:tcW w:w="1180" w:type="dxa"/>
            <w:vAlign w:val="bottom"/>
            <w:gridSpan w:val="4"/>
          </w:tcPr>
          <w:p>
            <w:pPr>
              <w:ind w:left="100"/>
              <w:spacing w:after="0"/>
              <w:rPr>
                <w:sz w:val="20"/>
                <w:szCs w:val="20"/>
                <w:color w:val="auto"/>
              </w:rPr>
            </w:pPr>
            <w:r>
              <w:rPr>
                <w:rFonts w:ascii="Arial" w:cs="Arial" w:eastAsia="Arial" w:hAnsi="Arial"/>
                <w:sz w:val="16"/>
                <w:szCs w:val="16"/>
                <w:b w:val="1"/>
                <w:bCs w:val="1"/>
                <w:color w:val="auto"/>
                <w:w w:val="93"/>
              </w:rPr>
              <w:t>Transportation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Logistics</w:t>
            </w:r>
          </w:p>
        </w:tc>
      </w:tr>
      <w:tr>
        <w:trPr>
          <w:trHeight w:val="19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Borders>
              <w:top w:val="single" w:sz="8" w:color="CCEEFF"/>
            </w:tcBorders>
            <w:shd w:val="clear" w:color="auto" w:fill="CCEEFF"/>
          </w:tcPr>
          <w:p>
            <w:pPr>
              <w:spacing w:after="0"/>
              <w:rPr>
                <w:sz w:val="17"/>
                <w:szCs w:val="17"/>
                <w:color w:val="auto"/>
              </w:rPr>
            </w:pPr>
          </w:p>
        </w:tc>
      </w:tr>
      <w:tr>
        <w:trPr>
          <w:trHeight w:val="257"/>
        </w:trPr>
        <w:tc>
          <w:tcPr>
            <w:tcW w:w="3900" w:type="dxa"/>
            <w:vAlign w:val="bottom"/>
          </w:tcPr>
          <w:p>
            <w:pPr>
              <w:spacing w:after="0" w:line="25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7"/>
                <w:szCs w:val="27"/>
                <w:color w:val="auto"/>
                <w:vertAlign w:val="superscript"/>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73"/>
        </w:trPr>
        <w:tc>
          <w:tcPr>
            <w:tcW w:w="3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6"/>
              </w:rPr>
              <w:t>Segment Adjusted EBITDA further adjusted for impact of</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6"/>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divested assets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803</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1" w:lineRule="exact"/>
        <w:rPr>
          <w:sz w:val="20"/>
          <w:szCs w:val="20"/>
          <w:color w:val="auto"/>
        </w:rPr>
      </w:pPr>
    </w:p>
    <w:p>
      <w:pPr>
        <w:jc w:val="both"/>
        <w:ind w:left="340" w:right="300" w:hanging="332"/>
        <w:spacing w:after="0" w:line="232"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Estimated impact of divestitures completed during 2018 and 2019, assuming an effective date of January 1, 2018. Divested assets primarily included a 30% interest in BridgeTex Pipeline Company, LLC and certain pipelines in the Rocky Mountain region that were previously reported in our Transportation segment, and a natural gas processing facility and certain crude oil and NGL terminals that were previously reported in our Facilities segment.</w:t>
      </w:r>
    </w:p>
    <w:p>
      <w:pPr>
        <w:spacing w:after="0" w:line="207"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177165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7"/>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8"/>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December 31, 2019</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ind w:right="140"/>
              <w:spacing w:after="0" w:line="195" w:lineRule="exact"/>
              <w:rPr>
                <w:sz w:val="20"/>
                <w:szCs w:val="20"/>
                <w:color w:val="auto"/>
              </w:rPr>
            </w:pPr>
            <w:r>
              <w:rPr>
                <w:rFonts w:ascii="Arial" w:cs="Arial" w:eastAsia="Arial" w:hAnsi="Arial"/>
                <w:sz w:val="18"/>
                <w:szCs w:val="18"/>
                <w:b w:val="1"/>
                <w:bCs w:val="1"/>
                <w:color w:val="auto"/>
                <w:w w:val="91"/>
              </w:rPr>
              <w:t>Consolidating</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80"/>
              <w:spacing w:after="0" w:line="195" w:lineRule="exact"/>
              <w:rPr>
                <w:sz w:val="20"/>
                <w:szCs w:val="20"/>
                <w:color w:val="auto"/>
              </w:rPr>
            </w:pPr>
            <w:r>
              <w:rPr>
                <w:rFonts w:ascii="Arial" w:cs="Arial" w:eastAsia="Arial" w:hAnsi="Arial"/>
                <w:sz w:val="18"/>
                <w:szCs w:val="18"/>
                <w:b w:val="1"/>
                <w:bCs w:val="1"/>
                <w:color w:val="auto"/>
                <w:w w:val="89"/>
              </w:rPr>
              <w:t>Consolidating</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PAA</w:t>
            </w:r>
          </w:p>
        </w:tc>
        <w:tc>
          <w:tcPr>
            <w:tcW w:w="134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w w:val="95"/>
              </w:rPr>
              <w:t xml:space="preserve">Adjustments </w:t>
            </w:r>
            <w:r>
              <w:rPr>
                <w:rFonts w:ascii="Arial" w:cs="Arial" w:eastAsia="Arial" w:hAnsi="Arial"/>
                <w:sz w:val="30"/>
                <w:szCs w:val="30"/>
                <w:b w:val="1"/>
                <w:bCs w:val="1"/>
                <w:color w:val="auto"/>
                <w:w w:val="95"/>
                <w:vertAlign w:val="superscript"/>
              </w:rPr>
              <w:t>(1)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PAGP</w:t>
            </w:r>
          </w:p>
        </w:tc>
        <w:tc>
          <w:tcPr>
            <w:tcW w:w="180" w:type="dxa"/>
            <w:vAlign w:val="bottom"/>
          </w:tcPr>
          <w:p>
            <w:pPr>
              <w:spacing w:after="0"/>
              <w:rPr>
                <w:sz w:val="23"/>
                <w:szCs w:val="2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PAA</w:t>
            </w:r>
          </w:p>
        </w:tc>
        <w:tc>
          <w:tcPr>
            <w:tcW w:w="160" w:type="dxa"/>
            <w:vAlign w:val="bottom"/>
          </w:tcPr>
          <w:p>
            <w:pPr>
              <w:spacing w:after="0"/>
              <w:rPr>
                <w:sz w:val="23"/>
                <w:szCs w:val="23"/>
                <w:color w:val="auto"/>
              </w:rPr>
            </w:pPr>
          </w:p>
        </w:tc>
        <w:tc>
          <w:tcPr>
            <w:tcW w:w="1360" w:type="dxa"/>
            <w:vAlign w:val="bottom"/>
            <w:gridSpan w:val="3"/>
          </w:tcPr>
          <w:p>
            <w:pPr>
              <w:jc w:val="center"/>
              <w:ind w:right="80"/>
              <w:spacing w:after="0" w:line="271" w:lineRule="exact"/>
              <w:rPr>
                <w:sz w:val="20"/>
                <w:szCs w:val="20"/>
                <w:color w:val="auto"/>
              </w:rPr>
            </w:pPr>
            <w:r>
              <w:rPr>
                <w:rFonts w:ascii="Arial" w:cs="Arial" w:eastAsia="Arial" w:hAnsi="Arial"/>
                <w:sz w:val="18"/>
                <w:szCs w:val="18"/>
                <w:b w:val="1"/>
                <w:bCs w:val="1"/>
                <w:color w:val="auto"/>
                <w:w w:val="86"/>
              </w:rPr>
              <w:t xml:space="preserve">Adjustments </w:t>
            </w:r>
            <w:r>
              <w:rPr>
                <w:rFonts w:ascii="Arial" w:cs="Arial" w:eastAsia="Arial" w:hAnsi="Arial"/>
                <w:sz w:val="30"/>
                <w:szCs w:val="30"/>
                <w:b w:val="1"/>
                <w:bCs w:val="1"/>
                <w:color w:val="auto"/>
                <w:w w:val="86"/>
                <w:vertAlign w:val="superscript"/>
              </w:rPr>
              <w:t>(1)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PAGP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8,234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6,955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320</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163</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2"/>
              </w:rPr>
              <w:t>(Gains)/losses on asset sales and asset impairments, net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331</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Gain/(loss) on investment in unconsolidated entities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332</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307</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(882)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 CLASS A SHARES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CLASS A</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SHARES OUTSTANDING</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171450</wp:posOffset>
            </wp:positionV>
            <wp:extent cx="18097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360" w:hanging="332"/>
        <w:spacing w:after="0"/>
        <w:tabs>
          <w:tab w:leader="none" w:pos="360"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40" w:hanging="96"/>
        <w:spacing w:after="0"/>
        <w:tabs>
          <w:tab w:leader="none" w:pos="5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152400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40"/>
        <w:spacing w:after="0"/>
        <w:tabs>
          <w:tab w:leader="none" w:pos="4860" w:val="left"/>
          <w:tab w:leader="none" w:pos="766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480695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2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7"/>
          </w:tcPr>
          <w:p>
            <w:pPr>
              <w:jc w:val="center"/>
              <w:ind w:left="470"/>
              <w:spacing w:after="0"/>
              <w:rPr>
                <w:sz w:val="20"/>
                <w:szCs w:val="20"/>
                <w:color w:val="auto"/>
              </w:rPr>
            </w:pPr>
            <w:r>
              <w:rPr>
                <w:rFonts w:ascii="Arial" w:cs="Arial" w:eastAsia="Arial" w:hAnsi="Arial"/>
                <w:sz w:val="18"/>
                <w:szCs w:val="18"/>
                <w:b w:val="1"/>
                <w:bCs w:val="1"/>
                <w:color w:val="auto"/>
                <w:w w:val="90"/>
              </w:rPr>
              <w:t>Twelve Months Ended</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7"/>
          </w:tcPr>
          <w:p>
            <w:pPr>
              <w:jc w:val="center"/>
              <w:ind w:left="490"/>
              <w:spacing w:after="0"/>
              <w:rPr>
                <w:sz w:val="20"/>
                <w:szCs w:val="20"/>
                <w:color w:val="auto"/>
              </w:rPr>
            </w:pPr>
            <w:r>
              <w:rPr>
                <w:rFonts w:ascii="Arial" w:cs="Arial" w:eastAsia="Arial" w:hAnsi="Arial"/>
                <w:sz w:val="18"/>
                <w:szCs w:val="18"/>
                <w:b w:val="1"/>
                <w:bCs w:val="1"/>
                <w:color w:val="auto"/>
                <w:w w:val="89"/>
              </w:rPr>
              <w:t>Twelve Months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120"/>
              <w:spacing w:after="0" w:line="195" w:lineRule="exact"/>
              <w:rPr>
                <w:sz w:val="20"/>
                <w:szCs w:val="20"/>
                <w:color w:val="auto"/>
              </w:rPr>
            </w:pPr>
            <w:r>
              <w:rPr>
                <w:rFonts w:ascii="Arial" w:cs="Arial" w:eastAsia="Arial" w:hAnsi="Arial"/>
                <w:sz w:val="18"/>
                <w:szCs w:val="18"/>
                <w:b w:val="1"/>
                <w:bCs w:val="1"/>
                <w:color w:val="auto"/>
                <w:w w:val="89"/>
              </w:rPr>
              <w:t>Consolidating</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140"/>
              <w:spacing w:after="0" w:line="195" w:lineRule="exact"/>
              <w:rPr>
                <w:sz w:val="20"/>
                <w:szCs w:val="20"/>
                <w:color w:val="auto"/>
              </w:rPr>
            </w:pPr>
            <w:r>
              <w:rPr>
                <w:rFonts w:ascii="Arial" w:cs="Arial" w:eastAsia="Arial" w:hAnsi="Arial"/>
                <w:sz w:val="18"/>
                <w:szCs w:val="18"/>
                <w:b w:val="1"/>
                <w:bCs w:val="1"/>
                <w:color w:val="auto"/>
                <w:w w:val="88"/>
              </w:rPr>
              <w:t>Consolidating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PAA</w:t>
            </w:r>
          </w:p>
        </w:tc>
        <w:tc>
          <w:tcPr>
            <w:tcW w:w="160" w:type="dxa"/>
            <w:vAlign w:val="bottom"/>
          </w:tcPr>
          <w:p>
            <w:pPr>
              <w:spacing w:after="0"/>
              <w:rPr>
                <w:sz w:val="23"/>
                <w:szCs w:val="23"/>
                <w:color w:val="auto"/>
              </w:rPr>
            </w:pPr>
          </w:p>
        </w:tc>
        <w:tc>
          <w:tcPr>
            <w:tcW w:w="1360" w:type="dxa"/>
            <w:vAlign w:val="bottom"/>
            <w:gridSpan w:val="3"/>
          </w:tcPr>
          <w:p>
            <w:pPr>
              <w:jc w:val="center"/>
              <w:ind w:right="120"/>
              <w:spacing w:after="0" w:line="271"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30"/>
                <w:szCs w:val="30"/>
                <w:b w:val="1"/>
                <w:bCs w:val="1"/>
                <w:color w:val="auto"/>
                <w:w w:val="86"/>
                <w:vertAlign w:val="superscript"/>
              </w:rPr>
              <w:t>(1)</w:t>
            </w:r>
          </w:p>
        </w:tc>
        <w:tc>
          <w:tcPr>
            <w:tcW w:w="160" w:type="dxa"/>
            <w:vAlign w:val="bottom"/>
          </w:tcPr>
          <w:p>
            <w:pPr>
              <w:spacing w:after="0"/>
              <w:rPr>
                <w:sz w:val="23"/>
                <w:szCs w:val="23"/>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PAGP</w:t>
            </w:r>
          </w:p>
        </w:tc>
        <w:tc>
          <w:tcPr>
            <w:tcW w:w="180" w:type="dxa"/>
            <w:vAlign w:val="bottom"/>
          </w:tcPr>
          <w:p>
            <w:pPr>
              <w:spacing w:after="0"/>
              <w:rPr>
                <w:sz w:val="23"/>
                <w:szCs w:val="2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PAA</w:t>
            </w:r>
          </w:p>
        </w:tc>
        <w:tc>
          <w:tcPr>
            <w:tcW w:w="160" w:type="dxa"/>
            <w:vAlign w:val="bottom"/>
          </w:tcPr>
          <w:p>
            <w:pPr>
              <w:spacing w:after="0"/>
              <w:rPr>
                <w:sz w:val="23"/>
                <w:szCs w:val="23"/>
                <w:color w:val="auto"/>
              </w:rPr>
            </w:pPr>
          </w:p>
        </w:tc>
        <w:tc>
          <w:tcPr>
            <w:tcW w:w="1360" w:type="dxa"/>
            <w:vAlign w:val="bottom"/>
            <w:gridSpan w:val="3"/>
          </w:tcPr>
          <w:p>
            <w:pPr>
              <w:jc w:val="center"/>
              <w:ind w:right="120"/>
              <w:spacing w:after="0" w:line="271"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30"/>
                <w:szCs w:val="30"/>
                <w:b w:val="1"/>
                <w:bCs w:val="1"/>
                <w:color w:val="auto"/>
                <w:w w:val="86"/>
                <w:vertAlign w:val="superscript"/>
              </w:rPr>
              <w:t>(1)</w:t>
            </w:r>
          </w:p>
        </w:tc>
        <w:tc>
          <w:tcPr>
            <w:tcW w:w="14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PAGP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29,452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29,452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29,793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2"/>
              </w:rPr>
              <w:t>(Gains)/losses on asset sales and asset impairments, net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31,689</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Gain/(loss) on investment in unconsolidated entities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(1,722)</w:t>
            </w: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(1,731)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(1,773)</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 CLASS A SHARES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CLASS A</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December 31, 2019</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December 31, 2018</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right"/>
              <w:ind w:right="260"/>
              <w:spacing w:after="0" w:line="195" w:lineRule="exact"/>
              <w:rPr>
                <w:sz w:val="20"/>
                <w:szCs w:val="20"/>
                <w:color w:val="auto"/>
              </w:rPr>
            </w:pPr>
            <w:r>
              <w:rPr>
                <w:rFonts w:ascii="Arial" w:cs="Arial" w:eastAsia="Arial" w:hAnsi="Arial"/>
                <w:sz w:val="18"/>
                <w:szCs w:val="18"/>
                <w:b w:val="1"/>
                <w:bCs w:val="1"/>
                <w:color w:val="auto"/>
                <w:w w:val="89"/>
              </w:rPr>
              <w:t>Consolidating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jc w:val="right"/>
              <w:ind w:right="280"/>
              <w:spacing w:after="0" w:line="195" w:lineRule="exact"/>
              <w:rPr>
                <w:sz w:val="20"/>
                <w:szCs w:val="20"/>
                <w:color w:val="auto"/>
              </w:rPr>
            </w:pPr>
            <w:r>
              <w:rPr>
                <w:rFonts w:ascii="Arial" w:cs="Arial" w:eastAsia="Arial" w:hAnsi="Arial"/>
                <w:sz w:val="18"/>
                <w:szCs w:val="18"/>
                <w:b w:val="1"/>
                <w:bCs w:val="1"/>
                <w:color w:val="auto"/>
                <w:w w:val="91"/>
              </w:rPr>
              <w:t>Consolidating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PAA</w:t>
            </w:r>
          </w:p>
        </w:tc>
        <w:tc>
          <w:tcPr>
            <w:tcW w:w="180" w:type="dxa"/>
            <w:vAlign w:val="bottom"/>
          </w:tcPr>
          <w:p>
            <w:pPr>
              <w:spacing w:after="0"/>
              <w:rPr>
                <w:sz w:val="23"/>
                <w:szCs w:val="23"/>
                <w:color w:val="auto"/>
              </w:rPr>
            </w:pPr>
          </w:p>
        </w:tc>
        <w:tc>
          <w:tcPr>
            <w:tcW w:w="136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rPr>
              <w:t>Adjustments</w:t>
            </w:r>
            <w:r>
              <w:rPr>
                <w:rFonts w:ascii="Arial" w:cs="Arial" w:eastAsia="Arial" w:hAnsi="Arial"/>
                <w:sz w:val="30"/>
                <w:szCs w:val="30"/>
                <w:b w:val="1"/>
                <w:bCs w:val="1"/>
                <w:color w:val="auto"/>
                <w:vertAlign w:val="superscript"/>
              </w:rPr>
              <w:t>(1)</w:t>
            </w:r>
          </w:p>
        </w:tc>
        <w:tc>
          <w:tcPr>
            <w:tcW w:w="140" w:type="dxa"/>
            <w:vAlign w:val="bottom"/>
          </w:tcPr>
          <w:p>
            <w:pPr>
              <w:spacing w:after="0"/>
              <w:rPr>
                <w:sz w:val="23"/>
                <w:szCs w:val="23"/>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PAGP</w:t>
            </w:r>
          </w:p>
        </w:tc>
        <w:tc>
          <w:tcPr>
            <w:tcW w:w="180" w:type="dxa"/>
            <w:vAlign w:val="bottom"/>
          </w:tcPr>
          <w:p>
            <w:pPr>
              <w:spacing w:after="0"/>
              <w:rPr>
                <w:sz w:val="23"/>
                <w:szCs w:val="2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PAA</w:t>
            </w:r>
          </w:p>
        </w:tc>
        <w:tc>
          <w:tcPr>
            <w:tcW w:w="1580" w:type="dxa"/>
            <w:vAlign w:val="bottom"/>
            <w:gridSpan w:val="4"/>
          </w:tcPr>
          <w:p>
            <w:pPr>
              <w:ind w:left="180"/>
              <w:spacing w:after="0" w:line="271" w:lineRule="exact"/>
              <w:rPr>
                <w:sz w:val="20"/>
                <w:szCs w:val="20"/>
                <w:color w:val="auto"/>
              </w:rPr>
            </w:pPr>
            <w:r>
              <w:rPr>
                <w:rFonts w:ascii="Arial" w:cs="Arial" w:eastAsia="Arial" w:hAnsi="Arial"/>
                <w:sz w:val="18"/>
                <w:szCs w:val="18"/>
                <w:b w:val="1"/>
                <w:bCs w:val="1"/>
                <w:color w:val="auto"/>
                <w:w w:val="99"/>
              </w:rPr>
              <w:t xml:space="preserve">Adjustments </w:t>
            </w:r>
            <w:r>
              <w:rPr>
                <w:rFonts w:ascii="Arial" w:cs="Arial" w:eastAsia="Arial" w:hAnsi="Arial"/>
                <w:sz w:val="30"/>
                <w:szCs w:val="30"/>
                <w:b w:val="1"/>
                <w:bCs w:val="1"/>
                <w:color w:val="auto"/>
                <w:w w:val="99"/>
                <w:vertAlign w:val="superscript"/>
              </w:rPr>
              <w:t>(1)</w:t>
            </w:r>
          </w:p>
        </w:tc>
        <w:tc>
          <w:tcPr>
            <w:tcW w:w="140" w:type="dxa"/>
            <w:vAlign w:val="bottom"/>
          </w:tcPr>
          <w:p>
            <w:pPr>
              <w:spacing w:after="0"/>
              <w:rPr>
                <w:sz w:val="23"/>
                <w:szCs w:val="23"/>
                <w:color w:val="auto"/>
              </w:rPr>
            </w:pPr>
          </w:p>
        </w:tc>
        <w:tc>
          <w:tcPr>
            <w:tcW w:w="860" w:type="dxa"/>
            <w:vAlign w:val="bottom"/>
            <w:gridSpan w:val="3"/>
          </w:tcPr>
          <w:p>
            <w:pPr>
              <w:ind w:left="60"/>
              <w:spacing w:after="0"/>
              <w:rPr>
                <w:sz w:val="20"/>
                <w:szCs w:val="20"/>
                <w:color w:val="auto"/>
              </w:rPr>
            </w:pPr>
            <w:r>
              <w:rPr>
                <w:rFonts w:ascii="Arial" w:cs="Arial" w:eastAsia="Arial" w:hAnsi="Arial"/>
                <w:sz w:val="18"/>
                <w:szCs w:val="18"/>
                <w:b w:val="1"/>
                <w:bCs w:val="1"/>
                <w:color w:val="auto"/>
              </w:rPr>
              <w:t>PAGP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Current assets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4,612</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4,614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3,533</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14,787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2,540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2,540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2,521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1,280</w:t>
            </w:r>
          </w:p>
        </w:tc>
        <w:tc>
          <w:tcPr>
            <w:tcW w:w="1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9"/>
              </w:rPr>
              <w:t>Long-term operating lease right-of-use assets, net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29,969</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5,019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3,456</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long-term debt, net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9"/>
              </w:rPr>
              <w:t>Partners’ capital excluding noncontrolling interests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13,062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(10,907)</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12,197</w:t>
            </w:r>
          </w:p>
        </w:tc>
        <w:tc>
          <w:tcPr>
            <w:tcW w:w="14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12,330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11,473</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ind w:left="22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w w:val="88"/>
              </w:rPr>
              <w:t>December 31,</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Class A shares outstanding</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Class A share</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Incremental net income attributable to PAGP resulting from assumed</w:t>
            </w: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exchange of AAP Management Units</w:t>
            </w: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Pr>
          <w:p>
            <w:pPr>
              <w:spacing w:after="0" w:line="182" w:lineRule="exact"/>
              <w:rPr>
                <w:sz w:val="20"/>
                <w:szCs w:val="20"/>
                <w:color w:val="auto"/>
              </w:rPr>
            </w:pPr>
            <w:r>
              <w:rPr>
                <w:rFonts w:ascii="Arial" w:cs="Arial" w:eastAsia="Arial" w:hAnsi="Arial"/>
                <w:sz w:val="18"/>
                <w:szCs w:val="18"/>
                <w:color w:val="auto"/>
                <w:w w:val="98"/>
              </w:rPr>
              <w:t>Net income attributable to PAGP including incremental net income from</w:t>
            </w:r>
          </w:p>
        </w:tc>
        <w:tc>
          <w:tcPr>
            <w:tcW w:w="8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assumed exchange of AAP Management Units</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Class A shares outstanding</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Dilutive shares resulting from assumed exchange of AAP Management</w:t>
            </w: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Units</w:t>
            </w: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Class A shares outstanding</w:t>
            </w:r>
          </w:p>
        </w:tc>
        <w:tc>
          <w:tcPr>
            <w:tcW w:w="8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vMerge w:val="continue"/>
          </w:tcPr>
          <w:p>
            <w:pPr>
              <w:spacing w:after="0"/>
              <w:rPr>
                <w:sz w:val="24"/>
                <w:szCs w:val="24"/>
                <w:color w:val="auto"/>
              </w:rPr>
            </w:pPr>
          </w:p>
        </w:tc>
        <w:tc>
          <w:tcPr>
            <w:tcW w:w="5600" w:type="dxa"/>
            <w:vAlign w:val="bottom"/>
          </w:tcPr>
          <w:p>
            <w:pPr>
              <w:spacing w:after="0" w:line="284"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30"/>
                <w:szCs w:val="30"/>
                <w:color w:val="auto"/>
                <w:vertAlign w:val="superscript"/>
              </w:rPr>
              <w:t>(1)</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0" w:lineRule="exact"/>
        <w:rPr>
          <w:sz w:val="20"/>
          <w:szCs w:val="20"/>
          <w:color w:val="auto"/>
        </w:rPr>
      </w:pPr>
    </w:p>
    <w:p>
      <w:pPr>
        <w:ind w:left="340" w:right="160" w:hanging="332"/>
        <w:spacing w:after="0" w:line="209"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For the twelve months ended December 31, 2018, the possible exchange of AAP units would have had a dilutive effect on basic net income per Class A share. For the three months ended December 31, 2018 and the twelve months ended December 31, 2019 and 2018, the possible exchange of AAP Management Units would have had a dilutive effect on basic net income per Class A share.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38"/>
        </w:trPr>
        <w:tc>
          <w:tcPr>
            <w:tcW w:w="432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1800" w:type="dxa"/>
            <w:vAlign w:val="bottom"/>
          </w:tcPr>
          <w:p>
            <w:pPr>
              <w:spacing w:after="0"/>
              <w:rPr>
                <w:sz w:val="24"/>
                <w:szCs w:val="24"/>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Brett Magill</w:t>
            </w:r>
          </w:p>
        </w:tc>
        <w:tc>
          <w:tcPr>
            <w:tcW w:w="3820" w:type="dxa"/>
            <w:vAlign w:val="bottom"/>
          </w:tcPr>
          <w:p>
            <w:pPr>
              <w:spacing w:after="0"/>
              <w:rPr>
                <w:sz w:val="24"/>
                <w:szCs w:val="24"/>
                <w:color w:val="auto"/>
              </w:rPr>
            </w:pPr>
          </w:p>
        </w:tc>
      </w:tr>
      <w:tr>
        <w:trPr>
          <w:trHeight w:val="216"/>
        </w:trPr>
        <w:tc>
          <w:tcPr>
            <w:tcW w:w="6120" w:type="dxa"/>
            <w:vAlign w:val="bottom"/>
            <w:gridSpan w:val="3"/>
          </w:tcPr>
          <w:p>
            <w:pPr>
              <w:spacing w:after="0"/>
              <w:rPr>
                <w:sz w:val="20"/>
                <w:szCs w:val="20"/>
                <w:color w:val="auto"/>
              </w:rPr>
            </w:pPr>
            <w:r>
              <w:rPr>
                <w:rFonts w:ascii="Arial" w:cs="Arial" w:eastAsia="Arial" w:hAnsi="Arial"/>
                <w:sz w:val="18"/>
                <w:szCs w:val="18"/>
                <w:color w:val="auto"/>
                <w:w w:val="96"/>
              </w:rPr>
              <w:t>Vice President, Investor Relations, Communications and Government Relations</w:t>
            </w:r>
          </w:p>
        </w:tc>
        <w:tc>
          <w:tcPr>
            <w:tcW w:w="5300" w:type="dxa"/>
            <w:vAlign w:val="bottom"/>
            <w:gridSpan w:val="2"/>
          </w:tcPr>
          <w:p>
            <w:pPr>
              <w:ind w:left="280"/>
              <w:spacing w:after="0"/>
              <w:rPr>
                <w:sz w:val="20"/>
                <w:szCs w:val="20"/>
                <w:color w:val="auto"/>
              </w:rPr>
            </w:pPr>
            <w:r>
              <w:rPr>
                <w:rFonts w:ascii="Arial" w:cs="Arial" w:eastAsia="Arial" w:hAnsi="Arial"/>
                <w:sz w:val="18"/>
                <w:szCs w:val="18"/>
                <w:color w:val="auto"/>
              </w:rPr>
              <w:t>Director, Investor Relations</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1800" w:type="dxa"/>
            <w:vAlign w:val="bottom"/>
          </w:tcPr>
          <w:p>
            <w:pPr>
              <w:spacing w:after="0"/>
              <w:rPr>
                <w:sz w:val="20"/>
                <w:szCs w:val="20"/>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w w:val="95"/>
              </w:rPr>
              <w:t>(866) 809-1291</w:t>
            </w:r>
          </w:p>
        </w:tc>
        <w:tc>
          <w:tcPr>
            <w:tcW w:w="382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16"/>
        </w:trPr>
        <w:tc>
          <w:tcPr>
            <w:tcW w:w="6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2"/>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r>
      <w:tr>
        <w:trPr>
          <w:trHeight w:val="237"/>
        </w:trPr>
        <w:tc>
          <w:tcPr>
            <w:tcW w:w="640" w:type="dxa"/>
            <w:vAlign w:val="bottom"/>
          </w:tcPr>
          <w:p>
            <w:pPr>
              <w:spacing w:after="0"/>
              <w:rPr>
                <w:sz w:val="20"/>
                <w:szCs w:val="20"/>
                <w:color w:val="auto"/>
              </w:rPr>
            </w:pPr>
          </w:p>
        </w:tc>
        <w:tc>
          <w:tcPr>
            <w:tcW w:w="3680" w:type="dxa"/>
            <w:vAlign w:val="bottom"/>
          </w:tcPr>
          <w:p>
            <w:pPr>
              <w:ind w:left="1080"/>
              <w:spacing w:after="0"/>
              <w:rPr>
                <w:sz w:val="20"/>
                <w:szCs w:val="20"/>
                <w:color w:val="auto"/>
              </w:rPr>
            </w:pPr>
            <w:r>
              <w:rPr>
                <w:rFonts w:ascii="Arial" w:cs="Arial" w:eastAsia="Arial" w:hAnsi="Arial"/>
                <w:sz w:val="18"/>
                <w:szCs w:val="18"/>
                <w:b w:val="1"/>
                <w:bCs w:val="1"/>
                <w:color w:val="auto"/>
              </w:rPr>
              <w:t>333 Clay Street, Suite 1600</w:t>
            </w:r>
          </w:p>
        </w:tc>
        <w:tc>
          <w:tcPr>
            <w:tcW w:w="328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0"/>
              </w:rPr>
              <w:t>Houston, Texas 77002</w:t>
            </w:r>
          </w:p>
        </w:tc>
        <w:tc>
          <w:tcPr>
            <w:tcW w:w="3820" w:type="dxa"/>
            <w:vAlign w:val="bottom"/>
          </w:tcPr>
          <w:p>
            <w:pPr>
              <w:jc w:val="right"/>
              <w:ind w:right="1490"/>
              <w:spacing w:after="0"/>
              <w:rPr>
                <w:sz w:val="20"/>
                <w:szCs w:val="20"/>
                <w:color w:val="auto"/>
              </w:rPr>
            </w:pPr>
            <w:r>
              <w:rPr>
                <w:rFonts w:ascii="Arial" w:cs="Arial" w:eastAsia="Arial" w:hAnsi="Arial"/>
                <w:sz w:val="18"/>
                <w:szCs w:val="18"/>
                <w:b w:val="1"/>
                <w:bCs w:val="1"/>
                <w:color w:val="auto"/>
                <w:w w:val="92"/>
              </w:rPr>
              <w:t>713-646-4100 / 866-809-1291</w:t>
            </w:r>
          </w:p>
        </w:tc>
      </w:tr>
      <w:tr>
        <w:trPr>
          <w:trHeight w:val="702"/>
        </w:trPr>
        <w:tc>
          <w:tcPr>
            <w:tcW w:w="6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lvl w:ilvl="1">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lvl w:ilvl="1">
      <w:lvlJc w:val="left"/>
      <w:lvlText w:val="-"/>
      <w:numFmt w:val="bullet"/>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lvl w:ilvl="1">
      <w:lvlJc w:val="left"/>
      <w:lvlText w:val="-"/>
      <w:numFmt w:val="bullet"/>
      <w:start w:val="1"/>
    </w:lvl>
  </w:abstractNum>
  <w:abstractNum w:abstractNumId="9">
    <w:nsid w:val="4E6AFB66"/>
    <w:multiLevelType w:val="hybridMultilevel"/>
    <w:lvl w:ilvl="0">
      <w:lvlJc w:val="left"/>
      <w:lvlText w:val="(%1)"/>
      <w:numFmt w:val="decimal"/>
      <w:start w:val="1"/>
    </w:lvl>
    <w:lvl w:ilvl="1">
      <w:lvlJc w:val="left"/>
      <w:lvlText w:val="-"/>
      <w:numFmt w:val="bullet"/>
      <w:start w:val="1"/>
    </w:lvl>
  </w:abstractNum>
  <w:abstractNum w:abstractNumId="10">
    <w:nsid w:val="25E45D32"/>
    <w:multiLevelType w:val="hybridMultilevel"/>
    <w:lvl w:ilvl="0">
      <w:lvlJc w:val="left"/>
      <w:lvlText w:val="(%1)"/>
      <w:numFmt w:val="decimal"/>
      <w:start w:val="1"/>
    </w:lvl>
    <w:lvl w:ilvl="1">
      <w:lvlJc w:val="left"/>
      <w:lvlText w:val="-"/>
      <w:numFmt w:val="bullet"/>
      <w:start w:val="1"/>
    </w:lvl>
  </w:abstractNum>
  <w:abstractNum w:abstractNumId="11">
    <w:nsid w:val="519B500D"/>
    <w:multiLevelType w:val="hybridMultilevel"/>
    <w:lvl w:ilvl="0">
      <w:lvlJc w:val="left"/>
      <w:lvlText w:val="(%1)"/>
      <w:numFmt w:val="decimal"/>
      <w:start w:val="1"/>
    </w:lvl>
    <w:lvl w:ilvl="1">
      <w:lvlJc w:val="left"/>
      <w:lvlText w:val="-"/>
      <w:numFmt w:val="bullet"/>
      <w:start w:val="1"/>
    </w:lvl>
  </w:abstractNum>
  <w:abstractNum w:abstractNumId="12">
    <w:nsid w:val="431BD7B7"/>
    <w:multiLevelType w:val="hybridMultilevel"/>
    <w:lvl w:ilvl="0">
      <w:lvlJc w:val="left"/>
      <w:lvlText w:val="(%1)"/>
      <w:numFmt w:val="decimal"/>
      <w:start w:val="1"/>
    </w:lvl>
    <w:lvl w:ilvl="1">
      <w:lvlJc w:val="left"/>
      <w:lvlText w:val="-"/>
      <w:numFmt w:val="bullet"/>
      <w:start w:val="1"/>
    </w:lvl>
  </w:abstractNum>
  <w:abstractNum w:abstractNumId="13">
    <w:nsid w:val="3F2DBA31"/>
    <w:multiLevelType w:val="hybridMultilevel"/>
    <w:lvl w:ilvl="0">
      <w:lvlJc w:val="left"/>
      <w:lvlText w:val="(%1)"/>
      <w:numFmt w:val="decimal"/>
      <w:start w:val="1"/>
    </w:lvl>
    <w:lvl w:ilvl="1">
      <w:lvlJc w:val="left"/>
      <w:lvlText w:val="-"/>
      <w:numFmt w:val="bullet"/>
      <w:start w:val="1"/>
    </w:lvl>
  </w:abstractNum>
  <w:abstractNum w:abstractNumId="14">
    <w:nsid w:val="7C83E458"/>
    <w:multiLevelType w:val="hybridMultilevel"/>
    <w:lvl w:ilvl="0">
      <w:lvlJc w:val="left"/>
      <w:lvlText w:val="(%1)"/>
      <w:numFmt w:val="decimal"/>
      <w:start w:val="1"/>
    </w:lvl>
    <w:lvl w:ilvl="1">
      <w:lvlJc w:val="left"/>
      <w:lvlText w:val="-"/>
      <w:numFmt w:val="bullet"/>
      <w:start w:val="1"/>
    </w:lvl>
  </w:abstractNum>
  <w:abstractNum w:abstractNumId="15">
    <w:nsid w:val="257130A3"/>
    <w:multiLevelType w:val="hybridMultilevel"/>
    <w:lvl w:ilvl="0">
      <w:lvlJc w:val="left"/>
      <w:lvlText w:val="(%1)"/>
      <w:numFmt w:val="decimal"/>
      <w:start w:val="1"/>
    </w:lvl>
    <w:lvl w:ilvl="1">
      <w:lvlJc w:val="left"/>
      <w:lvlText w:val="-"/>
      <w:numFmt w:val="bullet"/>
      <w:start w:val="1"/>
    </w:lvl>
  </w:abstractNum>
  <w:abstractNum w:abstractNumId="16">
    <w:nsid w:val="62BBD95A"/>
    <w:multiLevelType w:val="hybridMultilevel"/>
    <w:lvl w:ilvl="0">
      <w:lvlJc w:val="left"/>
      <w:lvlText w:val="(%1)"/>
      <w:numFmt w:val="decimal"/>
      <w:start w:val="1"/>
    </w:lvl>
    <w:lvl w:ilvl="1">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lvl w:ilvl="1">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2020-02-04T15:26:33Z</dcterms:created>
  <dcterms:modified xsi:type="dcterms:W3CDTF">2020-02-04T15:26:33Z</dcterms:modified>
</cp:coreProperties>
</file>