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333-184137</w:t>
      </w:r>
    </w:p>
    <w:p>
      <w:pPr>
        <w:spacing w:after="0" w:line="127"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b w:val="1"/>
          <w:bCs w:val="1"/>
          <w:color w:val="DE1A1E"/>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19"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DE1A1E"/>
        </w:rPr>
        <w:t>SUBJECT TO COMPLETION, DATED SEPTEMBER 2, 2014</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187325</wp:posOffset>
            </wp:positionV>
            <wp:extent cx="169799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PAA Finance Corp.</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320" w:type="dxa"/>
            <w:vAlign w:val="bottom"/>
          </w:tcPr>
          <w:p>
            <w:pPr>
              <w:spacing w:after="0"/>
              <w:rPr>
                <w:sz w:val="24"/>
                <w:szCs w:val="24"/>
                <w:color w:val="auto"/>
              </w:rPr>
            </w:pPr>
          </w:p>
        </w:tc>
        <w:tc>
          <w:tcPr>
            <w:tcW w:w="4540" w:type="dxa"/>
            <w:vAlign w:val="bottom"/>
          </w:tcPr>
          <w:p>
            <w:pPr>
              <w:jc w:val="right"/>
              <w:ind w:right="1554"/>
              <w:spacing w:after="0"/>
              <w:rPr>
                <w:sz w:val="20"/>
                <w:szCs w:val="20"/>
                <w:color w:val="auto"/>
              </w:rPr>
            </w:pPr>
            <w:r>
              <w:rPr>
                <w:rFonts w:ascii="Arial" w:cs="Arial" w:eastAsia="Arial" w:hAnsi="Arial"/>
                <w:sz w:val="32"/>
                <w:szCs w:val="32"/>
                <w:b w:val="1"/>
                <w:bCs w:val="1"/>
                <w:color w:val="auto"/>
              </w:rPr>
              <w:t>$</w:t>
            </w:r>
          </w:p>
        </w:tc>
        <w:tc>
          <w:tcPr>
            <w:tcW w:w="3900" w:type="dxa"/>
            <w:vAlign w:val="bottom"/>
            <w:gridSpan w:val="3"/>
          </w:tcPr>
          <w:p>
            <w:pPr>
              <w:ind w:left="40"/>
              <w:spacing w:after="0"/>
              <w:rPr>
                <w:sz w:val="20"/>
                <w:szCs w:val="20"/>
                <w:color w:val="auto"/>
              </w:rPr>
            </w:pPr>
            <w:r>
              <w:rPr>
                <w:rFonts w:ascii="Arial" w:cs="Arial" w:eastAsia="Arial" w:hAnsi="Arial"/>
                <w:sz w:val="32"/>
                <w:szCs w:val="32"/>
                <w:b w:val="1"/>
                <w:bCs w:val="1"/>
                <w:color w:val="auto"/>
              </w:rPr>
              <w:t>% Senior Notes due 2024</w:t>
            </w:r>
          </w:p>
        </w:tc>
        <w:tc>
          <w:tcPr>
            <w:tcW w:w="2460" w:type="dxa"/>
            <w:vAlign w:val="bottom"/>
          </w:tcPr>
          <w:p>
            <w:pPr>
              <w:spacing w:after="0"/>
              <w:rPr>
                <w:sz w:val="24"/>
                <w:szCs w:val="24"/>
                <w:color w:val="auto"/>
              </w:rPr>
            </w:pPr>
          </w:p>
        </w:tc>
      </w:tr>
      <w:tr>
        <w:trPr>
          <w:trHeight w:val="282"/>
        </w:trPr>
        <w:tc>
          <w:tcPr>
            <w:tcW w:w="3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55"/>
        </w:trPr>
        <w:tc>
          <w:tcPr>
            <w:tcW w:w="320" w:type="dxa"/>
            <w:vAlign w:val="bottom"/>
          </w:tcPr>
          <w:p>
            <w:pPr>
              <w:spacing w:after="0"/>
              <w:rPr>
                <w:sz w:val="22"/>
                <w:szCs w:val="22"/>
                <w:color w:val="auto"/>
              </w:rPr>
            </w:pP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w w:val="94"/>
              </w:rPr>
              <w:t>Plains All American Pipeline, L.P. and PAA Finance Corp. are offering $</w:t>
            </w:r>
          </w:p>
        </w:tc>
        <w:tc>
          <w:tcPr>
            <w:tcW w:w="2880" w:type="dxa"/>
            <w:vAlign w:val="bottom"/>
            <w:gridSpan w:val="2"/>
          </w:tcPr>
          <w:p>
            <w:pPr>
              <w:ind w:left="100"/>
              <w:spacing w:after="0"/>
              <w:rPr>
                <w:sz w:val="20"/>
                <w:szCs w:val="20"/>
                <w:color w:val="auto"/>
              </w:rPr>
            </w:pPr>
            <w:r>
              <w:rPr>
                <w:rFonts w:ascii="Arial" w:cs="Arial" w:eastAsia="Arial" w:hAnsi="Arial"/>
                <w:sz w:val="18"/>
                <w:szCs w:val="18"/>
                <w:color w:val="auto"/>
                <w:w w:val="93"/>
              </w:rPr>
              <w:t>million aggregate principal amount of</w:t>
            </w:r>
          </w:p>
        </w:tc>
        <w:tc>
          <w:tcPr>
            <w:tcW w:w="2460" w:type="dxa"/>
            <w:vAlign w:val="bottom"/>
          </w:tcPr>
          <w:p>
            <w:pPr>
              <w:ind w:left="100"/>
              <w:spacing w:after="0"/>
              <w:rPr>
                <w:sz w:val="20"/>
                <w:szCs w:val="20"/>
                <w:color w:val="auto"/>
              </w:rPr>
            </w:pPr>
            <w:r>
              <w:rPr>
                <w:rFonts w:ascii="Arial" w:cs="Arial" w:eastAsia="Arial" w:hAnsi="Arial"/>
                <w:sz w:val="18"/>
                <w:szCs w:val="18"/>
                <w:color w:val="auto"/>
                <w:w w:val="97"/>
              </w:rPr>
              <w:t>% Senior Notes due 2024 (the</w:t>
            </w: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“Notes”).</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72"/>
        </w:trPr>
        <w:tc>
          <w:tcPr>
            <w:tcW w:w="320" w:type="dxa"/>
            <w:vAlign w:val="bottom"/>
          </w:tcPr>
          <w:p>
            <w:pPr>
              <w:spacing w:after="0"/>
              <w:rPr>
                <w:sz w:val="24"/>
                <w:szCs w:val="24"/>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w w:val="90"/>
              </w:rPr>
              <w:t>We will pay interest on the Notes semi-annually in arrears on</w:t>
            </w:r>
          </w:p>
        </w:tc>
        <w:tc>
          <w:tcPr>
            <w:tcW w:w="1020" w:type="dxa"/>
            <w:vAlign w:val="bottom"/>
          </w:tcPr>
          <w:p>
            <w:pPr>
              <w:ind w:left="640"/>
              <w:spacing w:after="0"/>
              <w:rPr>
                <w:sz w:val="20"/>
                <w:szCs w:val="20"/>
                <w:color w:val="auto"/>
              </w:rPr>
            </w:pPr>
            <w:r>
              <w:rPr>
                <w:rFonts w:ascii="Arial" w:cs="Arial" w:eastAsia="Arial" w:hAnsi="Arial"/>
                <w:sz w:val="18"/>
                <w:szCs w:val="18"/>
                <w:color w:val="auto"/>
              </w:rPr>
              <w:t>and</w:t>
            </w:r>
          </w:p>
        </w:tc>
        <w:tc>
          <w:tcPr>
            <w:tcW w:w="2880" w:type="dxa"/>
            <w:vAlign w:val="bottom"/>
            <w:gridSpan w:val="2"/>
          </w:tcPr>
          <w:p>
            <w:pPr>
              <w:ind w:left="620"/>
              <w:spacing w:after="0"/>
              <w:rPr>
                <w:sz w:val="20"/>
                <w:szCs w:val="20"/>
                <w:color w:val="auto"/>
              </w:rPr>
            </w:pPr>
            <w:r>
              <w:rPr>
                <w:rFonts w:ascii="Arial" w:cs="Arial" w:eastAsia="Arial" w:hAnsi="Arial"/>
                <w:sz w:val="18"/>
                <w:szCs w:val="18"/>
                <w:color w:val="auto"/>
              </w:rPr>
              <w:t>of each year, beginning on</w:t>
            </w:r>
          </w:p>
        </w:tc>
        <w:tc>
          <w:tcPr>
            <w:tcW w:w="2460" w:type="dxa"/>
            <w:vAlign w:val="bottom"/>
          </w:tcPr>
          <w:p>
            <w:pPr>
              <w:ind w:left="360"/>
              <w:spacing w:after="0"/>
              <w:rPr>
                <w:sz w:val="20"/>
                <w:szCs w:val="20"/>
                <w:color w:val="auto"/>
              </w:rPr>
            </w:pPr>
            <w:r>
              <w:rPr>
                <w:rFonts w:ascii="Arial" w:cs="Arial" w:eastAsia="Arial" w:hAnsi="Arial"/>
                <w:sz w:val="18"/>
                <w:szCs w:val="18"/>
                <w:color w:val="auto"/>
                <w:w w:val="88"/>
              </w:rPr>
              <w:t>, 2015. The Notes will mature</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on</w:t>
            </w:r>
          </w:p>
        </w:tc>
        <w:tc>
          <w:tcPr>
            <w:tcW w:w="4540" w:type="dxa"/>
            <w:vAlign w:val="bottom"/>
          </w:tcPr>
          <w:p>
            <w:pPr>
              <w:ind w:left="600"/>
              <w:spacing w:after="0"/>
              <w:rPr>
                <w:sz w:val="20"/>
                <w:szCs w:val="20"/>
                <w:color w:val="auto"/>
              </w:rPr>
            </w:pPr>
            <w:r>
              <w:rPr>
                <w:rFonts w:ascii="Arial" w:cs="Arial" w:eastAsia="Arial" w:hAnsi="Arial"/>
                <w:sz w:val="18"/>
                <w:szCs w:val="18"/>
                <w:color w:val="auto"/>
                <w:w w:val="97"/>
              </w:rPr>
              <w:t>, 2024, unless redeemed prior to the maturity date.</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60" w:type="dxa"/>
            <w:vAlign w:val="bottom"/>
          </w:tcPr>
          <w:p>
            <w:pPr>
              <w:spacing w:after="0"/>
              <w:rPr>
                <w:sz w:val="19"/>
                <w:szCs w:val="19"/>
                <w:color w:val="auto"/>
              </w:rPr>
            </w:pPr>
          </w:p>
        </w:tc>
      </w:tr>
    </w:tbl>
    <w:p>
      <w:pPr>
        <w:spacing w:after="0" w:line="156" w:lineRule="exact"/>
        <w:rPr>
          <w:sz w:val="24"/>
          <w:szCs w:val="24"/>
          <w:color w:val="auto"/>
        </w:rPr>
      </w:pPr>
    </w:p>
    <w:p>
      <w:pPr>
        <w:ind w:right="240" w:firstLine="456"/>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32"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32" w:lineRule="exact"/>
        <w:rPr>
          <w:sz w:val="24"/>
          <w:szCs w:val="24"/>
          <w:color w:val="auto"/>
        </w:rPr>
      </w:pPr>
    </w:p>
    <w:p>
      <w:pPr>
        <w:ind w:right="320" w:firstLine="456"/>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166370</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90" w:lineRule="exact"/>
        <w:rPr>
          <w:sz w:val="24"/>
          <w:szCs w:val="24"/>
          <w:color w:val="auto"/>
        </w:rPr>
      </w:pPr>
    </w:p>
    <w:p>
      <w:pPr>
        <w:ind w:left="4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the Notes involves risks. See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S-5 of this prospectus supplement.</w:t>
      </w:r>
    </w:p>
    <w:p>
      <w:pPr>
        <w:spacing w:after="0" w:line="206"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136525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Public</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74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Underwriting</w:t>
            </w:r>
          </w:p>
        </w:tc>
        <w:tc>
          <w:tcPr>
            <w:tcW w:w="28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Proceeds, Before</w:t>
            </w:r>
          </w:p>
        </w:tc>
      </w:tr>
      <w:tr>
        <w:trPr>
          <w:trHeight w:val="161"/>
        </w:trPr>
        <w:tc>
          <w:tcPr>
            <w:tcW w:w="1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Price(1)</w:t>
            </w:r>
          </w:p>
        </w:tc>
        <w:tc>
          <w:tcPr>
            <w:tcW w:w="7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Discount</w:t>
            </w:r>
          </w:p>
        </w:tc>
        <w:tc>
          <w:tcPr>
            <w:tcW w:w="28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Expenses, to Us</w:t>
            </w:r>
          </w:p>
        </w:tc>
      </w:tr>
      <w:tr>
        <w:trPr>
          <w:trHeight w:val="210"/>
        </w:trPr>
        <w:tc>
          <w:tcPr>
            <w:tcW w:w="3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40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4"/>
              </w:rPr>
              <w:t>%</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2"/>
        </w:trPr>
        <w:tc>
          <w:tcPr>
            <w:tcW w:w="31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80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48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35"/>
        </w:trPr>
        <w:tc>
          <w:tcPr>
            <w:tcW w:w="3180" w:type="dxa"/>
            <w:vAlign w:val="bottom"/>
            <w:gridSpan w:val="2"/>
          </w:tcPr>
          <w:p>
            <w:pPr>
              <w:spacing w:after="0"/>
              <w:rPr>
                <w:sz w:val="20"/>
                <w:szCs w:val="20"/>
                <w:color w:val="auto"/>
              </w:rPr>
            </w:pPr>
            <w:r>
              <w:rPr>
                <w:rFonts w:ascii="Arial" w:cs="Arial" w:eastAsia="Arial" w:hAnsi="Arial"/>
                <w:sz w:val="18"/>
                <w:szCs w:val="18"/>
                <w:color w:val="auto"/>
              </w:rPr>
              <w:t>(1)   Plus accrued interest, if any, from</w:t>
            </w:r>
          </w:p>
        </w:tc>
        <w:tc>
          <w:tcPr>
            <w:tcW w:w="4800" w:type="dxa"/>
            <w:vAlign w:val="bottom"/>
            <w:gridSpan w:val="2"/>
          </w:tcPr>
          <w:p>
            <w:pPr>
              <w:jc w:val="right"/>
              <w:ind w:right="1432"/>
              <w:spacing w:after="0"/>
              <w:rPr>
                <w:sz w:val="20"/>
                <w:szCs w:val="20"/>
                <w:color w:val="auto"/>
              </w:rPr>
            </w:pPr>
            <w:r>
              <w:rPr>
                <w:rFonts w:ascii="Arial" w:cs="Arial" w:eastAsia="Arial" w:hAnsi="Arial"/>
                <w:sz w:val="18"/>
                <w:szCs w:val="18"/>
                <w:color w:val="auto"/>
                <w:w w:val="99"/>
              </w:rPr>
              <w:t>, 2014 if settlement occurs after that date.</w:t>
            </w: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181610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w:t>
      </w:r>
    </w:p>
    <w:tbl>
      <w:tblPr>
        <w:tblLayout w:type="fixed"/>
        <w:tblInd w:w="0" w:type="dxa"/>
        <w:tblCellMar>
          <w:top w:w="0" w:type="dxa"/>
          <w:left w:w="0" w:type="dxa"/>
          <w:bottom w:w="0" w:type="dxa"/>
          <w:right w:w="0" w:type="dxa"/>
        </w:tblCellMar>
      </w:tblPr>
      <w:tr>
        <w:trPr>
          <w:trHeight w:val="222"/>
        </w:trPr>
        <w:tc>
          <w:tcPr>
            <w:tcW w:w="2480" w:type="dxa"/>
            <w:vAlign w:val="bottom"/>
          </w:tcPr>
          <w:p>
            <w:pPr>
              <w:spacing w:after="0"/>
              <w:rPr>
                <w:sz w:val="20"/>
                <w:szCs w:val="20"/>
                <w:color w:val="auto"/>
              </w:rPr>
            </w:pPr>
            <w:r>
              <w:rPr>
                <w:rFonts w:ascii="Arial" w:cs="Arial" w:eastAsia="Arial" w:hAnsi="Arial"/>
                <w:sz w:val="18"/>
                <w:szCs w:val="18"/>
                <w:color w:val="auto"/>
                <w:w w:val="92"/>
              </w:rPr>
              <w:t>New York on or about September</w:t>
            </w:r>
          </w:p>
        </w:tc>
        <w:tc>
          <w:tcPr>
            <w:tcW w:w="6260" w:type="dxa"/>
            <w:vAlign w:val="bottom"/>
            <w:gridSpan w:val="4"/>
          </w:tcPr>
          <w:p>
            <w:pPr>
              <w:ind w:left="100"/>
              <w:spacing w:after="0"/>
              <w:rPr>
                <w:sz w:val="20"/>
                <w:szCs w:val="20"/>
                <w:color w:val="auto"/>
              </w:rPr>
            </w:pPr>
            <w:r>
              <w:rPr>
                <w:rFonts w:ascii="Arial" w:cs="Arial" w:eastAsia="Arial" w:hAnsi="Arial"/>
                <w:sz w:val="18"/>
                <w:szCs w:val="18"/>
                <w:color w:val="auto"/>
              </w:rPr>
              <w:t>, 2014, the   trading day after the date of this prospectus supplement.</w:t>
            </w:r>
          </w:p>
        </w:tc>
        <w:tc>
          <w:tcPr>
            <w:tcW w:w="2680" w:type="dxa"/>
            <w:vAlign w:val="bottom"/>
          </w:tcPr>
          <w:p>
            <w:pPr>
              <w:spacing w:after="0"/>
              <w:rPr>
                <w:sz w:val="19"/>
                <w:szCs w:val="19"/>
                <w:color w:val="auto"/>
              </w:rPr>
            </w:pPr>
          </w:p>
        </w:tc>
      </w:tr>
      <w:tr>
        <w:trPr>
          <w:trHeight w:val="279"/>
        </w:trPr>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70"/>
        </w:trPr>
        <w:tc>
          <w:tcPr>
            <w:tcW w:w="24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420" w:type="dxa"/>
            <w:vAlign w:val="bottom"/>
            <w:gridSpan w:val="3"/>
          </w:tcPr>
          <w:p>
            <w:pPr>
              <w:ind w:left="320"/>
              <w:spacing w:after="0"/>
              <w:rPr>
                <w:sz w:val="20"/>
                <w:szCs w:val="20"/>
                <w:color w:val="auto"/>
              </w:rPr>
            </w:pPr>
            <w:r>
              <w:rPr>
                <w:rFonts w:ascii="Arial" w:cs="Arial" w:eastAsia="Arial" w:hAnsi="Arial"/>
                <w:sz w:val="18"/>
                <w:szCs w:val="18"/>
                <w:i w:val="1"/>
                <w:iCs w:val="1"/>
                <w:color w:val="auto"/>
              </w:rPr>
              <w:t>Joint Book-Running Managers</w:t>
            </w:r>
          </w:p>
        </w:tc>
        <w:tc>
          <w:tcPr>
            <w:tcW w:w="2680" w:type="dxa"/>
            <w:vAlign w:val="bottom"/>
          </w:tcPr>
          <w:p>
            <w:pPr>
              <w:spacing w:after="0"/>
              <w:rPr>
                <w:sz w:val="24"/>
                <w:szCs w:val="24"/>
                <w:color w:val="auto"/>
              </w:rPr>
            </w:pPr>
          </w:p>
        </w:tc>
      </w:tr>
      <w:tr>
        <w:trPr>
          <w:trHeight w:val="493"/>
        </w:trPr>
        <w:tc>
          <w:tcPr>
            <w:tcW w:w="2480" w:type="dxa"/>
            <w:vAlign w:val="bottom"/>
          </w:tcPr>
          <w:p>
            <w:pPr>
              <w:spacing w:after="0"/>
              <w:rPr>
                <w:sz w:val="20"/>
                <w:szCs w:val="20"/>
                <w:color w:val="auto"/>
              </w:rPr>
            </w:pPr>
            <w:r>
              <w:rPr>
                <w:rFonts w:ascii="Arial" w:cs="Arial" w:eastAsia="Arial" w:hAnsi="Arial"/>
                <w:sz w:val="24"/>
                <w:szCs w:val="24"/>
                <w:b w:val="1"/>
                <w:bCs w:val="1"/>
                <w:color w:val="auto"/>
              </w:rPr>
              <w:t>J.P. Morgan</w:t>
            </w:r>
          </w:p>
        </w:tc>
        <w:tc>
          <w:tcPr>
            <w:tcW w:w="1840" w:type="dxa"/>
            <w:vAlign w:val="bottom"/>
          </w:tcPr>
          <w:p>
            <w:pPr>
              <w:ind w:left="620"/>
              <w:spacing w:after="0"/>
              <w:rPr>
                <w:sz w:val="20"/>
                <w:szCs w:val="20"/>
                <w:color w:val="auto"/>
              </w:rPr>
            </w:pPr>
            <w:r>
              <w:rPr>
                <w:rFonts w:ascii="Arial" w:cs="Arial" w:eastAsia="Arial" w:hAnsi="Arial"/>
                <w:sz w:val="24"/>
                <w:szCs w:val="24"/>
                <w:b w:val="1"/>
                <w:bCs w:val="1"/>
                <w:color w:val="auto"/>
              </w:rPr>
              <w:t>Barclays</w:t>
            </w:r>
          </w:p>
        </w:tc>
        <w:tc>
          <w:tcPr>
            <w:tcW w:w="540" w:type="dxa"/>
            <w:vAlign w:val="bottom"/>
          </w:tcPr>
          <w:p>
            <w:pPr>
              <w:spacing w:after="0"/>
              <w:rPr>
                <w:sz w:val="24"/>
                <w:szCs w:val="24"/>
                <w:color w:val="auto"/>
              </w:rPr>
            </w:pPr>
          </w:p>
        </w:tc>
        <w:tc>
          <w:tcPr>
            <w:tcW w:w="3880" w:type="dxa"/>
            <w:vAlign w:val="bottom"/>
            <w:gridSpan w:val="2"/>
          </w:tcPr>
          <w:p>
            <w:pPr>
              <w:ind w:left="1660"/>
              <w:spacing w:after="0"/>
              <w:rPr>
                <w:sz w:val="20"/>
                <w:szCs w:val="20"/>
                <w:color w:val="auto"/>
              </w:rPr>
            </w:pPr>
            <w:r>
              <w:rPr>
                <w:rFonts w:ascii="Arial" w:cs="Arial" w:eastAsia="Arial" w:hAnsi="Arial"/>
                <w:sz w:val="24"/>
                <w:szCs w:val="24"/>
                <w:b w:val="1"/>
                <w:bCs w:val="1"/>
                <w:color w:val="auto"/>
              </w:rPr>
              <w:t>BNP PARIBAS</w:t>
            </w:r>
          </w:p>
        </w:tc>
        <w:tc>
          <w:tcPr>
            <w:tcW w:w="2680" w:type="dxa"/>
            <w:vAlign w:val="bottom"/>
          </w:tcPr>
          <w:p>
            <w:pPr>
              <w:ind w:left="620"/>
              <w:spacing w:after="0"/>
              <w:rPr>
                <w:sz w:val="20"/>
                <w:szCs w:val="20"/>
                <w:color w:val="auto"/>
              </w:rPr>
            </w:pPr>
            <w:r>
              <w:rPr>
                <w:rFonts w:ascii="Arial" w:cs="Arial" w:eastAsia="Arial" w:hAnsi="Arial"/>
                <w:sz w:val="24"/>
                <w:szCs w:val="24"/>
                <w:b w:val="1"/>
                <w:bCs w:val="1"/>
                <w:color w:val="auto"/>
                <w:w w:val="95"/>
              </w:rPr>
              <w:t>BofA Merrill Lynch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186055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260" w:lineRule="exact"/>
        <w:rPr>
          <w:sz w:val="24"/>
          <w:szCs w:val="24"/>
          <w:color w:val="auto"/>
        </w:rPr>
      </w:pPr>
    </w:p>
    <w:p>
      <w:pPr>
        <w:spacing w:after="0"/>
        <w:tabs>
          <w:tab w:leader="none" w:pos="3900" w:val="left"/>
        </w:tabs>
        <w:rPr>
          <w:sz w:val="20"/>
          <w:szCs w:val="20"/>
          <w:color w:val="auto"/>
        </w:rPr>
      </w:pPr>
      <w:r>
        <w:rPr>
          <w:rFonts w:ascii="Arial" w:cs="Arial" w:eastAsia="Arial" w:hAnsi="Arial"/>
          <w:sz w:val="18"/>
          <w:szCs w:val="18"/>
          <w:color w:val="auto"/>
        </w:rPr>
        <w:t>The date of this prospectus supplement is September</w:t>
      </w:r>
      <w:r>
        <w:rPr>
          <w:sz w:val="20"/>
          <w:szCs w:val="20"/>
          <w:color w:val="auto"/>
        </w:rPr>
        <w:tab/>
      </w:r>
      <w:r>
        <w:rPr>
          <w:rFonts w:ascii="Arial" w:cs="Arial" w:eastAsia="Arial" w:hAnsi="Arial"/>
          <w:sz w:val="16"/>
          <w:szCs w:val="16"/>
          <w:color w:val="auto"/>
        </w:rPr>
        <w:t>, 2014.</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60" w:type="dxa"/>
            <w:vAlign w:val="bottom"/>
            <w:gridSpan w:val="2"/>
          </w:tcPr>
          <w:p>
            <w:pPr>
              <w:ind w:left="132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19"/>
                <w:szCs w:val="19"/>
                <w:color w:val="auto"/>
              </w:rPr>
            </w:pPr>
          </w:p>
        </w:tc>
      </w:tr>
      <w:tr>
        <w:trPr>
          <w:trHeight w:val="378"/>
        </w:trPr>
        <w:tc>
          <w:tcPr>
            <w:tcW w:w="9320" w:type="dxa"/>
            <w:vAlign w:val="bottom"/>
            <w:gridSpan w:val="24"/>
          </w:tcPr>
          <w:p>
            <w:pPr>
              <w:spacing w:after="0"/>
              <w:rPr>
                <w:sz w:val="20"/>
                <w:szCs w:val="20"/>
                <w:color w:val="auto"/>
              </w:rPr>
            </w:pPr>
            <w:r>
              <w:rPr>
                <w:rFonts w:ascii="Arial" w:cs="Arial" w:eastAsia="Arial" w:hAnsi="Arial"/>
                <w:sz w:val="18"/>
                <w:szCs w:val="18"/>
                <w:b w:val="1"/>
                <w:bCs w:val="1"/>
                <w:color w:val="auto"/>
              </w:rPr>
              <w:t>Prospectus Supplement</w:t>
            </w:r>
          </w:p>
        </w:tc>
        <w:tc>
          <w:tcPr>
            <w:tcW w:w="2000" w:type="dxa"/>
            <w:vAlign w:val="bottom"/>
          </w:tcPr>
          <w:p>
            <w:pPr>
              <w:spacing w:after="0"/>
              <w:rPr>
                <w:sz w:val="24"/>
                <w:szCs w:val="24"/>
                <w:color w:val="auto"/>
              </w:rPr>
            </w:pPr>
          </w:p>
        </w:tc>
      </w:tr>
      <w:tr>
        <w:trPr>
          <w:trHeight w:val="380"/>
        </w:trPr>
        <w:tc>
          <w:tcPr>
            <w:tcW w:w="932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Important Notice About Information in This Prospectus Supplement and the Accompanying Base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5560" w:type="dxa"/>
            <w:vAlign w:val="bottom"/>
            <w:tcBorders>
              <w:top w:val="single" w:sz="8" w:color="0000EE"/>
            </w:tcBorders>
            <w:gridSpan w:val="9"/>
          </w:tcPr>
          <w:p>
            <w:pPr>
              <w:spacing w:after="0"/>
              <w:rPr>
                <w:sz w:val="17"/>
                <w:szCs w:val="17"/>
                <w:color w:val="auto"/>
              </w:rPr>
            </w:pPr>
          </w:p>
        </w:tc>
        <w:tc>
          <w:tcPr>
            <w:tcW w:w="16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S-iii</w:t>
            </w:r>
          </w:p>
        </w:tc>
      </w:tr>
      <w:tr>
        <w:trPr>
          <w:trHeight w:val="196"/>
        </w:trPr>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694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842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Ratio of Earnings To Fixed Charges</w:t>
              </w:r>
            </w:hyperlink>
          </w:p>
        </w:tc>
        <w:tc>
          <w:tcPr>
            <w:tcW w:w="678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Capitalization</w:t>
              </w:r>
            </w:hyperlink>
          </w:p>
        </w:tc>
        <w:tc>
          <w:tcPr>
            <w:tcW w:w="8320" w:type="dxa"/>
            <w:vAlign w:val="bottom"/>
            <w:gridSpan w:val="1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Description of Notes</w:t>
              </w:r>
            </w:hyperlink>
          </w:p>
        </w:tc>
        <w:tc>
          <w:tcPr>
            <w:tcW w:w="784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Book Entry, Delivery and Form</w:t>
              </w:r>
            </w:hyperlink>
          </w:p>
        </w:tc>
        <w:tc>
          <w:tcPr>
            <w:tcW w:w="708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Underwriting</w:t>
              </w:r>
            </w:hyperlink>
          </w:p>
        </w:tc>
        <w:tc>
          <w:tcPr>
            <w:tcW w:w="836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S-35</w:t>
            </w:r>
          </w:p>
        </w:tc>
      </w:tr>
      <w:tr>
        <w:trPr>
          <w:trHeight w:val="559"/>
        </w:trPr>
        <w:tc>
          <w:tcPr>
            <w:tcW w:w="280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6520" w:type="dxa"/>
            <w:vAlign w:val="bottom"/>
            <w:gridSpan w:val="4"/>
          </w:tcPr>
          <w:p>
            <w:pPr>
              <w:spacing w:after="0"/>
              <w:rPr>
                <w:sz w:val="24"/>
                <w:szCs w:val="24"/>
                <w:color w:val="auto"/>
              </w:rPr>
            </w:pPr>
          </w:p>
        </w:tc>
        <w:tc>
          <w:tcPr>
            <w:tcW w:w="2000" w:type="dxa"/>
            <w:vAlign w:val="bottom"/>
          </w:tcPr>
          <w:p>
            <w:pPr>
              <w:spacing w:after="0"/>
              <w:rPr>
                <w:sz w:val="24"/>
                <w:szCs w:val="24"/>
                <w:color w:val="auto"/>
              </w:rPr>
            </w:pPr>
          </w:p>
        </w:tc>
      </w:tr>
      <w:tr>
        <w:trPr>
          <w:trHeight w:val="380"/>
        </w:trPr>
        <w:tc>
          <w:tcPr>
            <w:tcW w:w="9320" w:type="dxa"/>
            <w:vAlign w:val="bottom"/>
            <w:gridSpan w:val="2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7"/>
          </w:tcPr>
          <w:p>
            <w:pPr>
              <w:spacing w:after="0"/>
              <w:rPr>
                <w:sz w:val="17"/>
                <w:szCs w:val="17"/>
                <w:color w:val="auto"/>
              </w:rPr>
            </w:pPr>
          </w:p>
        </w:tc>
        <w:tc>
          <w:tcPr>
            <w:tcW w:w="652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Who We Are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8400" w:type="dxa"/>
            <w:vAlign w:val="bottom"/>
            <w:gridSpan w:val="2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Ratio Of Earnings To Fixed Charges</w:t>
              </w:r>
            </w:hyperlink>
          </w:p>
        </w:tc>
        <w:tc>
          <w:tcPr>
            <w:tcW w:w="674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Description of Our Debt Securities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Description of Our Common Units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Cash Distribution Policy</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Our Partnership Agreement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792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SUPPLEMENT AND THE ACCOMPANYING BASE PROSPECTUS</w:t>
      </w:r>
    </w:p>
    <w:p>
      <w:pPr>
        <w:spacing w:after="0" w:line="16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9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the description of the offering varies between the prospectus supplement and the accompanying base prospectus, you should rely on the information in the prospectus supplement.</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expect delivery of the Notes will be made against payment therefor on or about September , 2014, which is the business day following the date of pricing of the Notes (such settlement being referred to as “T+ ”). Under Rule 15c6-1 of the Securities Exchange Act of 1934, as amended (the “Exchange Act”), trades in the secondary market generally are required to settle in three business days unless the parties to any such trade expressly agree otherwise. Accordingly, purchasers who wish to trade the 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failure to implement or capitalize, or delays in implementing or capitalizing, on planned internal growth projects;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unanticipated changes in crude oil market structure, grade differentials and volatility (or lack thereof);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environmental liabilities or events that are not covered by an indemnity, insurance or existing reserves;</w:t>
      </w:r>
    </w:p>
    <w:p>
      <w:pPr>
        <w:spacing w:after="0" w:line="90" w:lineRule="exact"/>
        <w:rPr>
          <w:sz w:val="20"/>
          <w:szCs w:val="20"/>
          <w:color w:val="auto"/>
        </w:rPr>
      </w:pPr>
    </w:p>
    <w:p>
      <w:pPr>
        <w:ind w:left="900" w:right="80" w:hanging="446"/>
        <w:spacing w:after="0" w:line="259" w:lineRule="auto"/>
        <w:rPr>
          <w:sz w:val="20"/>
          <w:szCs w:val="20"/>
          <w:color w:val="auto"/>
        </w:rPr>
      </w:pPr>
      <w:r>
        <w:rPr>
          <w:rFonts w:ascii="Arial" w:cs="Arial" w:eastAsia="Arial" w:hAnsi="Arial"/>
          <w:sz w:val="18"/>
          <w:szCs w:val="18"/>
          <w:color w:val="auto"/>
        </w:rPr>
        <w:t>— 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w:t>
      </w:r>
    </w:p>
    <w:p>
      <w:pPr>
        <w:spacing w:after="0" w:line="59" w:lineRule="exact"/>
        <w:rPr>
          <w:sz w:val="20"/>
          <w:szCs w:val="20"/>
          <w:color w:val="auto"/>
        </w:rPr>
      </w:pPr>
    </w:p>
    <w:p>
      <w:pPr>
        <w:ind w:left="900" w:right="600" w:hanging="446"/>
        <w:spacing w:after="0" w:line="332" w:lineRule="auto"/>
        <w:rPr>
          <w:sz w:val="20"/>
          <w:szCs w:val="20"/>
          <w:color w:val="auto"/>
        </w:rPr>
      </w:pPr>
      <w:r>
        <w:rPr>
          <w:rFonts w:ascii="Arial" w:cs="Arial" w:eastAsia="Arial" w:hAnsi="Arial"/>
          <w:sz w:val="16"/>
          <w:szCs w:val="16"/>
          <w:color w:val="auto"/>
        </w:rPr>
        <w:t>— 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the occurrence of a natural disaster, catastrophe, terrorist attack or other event, including attacks on our electronic and computer systems;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weather interference with business operations or project construction, including the impact of extreme weather events or conditions;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tightened capital markets or other factors that increase our cost of capital or limit our access to capital;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maintenance of our credit rating and ability to receive open credit from our suppliers and trade counterparties;</w:t>
      </w:r>
    </w:p>
    <w:p>
      <w:pPr>
        <w:spacing w:after="0" w:line="90" w:lineRule="exact"/>
        <w:rPr>
          <w:sz w:val="20"/>
          <w:szCs w:val="20"/>
          <w:color w:val="auto"/>
        </w:rPr>
      </w:pPr>
    </w:p>
    <w:p>
      <w:pPr>
        <w:ind w:left="900" w:right="420" w:hanging="446"/>
        <w:spacing w:after="0" w:line="268" w:lineRule="auto"/>
        <w:rPr>
          <w:sz w:val="20"/>
          <w:szCs w:val="20"/>
          <w:color w:val="auto"/>
        </w:rPr>
      </w:pPr>
      <w:r>
        <w:rPr>
          <w:rFonts w:ascii="Arial" w:cs="Arial" w:eastAsia="Arial" w:hAnsi="Arial"/>
          <w:sz w:val="18"/>
          <w:szCs w:val="18"/>
          <w:color w:val="auto"/>
        </w:rPr>
        <w:t>— continued creditworthiness of, and performance by, our counterparties, including financial institutions and trading companies with which we do business;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currency exchange rate of the Canadian dollar;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availability of, and our ability to consummate, acquisition or combination opportunities;</w:t>
      </w:r>
    </w:p>
    <w:p>
      <w:pPr>
        <w:spacing w:after="0" w:line="90" w:lineRule="exact"/>
        <w:rPr>
          <w:sz w:val="20"/>
          <w:szCs w:val="20"/>
          <w:color w:val="auto"/>
        </w:rPr>
      </w:pPr>
    </w:p>
    <w:p>
      <w:pPr>
        <w:ind w:left="900" w:right="60" w:hanging="446"/>
        <w:spacing w:after="0" w:line="268" w:lineRule="auto"/>
        <w:rPr>
          <w:sz w:val="20"/>
          <w:szCs w:val="20"/>
          <w:color w:val="auto"/>
        </w:rPr>
      </w:pPr>
      <w:r>
        <w:rPr>
          <w:rFonts w:ascii="Arial" w:cs="Arial" w:eastAsia="Arial" w:hAnsi="Arial"/>
          <w:sz w:val="18"/>
          <w:szCs w:val="18"/>
          <w:color w:val="auto"/>
        </w:rPr>
        <w:t>— the successful integration and future performance of acquired assets or businesses and the risks associated with operating in lines of business that are distinct and separate from our historical operations;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shortages or cost increases of supplies, materials or labor;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effectiveness of our risk management activities;</w:t>
      </w:r>
    </w:p>
    <w:p>
      <w:pPr>
        <w:spacing w:after="0" w:line="90" w:lineRule="exact"/>
        <w:rPr>
          <w:sz w:val="20"/>
          <w:szCs w:val="20"/>
          <w:color w:val="auto"/>
        </w:rPr>
      </w:pPr>
    </w:p>
    <w:p>
      <w:pPr>
        <w:ind w:left="900" w:right="180" w:hanging="446"/>
        <w:spacing w:after="0" w:line="268" w:lineRule="auto"/>
        <w:rPr>
          <w:sz w:val="20"/>
          <w:szCs w:val="20"/>
          <w:color w:val="auto"/>
        </w:rPr>
      </w:pPr>
      <w:r>
        <w:rPr>
          <w:rFonts w:ascii="Arial" w:cs="Arial" w:eastAsia="Arial" w:hAnsi="Arial"/>
          <w:sz w:val="18"/>
          <w:szCs w:val="18"/>
          <w:color w:val="auto"/>
        </w:rPr>
        <w:t>— our ability to obtain debt or equity financing on satisfactory terms to fund additional acquisitions, expansion projects, working capital requirements and the repayment or refinancing of indebtedness;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the impact of current and future laws, rulings, governmental regulations, accounting standards and statements, and related interpretations;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non-utilization of our assets and facilities;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the effects of competition;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increased costs or lack of availability of insurance;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fluctuations in the debt and equity markets, including the price of our units at the time of vesting under our long-term incentive plans;</w:t>
      </w:r>
    </w:p>
    <w:p>
      <w:pPr>
        <w:spacing w:after="0" w:line="90" w:lineRule="exact"/>
        <w:rPr>
          <w:sz w:val="20"/>
          <w:szCs w:val="20"/>
          <w:color w:val="auto"/>
        </w:rPr>
      </w:pPr>
    </w:p>
    <w:p>
      <w:pPr>
        <w:ind w:left="900" w:right="240" w:hanging="446"/>
        <w:spacing w:after="0" w:line="268" w:lineRule="auto"/>
        <w:rPr>
          <w:sz w:val="20"/>
          <w:szCs w:val="20"/>
          <w:color w:val="auto"/>
        </w:rPr>
      </w:pPr>
      <w:r>
        <w:rPr>
          <w:rFonts w:ascii="Arial" w:cs="Arial" w:eastAsia="Arial" w:hAnsi="Arial"/>
          <w:sz w:val="18"/>
          <w:szCs w:val="18"/>
          <w:color w:val="auto"/>
        </w:rPr>
        <w:t>— risks related to the development and operation of our facilities, including our ability to satisfy our contractual obligations to our customers at our facilities;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factors affecting demand for natural gas and natural gas storage services and rates;</w:t>
      </w:r>
    </w:p>
    <w:p>
      <w:pPr>
        <w:spacing w:after="0" w:line="90" w:lineRule="exact"/>
        <w:rPr>
          <w:sz w:val="20"/>
          <w:szCs w:val="20"/>
          <w:color w:val="auto"/>
        </w:rPr>
      </w:pPr>
    </w:p>
    <w:p>
      <w:pPr>
        <w:ind w:left="900" w:right="240" w:hanging="446"/>
        <w:spacing w:after="0" w:line="268" w:lineRule="auto"/>
        <w:rPr>
          <w:sz w:val="20"/>
          <w:szCs w:val="20"/>
          <w:color w:val="auto"/>
        </w:rPr>
      </w:pPr>
      <w:r>
        <w:rPr>
          <w:rFonts w:ascii="Arial" w:cs="Arial" w:eastAsia="Arial" w:hAnsi="Arial"/>
          <w:sz w:val="18"/>
          <w:szCs w:val="18"/>
          <w:color w:val="auto"/>
        </w:rPr>
        <w:t>— general economic, market or business conditions and the amplification of other risks caused by volatile financial markets, capital constraints and pervasive liquidity concerns; and</w:t>
      </w:r>
    </w:p>
    <w:p>
      <w:pPr>
        <w:spacing w:after="0" w:line="50" w:lineRule="exact"/>
        <w:rPr>
          <w:sz w:val="20"/>
          <w:szCs w:val="20"/>
          <w:color w:val="auto"/>
        </w:rPr>
      </w:pPr>
    </w:p>
    <w:p>
      <w:pPr>
        <w:ind w:left="900" w:right="60" w:hanging="446"/>
        <w:spacing w:after="0" w:line="332" w:lineRule="auto"/>
        <w:rPr>
          <w:sz w:val="20"/>
          <w:szCs w:val="20"/>
          <w:color w:val="auto"/>
        </w:rPr>
      </w:pPr>
      <w:r>
        <w:rPr>
          <w:rFonts w:ascii="Arial" w:cs="Arial" w:eastAsia="Arial" w:hAnsi="Arial"/>
          <w:sz w:val="16"/>
          <w:szCs w:val="16"/>
          <w:color w:val="auto"/>
        </w:rPr>
        <w:t>— 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S-5 of this prospectus supplement and in Item 1A. “Risk Factors” in our Annual Report on Form 10-K for the fiscal year ended December 31, 2013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beginning on page S-5 of this prospectus supplement and in our Annual Report on Form 10-K for the fiscal year ended December 31, 2013, which is incorporated by reference herein, for information regarding risks you should consider before making a decision to purchase any Notes in this offering.</w:t>
      </w:r>
    </w:p>
    <w:p>
      <w:pPr>
        <w:spacing w:after="0" w:line="120" w:lineRule="exact"/>
        <w:rPr>
          <w:sz w:val="20"/>
          <w:szCs w:val="20"/>
          <w:color w:val="auto"/>
        </w:rPr>
      </w:pPr>
    </w:p>
    <w:p>
      <w:pPr>
        <w:ind w:left="200" w:right="200" w:firstLine="443"/>
        <w:spacing w:after="0" w:line="254" w:lineRule="auto"/>
        <w:rPr>
          <w:sz w:val="20"/>
          <w:szCs w:val="20"/>
          <w:color w:val="auto"/>
        </w:rPr>
      </w:pPr>
      <w:r>
        <w:rPr>
          <w:rFonts w:ascii="Arial" w:cs="Arial" w:eastAsia="Arial" w:hAnsi="Arial"/>
          <w:sz w:val="18"/>
          <w:szCs w:val="18"/>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“Prospectus Supplement Summary—The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Plains All American Pipeline, L.P.</w:t>
      </w:r>
    </w:p>
    <w:p>
      <w:pPr>
        <w:spacing w:after="0" w:line="177"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143" w:lineRule="exact"/>
        <w:rPr>
          <w:sz w:val="20"/>
          <w:szCs w:val="20"/>
          <w:color w:val="auto"/>
        </w:rPr>
      </w:pPr>
    </w:p>
    <w:p>
      <w:pPr>
        <w:jc w:val="both"/>
        <w:ind w:left="200" w:right="140" w:firstLine="443"/>
        <w:spacing w:after="0" w:line="306" w:lineRule="auto"/>
        <w:rPr>
          <w:sz w:val="20"/>
          <w:szCs w:val="20"/>
          <w:color w:val="auto"/>
        </w:rPr>
      </w:pPr>
      <w:r>
        <w:rPr>
          <w:rFonts w:ascii="Arial" w:cs="Arial" w:eastAsia="Arial" w:hAnsi="Arial"/>
          <w:sz w:val="16"/>
          <w:szCs w:val="16"/>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8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Ongoing Acquisition Activities</w:t>
      </w:r>
    </w:p>
    <w:p>
      <w:pPr>
        <w:spacing w:after="0" w:line="177"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energy-related assets that have characteristics and opportunities similar to our existing business lines and enable us to leverage our assets, knowledge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w:t>
      </w:r>
    </w:p>
    <w:p>
      <w:pPr>
        <w:spacing w:after="0" w:line="118" w:lineRule="exact"/>
        <w:rPr>
          <w:sz w:val="20"/>
          <w:szCs w:val="20"/>
          <w:color w:val="auto"/>
        </w:rPr>
      </w:pPr>
    </w:p>
    <w:p>
      <w:pPr>
        <w:ind w:left="200" w:right="480" w:firstLine="443"/>
        <w:spacing w:after="0" w:line="268" w:lineRule="auto"/>
        <w:rPr>
          <w:sz w:val="20"/>
          <w:szCs w:val="20"/>
          <w:color w:val="auto"/>
        </w:rPr>
      </w:pPr>
      <w:r>
        <w:rPr>
          <w:rFonts w:ascii="Arial" w:cs="Arial" w:eastAsia="Arial" w:hAnsi="Arial"/>
          <w:sz w:val="18"/>
          <w:szCs w:val="18"/>
          <w:color w:val="auto"/>
        </w:rPr>
        <w:t>We typically do not announce a transaction until after we have executed a definitive acquisition agreement. However, in certain cases in order to protect our business interests or for other reasons, we may defer public</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482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24828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spacing w:after="0" w:line="294" w:lineRule="auto"/>
        <w:rPr>
          <w:sz w:val="20"/>
          <w:szCs w:val="20"/>
          <w:color w:val="auto"/>
        </w:rPr>
      </w:pPr>
      <w:r>
        <w:rPr>
          <w:rFonts w:ascii="Arial" w:cs="Arial" w:eastAsia="Arial" w:hAnsi="Arial"/>
          <w:sz w:val="16"/>
          <w:szCs w:val="16"/>
          <w:color w:val="auto"/>
        </w:rPr>
        <w:t>announcement of an acquisition until closing or a later date. Past experience has demonstrated that discussions and negotiations regarding a potential acquisition can advance or terminate in a short period of time. Moreover, the closing of any transaction for which we have entered into a definitive acquisition agreement will be subject to customary and other closing conditions, which may not ultimately be satisfied or waived. Accordingly, we can give no assurance that our current or future acquisition efforts will be successful. Although we expect the acquisitions we make to be accretive in the long term, we can provide no assurance that our expectations will ultimately be realized.</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Principal Executive Offices</w:t>
      </w:r>
    </w:p>
    <w:p>
      <w:pPr>
        <w:spacing w:after="0" w:line="177" w:lineRule="exact"/>
        <w:rPr>
          <w:sz w:val="20"/>
          <w:szCs w:val="20"/>
          <w:color w:val="auto"/>
        </w:rPr>
      </w:pPr>
    </w:p>
    <w:p>
      <w:pPr>
        <w:jc w:val="both"/>
        <w:ind w:left="200" w:right="420" w:firstLine="443"/>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2013 and our Quarterly Reports on Form 10-Q for the quarterly periods ended March 31, 2014 and June 30, 2014, each of which is incorporated by reference herein.</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right="200" w:firstLine="443"/>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81"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Issuers</w:t>
      </w:r>
      <w:r>
        <w:rPr>
          <w:sz w:val="20"/>
          <w:szCs w:val="20"/>
          <w:color w:val="auto"/>
        </w:rPr>
        <w:tab/>
      </w:r>
      <w:r>
        <w:rPr>
          <w:rFonts w:ascii="Arial" w:cs="Arial" w:eastAsia="Arial" w:hAnsi="Arial"/>
          <w:sz w:val="18"/>
          <w:szCs w:val="18"/>
          <w:color w:val="auto"/>
        </w:rPr>
        <w:t>Plains All American Pipeline, L.P. and PAA Finance Corp.</w:t>
      </w:r>
    </w:p>
    <w:p>
      <w:pPr>
        <w:spacing w:after="0" w:line="225" w:lineRule="exact"/>
        <w:rPr>
          <w:sz w:val="20"/>
          <w:szCs w:val="20"/>
          <w:color w:val="auto"/>
        </w:rPr>
      </w:pPr>
    </w:p>
    <w:p>
      <w:pPr>
        <w:ind w:left="4400" w:right="280"/>
        <w:spacing w:after="0" w:line="294" w:lineRule="auto"/>
        <w:rPr>
          <w:sz w:val="20"/>
          <w:szCs w:val="20"/>
          <w:color w:val="auto"/>
        </w:rPr>
      </w:pPr>
      <w:r>
        <w:rPr>
          <w:rFonts w:ascii="Arial" w:cs="Arial" w:eastAsia="Arial" w:hAnsi="Arial"/>
          <w:sz w:val="16"/>
          <w:szCs w:val="16"/>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Future guarantees</w:t>
            </w: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9"/>
              </w:rPr>
              <w:t>Initially, the Notes will not be guaranteed by any subsidiaries of the issuers. In the future,</w:t>
            </w:r>
          </w:p>
        </w:tc>
      </w:tr>
      <w:tr>
        <w:trPr>
          <w:trHeight w:val="216"/>
        </w:trPr>
        <w:tc>
          <w:tcPr>
            <w:tcW w:w="3080" w:type="dxa"/>
            <w:vAlign w:val="bottom"/>
          </w:tcPr>
          <w:p>
            <w:pPr>
              <w:spacing w:after="0"/>
              <w:rPr>
                <w:sz w:val="18"/>
                <w:szCs w:val="18"/>
                <w:color w:val="auto"/>
              </w:rPr>
            </w:pP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1"/>
              </w:rPr>
              <w:t>however, if any subsidiaries guarantee any of the issuers’ other debt, then those subsidiaries will,</w:t>
            </w:r>
          </w:p>
        </w:tc>
      </w:tr>
      <w:tr>
        <w:trPr>
          <w:trHeight w:val="216"/>
        </w:trPr>
        <w:tc>
          <w:tcPr>
            <w:tcW w:w="3080" w:type="dxa"/>
            <w:vAlign w:val="bottom"/>
          </w:tcPr>
          <w:p>
            <w:pPr>
              <w:spacing w:after="0"/>
              <w:rPr>
                <w:sz w:val="18"/>
                <w:szCs w:val="18"/>
                <w:color w:val="auto"/>
              </w:rPr>
            </w:pP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3"/>
              </w:rPr>
              <w:t>jointly and severally, fully and unconditionally guarantee the issuers’ payment obligations under</w:t>
            </w:r>
          </w:p>
        </w:tc>
      </w:tr>
      <w:tr>
        <w:trPr>
          <w:trHeight w:val="222"/>
        </w:trPr>
        <w:tc>
          <w:tcPr>
            <w:tcW w:w="3080" w:type="dxa"/>
            <w:vAlign w:val="bottom"/>
          </w:tcPr>
          <w:p>
            <w:pPr>
              <w:spacing w:after="0"/>
              <w:rPr>
                <w:sz w:val="19"/>
                <w:szCs w:val="19"/>
                <w:color w:val="auto"/>
              </w:rPr>
            </w:pPr>
          </w:p>
        </w:tc>
        <w:tc>
          <w:tcPr>
            <w:tcW w:w="7140" w:type="dxa"/>
            <w:vAlign w:val="bottom"/>
            <w:gridSpan w:val="5"/>
          </w:tcPr>
          <w:p>
            <w:pPr>
              <w:ind w:left="1320"/>
              <w:spacing w:after="0"/>
              <w:rPr>
                <w:sz w:val="20"/>
                <w:szCs w:val="20"/>
                <w:color w:val="auto"/>
              </w:rPr>
            </w:pPr>
            <w:r>
              <w:rPr>
                <w:rFonts w:ascii="Arial" w:cs="Arial" w:eastAsia="Arial" w:hAnsi="Arial"/>
                <w:sz w:val="18"/>
                <w:szCs w:val="18"/>
                <w:color w:val="auto"/>
                <w:w w:val="95"/>
              </w:rPr>
              <w:t>the Notes. Please read “Description of Notes—Possible Future Guarantees.”</w:t>
            </w:r>
          </w:p>
        </w:tc>
        <w:tc>
          <w:tcPr>
            <w:tcW w:w="1240" w:type="dxa"/>
            <w:vAlign w:val="bottom"/>
          </w:tcPr>
          <w:p>
            <w:pPr>
              <w:spacing w:after="0"/>
              <w:rPr>
                <w:sz w:val="19"/>
                <w:szCs w:val="19"/>
                <w:color w:val="auto"/>
              </w:rPr>
            </w:pPr>
          </w:p>
        </w:tc>
      </w:tr>
      <w:tr>
        <w:trPr>
          <w:trHeight w:val="419"/>
        </w:trPr>
        <w:tc>
          <w:tcPr>
            <w:tcW w:w="3080" w:type="dxa"/>
            <w:vAlign w:val="bottom"/>
          </w:tcPr>
          <w:p>
            <w:pPr>
              <w:ind w:left="200"/>
              <w:spacing w:after="0"/>
              <w:rPr>
                <w:sz w:val="20"/>
                <w:szCs w:val="20"/>
                <w:color w:val="auto"/>
              </w:rPr>
            </w:pPr>
            <w:r>
              <w:rPr>
                <w:rFonts w:ascii="Arial" w:cs="Arial" w:eastAsia="Arial" w:hAnsi="Arial"/>
                <w:sz w:val="18"/>
                <w:szCs w:val="18"/>
                <w:color w:val="auto"/>
              </w:rPr>
              <w:t>Notes offered</w:t>
            </w:r>
          </w:p>
        </w:tc>
        <w:tc>
          <w:tcPr>
            <w:tcW w:w="1440" w:type="dxa"/>
            <w:vAlign w:val="bottom"/>
          </w:tcPr>
          <w:p>
            <w:pPr>
              <w:ind w:left="1320"/>
              <w:spacing w:after="0"/>
              <w:rPr>
                <w:sz w:val="20"/>
                <w:szCs w:val="20"/>
                <w:color w:val="auto"/>
              </w:rPr>
            </w:pPr>
            <w:r>
              <w:rPr>
                <w:rFonts w:ascii="Arial" w:cs="Arial" w:eastAsia="Arial" w:hAnsi="Arial"/>
                <w:sz w:val="18"/>
                <w:szCs w:val="18"/>
                <w:color w:val="auto"/>
                <w:w w:val="99"/>
              </w:rPr>
              <w:t>$</w:t>
            </w:r>
          </w:p>
        </w:tc>
        <w:tc>
          <w:tcPr>
            <w:tcW w:w="2780" w:type="dxa"/>
            <w:vAlign w:val="bottom"/>
            <w:gridSpan w:val="2"/>
          </w:tcPr>
          <w:p>
            <w:pPr>
              <w:jc w:val="right"/>
              <w:ind w:right="52"/>
              <w:spacing w:after="0"/>
              <w:rPr>
                <w:sz w:val="20"/>
                <w:szCs w:val="20"/>
                <w:color w:val="auto"/>
              </w:rPr>
            </w:pPr>
            <w:r>
              <w:rPr>
                <w:rFonts w:ascii="Arial" w:cs="Arial" w:eastAsia="Arial" w:hAnsi="Arial"/>
                <w:sz w:val="18"/>
                <w:szCs w:val="18"/>
                <w:color w:val="auto"/>
              </w:rPr>
              <w:t>aggregate principal amount of</w:t>
            </w:r>
          </w:p>
        </w:tc>
        <w:tc>
          <w:tcPr>
            <w:tcW w:w="2040" w:type="dxa"/>
            <w:vAlign w:val="bottom"/>
          </w:tcPr>
          <w:p>
            <w:pPr>
              <w:ind w:left="80"/>
              <w:spacing w:after="0"/>
              <w:rPr>
                <w:sz w:val="20"/>
                <w:szCs w:val="20"/>
                <w:color w:val="auto"/>
              </w:rPr>
            </w:pPr>
            <w:r>
              <w:rPr>
                <w:rFonts w:ascii="Arial" w:cs="Arial" w:eastAsia="Arial" w:hAnsi="Arial"/>
                <w:sz w:val="18"/>
                <w:szCs w:val="18"/>
                <w:color w:val="auto"/>
                <w:w w:val="92"/>
              </w:rPr>
              <w:t>% Senior Notes due 2024.</w:t>
            </w: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08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1440" w:type="dxa"/>
            <w:vAlign w:val="bottom"/>
          </w:tcPr>
          <w:p>
            <w:pPr>
              <w:spacing w:after="0"/>
              <w:rPr>
                <w:sz w:val="24"/>
                <w:szCs w:val="24"/>
                <w:color w:val="auto"/>
              </w:rPr>
            </w:pPr>
          </w:p>
        </w:tc>
        <w:tc>
          <w:tcPr>
            <w:tcW w:w="1900" w:type="dxa"/>
            <w:vAlign w:val="bottom"/>
          </w:tcPr>
          <w:p>
            <w:pPr>
              <w:jc w:val="right"/>
              <w:ind w:right="932"/>
              <w:spacing w:after="0"/>
              <w:rPr>
                <w:sz w:val="20"/>
                <w:szCs w:val="20"/>
                <w:color w:val="auto"/>
              </w:rPr>
            </w:pPr>
            <w:r>
              <w:rPr>
                <w:rFonts w:ascii="Arial" w:cs="Arial" w:eastAsia="Arial" w:hAnsi="Arial"/>
                <w:sz w:val="18"/>
                <w:szCs w:val="18"/>
                <w:color w:val="auto"/>
              </w:rPr>
              <w:t>, 2024.</w:t>
            </w:r>
          </w:p>
        </w:tc>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08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1440" w:type="dxa"/>
            <w:vAlign w:val="bottom"/>
          </w:tcPr>
          <w:p>
            <w:pPr>
              <w:spacing w:after="0"/>
              <w:rPr>
                <w:sz w:val="24"/>
                <w:szCs w:val="24"/>
                <w:color w:val="auto"/>
              </w:rPr>
            </w:pPr>
          </w:p>
        </w:tc>
        <w:tc>
          <w:tcPr>
            <w:tcW w:w="1900" w:type="dxa"/>
            <w:vAlign w:val="bottom"/>
          </w:tcPr>
          <w:p>
            <w:pPr>
              <w:jc w:val="right"/>
              <w:ind w:right="1572"/>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6"/>
        </w:trPr>
        <w:tc>
          <w:tcPr>
            <w:tcW w:w="30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6260" w:type="dxa"/>
            <w:vAlign w:val="bottom"/>
            <w:gridSpan w:val="4"/>
          </w:tcPr>
          <w:p>
            <w:pPr>
              <w:ind w:left="1320"/>
              <w:spacing w:after="0"/>
              <w:rPr>
                <w:sz w:val="20"/>
                <w:szCs w:val="20"/>
                <w:color w:val="auto"/>
              </w:rPr>
            </w:pPr>
            <w:r>
              <w:rPr>
                <w:rFonts w:ascii="Arial" w:cs="Arial" w:eastAsia="Arial" w:hAnsi="Arial"/>
                <w:sz w:val="18"/>
                <w:szCs w:val="18"/>
                <w:color w:val="auto"/>
              </w:rPr>
              <w:t>We will pay interest on the Notes semi-annually in arrears on</w:t>
            </w:r>
          </w:p>
        </w:tc>
        <w:tc>
          <w:tcPr>
            <w:tcW w:w="880" w:type="dxa"/>
            <w:vAlign w:val="bottom"/>
          </w:tcPr>
          <w:p>
            <w:pPr>
              <w:ind w:left="100"/>
              <w:spacing w:after="0"/>
              <w:rPr>
                <w:sz w:val="20"/>
                <w:szCs w:val="20"/>
                <w:color w:val="auto"/>
              </w:rPr>
            </w:pPr>
            <w:r>
              <w:rPr>
                <w:rFonts w:ascii="Arial" w:cs="Arial" w:eastAsia="Arial" w:hAnsi="Arial"/>
                <w:sz w:val="18"/>
                <w:szCs w:val="18"/>
                <w:color w:val="auto"/>
              </w:rPr>
              <w:t>and</w:t>
            </w:r>
          </w:p>
        </w:tc>
        <w:tc>
          <w:tcPr>
            <w:tcW w:w="1240" w:type="dxa"/>
            <w:vAlign w:val="bottom"/>
          </w:tcPr>
          <w:p>
            <w:pPr>
              <w:ind w:left="220"/>
              <w:spacing w:after="0"/>
              <w:rPr>
                <w:sz w:val="20"/>
                <w:szCs w:val="20"/>
                <w:color w:val="auto"/>
              </w:rPr>
            </w:pPr>
            <w:r>
              <w:rPr>
                <w:rFonts w:ascii="Arial" w:cs="Arial" w:eastAsia="Arial" w:hAnsi="Arial"/>
                <w:sz w:val="18"/>
                <w:szCs w:val="18"/>
                <w:color w:val="auto"/>
              </w:rPr>
              <w:t>of each</w:t>
            </w:r>
          </w:p>
        </w:tc>
      </w:tr>
      <w:tr>
        <w:trPr>
          <w:trHeight w:val="222"/>
        </w:trPr>
        <w:tc>
          <w:tcPr>
            <w:tcW w:w="3080" w:type="dxa"/>
            <w:vAlign w:val="bottom"/>
          </w:tcPr>
          <w:p>
            <w:pPr>
              <w:spacing w:after="0"/>
              <w:rPr>
                <w:sz w:val="19"/>
                <w:szCs w:val="19"/>
                <w:color w:val="auto"/>
              </w:rPr>
            </w:pPr>
          </w:p>
        </w:tc>
        <w:tc>
          <w:tcPr>
            <w:tcW w:w="3340" w:type="dxa"/>
            <w:vAlign w:val="bottom"/>
            <w:gridSpan w:val="2"/>
          </w:tcPr>
          <w:p>
            <w:pPr>
              <w:ind w:left="1320"/>
              <w:spacing w:after="0"/>
              <w:rPr>
                <w:sz w:val="20"/>
                <w:szCs w:val="20"/>
                <w:color w:val="auto"/>
              </w:rPr>
            </w:pPr>
            <w:r>
              <w:rPr>
                <w:rFonts w:ascii="Arial" w:cs="Arial" w:eastAsia="Arial" w:hAnsi="Arial"/>
                <w:sz w:val="18"/>
                <w:szCs w:val="18"/>
                <w:color w:val="auto"/>
              </w:rPr>
              <w:t>year, beginning on</w:t>
            </w:r>
          </w:p>
        </w:tc>
        <w:tc>
          <w:tcPr>
            <w:tcW w:w="880" w:type="dxa"/>
            <w:vAlign w:val="bottom"/>
          </w:tcPr>
          <w:p>
            <w:pPr>
              <w:jc w:val="right"/>
              <w:ind w:right="272"/>
              <w:spacing w:after="0"/>
              <w:rPr>
                <w:sz w:val="20"/>
                <w:szCs w:val="20"/>
                <w:color w:val="auto"/>
              </w:rPr>
            </w:pPr>
            <w:r>
              <w:rPr>
                <w:rFonts w:ascii="Arial" w:cs="Arial" w:eastAsia="Arial" w:hAnsi="Arial"/>
                <w:sz w:val="18"/>
                <w:szCs w:val="18"/>
                <w:color w:val="auto"/>
                <w:w w:val="90"/>
              </w:rPr>
              <w:t>, 2015.</w:t>
            </w: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12"/>
        </w:trPr>
        <w:tc>
          <w:tcPr>
            <w:tcW w:w="308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rPr>
              <w:t>We may redeem the Notes, in whole or in part, at any time and from time to time prior to</w:t>
            </w:r>
          </w:p>
        </w:tc>
      </w:tr>
      <w:tr>
        <w:trPr>
          <w:trHeight w:val="216"/>
        </w:trPr>
        <w:tc>
          <w:tcPr>
            <w:tcW w:w="3080" w:type="dxa"/>
            <w:vAlign w:val="bottom"/>
          </w:tcPr>
          <w:p>
            <w:pPr>
              <w:spacing w:after="0"/>
              <w:rPr>
                <w:sz w:val="18"/>
                <w:szCs w:val="18"/>
                <w:color w:val="auto"/>
              </w:rPr>
            </w:pPr>
          </w:p>
        </w:tc>
        <w:tc>
          <w:tcPr>
            <w:tcW w:w="4220" w:type="dxa"/>
            <w:vAlign w:val="bottom"/>
            <w:gridSpan w:val="3"/>
          </w:tcPr>
          <w:p>
            <w:pPr>
              <w:ind w:left="1320"/>
              <w:spacing w:after="0"/>
              <w:rPr>
                <w:sz w:val="20"/>
                <w:szCs w:val="20"/>
                <w:color w:val="auto"/>
              </w:rPr>
            </w:pPr>
            <w:r>
              <w:rPr>
                <w:rFonts w:ascii="Arial" w:cs="Arial" w:eastAsia="Arial" w:hAnsi="Arial"/>
                <w:sz w:val="18"/>
                <w:szCs w:val="18"/>
                <w:color w:val="auto"/>
                <w:w w:val="91"/>
              </w:rPr>
              <w:t>maturity. If we redeem the Notes before</w:t>
            </w:r>
          </w:p>
        </w:tc>
        <w:tc>
          <w:tcPr>
            <w:tcW w:w="4160" w:type="dxa"/>
            <w:vAlign w:val="bottom"/>
            <w:gridSpan w:val="3"/>
          </w:tcPr>
          <w:p>
            <w:pPr>
              <w:ind w:left="640"/>
              <w:spacing w:after="0"/>
              <w:rPr>
                <w:sz w:val="20"/>
                <w:szCs w:val="20"/>
                <w:color w:val="auto"/>
              </w:rPr>
            </w:pPr>
            <w:r>
              <w:rPr>
                <w:rFonts w:ascii="Arial" w:cs="Arial" w:eastAsia="Arial" w:hAnsi="Arial"/>
                <w:sz w:val="18"/>
                <w:szCs w:val="18"/>
                <w:color w:val="auto"/>
              </w:rPr>
              <w:t>, 2024 (three months prior to their maturity</w:t>
            </w:r>
          </w:p>
        </w:tc>
      </w:tr>
      <w:tr>
        <w:trPr>
          <w:trHeight w:val="216"/>
        </w:trPr>
        <w:tc>
          <w:tcPr>
            <w:tcW w:w="3080" w:type="dxa"/>
            <w:vAlign w:val="bottom"/>
          </w:tcPr>
          <w:p>
            <w:pPr>
              <w:spacing w:after="0"/>
              <w:rPr>
                <w:sz w:val="18"/>
                <w:szCs w:val="18"/>
                <w:color w:val="auto"/>
              </w:rPr>
            </w:pP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6"/>
              </w:rPr>
              <w:t>date), the Notes may be redeemed at a price equal to the greater of (i) 100% of the principal</w:t>
            </w:r>
          </w:p>
        </w:tc>
      </w:tr>
      <w:tr>
        <w:trPr>
          <w:trHeight w:val="216"/>
        </w:trPr>
        <w:tc>
          <w:tcPr>
            <w:tcW w:w="3080" w:type="dxa"/>
            <w:vAlign w:val="bottom"/>
          </w:tcPr>
          <w:p>
            <w:pPr>
              <w:spacing w:after="0"/>
              <w:rPr>
                <w:sz w:val="18"/>
                <w:szCs w:val="18"/>
                <w:color w:val="auto"/>
              </w:rPr>
            </w:pP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8"/>
              </w:rPr>
              <w:t>amount of the Notes to be redeemed or (ii) the sum of the present values of the remaining</w:t>
            </w:r>
          </w:p>
        </w:tc>
      </w:tr>
      <w:tr>
        <w:trPr>
          <w:trHeight w:val="216"/>
        </w:trPr>
        <w:tc>
          <w:tcPr>
            <w:tcW w:w="3080" w:type="dxa"/>
            <w:vAlign w:val="bottom"/>
          </w:tcPr>
          <w:p>
            <w:pPr>
              <w:spacing w:after="0"/>
              <w:rPr>
                <w:sz w:val="18"/>
                <w:szCs w:val="18"/>
                <w:color w:val="auto"/>
              </w:rPr>
            </w:pP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2"/>
              </w:rPr>
              <w:t>scheduled payments of principal of and interest on the Notes to be redeemed, discounted to the</w:t>
            </w:r>
          </w:p>
        </w:tc>
      </w:tr>
      <w:tr>
        <w:trPr>
          <w:trHeight w:val="216"/>
        </w:trPr>
        <w:tc>
          <w:tcPr>
            <w:tcW w:w="3080" w:type="dxa"/>
            <w:vAlign w:val="bottom"/>
          </w:tcPr>
          <w:p>
            <w:pPr>
              <w:spacing w:after="0"/>
              <w:rPr>
                <w:sz w:val="18"/>
                <w:szCs w:val="18"/>
                <w:color w:val="auto"/>
              </w:rPr>
            </w:pP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3"/>
              </w:rPr>
              <w:t>redemption date on a semiannual basis at the Adjusted Treasury Rate (as defined herein) plus</w:t>
            </w:r>
          </w:p>
        </w:tc>
      </w:tr>
      <w:tr>
        <w:trPr>
          <w:trHeight w:val="216"/>
        </w:trPr>
        <w:tc>
          <w:tcPr>
            <w:tcW w:w="3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940" w:type="dxa"/>
            <w:vAlign w:val="bottom"/>
            <w:gridSpan w:val="5"/>
          </w:tcPr>
          <w:p>
            <w:pPr>
              <w:ind w:left="580"/>
              <w:spacing w:after="0"/>
              <w:rPr>
                <w:sz w:val="20"/>
                <w:szCs w:val="20"/>
                <w:color w:val="auto"/>
              </w:rPr>
            </w:pPr>
            <w:r>
              <w:rPr>
                <w:rFonts w:ascii="Arial" w:cs="Arial" w:eastAsia="Arial" w:hAnsi="Arial"/>
                <w:sz w:val="18"/>
                <w:szCs w:val="18"/>
                <w:color w:val="auto"/>
                <w:w w:val="92"/>
              </w:rPr>
              <w:t>basis points, together with accrued and unpaid interest to the date of redemption. If we</w:t>
            </w:r>
          </w:p>
        </w:tc>
      </w:tr>
      <w:tr>
        <w:trPr>
          <w:trHeight w:val="216"/>
        </w:trPr>
        <w:tc>
          <w:tcPr>
            <w:tcW w:w="3080" w:type="dxa"/>
            <w:vAlign w:val="bottom"/>
          </w:tcPr>
          <w:p>
            <w:pPr>
              <w:spacing w:after="0"/>
              <w:rPr>
                <w:sz w:val="18"/>
                <w:szCs w:val="18"/>
                <w:color w:val="auto"/>
              </w:rPr>
            </w:pPr>
          </w:p>
        </w:tc>
        <w:tc>
          <w:tcPr>
            <w:tcW w:w="3340" w:type="dxa"/>
            <w:vAlign w:val="bottom"/>
            <w:gridSpan w:val="2"/>
          </w:tcPr>
          <w:p>
            <w:pPr>
              <w:ind w:left="1320"/>
              <w:spacing w:after="0"/>
              <w:rPr>
                <w:sz w:val="20"/>
                <w:szCs w:val="20"/>
                <w:color w:val="auto"/>
              </w:rPr>
            </w:pPr>
            <w:r>
              <w:rPr>
                <w:rFonts w:ascii="Arial" w:cs="Arial" w:eastAsia="Arial" w:hAnsi="Arial"/>
                <w:sz w:val="18"/>
                <w:szCs w:val="18"/>
                <w:color w:val="auto"/>
                <w:w w:val="86"/>
              </w:rPr>
              <w:t>redeem the Notes on or after</w:t>
            </w:r>
          </w:p>
        </w:tc>
        <w:tc>
          <w:tcPr>
            <w:tcW w:w="5040" w:type="dxa"/>
            <w:vAlign w:val="bottom"/>
            <w:gridSpan w:val="4"/>
          </w:tcPr>
          <w:p>
            <w:pPr>
              <w:ind w:left="720"/>
              <w:spacing w:after="0"/>
              <w:rPr>
                <w:sz w:val="20"/>
                <w:szCs w:val="20"/>
                <w:color w:val="auto"/>
              </w:rPr>
            </w:pPr>
            <w:r>
              <w:rPr>
                <w:rFonts w:ascii="Arial" w:cs="Arial" w:eastAsia="Arial" w:hAnsi="Arial"/>
                <w:sz w:val="18"/>
                <w:szCs w:val="18"/>
                <w:color w:val="auto"/>
              </w:rPr>
              <w:t>, 2024 (three months prior to their maturity date), the</w:t>
            </w:r>
          </w:p>
        </w:tc>
      </w:tr>
      <w:tr>
        <w:trPr>
          <w:trHeight w:val="216"/>
        </w:trPr>
        <w:tc>
          <w:tcPr>
            <w:tcW w:w="3080" w:type="dxa"/>
            <w:vAlign w:val="bottom"/>
          </w:tcPr>
          <w:p>
            <w:pPr>
              <w:spacing w:after="0"/>
              <w:rPr>
                <w:sz w:val="18"/>
                <w:szCs w:val="18"/>
                <w:color w:val="auto"/>
              </w:rPr>
            </w:pP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7"/>
              </w:rPr>
              <w:t>redemption price will equal 100% of the principal amount of the Notes to be redeemed plus</w:t>
            </w:r>
          </w:p>
        </w:tc>
      </w:tr>
      <w:tr>
        <w:trPr>
          <w:trHeight w:val="216"/>
        </w:trPr>
        <w:tc>
          <w:tcPr>
            <w:tcW w:w="3080" w:type="dxa"/>
            <w:vAlign w:val="bottom"/>
          </w:tcPr>
          <w:p>
            <w:pPr>
              <w:spacing w:after="0"/>
              <w:rPr>
                <w:sz w:val="18"/>
                <w:szCs w:val="18"/>
                <w:color w:val="auto"/>
              </w:rPr>
            </w:pP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9"/>
              </w:rPr>
              <w:t>accrued and unpaid interest to the redemption date. See “Description of Notes—Optional</w:t>
            </w:r>
          </w:p>
        </w:tc>
      </w:tr>
      <w:tr>
        <w:trPr>
          <w:trHeight w:val="222"/>
        </w:trPr>
        <w:tc>
          <w:tcPr>
            <w:tcW w:w="3080" w:type="dxa"/>
            <w:vAlign w:val="bottom"/>
          </w:tcPr>
          <w:p>
            <w:pPr>
              <w:spacing w:after="0"/>
              <w:rPr>
                <w:sz w:val="19"/>
                <w:szCs w:val="19"/>
                <w:color w:val="auto"/>
              </w:rPr>
            </w:pPr>
          </w:p>
        </w:tc>
        <w:tc>
          <w:tcPr>
            <w:tcW w:w="3340" w:type="dxa"/>
            <w:vAlign w:val="bottom"/>
            <w:gridSpan w:val="2"/>
          </w:tcPr>
          <w:p>
            <w:pPr>
              <w:ind w:left="1320"/>
              <w:spacing w:after="0"/>
              <w:rPr>
                <w:sz w:val="20"/>
                <w:szCs w:val="20"/>
                <w:color w:val="auto"/>
              </w:rPr>
            </w:pPr>
            <w:r>
              <w:rPr>
                <w:rFonts w:ascii="Arial" w:cs="Arial" w:eastAsia="Arial" w:hAnsi="Arial"/>
                <w:sz w:val="18"/>
                <w:szCs w:val="18"/>
                <w:color w:val="auto"/>
              </w:rPr>
              <w:t>Redemption.”</w:t>
            </w:r>
          </w:p>
        </w:tc>
        <w:tc>
          <w:tcPr>
            <w:tcW w:w="8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12"/>
        </w:trPr>
        <w:tc>
          <w:tcPr>
            <w:tcW w:w="3080" w:type="dxa"/>
            <w:vAlign w:val="bottom"/>
          </w:tcPr>
          <w:p>
            <w:pPr>
              <w:ind w:left="200"/>
              <w:spacing w:after="0"/>
              <w:rPr>
                <w:sz w:val="20"/>
                <w:szCs w:val="20"/>
                <w:color w:val="auto"/>
              </w:rPr>
            </w:pPr>
            <w:r>
              <w:rPr>
                <w:rFonts w:ascii="Arial" w:cs="Arial" w:eastAsia="Arial" w:hAnsi="Arial"/>
                <w:sz w:val="18"/>
                <w:szCs w:val="18"/>
                <w:color w:val="auto"/>
              </w:rPr>
              <w:t>Ranking</w:t>
            </w:r>
          </w:p>
        </w:tc>
        <w:tc>
          <w:tcPr>
            <w:tcW w:w="8380" w:type="dxa"/>
            <w:vAlign w:val="bottom"/>
            <w:gridSpan w:val="6"/>
          </w:tcPr>
          <w:p>
            <w:pPr>
              <w:ind w:left="1320"/>
              <w:spacing w:after="0"/>
              <w:rPr>
                <w:sz w:val="20"/>
                <w:szCs w:val="20"/>
                <w:color w:val="auto"/>
              </w:rPr>
            </w:pPr>
            <w:r>
              <w:rPr>
                <w:rFonts w:ascii="Arial" w:cs="Arial" w:eastAsia="Arial" w:hAnsi="Arial"/>
                <w:sz w:val="18"/>
                <w:szCs w:val="18"/>
                <w:color w:val="auto"/>
                <w:w w:val="95"/>
              </w:rPr>
              <w:t>The Notes will be general senior unsecured obligations of the issuers and will rank equally in</w:t>
            </w:r>
          </w:p>
        </w:tc>
      </w:tr>
      <w:tr>
        <w:trPr>
          <w:trHeight w:val="222"/>
        </w:trPr>
        <w:tc>
          <w:tcPr>
            <w:tcW w:w="3080" w:type="dxa"/>
            <w:vAlign w:val="bottom"/>
          </w:tcPr>
          <w:p>
            <w:pPr>
              <w:spacing w:after="0"/>
              <w:rPr>
                <w:sz w:val="19"/>
                <w:szCs w:val="19"/>
                <w:color w:val="auto"/>
              </w:rPr>
            </w:pPr>
          </w:p>
        </w:tc>
        <w:tc>
          <w:tcPr>
            <w:tcW w:w="7140" w:type="dxa"/>
            <w:vAlign w:val="bottom"/>
            <w:gridSpan w:val="5"/>
          </w:tcPr>
          <w:p>
            <w:pPr>
              <w:ind w:left="1320"/>
              <w:spacing w:after="0"/>
              <w:rPr>
                <w:sz w:val="20"/>
                <w:szCs w:val="20"/>
                <w:color w:val="auto"/>
              </w:rPr>
            </w:pPr>
            <w:r>
              <w:rPr>
                <w:rFonts w:ascii="Arial" w:cs="Arial" w:eastAsia="Arial" w:hAnsi="Arial"/>
                <w:sz w:val="18"/>
                <w:szCs w:val="18"/>
                <w:color w:val="auto"/>
                <w:w w:val="91"/>
              </w:rPr>
              <w:t>right of payment with the existing and future senior indebtedness of the issuers.</w:t>
            </w:r>
          </w:p>
        </w:tc>
        <w:tc>
          <w:tcPr>
            <w:tcW w:w="1240" w:type="dxa"/>
            <w:vAlign w:val="bottom"/>
          </w:tcPr>
          <w:p>
            <w:pPr>
              <w:spacing w:after="0"/>
              <w:rPr>
                <w:sz w:val="19"/>
                <w:szCs w:val="19"/>
                <w:color w:val="auto"/>
              </w:rPr>
            </w:pPr>
          </w:p>
        </w:tc>
      </w:tr>
      <w:tr>
        <w:trPr>
          <w:trHeight w:val="161"/>
        </w:trPr>
        <w:tc>
          <w:tcPr>
            <w:tcW w:w="3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359"/>
        </w:trPr>
        <w:tc>
          <w:tcPr>
            <w:tcW w:w="3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jc w:val="right"/>
              <w:ind w:right="492"/>
              <w:spacing w:after="0"/>
              <w:rPr>
                <w:sz w:val="20"/>
                <w:szCs w:val="20"/>
                <w:color w:val="auto"/>
              </w:rPr>
            </w:pPr>
            <w:r>
              <w:rPr>
                <w:rFonts w:ascii="Arial" w:cs="Arial" w:eastAsia="Arial" w:hAnsi="Arial"/>
                <w:sz w:val="18"/>
                <w:szCs w:val="18"/>
                <w:color w:val="auto"/>
              </w:rPr>
              <w:t>S-3</w:t>
            </w:r>
          </w:p>
        </w:tc>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3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Certain covenants</w:t>
            </w:r>
          </w:p>
        </w:tc>
        <w:tc>
          <w:tcPr>
            <w:tcW w:w="8100" w:type="dxa"/>
            <w:vAlign w:val="bottom"/>
            <w:tcBorders>
              <w:top w:val="single" w:sz="8" w:color="auto"/>
              <w:right w:val="single" w:sz="8" w:color="auto"/>
            </w:tcBorders>
            <w:gridSpan w:val="2"/>
          </w:tcPr>
          <w:p>
            <w:pPr>
              <w:ind w:left="1040"/>
              <w:spacing w:after="0"/>
              <w:rPr>
                <w:sz w:val="20"/>
                <w:szCs w:val="20"/>
                <w:color w:val="auto"/>
              </w:rPr>
            </w:pPr>
            <w:r>
              <w:rPr>
                <w:rFonts w:ascii="Arial" w:cs="Arial" w:eastAsia="Arial" w:hAnsi="Arial"/>
                <w:sz w:val="18"/>
                <w:szCs w:val="18"/>
                <w:color w:val="auto"/>
                <w:w w:val="98"/>
              </w:rPr>
              <w:t>The Notes will be issued under an indenture containing covenants for your benefit. These</w:t>
            </w:r>
          </w:p>
        </w:tc>
      </w:tr>
      <w:tr>
        <w:trPr>
          <w:trHeight w:val="222"/>
        </w:trPr>
        <w:tc>
          <w:tcPr>
            <w:tcW w:w="3360" w:type="dxa"/>
            <w:vAlign w:val="bottom"/>
            <w:tcBorders>
              <w:left w:val="single" w:sz="8" w:color="auto"/>
            </w:tcBorders>
          </w:tcPr>
          <w:p>
            <w:pPr>
              <w:spacing w:after="0"/>
              <w:rPr>
                <w:sz w:val="19"/>
                <w:szCs w:val="19"/>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w w:val="93"/>
              </w:rPr>
              <w:t>covenants restrict our ability, with certain exceptions, to:</w:t>
            </w:r>
          </w:p>
        </w:tc>
        <w:tc>
          <w:tcPr>
            <w:tcW w:w="2860" w:type="dxa"/>
            <w:vAlign w:val="bottom"/>
            <w:tcBorders>
              <w:right w:val="single" w:sz="8" w:color="auto"/>
            </w:tcBorders>
          </w:tcPr>
          <w:p>
            <w:pPr>
              <w:spacing w:after="0"/>
              <w:rPr>
                <w:sz w:val="19"/>
                <w:szCs w:val="19"/>
                <w:color w:val="auto"/>
              </w:rPr>
            </w:pPr>
          </w:p>
        </w:tc>
      </w:tr>
      <w:tr>
        <w:trPr>
          <w:trHeight w:val="297"/>
        </w:trPr>
        <w:tc>
          <w:tcPr>
            <w:tcW w:w="3360" w:type="dxa"/>
            <w:vAlign w:val="bottom"/>
            <w:tcBorders>
              <w:left w:val="single" w:sz="8" w:color="auto"/>
            </w:tcBorders>
          </w:tcPr>
          <w:p>
            <w:pPr>
              <w:spacing w:after="0"/>
              <w:rPr>
                <w:sz w:val="24"/>
                <w:szCs w:val="24"/>
                <w:color w:val="auto"/>
              </w:rPr>
            </w:pPr>
          </w:p>
        </w:tc>
        <w:tc>
          <w:tcPr>
            <w:tcW w:w="5240" w:type="dxa"/>
            <w:vAlign w:val="bottom"/>
          </w:tcPr>
          <w:p>
            <w:pPr>
              <w:ind w:left="1080"/>
              <w:spacing w:after="0"/>
              <w:rPr>
                <w:sz w:val="20"/>
                <w:szCs w:val="20"/>
                <w:color w:val="auto"/>
              </w:rPr>
            </w:pPr>
            <w:r>
              <w:rPr>
                <w:rFonts w:ascii="Arial" w:cs="Arial" w:eastAsia="Arial" w:hAnsi="Arial"/>
                <w:sz w:val="18"/>
                <w:szCs w:val="18"/>
                <w:color w:val="auto"/>
              </w:rPr>
              <w:t>•  incur liens on principal properties to secure debt;</w:t>
            </w:r>
          </w:p>
        </w:tc>
        <w:tc>
          <w:tcPr>
            <w:tcW w:w="2860" w:type="dxa"/>
            <w:vAlign w:val="bottom"/>
            <w:tcBorders>
              <w:right w:val="single" w:sz="8" w:color="auto"/>
            </w:tcBorders>
          </w:tcPr>
          <w:p>
            <w:pPr>
              <w:spacing w:after="0"/>
              <w:rPr>
                <w:sz w:val="24"/>
                <w:szCs w:val="24"/>
                <w:color w:val="auto"/>
              </w:rPr>
            </w:pPr>
          </w:p>
        </w:tc>
      </w:tr>
      <w:tr>
        <w:trPr>
          <w:trHeight w:val="419"/>
        </w:trPr>
        <w:tc>
          <w:tcPr>
            <w:tcW w:w="3360" w:type="dxa"/>
            <w:vAlign w:val="bottom"/>
            <w:tcBorders>
              <w:left w:val="single" w:sz="8" w:color="auto"/>
            </w:tcBorders>
          </w:tcPr>
          <w:p>
            <w:pPr>
              <w:spacing w:after="0"/>
              <w:rPr>
                <w:sz w:val="24"/>
                <w:szCs w:val="24"/>
                <w:color w:val="auto"/>
              </w:rPr>
            </w:pPr>
          </w:p>
        </w:tc>
        <w:tc>
          <w:tcPr>
            <w:tcW w:w="5240" w:type="dxa"/>
            <w:vAlign w:val="bottom"/>
          </w:tcPr>
          <w:p>
            <w:pPr>
              <w:ind w:left="1080"/>
              <w:spacing w:after="0"/>
              <w:rPr>
                <w:sz w:val="20"/>
                <w:szCs w:val="20"/>
                <w:color w:val="auto"/>
              </w:rPr>
            </w:pPr>
            <w:r>
              <w:rPr>
                <w:rFonts w:ascii="Arial" w:cs="Arial" w:eastAsia="Arial" w:hAnsi="Arial"/>
                <w:sz w:val="18"/>
                <w:szCs w:val="18"/>
                <w:color w:val="auto"/>
              </w:rPr>
              <w:t>•  engage in sale-leaseback transactions; and</w:t>
            </w:r>
          </w:p>
        </w:tc>
        <w:tc>
          <w:tcPr>
            <w:tcW w:w="2860" w:type="dxa"/>
            <w:vAlign w:val="bottom"/>
            <w:tcBorders>
              <w:right w:val="single" w:sz="8" w:color="auto"/>
            </w:tcBorders>
          </w:tcPr>
          <w:p>
            <w:pPr>
              <w:spacing w:after="0"/>
              <w:rPr>
                <w:sz w:val="24"/>
                <w:szCs w:val="24"/>
                <w:color w:val="auto"/>
              </w:rPr>
            </w:pPr>
          </w:p>
        </w:tc>
      </w:tr>
      <w:tr>
        <w:trPr>
          <w:trHeight w:val="412"/>
        </w:trPr>
        <w:tc>
          <w:tcPr>
            <w:tcW w:w="336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8"/>
              </w:rPr>
              <w:t>•  merge or consolidate with another entity or sell, lease or transfer substantially all of our</w:t>
            </w:r>
          </w:p>
        </w:tc>
      </w:tr>
      <w:tr>
        <w:trPr>
          <w:trHeight w:val="222"/>
        </w:trPr>
        <w:tc>
          <w:tcPr>
            <w:tcW w:w="3360" w:type="dxa"/>
            <w:vAlign w:val="bottom"/>
            <w:tcBorders>
              <w:left w:val="single" w:sz="8" w:color="auto"/>
            </w:tcBorders>
          </w:tcPr>
          <w:p>
            <w:pPr>
              <w:spacing w:after="0"/>
              <w:rPr>
                <w:sz w:val="19"/>
                <w:szCs w:val="19"/>
                <w:color w:val="auto"/>
              </w:rPr>
            </w:pPr>
          </w:p>
        </w:tc>
        <w:tc>
          <w:tcPr>
            <w:tcW w:w="5240" w:type="dxa"/>
            <w:vAlign w:val="bottom"/>
          </w:tcPr>
          <w:p>
            <w:pPr>
              <w:ind w:left="1260"/>
              <w:spacing w:after="0"/>
              <w:rPr>
                <w:sz w:val="20"/>
                <w:szCs w:val="20"/>
                <w:color w:val="auto"/>
              </w:rPr>
            </w:pPr>
            <w:r>
              <w:rPr>
                <w:rFonts w:ascii="Arial" w:cs="Arial" w:eastAsia="Arial" w:hAnsi="Arial"/>
                <w:sz w:val="18"/>
                <w:szCs w:val="18"/>
                <w:color w:val="auto"/>
              </w:rPr>
              <w:t>properties or assets to another entity.</w:t>
            </w:r>
          </w:p>
        </w:tc>
        <w:tc>
          <w:tcPr>
            <w:tcW w:w="2860" w:type="dxa"/>
            <w:vAlign w:val="bottom"/>
            <w:tcBorders>
              <w:right w:val="single" w:sz="8" w:color="auto"/>
            </w:tcBorders>
          </w:tcPr>
          <w:p>
            <w:pPr>
              <w:spacing w:after="0"/>
              <w:rPr>
                <w:sz w:val="19"/>
                <w:szCs w:val="19"/>
                <w:color w:val="auto"/>
              </w:rPr>
            </w:pPr>
          </w:p>
        </w:tc>
      </w:tr>
      <w:tr>
        <w:trPr>
          <w:trHeight w:val="419"/>
        </w:trPr>
        <w:tc>
          <w:tcPr>
            <w:tcW w:w="3360" w:type="dxa"/>
            <w:vAlign w:val="bottom"/>
            <w:tcBorders>
              <w:left w:val="single" w:sz="8" w:color="auto"/>
            </w:tcBorders>
          </w:tcPr>
          <w:p>
            <w:pPr>
              <w:spacing w:after="0"/>
              <w:rPr>
                <w:sz w:val="24"/>
                <w:szCs w:val="24"/>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See “Description of Notes—Covenants.”</w:t>
            </w:r>
          </w:p>
        </w:tc>
        <w:tc>
          <w:tcPr>
            <w:tcW w:w="2860" w:type="dxa"/>
            <w:vAlign w:val="bottom"/>
            <w:tcBorders>
              <w:right w:val="single" w:sz="8" w:color="auto"/>
            </w:tcBorders>
          </w:tcPr>
          <w:p>
            <w:pPr>
              <w:spacing w:after="0"/>
              <w:rPr>
                <w:sz w:val="24"/>
                <w:szCs w:val="24"/>
                <w:color w:val="auto"/>
              </w:rPr>
            </w:pPr>
          </w:p>
        </w:tc>
      </w:tr>
      <w:tr>
        <w:trPr>
          <w:trHeight w:val="41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5240" w:type="dxa"/>
            <w:vAlign w:val="bottom"/>
          </w:tcPr>
          <w:p>
            <w:pPr>
              <w:ind w:left="1040"/>
              <w:spacing w:after="0"/>
              <w:rPr>
                <w:sz w:val="20"/>
                <w:szCs w:val="20"/>
                <w:color w:val="auto"/>
              </w:rPr>
            </w:pPr>
            <w:r>
              <w:rPr>
                <w:rFonts w:ascii="Arial" w:cs="Arial" w:eastAsia="Arial" w:hAnsi="Arial"/>
                <w:sz w:val="18"/>
                <w:szCs w:val="18"/>
                <w:color w:val="auto"/>
                <w:w w:val="93"/>
              </w:rPr>
              <w:t>The net proceeds of this offering will be approximately $</w:t>
            </w:r>
          </w:p>
        </w:tc>
        <w:tc>
          <w:tcPr>
            <w:tcW w:w="28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million after deducting the</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3"/>
              </w:rPr>
              <w:t>underwriting discount and our estimated offering expenses. We expect to use the net proceeds</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2"/>
              </w:rPr>
              <w:t>from this offering to repay outstanding borrowings under our commercial paper program and for</w:t>
            </w:r>
          </w:p>
        </w:tc>
      </w:tr>
      <w:tr>
        <w:trPr>
          <w:trHeight w:val="222"/>
        </w:trPr>
        <w:tc>
          <w:tcPr>
            <w:tcW w:w="3360" w:type="dxa"/>
            <w:vAlign w:val="bottom"/>
            <w:tcBorders>
              <w:left w:val="single" w:sz="8" w:color="auto"/>
            </w:tcBorders>
          </w:tcPr>
          <w:p>
            <w:pPr>
              <w:spacing w:after="0"/>
              <w:rPr>
                <w:sz w:val="19"/>
                <w:szCs w:val="19"/>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general partnership purposes.</w:t>
            </w:r>
          </w:p>
        </w:tc>
        <w:tc>
          <w:tcPr>
            <w:tcW w:w="2860" w:type="dxa"/>
            <w:vAlign w:val="bottom"/>
            <w:tcBorders>
              <w:right w:val="single" w:sz="8" w:color="auto"/>
            </w:tcBorders>
          </w:tcPr>
          <w:p>
            <w:pPr>
              <w:spacing w:after="0"/>
              <w:rPr>
                <w:sz w:val="19"/>
                <w:szCs w:val="19"/>
                <w:color w:val="auto"/>
              </w:rPr>
            </w:pPr>
          </w:p>
        </w:tc>
      </w:tr>
      <w:tr>
        <w:trPr>
          <w:trHeight w:val="412"/>
        </w:trPr>
        <w:tc>
          <w:tcPr>
            <w:tcW w:w="3360" w:type="dxa"/>
            <w:vAlign w:val="bottom"/>
            <w:tcBorders>
              <w:left w:val="single" w:sz="8" w:color="auto"/>
            </w:tcBorders>
          </w:tcPr>
          <w:p>
            <w:pPr>
              <w:spacing w:after="0"/>
              <w:rPr>
                <w:sz w:val="24"/>
                <w:szCs w:val="24"/>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1"/>
              </w:rPr>
              <w:t>Amounts repaid under our commercial paper program may be reborrowed, as necessary, to fund</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rPr>
              <w:t>our ongoing expansion capital program or future acquisitions, or for general partnership</w:t>
            </w:r>
          </w:p>
        </w:tc>
      </w:tr>
      <w:tr>
        <w:trPr>
          <w:trHeight w:val="222"/>
        </w:trPr>
        <w:tc>
          <w:tcPr>
            <w:tcW w:w="3360" w:type="dxa"/>
            <w:vAlign w:val="bottom"/>
            <w:tcBorders>
              <w:left w:val="single" w:sz="8" w:color="auto"/>
            </w:tcBorders>
          </w:tcPr>
          <w:p>
            <w:pPr>
              <w:spacing w:after="0"/>
              <w:rPr>
                <w:sz w:val="19"/>
                <w:szCs w:val="19"/>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purposes.</w:t>
            </w:r>
          </w:p>
        </w:tc>
        <w:tc>
          <w:tcPr>
            <w:tcW w:w="2860" w:type="dxa"/>
            <w:vAlign w:val="bottom"/>
            <w:tcBorders>
              <w:right w:val="single" w:sz="8" w:color="auto"/>
            </w:tcBorders>
          </w:tcPr>
          <w:p>
            <w:pPr>
              <w:spacing w:after="0"/>
              <w:rPr>
                <w:sz w:val="19"/>
                <w:szCs w:val="19"/>
                <w:color w:val="auto"/>
              </w:rPr>
            </w:pPr>
          </w:p>
        </w:tc>
      </w:tr>
      <w:tr>
        <w:trPr>
          <w:trHeight w:val="41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 delivery and form</w:t>
            </w: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4"/>
              </w:rPr>
              <w:t>The Notes will be represented by one or more permanent global certificates in fully registered</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1"/>
              </w:rPr>
              <w:t>form deposited with a custodian for, and registered in the name of, a nominee of The Depository</w:t>
            </w:r>
          </w:p>
        </w:tc>
      </w:tr>
      <w:tr>
        <w:trPr>
          <w:trHeight w:val="222"/>
        </w:trPr>
        <w:tc>
          <w:tcPr>
            <w:tcW w:w="3360" w:type="dxa"/>
            <w:vAlign w:val="bottom"/>
            <w:tcBorders>
              <w:left w:val="single" w:sz="8" w:color="auto"/>
            </w:tcBorders>
          </w:tcPr>
          <w:p>
            <w:pPr>
              <w:spacing w:after="0"/>
              <w:rPr>
                <w:sz w:val="19"/>
                <w:szCs w:val="19"/>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Trust Company.</w:t>
            </w:r>
          </w:p>
        </w:tc>
        <w:tc>
          <w:tcPr>
            <w:tcW w:w="2860" w:type="dxa"/>
            <w:vAlign w:val="bottom"/>
            <w:tcBorders>
              <w:right w:val="single" w:sz="8" w:color="auto"/>
            </w:tcBorders>
          </w:tcPr>
          <w:p>
            <w:pPr>
              <w:spacing w:after="0"/>
              <w:rPr>
                <w:sz w:val="19"/>
                <w:szCs w:val="19"/>
                <w:color w:val="auto"/>
              </w:rPr>
            </w:pPr>
          </w:p>
        </w:tc>
      </w:tr>
      <w:tr>
        <w:trPr>
          <w:trHeight w:val="41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2"/>
              </w:rPr>
              <w:t>We may create and issue additional Notes ranking equally and ratably with the Notes offered by</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1"/>
              </w:rPr>
              <w:t>this prospectus supplement in all respects, so that such additional Notes will be consolidated and</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3"/>
              </w:rPr>
              <w:t>form a single series with such Notes and will have the same terms, as to status, redemption or</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8"/>
              </w:rPr>
              <w:t>otherwise except for the issue date, the initial interest payment date, if applicable, and the</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rPr>
              <w:t>payment of interest accruing prior to the issue date of such additional Notes.</w:t>
            </w:r>
          </w:p>
        </w:tc>
      </w:tr>
      <w:tr>
        <w:trPr>
          <w:trHeight w:val="41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No listing</w:t>
            </w: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2"/>
              </w:rPr>
              <w:t>The Notes are a new issue of securities with no established trading market. We do not currently</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3"/>
              </w:rPr>
              <w:t>intend to apply for listing of the Notes on any securities exchange or have the Notes quoted on</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1"/>
              </w:rPr>
              <w:t>any automated quotation system. See “Risk Factors—Risks Related to the Notes—Your ability to</w:t>
            </w:r>
          </w:p>
        </w:tc>
      </w:tr>
      <w:tr>
        <w:trPr>
          <w:trHeight w:val="222"/>
        </w:trPr>
        <w:tc>
          <w:tcPr>
            <w:tcW w:w="3360" w:type="dxa"/>
            <w:vAlign w:val="bottom"/>
            <w:tcBorders>
              <w:left w:val="single" w:sz="8" w:color="auto"/>
            </w:tcBorders>
          </w:tcPr>
          <w:p>
            <w:pPr>
              <w:spacing w:after="0"/>
              <w:rPr>
                <w:sz w:val="19"/>
                <w:szCs w:val="19"/>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rPr>
              <w:t>transfer the Notes may be limited by the absence of an organized trading market.”</w:t>
            </w:r>
          </w:p>
        </w:tc>
      </w:tr>
      <w:tr>
        <w:trPr>
          <w:trHeight w:val="419"/>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5240" w:type="dxa"/>
            <w:vAlign w:val="bottom"/>
          </w:tcPr>
          <w:p>
            <w:pPr>
              <w:ind w:left="1040"/>
              <w:spacing w:after="0"/>
              <w:rPr>
                <w:sz w:val="20"/>
                <w:szCs w:val="20"/>
                <w:color w:val="auto"/>
              </w:rPr>
            </w:pPr>
            <w:r>
              <w:rPr>
                <w:rFonts w:ascii="Arial" w:cs="Arial" w:eastAsia="Arial" w:hAnsi="Arial"/>
                <w:sz w:val="18"/>
                <w:szCs w:val="18"/>
                <w:color w:val="auto"/>
              </w:rPr>
              <w:t>State of New York.</w:t>
            </w:r>
          </w:p>
        </w:tc>
        <w:tc>
          <w:tcPr>
            <w:tcW w:w="2860" w:type="dxa"/>
            <w:vAlign w:val="bottom"/>
            <w:tcBorders>
              <w:right w:val="single" w:sz="8" w:color="auto"/>
            </w:tcBorders>
          </w:tcPr>
          <w:p>
            <w:pPr>
              <w:spacing w:after="0"/>
              <w:rPr>
                <w:sz w:val="24"/>
                <w:szCs w:val="24"/>
                <w:color w:val="auto"/>
              </w:rPr>
            </w:pPr>
          </w:p>
        </w:tc>
      </w:tr>
      <w:tr>
        <w:trPr>
          <w:trHeight w:val="432"/>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5240" w:type="dxa"/>
            <w:vAlign w:val="bottom"/>
          </w:tcPr>
          <w:p>
            <w:pPr>
              <w:ind w:left="1040"/>
              <w:spacing w:after="0"/>
              <w:rPr>
                <w:sz w:val="20"/>
                <w:szCs w:val="20"/>
                <w:color w:val="auto"/>
              </w:rPr>
            </w:pPr>
            <w:r>
              <w:rPr>
                <w:rFonts w:ascii="Arial" w:cs="Arial" w:eastAsia="Arial" w:hAnsi="Arial"/>
                <w:sz w:val="18"/>
                <w:szCs w:val="18"/>
                <w:color w:val="auto"/>
              </w:rPr>
              <w:t>U.S. Bank National Association.</w:t>
            </w:r>
          </w:p>
        </w:tc>
        <w:tc>
          <w:tcPr>
            <w:tcW w:w="2860" w:type="dxa"/>
            <w:vAlign w:val="bottom"/>
            <w:tcBorders>
              <w:right w:val="single" w:sz="8" w:color="auto"/>
            </w:tcBorders>
          </w:tcPr>
          <w:p>
            <w:pPr>
              <w:spacing w:after="0"/>
              <w:rPr>
                <w:sz w:val="24"/>
                <w:szCs w:val="24"/>
                <w:color w:val="auto"/>
              </w:rPr>
            </w:pPr>
          </w:p>
        </w:tc>
      </w:tr>
      <w:tr>
        <w:trPr>
          <w:trHeight w:val="426"/>
        </w:trPr>
        <w:tc>
          <w:tcPr>
            <w:tcW w:w="33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3"/>
              </w:rPr>
              <w:t>Investing in the Notes involves risks. You should consider carefully all of the information in this</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1"/>
              </w:rPr>
              <w:t>prospectus supplement, the accompanying base prospectus, any free writing prospectus relating</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0"/>
              </w:rPr>
              <w:t>to this offering and the documents incorporated by reference herein and therein. In particular, you</w:t>
            </w:r>
          </w:p>
        </w:tc>
      </w:tr>
      <w:tr>
        <w:trPr>
          <w:trHeight w:val="216"/>
        </w:trPr>
        <w:tc>
          <w:tcPr>
            <w:tcW w:w="3360" w:type="dxa"/>
            <w:vAlign w:val="bottom"/>
            <w:tcBorders>
              <w:left w:val="single" w:sz="8" w:color="auto"/>
            </w:tcBorders>
          </w:tcPr>
          <w:p>
            <w:pPr>
              <w:spacing w:after="0"/>
              <w:rPr>
                <w:sz w:val="18"/>
                <w:szCs w:val="18"/>
                <w:color w:val="auto"/>
              </w:rPr>
            </w:pPr>
          </w:p>
        </w:tc>
        <w:tc>
          <w:tcPr>
            <w:tcW w:w="8100" w:type="dxa"/>
            <w:vAlign w:val="bottom"/>
            <w:tcBorders>
              <w:right w:val="single" w:sz="8" w:color="auto"/>
            </w:tcBorders>
            <w:gridSpan w:val="2"/>
          </w:tcPr>
          <w:p>
            <w:pPr>
              <w:ind w:left="1040"/>
              <w:spacing w:after="0"/>
              <w:rPr>
                <w:sz w:val="20"/>
                <w:szCs w:val="20"/>
                <w:color w:val="auto"/>
              </w:rPr>
            </w:pPr>
            <w:r>
              <w:rPr>
                <w:rFonts w:ascii="Arial" w:cs="Arial" w:eastAsia="Arial" w:hAnsi="Arial"/>
                <w:sz w:val="18"/>
                <w:szCs w:val="18"/>
                <w:color w:val="auto"/>
                <w:w w:val="93"/>
              </w:rPr>
              <w:t>should consider carefully the specific risks set forth in “Risk Factors” beginning on page S-5 of</w:t>
            </w:r>
          </w:p>
        </w:tc>
      </w:tr>
      <w:tr>
        <w:trPr>
          <w:trHeight w:val="222"/>
        </w:trPr>
        <w:tc>
          <w:tcPr>
            <w:tcW w:w="3360" w:type="dxa"/>
            <w:vAlign w:val="bottom"/>
            <w:tcBorders>
              <w:left w:val="single" w:sz="8" w:color="auto"/>
            </w:tcBorders>
          </w:tcPr>
          <w:p>
            <w:pPr>
              <w:spacing w:after="0"/>
              <w:rPr>
                <w:sz w:val="19"/>
                <w:szCs w:val="19"/>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this prospectus supplement.</w:t>
            </w:r>
          </w:p>
        </w:tc>
        <w:tc>
          <w:tcPr>
            <w:tcW w:w="2860" w:type="dxa"/>
            <w:vAlign w:val="bottom"/>
            <w:tcBorders>
              <w:right w:val="single" w:sz="8" w:color="auto"/>
            </w:tcBorders>
          </w:tcPr>
          <w:p>
            <w:pPr>
              <w:spacing w:after="0"/>
              <w:rPr>
                <w:sz w:val="19"/>
                <w:szCs w:val="19"/>
                <w:color w:val="auto"/>
              </w:rPr>
            </w:pPr>
          </w:p>
        </w:tc>
      </w:tr>
      <w:tr>
        <w:trPr>
          <w:trHeight w:val="161"/>
        </w:trPr>
        <w:tc>
          <w:tcPr>
            <w:tcW w:w="3360" w:type="dxa"/>
            <w:vAlign w:val="bottom"/>
            <w:tcBorders>
              <w:left w:val="single" w:sz="8" w:color="auto"/>
              <w:bottom w:val="single" w:sz="8" w:color="auto"/>
            </w:tcBorders>
          </w:tcPr>
          <w:p>
            <w:pPr>
              <w:spacing w:after="0"/>
              <w:rPr>
                <w:sz w:val="13"/>
                <w:szCs w:val="13"/>
                <w:color w:val="auto"/>
              </w:rPr>
            </w:pPr>
          </w:p>
        </w:tc>
        <w:tc>
          <w:tcPr>
            <w:tcW w:w="5240" w:type="dxa"/>
            <w:vAlign w:val="bottom"/>
            <w:tcBorders>
              <w:bottom w:val="single" w:sz="8" w:color="auto"/>
            </w:tcBorders>
          </w:tcPr>
          <w:p>
            <w:pPr>
              <w:spacing w:after="0"/>
              <w:rPr>
                <w:sz w:val="13"/>
                <w:szCs w:val="13"/>
                <w:color w:val="auto"/>
              </w:rPr>
            </w:pPr>
          </w:p>
        </w:tc>
        <w:tc>
          <w:tcPr>
            <w:tcW w:w="2860" w:type="dxa"/>
            <w:vAlign w:val="bottom"/>
            <w:tcBorders>
              <w:bottom w:val="single" w:sz="8" w:color="auto"/>
              <w:right w:val="single" w:sz="8" w:color="auto"/>
            </w:tcBorders>
          </w:tcPr>
          <w:p>
            <w:pPr>
              <w:spacing w:after="0"/>
              <w:rPr>
                <w:sz w:val="13"/>
                <w:szCs w:val="13"/>
                <w:color w:val="auto"/>
              </w:rPr>
            </w:pPr>
          </w:p>
        </w:tc>
      </w:tr>
      <w:tr>
        <w:trPr>
          <w:trHeight w:val="359"/>
        </w:trPr>
        <w:tc>
          <w:tcPr>
            <w:tcW w:w="3360" w:type="dxa"/>
            <w:vAlign w:val="bottom"/>
          </w:tcPr>
          <w:p>
            <w:pPr>
              <w:spacing w:after="0"/>
              <w:rPr>
                <w:sz w:val="24"/>
                <w:szCs w:val="24"/>
                <w:color w:val="auto"/>
              </w:rPr>
            </w:pPr>
          </w:p>
        </w:tc>
        <w:tc>
          <w:tcPr>
            <w:tcW w:w="5240" w:type="dxa"/>
            <w:vAlign w:val="bottom"/>
          </w:tcPr>
          <w:p>
            <w:pPr>
              <w:ind w:left="2240"/>
              <w:spacing w:after="0"/>
              <w:rPr>
                <w:sz w:val="20"/>
                <w:szCs w:val="20"/>
                <w:color w:val="auto"/>
              </w:rPr>
            </w:pPr>
            <w:r>
              <w:rPr>
                <w:rFonts w:ascii="Arial" w:cs="Arial" w:eastAsia="Arial" w:hAnsi="Arial"/>
                <w:sz w:val="18"/>
                <w:szCs w:val="18"/>
                <w:color w:val="auto"/>
              </w:rPr>
              <w:t>S-4</w:t>
            </w:r>
          </w:p>
        </w:tc>
        <w:tc>
          <w:tcPr>
            <w:tcW w:w="2860" w:type="dxa"/>
            <w:vAlign w:val="bottom"/>
          </w:tcPr>
          <w:p>
            <w:pPr>
              <w:spacing w:after="0"/>
              <w:rPr>
                <w:sz w:val="24"/>
                <w:szCs w:val="24"/>
                <w:color w:val="auto"/>
              </w:rPr>
            </w:pP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Before making an investment in the Notes offered hereby, you should carefully consider the risk factors included below and those included in Item 1A. “Risk Factors” in our Annual Report on Form 10-K for the fiscal year ended December 31, 2013 (File No. 001-14569), which is incorporated by reference herein, together with all of the other information included or incorporated by reference in this prospectus supplement. If any of these risks were to occur, our business, financial condition or results of operations could be materially adversely affected. In such case, the value of the Notes could decline, and you could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96" w:lineRule="exact"/>
        <w:rPr>
          <w:sz w:val="20"/>
          <w:szCs w:val="20"/>
          <w:color w:val="auto"/>
        </w:rPr>
      </w:pPr>
    </w:p>
    <w:p>
      <w:pPr>
        <w:jc w:val="both"/>
        <w:ind w:left="240" w:right="8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59"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June 30, 2014, on an as adjusted basis as described</w:t>
      </w:r>
    </w:p>
    <w:p>
      <w:pPr>
        <w:ind w:right="540"/>
        <w:spacing w:after="0" w:line="281" w:lineRule="auto"/>
        <w:rPr>
          <w:sz w:val="20"/>
          <w:szCs w:val="20"/>
          <w:color w:val="auto"/>
        </w:rPr>
      </w:pPr>
      <w:r>
        <w:rPr>
          <w:rFonts w:ascii="Arial" w:cs="Arial" w:eastAsia="Arial" w:hAnsi="Arial"/>
          <w:sz w:val="16"/>
          <w:szCs w:val="16"/>
          <w:color w:val="auto"/>
        </w:rPr>
        <w:t>under “Capitalization,” the Notes would have been effectively subordinated to $ million of our short-term secured indebtedness and structurally subordinated to all of our subsidiaries’ indebtedness, which totaled approximately $ million at that date. In the event of the insolvency, bankruptcy,</w:t>
      </w:r>
    </w:p>
    <w:p>
      <w:pPr>
        <w:spacing w:after="0" w:line="1"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leverage is significant in relation to our partners’ capital. As of June 30, 2014, on an as adjusted basis as described under “Capitalization,” our total</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outstanding long-term debt was approximately $ billion, and our total outstanding short-term debt was approximately $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47"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32" w:lineRule="exact"/>
        <w:rPr>
          <w:sz w:val="20"/>
          <w:szCs w:val="20"/>
          <w:color w:val="auto"/>
        </w:rPr>
      </w:pPr>
    </w:p>
    <w:p>
      <w:pPr>
        <w:ind w:left="900" w:right="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provide funds for distributions to our unitholders and the general partner for any one or more of the next four calendar quarters; or</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tabs>
          <w:tab w:leader="none" w:pos="5020" w:val="left"/>
        </w:tabs>
        <w:rPr>
          <w:sz w:val="20"/>
          <w:szCs w:val="20"/>
          <w:color w:val="auto"/>
        </w:rPr>
      </w:pPr>
      <w:r>
        <w:rPr>
          <w:rFonts w:ascii="Arial" w:cs="Arial" w:eastAsia="Arial" w:hAnsi="Arial"/>
          <w:sz w:val="18"/>
          <w:szCs w:val="18"/>
          <w:color w:val="auto"/>
        </w:rPr>
        <w:t>The net proceeds of this offering will be approximately $</w:t>
      </w:r>
      <w:r>
        <w:rPr>
          <w:sz w:val="20"/>
          <w:szCs w:val="20"/>
          <w:color w:val="auto"/>
        </w:rPr>
        <w:tab/>
      </w:r>
      <w:r>
        <w:rPr>
          <w:rFonts w:ascii="Arial" w:cs="Arial" w:eastAsia="Arial" w:hAnsi="Arial"/>
          <w:sz w:val="16"/>
          <w:szCs w:val="16"/>
          <w:color w:val="auto"/>
        </w:rPr>
        <w:t>million after deducting the underwriting discount and our estimated offering expenses. We</w:t>
      </w:r>
    </w:p>
    <w:p>
      <w:pPr>
        <w:spacing w:after="0" w:line="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expect to use the net proceeds from this offering to repay outstanding borrowings under our commercial paper program and for general partnership purposes. Amounts repaid under our commercial paper program may be reborrowed, as necessary, to fund our ongoing expansion capital program or future acquisitions, or for general partnership purposes.</w:t>
      </w:r>
    </w:p>
    <w:p>
      <w:pPr>
        <w:spacing w:after="0" w:line="144"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Affiliates of certain of the underwriters are dealers under our commercial paper program and may hold commercial paper notes thereunder. Accordingly, they may receive a portion of the net proceeds from this offering. Please read “Underwriting” in this prospectus supplement for further information.</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As of August 29, 2014, we had approximately $1.1 billion of borrowings outstanding under our commercial paper program with a weighted average interest rate of approximately 0.30%. The outstanding borrowings under our commercial paper program have maturity dates of approximately two weeks or less. Our commercial paper program is backstopped by our senior secured hedged inventory facility and our senior unsecured revolving credit facility.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center"/>
              <w:ind w:right="300"/>
              <w:spacing w:after="0"/>
              <w:rPr>
                <w:sz w:val="20"/>
                <w:szCs w:val="20"/>
                <w:color w:val="auto"/>
              </w:rPr>
            </w:pPr>
            <w:r>
              <w:rPr>
                <w:rFonts w:ascii="Arial" w:cs="Arial" w:eastAsia="Arial" w:hAnsi="Arial"/>
                <w:sz w:val="14"/>
                <w:szCs w:val="14"/>
                <w:b w:val="1"/>
                <w:bCs w:val="1"/>
                <w:color w:val="auto"/>
                <w:w w:val="86"/>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00" w:type="dxa"/>
            <w:vAlign w:val="bottom"/>
          </w:tcPr>
          <w:p>
            <w:pPr>
              <w:spacing w:after="0"/>
              <w:rPr>
                <w:sz w:val="12"/>
                <w:szCs w:val="12"/>
                <w:color w:val="auto"/>
              </w:rPr>
            </w:pPr>
          </w:p>
        </w:tc>
        <w:tc>
          <w:tcPr>
            <w:tcW w:w="13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June 30, 2014</w:t>
            </w:r>
          </w:p>
        </w:tc>
        <w:tc>
          <w:tcPr>
            <w:tcW w:w="4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460" w:type="dxa"/>
            <w:vAlign w:val="bottom"/>
          </w:tcPr>
          <w:p>
            <w:pPr>
              <w:jc w:val="right"/>
              <w:ind w:right="2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46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4.41x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4.03x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3.00x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59" w:lineRule="exact"/>
        <w:rPr>
          <w:sz w:val="20"/>
          <w:szCs w:val="20"/>
          <w:color w:val="auto"/>
        </w:rPr>
      </w:pPr>
    </w:p>
    <w:p>
      <w:pPr>
        <w:ind w:left="460" w:right="2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$7 million for the six months ended June 30, 2014 and $30 million, $12 million, $20 million, $17 million and $11 million for the years ended December 31, 2013, 2012, 2011, 2010 and 2009,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June 30, 2014:</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9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2014</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Historical</w:t>
            </w: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As adjusted</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SHORT-TERM DEBT(1)(2)</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PAA senior secured hedged inventory facility</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PAA senior unsecured revolving credit facility</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PAA commercial paper notes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Other</w:t>
            </w:r>
          </w:p>
        </w:tc>
        <w:tc>
          <w:tcPr>
            <w:tcW w:w="2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short-term debt</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 net of unamortized discounts</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7,409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Notes offered hereby, net of unamortized discount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 under credit facilities and other</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Total long-term debt</w:t>
            </w:r>
          </w:p>
        </w:tc>
        <w:tc>
          <w:tcPr>
            <w:tcW w:w="2580" w:type="dxa"/>
            <w:vAlign w:val="bottom"/>
            <w:gridSpan w:val="2"/>
          </w:tcPr>
          <w:p>
            <w:pPr>
              <w:ind w:left="24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7,414</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Common unitholders</w:t>
            </w:r>
          </w:p>
        </w:tc>
        <w:tc>
          <w:tcPr>
            <w:tcW w:w="2580" w:type="dxa"/>
            <w:vAlign w:val="bottom"/>
            <w:gridSpan w:val="2"/>
          </w:tcPr>
          <w:p>
            <w:pPr>
              <w:ind w:left="248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7,731</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7,731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Total partners’ capital excluding noncontrolling interests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8,053</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8,053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2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Total partners’ capital</w:t>
            </w:r>
          </w:p>
        </w:tc>
        <w:tc>
          <w:tcPr>
            <w:tcW w:w="2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8,112</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8,112</w:t>
            </w:r>
          </w:p>
        </w:tc>
        <w:tc>
          <w:tcPr>
            <w:tcW w:w="100" w:type="dxa"/>
            <w:vAlign w:val="bottom"/>
          </w:tcPr>
          <w:p>
            <w:pPr>
              <w:spacing w:after="0"/>
              <w:rPr>
                <w:sz w:val="19"/>
                <w:szCs w:val="19"/>
                <w:color w:val="auto"/>
              </w:rPr>
            </w:pPr>
          </w:p>
        </w:tc>
      </w:tr>
      <w:tr>
        <w:trPr>
          <w:trHeight w:val="28"/>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capitalization</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15,526</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24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classify as short-term certain borrowings under our PAA senior secured hedged inventory facility, our PAA senior unsecured revolving credit facility and our commercial paper program. These borrowings are primarily designated as working capital borrowings, must be repaid within one year and are primarily for hedged NGL and crude oil inventory and NYMEX and ICE margin deposits.</w:t>
      </w: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On a historical and on an as adjusted basis as of June 30, 2014, our Canadian subsidiary, Plains Midstream Canada ULC, was the obligor on approximately</w:t>
      </w:r>
    </w:p>
    <w:p>
      <w:pPr>
        <w:spacing w:after="0" w:line="43" w:lineRule="exact"/>
        <w:rPr>
          <w:rFonts w:ascii="Arial" w:cs="Arial" w:eastAsia="Arial" w:hAnsi="Arial"/>
          <w:sz w:val="15"/>
          <w:szCs w:val="15"/>
          <w:color w:val="auto"/>
        </w:rPr>
      </w:pPr>
    </w:p>
    <w:p>
      <w:pPr>
        <w:ind w:left="460" w:right="360"/>
        <w:spacing w:after="0" w:line="255" w:lineRule="auto"/>
        <w:rPr>
          <w:rFonts w:ascii="Arial" w:cs="Arial" w:eastAsia="Arial" w:hAnsi="Arial"/>
          <w:sz w:val="15"/>
          <w:szCs w:val="15"/>
          <w:color w:val="auto"/>
        </w:rPr>
      </w:pPr>
      <w:r>
        <w:rPr>
          <w:rFonts w:ascii="Arial" w:cs="Arial" w:eastAsia="Arial" w:hAnsi="Arial"/>
          <w:sz w:val="18"/>
          <w:szCs w:val="18"/>
          <w:color w:val="auto"/>
        </w:rPr>
        <w:t>$148 million and $ million, respectively, of outstanding commercial paper notes. As of August 29, 2014, we had approximately $1.1 billion of borrowings outstanding under our commercial paper program and no borrowings outstanding under our senior secured hedged inventory facility or our senior unsecured revolving credit facility.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will issue the Notes under an indenture (the “Base Indenture”) dated as of September 25, 2002, among us, the subsidiary guarantors and U.S. Bank National Association, as successor trustee, and a supplemental indenture thereto with respect to the Notes to be dated as of September , 2014 (the Base Indenture, as supplemented by such supplemental indenture, the “Indenture”). The Notes will constitute a new series of debt securities under the Indenture, and multiple other series are now outstanding under the Base Indenture, each issued under a separate supplemental indenture.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12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indebtedness;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new series of debt securities issued under the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effectively junior to existing and future indebtedness and other obligations of our subsidiaries, including trade payables, other than subsidiaries that may guarantee the Notes in the future.</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June 30, 2014, on an as adjusted basis as described under “Capitalization,” the Notes would have been effectively subordinated to $ million of short-term secured indebtedness and structurally subordinated to all of our subsidiaries’ outstanding indebtedness, which totaled approximately $ million</w:t>
      </w:r>
    </w:p>
    <w:p>
      <w:pPr>
        <w:jc w:val="both"/>
        <w:ind w:right="20"/>
        <w:spacing w:after="0" w:line="255" w:lineRule="auto"/>
        <w:rPr>
          <w:sz w:val="20"/>
          <w:szCs w:val="20"/>
          <w:color w:val="auto"/>
        </w:rPr>
      </w:pPr>
      <w:r>
        <w:rPr>
          <w:rFonts w:ascii="Arial" w:cs="Arial" w:eastAsia="Arial" w:hAnsi="Arial"/>
          <w:sz w:val="18"/>
          <w:szCs w:val="18"/>
          <w:color w:val="auto"/>
        </w:rPr>
        <w:t>at that date.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ectPr>
          <w:pgSz w:w="11900" w:h="16838" w:orient="portrait"/>
          <w:cols w:equalWidth="0" w:num="1">
            <w:col w:w="11400"/>
          </w:cols>
          <w:pgMar w:left="240" w:top="459" w:right="259" w:bottom="1440" w:gutter="0" w:footer="0" w:header="0"/>
        </w:sectPr>
      </w:pPr>
    </w:p>
    <w:p>
      <w:pPr>
        <w:spacing w:after="0" w:line="96" w:lineRule="exact"/>
        <w:rPr>
          <w:sz w:val="20"/>
          <w:szCs w:val="20"/>
          <w:color w:val="auto"/>
        </w:rPr>
      </w:pPr>
    </w:p>
    <w:p>
      <w:pPr>
        <w:ind w:left="460"/>
        <w:spacing w:after="0"/>
        <w:tabs>
          <w:tab w:leader="none" w:pos="5800" w:val="left"/>
          <w:tab w:leader="none" w:pos="8940" w:val="left"/>
        </w:tabs>
        <w:rPr>
          <w:sz w:val="20"/>
          <w:szCs w:val="20"/>
          <w:color w:val="auto"/>
        </w:rPr>
      </w:pPr>
      <w:r>
        <w:rPr>
          <w:rFonts w:ascii="Arial" w:cs="Arial" w:eastAsia="Arial" w:hAnsi="Arial"/>
          <w:sz w:val="18"/>
          <w:szCs w:val="18"/>
          <w:color w:val="auto"/>
        </w:rPr>
        <w:t>We will issue the Notes in an initial aggregate principal amount of $</w:t>
      </w:r>
      <w:r>
        <w:rPr>
          <w:sz w:val="20"/>
          <w:szCs w:val="20"/>
          <w:color w:val="auto"/>
        </w:rPr>
        <w:tab/>
      </w:r>
      <w:r>
        <w:rPr>
          <w:rFonts w:ascii="Arial" w:cs="Arial" w:eastAsia="Arial" w:hAnsi="Arial"/>
          <w:sz w:val="18"/>
          <w:szCs w:val="18"/>
          <w:color w:val="auto"/>
        </w:rPr>
        <w:t>million. The Notes will mature on</w:t>
      </w:r>
      <w:r>
        <w:rPr>
          <w:sz w:val="20"/>
          <w:szCs w:val="20"/>
          <w:color w:val="auto"/>
        </w:rPr>
        <w:tab/>
      </w:r>
      <w:r>
        <w:rPr>
          <w:rFonts w:ascii="Arial" w:cs="Arial" w:eastAsia="Arial" w:hAnsi="Arial"/>
          <w:sz w:val="15"/>
          <w:szCs w:val="15"/>
          <w:color w:val="auto"/>
        </w:rPr>
        <w:t>, 2024. The Notes will bear</w:t>
      </w:r>
    </w:p>
    <w:p>
      <w:pPr>
        <w:spacing w:after="0" w:line="15" w:lineRule="exact"/>
        <w:rPr>
          <w:sz w:val="20"/>
          <w:szCs w:val="20"/>
          <w:color w:val="auto"/>
        </w:rPr>
      </w:pPr>
    </w:p>
    <w:p>
      <w:pPr>
        <w:spacing w:after="0"/>
        <w:tabs>
          <w:tab w:leader="none" w:pos="2340" w:val="left"/>
          <w:tab w:leader="none" w:pos="5980" w:val="left"/>
          <w:tab w:leader="none" w:pos="10360" w:val="left"/>
        </w:tabs>
        <w:rPr>
          <w:sz w:val="20"/>
          <w:szCs w:val="20"/>
          <w:color w:val="auto"/>
        </w:rPr>
      </w:pPr>
      <w:r>
        <w:rPr>
          <w:rFonts w:ascii="Arial" w:cs="Arial" w:eastAsia="Arial" w:hAnsi="Arial"/>
          <w:sz w:val="18"/>
          <w:szCs w:val="18"/>
          <w:color w:val="auto"/>
        </w:rPr>
        <w:t>interest at the annual rate of</w:t>
      </w:r>
      <w:r>
        <w:rPr>
          <w:sz w:val="20"/>
          <w:szCs w:val="20"/>
          <w:color w:val="auto"/>
        </w:rPr>
        <w:tab/>
      </w:r>
      <w:r>
        <w:rPr>
          <w:rFonts w:ascii="Arial" w:cs="Arial" w:eastAsia="Arial" w:hAnsi="Arial"/>
          <w:sz w:val="18"/>
          <w:szCs w:val="18"/>
          <w:color w:val="auto"/>
        </w:rPr>
        <w:t>%. Interest on the Notes will accrue from</w:t>
      </w:r>
      <w:r>
        <w:rPr>
          <w:sz w:val="20"/>
          <w:szCs w:val="20"/>
          <w:color w:val="auto"/>
        </w:rPr>
        <w:tab/>
      </w:r>
      <w:r>
        <w:rPr>
          <w:rFonts w:ascii="Arial" w:cs="Arial" w:eastAsia="Arial" w:hAnsi="Arial"/>
          <w:sz w:val="18"/>
          <w:szCs w:val="18"/>
          <w:color w:val="auto"/>
        </w:rPr>
        <w:t>, 2014 and will be payable semi-annually in arrears on</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spacing w:after="0"/>
        <w:tabs>
          <w:tab w:leader="none" w:pos="2180" w:val="left"/>
          <w:tab w:leader="none" w:pos="9660" w:val="left"/>
          <w:tab w:leader="none" w:pos="10480" w:val="left"/>
        </w:tabs>
        <w:rPr>
          <w:sz w:val="20"/>
          <w:szCs w:val="20"/>
          <w:color w:val="auto"/>
        </w:rPr>
      </w:pPr>
      <w:r>
        <w:rPr>
          <w:rFonts w:ascii="Arial" w:cs="Arial" w:eastAsia="Arial" w:hAnsi="Arial"/>
          <w:sz w:val="18"/>
          <w:szCs w:val="18"/>
          <w:color w:val="auto"/>
        </w:rPr>
        <w:t>each year, beginning</w:t>
      </w:r>
      <w:r>
        <w:rPr>
          <w:sz w:val="20"/>
          <w:szCs w:val="20"/>
          <w:color w:val="auto"/>
        </w:rPr>
        <w:tab/>
      </w:r>
      <w:r>
        <w:rPr>
          <w:rFonts w:ascii="Arial" w:cs="Arial" w:eastAsia="Arial" w:hAnsi="Arial"/>
          <w:sz w:val="16"/>
          <w:szCs w:val="16"/>
          <w:color w:val="auto"/>
        </w:rPr>
        <w:t>, 2015. We will make each interest payment to the holders of record at the close of business on the</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5"/>
          <w:szCs w:val="15"/>
          <w:color w:val="auto"/>
        </w:rPr>
        <w:t>preceding</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31" w:lineRule="exact"/>
        <w:rPr>
          <w:sz w:val="20"/>
          <w:szCs w:val="20"/>
          <w:color w:val="auto"/>
        </w:rPr>
      </w:pPr>
    </w:p>
    <w:p>
      <w:pPr>
        <w:sectPr>
          <w:pgSz w:w="11900" w:h="16838" w:orient="portrait"/>
          <w:cols w:equalWidth="0" w:num="2">
            <w:col w:w="11180" w:space="20"/>
            <w:col w:w="200"/>
          </w:cols>
          <w:pgMar w:left="240" w:top="459" w:right="259" w:bottom="1440" w:gutter="0" w:footer="0" w:header="0"/>
          <w:type w:val="continuous"/>
        </w:sectPr>
      </w:pPr>
    </w:p>
    <w:p>
      <w:pPr>
        <w:ind w:right="240"/>
        <w:spacing w:after="0" w:line="261" w:lineRule="auto"/>
        <w:rPr>
          <w:sz w:val="20"/>
          <w:szCs w:val="20"/>
          <w:color w:val="auto"/>
        </w:rPr>
      </w:pPr>
      <w:r>
        <w:rPr>
          <w:rFonts w:ascii="Arial" w:cs="Arial" w:eastAsia="Arial" w:hAnsi="Arial"/>
          <w:sz w:val="18"/>
          <w:szCs w:val="18"/>
          <w:color w:val="auto"/>
        </w:rPr>
        <w:t>such interest payment dates. Interest will be computed on the basis of a 360-day year consisting of twelve 30-day months. We will issue the Notes in minimum denominations of $2,000 and integral multiples of $1,000 in excess thereof.</w:t>
      </w:r>
    </w:p>
    <w:p>
      <w:pPr>
        <w:spacing w:after="0" w:line="13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51" w:lineRule="exact"/>
        <w:rPr>
          <w:sz w:val="20"/>
          <w:szCs w:val="20"/>
          <w:color w:val="auto"/>
        </w:rPr>
      </w:pPr>
    </w:p>
    <w:p>
      <w:pPr>
        <w:ind w:left="900" w:right="24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any sale or other disposition of all of our direct or indirect equity interests in that subsidiary guarantor to any person that is not our affiliate; or</w:t>
      </w:r>
    </w:p>
    <w:p>
      <w:pPr>
        <w:spacing w:after="0" w:line="113" w:lineRule="exact"/>
        <w:rPr>
          <w:rFonts w:ascii="Arial" w:cs="Arial" w:eastAsia="Arial" w:hAnsi="Arial"/>
          <w:sz w:val="16"/>
          <w:szCs w:val="16"/>
          <w:color w:val="auto"/>
        </w:rPr>
      </w:pPr>
    </w:p>
    <w:p>
      <w:pPr>
        <w:ind w:left="900" w:right="4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redeemable, in whole or in part, at our option at any time and from time to time prior to maturity. If we redeem the Notes</w:t>
      </w:r>
    </w:p>
    <w:p>
      <w:pPr>
        <w:spacing w:after="0" w:line="15"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before , 2024 (three months prior to their maturity date), the Notes may be redeemed at a redemption price equal to the greater of (a) 100% of the principal amount of the Notes to be redeemed, and (b) as determined by the Quotation Agent, the sum of the present values of the remaining scheduled payments of principal and interest on the Notes to be redeemed (not including any portion of those payments of interest accrued as of the date of redemption) discounted to the date of redemption on a semiannual basis (assuming 360-day years, each consisting of twelve 30-day months), at the Adjusted Treasury Rate plus</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basis points, together with accrued and unpaid interest to the date of redemption.</w:t>
      </w:r>
    </w:p>
    <w:p>
      <w:pPr>
        <w:spacing w:after="0" w:line="16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we redeem the Notes on or after , 2024 (three months prior to their maturity date), the redemption price will equal 100% of the principal amount of the Notes to be redeemed plus accrued and unpaid interest to the redemption date.</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J.P. Morgan Securites LLC, Barclays Capital Inc., BNP Paribas Securities Corp. and Merrill Lynch, Pierce, Fenner &amp; Smith Incorporated, or their respective successors; provided, however, if any of the foregoing ceases to be a primary U.S. Government securities dealer in the United States (a “Primary Treasury Dealer”), we shall substitute another Primary Treasury Dealer.</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113"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25" w:lineRule="exact"/>
        <w:rPr>
          <w:rFonts w:ascii="Arial" w:cs="Arial" w:eastAsia="Arial" w:hAnsi="Arial"/>
          <w:sz w:val="16"/>
          <w:szCs w:val="16"/>
          <w:color w:val="auto"/>
        </w:rPr>
      </w:pPr>
    </w:p>
    <w:p>
      <w:pPr>
        <w:ind w:left="900" w:hanging="325"/>
        <w:spacing w:after="0" w:line="287"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41"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guarantee by such subsidiary guarantor ceases to be in full force and effect, except as otherwise provided in the Indenture;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59"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90" w:lineRule="exact"/>
        <w:rPr>
          <w:rFonts w:ascii="Arial" w:cs="Arial" w:eastAsia="Arial" w:hAnsi="Arial"/>
          <w:sz w:val="18"/>
          <w:szCs w:val="18"/>
          <w:color w:val="auto"/>
        </w:rPr>
      </w:pPr>
    </w:p>
    <w:p>
      <w:pPr>
        <w:ind w:left="1480" w:right="20" w:hanging="446"/>
        <w:spacing w:after="0" w:line="306" w:lineRule="auto"/>
        <w:tabs>
          <w:tab w:leader="none" w:pos="14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25" w:lineRule="exact"/>
        <w:rPr>
          <w:rFonts w:ascii="Arial" w:cs="Arial" w:eastAsia="Arial" w:hAnsi="Arial"/>
          <w:sz w:val="16"/>
          <w:szCs w:val="16"/>
          <w:color w:val="auto"/>
        </w:rPr>
      </w:pPr>
    </w:p>
    <w:p>
      <w:pPr>
        <w:jc w:val="both"/>
        <w:ind w:left="1480" w:right="160" w:hanging="446"/>
        <w:spacing w:after="0" w:line="259"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113"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59"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19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add or release any subsidiary guarantors as permitted pursuant to the terms of the Indenture (see “—Possible Future Guarantees”);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3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90"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25" w:lineRule="exact"/>
        <w:rPr>
          <w:rFonts w:ascii="Arial" w:cs="Arial" w:eastAsia="Arial" w:hAnsi="Arial"/>
          <w:sz w:val="16"/>
          <w:szCs w:val="16"/>
          <w:color w:val="auto"/>
        </w:rPr>
      </w:pPr>
    </w:p>
    <w:p>
      <w:pPr>
        <w:ind w:left="900" w:right="18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25"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59"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59"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90" w:lineRule="exact"/>
        <w:rPr>
          <w:sz w:val="20"/>
          <w:szCs w:val="20"/>
          <w:color w:val="auto"/>
        </w:rPr>
      </w:pPr>
    </w:p>
    <w:p>
      <w:pPr>
        <w:ind w:left="900" w:right="2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4"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5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90" w:lineRule="exact"/>
        <w:rPr>
          <w:rFonts w:ascii="Arial" w:cs="Arial" w:eastAsia="Arial" w:hAnsi="Arial"/>
          <w:sz w:val="18"/>
          <w:szCs w:val="18"/>
          <w:color w:val="auto"/>
        </w:rPr>
      </w:pPr>
    </w:p>
    <w:p>
      <w:pPr>
        <w:ind w:left="900" w:right="120" w:hanging="325"/>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90" w:lineRule="exact"/>
        <w:rPr>
          <w:sz w:val="20"/>
          <w:szCs w:val="20"/>
          <w:color w:val="auto"/>
        </w:rPr>
      </w:pPr>
    </w:p>
    <w:p>
      <w:pPr>
        <w:ind w:left="700" w:hanging="24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90" w:lineRule="exact"/>
        <w:rPr>
          <w:rFonts w:ascii="Arial" w:cs="Arial" w:eastAsia="Arial" w:hAnsi="Arial"/>
          <w:sz w:val="18"/>
          <w:szCs w:val="18"/>
          <w:color w:val="auto"/>
        </w:rPr>
      </w:pPr>
    </w:p>
    <w:p>
      <w:pPr>
        <w:ind w:left="700" w:hanging="240"/>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90" w:lineRule="exact"/>
        <w:rPr>
          <w:sz w:val="20"/>
          <w:szCs w:val="20"/>
          <w:color w:val="auto"/>
        </w:rPr>
      </w:pPr>
    </w:p>
    <w:p>
      <w:pPr>
        <w:ind w:left="700" w:hanging="24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90" w:lineRule="exact"/>
        <w:rPr>
          <w:rFonts w:ascii="Arial" w:cs="Arial" w:eastAsia="Arial" w:hAnsi="Arial"/>
          <w:sz w:val="18"/>
          <w:szCs w:val="18"/>
          <w:color w:val="auto"/>
        </w:rPr>
      </w:pPr>
    </w:p>
    <w:p>
      <w:pPr>
        <w:ind w:left="240" w:right="140" w:firstLine="220"/>
        <w:spacing w:after="0" w:line="306" w:lineRule="auto"/>
        <w:tabs>
          <w:tab w:leader="none" w:pos="712"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25" w:lineRule="exact"/>
        <w:rPr>
          <w:rFonts w:ascii="Arial" w:cs="Arial" w:eastAsia="Arial" w:hAnsi="Arial"/>
          <w:sz w:val="16"/>
          <w:szCs w:val="16"/>
          <w:color w:val="auto"/>
        </w:rPr>
      </w:pPr>
    </w:p>
    <w:p>
      <w:pPr>
        <w:ind w:left="240" w:right="400" w:firstLine="220"/>
        <w:spacing w:after="0" w:line="268" w:lineRule="auto"/>
        <w:tabs>
          <w:tab w:leader="none" w:pos="7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50" w:lineRule="exact"/>
        <w:rPr>
          <w:rFonts w:ascii="Arial" w:cs="Arial" w:eastAsia="Arial" w:hAnsi="Arial"/>
          <w:sz w:val="18"/>
          <w:szCs w:val="18"/>
          <w:color w:val="auto"/>
        </w:rPr>
      </w:pPr>
    </w:p>
    <w:p>
      <w:pPr>
        <w:ind w:left="240" w:right="20" w:firstLine="220"/>
        <w:spacing w:after="0" w:line="268" w:lineRule="auto"/>
        <w:tabs>
          <w:tab w:leader="none" w:pos="7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50" w:lineRule="exact"/>
        <w:rPr>
          <w:rFonts w:ascii="Arial" w:cs="Arial" w:eastAsia="Arial" w:hAnsi="Arial"/>
          <w:sz w:val="18"/>
          <w:szCs w:val="18"/>
          <w:color w:val="auto"/>
        </w:rPr>
      </w:pPr>
    </w:p>
    <w:p>
      <w:pPr>
        <w:ind w:left="700" w:hanging="24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90" w:lineRule="exact"/>
        <w:rPr>
          <w:rFonts w:ascii="Arial" w:cs="Arial" w:eastAsia="Arial" w:hAnsi="Arial"/>
          <w:sz w:val="18"/>
          <w:szCs w:val="18"/>
          <w:color w:val="auto"/>
        </w:rPr>
      </w:pPr>
    </w:p>
    <w:p>
      <w:pPr>
        <w:ind w:left="240" w:right="400" w:firstLine="220"/>
        <w:spacing w:after="0" w:line="268" w:lineRule="auto"/>
        <w:tabs>
          <w:tab w:leader="none" w:pos="7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50" w:lineRule="exact"/>
        <w:rPr>
          <w:rFonts w:ascii="Arial" w:cs="Arial" w:eastAsia="Arial" w:hAnsi="Arial"/>
          <w:sz w:val="18"/>
          <w:szCs w:val="18"/>
          <w:color w:val="auto"/>
        </w:rPr>
      </w:pPr>
    </w:p>
    <w:p>
      <w:pPr>
        <w:ind w:left="240" w:right="120" w:firstLine="220"/>
        <w:spacing w:after="0" w:line="268" w:lineRule="auto"/>
        <w:tabs>
          <w:tab w:leader="none" w:pos="7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50" w:lineRule="exact"/>
        <w:rPr>
          <w:rFonts w:ascii="Arial" w:cs="Arial" w:eastAsia="Arial" w:hAnsi="Arial"/>
          <w:sz w:val="18"/>
          <w:szCs w:val="18"/>
          <w:color w:val="auto"/>
        </w:rPr>
      </w:pPr>
    </w:p>
    <w:p>
      <w:pPr>
        <w:ind w:left="240" w:right="160" w:firstLine="220"/>
        <w:spacing w:after="0" w:line="332" w:lineRule="auto"/>
        <w:tabs>
          <w:tab w:leader="none" w:pos="712"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4" w:lineRule="exact"/>
        <w:rPr>
          <w:rFonts w:ascii="Arial" w:cs="Arial" w:eastAsia="Arial" w:hAnsi="Arial"/>
          <w:sz w:val="16"/>
          <w:szCs w:val="16"/>
          <w:color w:val="auto"/>
        </w:rPr>
      </w:pPr>
    </w:p>
    <w:p>
      <w:pPr>
        <w:ind w:left="700" w:hanging="240"/>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90" w:lineRule="exact"/>
        <w:rPr>
          <w:rFonts w:ascii="Arial" w:cs="Arial" w:eastAsia="Arial" w:hAnsi="Arial"/>
          <w:sz w:val="18"/>
          <w:szCs w:val="18"/>
          <w:color w:val="auto"/>
        </w:rPr>
      </w:pPr>
    </w:p>
    <w:p>
      <w:pPr>
        <w:ind w:left="240" w:right="100" w:firstLine="220"/>
        <w:spacing w:after="0" w:line="25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62" w:lineRule="exact"/>
        <w:rPr>
          <w:rFonts w:ascii="Arial" w:cs="Arial" w:eastAsia="Arial" w:hAnsi="Arial"/>
          <w:sz w:val="18"/>
          <w:szCs w:val="18"/>
          <w:color w:val="auto"/>
        </w:rPr>
      </w:pPr>
    </w:p>
    <w:p>
      <w:pPr>
        <w:ind w:left="780" w:hanging="320"/>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90" w:lineRule="exact"/>
        <w:rPr>
          <w:rFonts w:ascii="Arial" w:cs="Arial" w:eastAsia="Arial" w:hAnsi="Arial"/>
          <w:sz w:val="18"/>
          <w:szCs w:val="18"/>
          <w:color w:val="auto"/>
        </w:rPr>
      </w:pPr>
    </w:p>
    <w:p>
      <w:pPr>
        <w:ind w:left="240" w:firstLine="220"/>
        <w:spacing w:after="0" w:line="254"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63" w:lineRule="exact"/>
        <w:rPr>
          <w:rFonts w:ascii="Arial" w:cs="Arial" w:eastAsia="Arial" w:hAnsi="Arial"/>
          <w:sz w:val="18"/>
          <w:szCs w:val="18"/>
          <w:color w:val="auto"/>
        </w:rPr>
      </w:pPr>
    </w:p>
    <w:p>
      <w:pPr>
        <w:ind w:left="240" w:right="20" w:firstLine="220"/>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50" w:lineRule="exact"/>
        <w:rPr>
          <w:rFonts w:ascii="Arial" w:cs="Arial" w:eastAsia="Arial" w:hAnsi="Arial"/>
          <w:sz w:val="18"/>
          <w:szCs w:val="18"/>
          <w:color w:val="auto"/>
        </w:rPr>
      </w:pPr>
    </w:p>
    <w:p>
      <w:pPr>
        <w:ind w:left="800" w:hanging="340"/>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0" w:firstLine="220"/>
        <w:spacing w:after="0" w:line="298"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31" w:lineRule="exact"/>
        <w:rPr>
          <w:rFonts w:ascii="Arial" w:cs="Arial" w:eastAsia="Arial" w:hAnsi="Arial"/>
          <w:sz w:val="16"/>
          <w:szCs w:val="16"/>
          <w:color w:val="auto"/>
        </w:rPr>
      </w:pPr>
    </w:p>
    <w:p>
      <w:pPr>
        <w:ind w:left="240" w:right="120" w:firstLine="220"/>
        <w:spacing w:after="0" w:line="25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62" w:lineRule="exact"/>
        <w:rPr>
          <w:rFonts w:ascii="Arial" w:cs="Arial" w:eastAsia="Arial" w:hAnsi="Arial"/>
          <w:sz w:val="18"/>
          <w:szCs w:val="18"/>
          <w:color w:val="auto"/>
        </w:rPr>
      </w:pPr>
    </w:p>
    <w:p>
      <w:pPr>
        <w:jc w:val="both"/>
        <w:ind w:left="240" w:right="220" w:firstLine="220"/>
        <w:spacing w:after="0" w:line="298" w:lineRule="auto"/>
        <w:tabs>
          <w:tab w:leader="none" w:pos="8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31" w:lineRule="exact"/>
        <w:rPr>
          <w:rFonts w:ascii="Arial" w:cs="Arial" w:eastAsia="Arial" w:hAnsi="Arial"/>
          <w:sz w:val="16"/>
          <w:szCs w:val="16"/>
          <w:color w:val="auto"/>
        </w:rPr>
      </w:pPr>
    </w:p>
    <w:p>
      <w:pPr>
        <w:ind w:left="240" w:right="80" w:firstLine="220"/>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90" w:lineRule="exact"/>
        <w:rPr>
          <w:sz w:val="20"/>
          <w:szCs w:val="20"/>
          <w:color w:val="auto"/>
        </w:rPr>
      </w:pPr>
    </w:p>
    <w:p>
      <w:pPr>
        <w:ind w:left="240" w:firstLine="220"/>
        <w:spacing w:after="0" w:line="259" w:lineRule="auto"/>
        <w:tabs>
          <w:tab w:leader="none" w:pos="7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59" w:lineRule="exact"/>
        <w:rPr>
          <w:rFonts w:ascii="Arial" w:cs="Arial" w:eastAsia="Arial" w:hAnsi="Arial"/>
          <w:sz w:val="18"/>
          <w:szCs w:val="18"/>
          <w:color w:val="auto"/>
        </w:rPr>
      </w:pPr>
    </w:p>
    <w:p>
      <w:pPr>
        <w:ind w:left="240" w:right="60" w:firstLine="220"/>
        <w:spacing w:after="0" w:line="255" w:lineRule="auto"/>
        <w:tabs>
          <w:tab w:leader="none" w:pos="7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90" w:lineRule="exact"/>
        <w:rPr>
          <w:sz w:val="20"/>
          <w:szCs w:val="20"/>
          <w:color w:val="auto"/>
        </w:rPr>
      </w:pPr>
    </w:p>
    <w:p>
      <w:pPr>
        <w:ind w:left="240" w:right="60" w:firstLine="220"/>
        <w:spacing w:after="0" w:line="306" w:lineRule="auto"/>
        <w:tabs>
          <w:tab w:leader="none" w:pos="7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firstLine="220"/>
        <w:spacing w:after="0" w:line="332" w:lineRule="auto"/>
        <w:tabs>
          <w:tab w:leader="none" w:pos="71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 ENTRY, DELIVERY AND FORM</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2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16"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38"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8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460" w:firstLine="8"/>
        <w:spacing w:after="0" w:line="261"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14" w:lineRule="exact"/>
        <w:rPr>
          <w:sz w:val="20"/>
          <w:szCs w:val="20"/>
          <w:color w:val="auto"/>
        </w:rPr>
      </w:pPr>
    </w:p>
    <w:p>
      <w:pPr>
        <w:jc w:val="both"/>
        <w:ind w:right="180" w:firstLine="456"/>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2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 Entry Notes for Certificated Notes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the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11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5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deemed to sell the Notes under constructive sale provisions of the Code;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the discussion does not consider the effect of U.S. federal estate tax laws or gift tax laws or of any applicable foreign, state, local or other tax laws or income tax treaties.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are encouraged to consult their tax advisors about the U.S. federal income tax consequences of acquiring, owning and disposing of the Notes.</w:t>
      </w:r>
    </w:p>
    <w:p>
      <w:pPr>
        <w:spacing w:after="0" w:line="10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PROSPECTIVE INVESTORS ARE ENCOURAGED TO CONSULT THEIR OWN TAX ADVISORS WITH REGARD TO THE APPLICATION OF THE TAX CONSEQUENCES DISCUSSED BELOW TO THEIR PARTICULAR SITUATIONS, AS WELL AS THE APPLICATION OF U.S. FEDERAL ESTATE OR GIFT TAX LAWS OR OF ANY STATE, LOCAL, FOREIGN OR OTHER TAX LAWS OR INCOME TAX TREATIES.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96"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a “U.S. Holder” means a beneficial owner of a Note that is:</w:t>
      </w:r>
    </w:p>
    <w:p>
      <w:pPr>
        <w:spacing w:after="0" w:line="9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any political subdivision thereof;</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the sale, exchange, retirement, redemption or other taxable disposition of a Note, a U.S. Holder will generally recognize capital gain or loss equal to the difference, if any,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under penalties of perjury, as well as certain other information or otherwise establishes 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a “Non-U.S. Holder” means a beneficial owner of a Note that is an individual, corporation, estate or trust that is not a U.S. Holder.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Subject to the discussion of backup withholding and FATCA withholding, below, the payment to a Non-U.S. Holder of interest on a Note generally will not be subject to U.S. federal income tax and will be exempt from withholding of U.S. federal income tax under the “portfolio interest” exemption provided that interest on the Note is not effectively connected with a U.S. trade or business conducted by the Non-U.S. Holder and the Non-U.S. Holder:</w:t>
      </w:r>
    </w:p>
    <w:p>
      <w:pPr>
        <w:spacing w:after="0" w:line="2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does not actually or constructively own 10% or more of our capital or profits interests;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not a controlled foreign corporation for U.S. federal income tax purposes that is actually or constructively related to us;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not a bank whose receipt of interest on the Note is in connection with an extension of credit made pursuant to a loan agreement entered into in the ordinary course of business;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properly certifies as to his foreign status as described below.</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portfolio interest exemption generally applies only if a Non-U.S. Holder appropriately certifies as to its foreign status. A Non-U.S. Holder can generally meet this certification requirement by providing a properly executed IRS Form W-8BEN or IRS Form W-8BEN-E (or applicable successor form) to the applicable withholding agent.</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 Non-U.S. Holder cannot satisfy the requirements described above, payments of interest made to the Non-U.S. Holder will be subject to a 30% U.S. federal withholding tax, unless the Non-U.S. Holder provides the applicable withholding agent with a properly executed IRS Form W-8BEN or IRS Form W-8BEN-E (or applicable successor form) claiming an exemption from or reduction of the rate of withholding under the benefit of an income tax treaty, or that the interest paid on the Note is effectively connected with the Non-U.S. Holder’s conduct of a trade or business in the United States and the Non-U.S. Holder satisfies the certification requirements described below. See “—Income or Gain Effectively Connected with a U.S. Trade or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Subject to the discussion of backup withholding and FATCA withholding, below, a Non-U.S. Holder generally will not be subject to U.S. federal income tax with respect to gain realized on the sale, exchange, retirement, redemption or other taxable disposition of a Note unless:</w:t>
      </w:r>
    </w:p>
    <w:p>
      <w:pPr>
        <w:spacing w:after="0" w:line="51" w:lineRule="exact"/>
        <w:rPr>
          <w:sz w:val="20"/>
          <w:szCs w:val="20"/>
          <w:color w:val="auto"/>
        </w:rPr>
      </w:pPr>
    </w:p>
    <w:p>
      <w:pPr>
        <w:ind w:left="900" w:hanging="325"/>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trade or business in the United States (and if required by an applicable income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U.S. source capital losses.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 Non-U.S. Holder of a Note is engaged in a trade or business in the United States and interest on the Note is effectively connected with the conduct of such trade or business, then the income or gain from the Note will generally be subject to U.S. federal income tax at regular graduated rates in the same manner as if that Non-U.S. Holder were a U.S. Holder, unless the Non-U.S. Holder can claim an exemption under the benefits of an income tax treaty. If a Non-U.S. Holder is eligible for the benefits of an income tax treaty between the United States and his country of residence, any “effectively connected” income or gain will generally be subject to U.S. federal income tax only if it is also attributable to a permanent establishment maintained by that Non-U.S. Holder in the United States. In addition, if such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A Non-U.S. Holder can generally meet the certification requirements by providing a properly executed IRS Form W-8ECI (or IRS Form W-8BEN or IRS Form W-8BEN-E (or applicable successor form) claiming exemption under an applicable income tax treaty) to the applicable withholding agent. For this purpose, interest received on a Note and gain recognized on the disposition of a Note will be included in earnings and profits if the interest or gain is effectively connected with the conduct by the Non-U.S. Holder of a U.S. trade or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Payments to a Non-U.S. Holder of interest on a Note, and amounts withheld from such payments, if any, generally will be required to be reported to the IRS and to the Non-U.S. Holder. Copies of these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Backup withholding generally will not apply to payments of interest and principal on a Note to a Non-U.S. Holder if the certification described in “U.S. Federal Income Taxation of Non-U.S. Holders—Interest on the Notes” is duly provided by the holder or the holder otherwise establishes an exemption, provided that the applicable withholding agent does not have actual knowledge or reason to know that the holder is a United States person.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Payment of the proceeds from a disposition of a Note effected by the U.S. office of a U.S. or foreign broker will be subject to information reporting requirements and backup withholding unless the Non-U.S. Holder 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24"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foreign person that derives 50% or more of its gross income for certain periods from the conduct of a trade or business in the United States;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 or</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Backup withholding is not an additional tax. Any amount withheld from payments to a Non-U.S. Holder under the backup withholding rules is allowable as a credit against such holder’s U.S. federal income tax liability, if any, and a refund of any excess may be obtained from the IRS if the required information or appropriate claim form is timely provided to the IRS.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Payments to Certain Foreign Entities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(pursuant to the provisions of the “Foreign Account Tax Compliance Act” or “FATCA”) impose a 30% withholding tax on any U.S.-source interest paid on debt obligations issued on or after July 1, 2014, such as the Notes, and on the gross proceeds from a disposition of such obligations occurring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w:t>
      </w:r>
    </w:p>
    <w:p>
      <w:pPr>
        <w:ind w:right="80"/>
        <w:spacing w:after="0" w:line="253" w:lineRule="auto"/>
        <w:rPr>
          <w:sz w:val="20"/>
          <w:szCs w:val="20"/>
          <w:color w:val="auto"/>
        </w:rPr>
      </w:pPr>
      <w:r>
        <w:rPr>
          <w:rFonts w:ascii="Arial" w:cs="Arial" w:eastAsia="Arial" w:hAnsi="Arial"/>
          <w:sz w:val="18"/>
          <w:szCs w:val="18"/>
          <w:color w:val="auto"/>
        </w:rPr>
        <w:t>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or (iii) the foreign financial institution or non-financial foreign entity otherwise qualifies for an exemption from these rules. Foreign financial institutions located in jurisdictions that have an intergovernmental agreement with the United States with respect to these rules may be subject to different rules. Under certain circumstances, a beneficial owner of the Notes might be eligible for refunds or credits of such taxes.</w:t>
      </w:r>
    </w:p>
    <w:p>
      <w:pPr>
        <w:spacing w:after="0" w:line="14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rules under FATCA are new and complex. You are encouraged to consult with your own tax advisor regarding the implications of FATCA on your investment in the Notes.</w:t>
      </w:r>
    </w:p>
    <w:p>
      <w:pPr>
        <w:spacing w:after="0" w:line="132"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PRECEDING DISCUSSION OF MATERIAL U.S. FEDERAL INCOME TAX CONSEQUENCES IS FOR GENERAL INFORMATION ONLY AND IS NOT TAX ADVICE. EACH PROSPECTIVE INVESTOR IS ENCOURAGED TO CONSULT ITS OWN TAX ADVISOR REGARDING THE PARTICULAR U.S. FEDERAL, STATE, LOCAL AND FOREIGN TAX CONSEQUENCES OF PURCHASING, HOLDING AND DISPOSING OF THE NOTES, INCLUDING THE CONSEQUENCES OF ANY PROPOSED CHANGE IN APPLICABLE 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Subject to the terms and conditions set forth in an underwriting agreement, dated the date of this prospectus supplement, between us and the underwriters named below, we have agreed to sell to each of the underwriters, for whom J.P. Morgan Securities LLC, Barclays Capital Inc., BNP Paribas Securities Corp. and Merrill Lynch, Pierce, Fenner &amp; Smith Incorporated are acting as representatives, and the underwriters have agreed, severally and not jointly, to purchase the principal amount of the Notes set forth opposite their respective names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61"/>
        </w:trPr>
        <w:tc>
          <w:tcPr>
            <w:tcW w:w="10260" w:type="dxa"/>
            <w:vAlign w:val="bottom"/>
            <w:gridSpan w:val="2"/>
            <w:vMerge w:val="continue"/>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9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4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26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60" w:type="dxa"/>
            <w:vAlign w:val="bottom"/>
            <w:gridSpan w:val="2"/>
          </w:tcPr>
          <w:p>
            <w:pPr>
              <w:ind w:left="1140"/>
              <w:spacing w:after="0"/>
              <w:rPr>
                <w:sz w:val="20"/>
                <w:szCs w:val="20"/>
                <w:color w:val="auto"/>
              </w:rPr>
            </w:pPr>
            <w:r>
              <w:rPr>
                <w:rFonts w:ascii="Arial" w:cs="Arial" w:eastAsia="Arial" w:hAnsi="Arial"/>
                <w:sz w:val="18"/>
                <w:szCs w:val="18"/>
                <w:color w:val="auto"/>
              </w:rPr>
              <w:t>Incorporated</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 of the principal amount of the Notes. The underwriters may allow a discount not in excess of % of the principal amount of the Notes, on sales to certain other brokers and dealers. After this initial public offering, the public offering price, concession and discount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center"/>
              <w:ind w:left="52"/>
              <w:spacing w:after="0"/>
              <w:rPr>
                <w:sz w:val="20"/>
                <w:szCs w:val="20"/>
                <w:color w:val="auto"/>
              </w:rPr>
            </w:pPr>
            <w:r>
              <w:rPr>
                <w:rFonts w:ascii="Arial" w:cs="Arial" w:eastAsia="Arial" w:hAnsi="Arial"/>
                <w:sz w:val="14"/>
                <w:szCs w:val="14"/>
                <w:b w:val="1"/>
                <w:bCs w:val="1"/>
                <w:color w:val="auto"/>
                <w:w w:val="90"/>
              </w:rPr>
              <w:t>Underwriting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920" w:type="dxa"/>
            <w:vAlign w:val="bottom"/>
          </w:tcPr>
          <w:p>
            <w:pPr>
              <w:spacing w:after="0"/>
              <w:rPr>
                <w:sz w:val="14"/>
                <w:szCs w:val="14"/>
                <w:color w:val="auto"/>
              </w:rPr>
            </w:pPr>
          </w:p>
        </w:tc>
        <w:tc>
          <w:tcPr>
            <w:tcW w:w="7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83"/>
              </w:rPr>
              <w:t>Discount</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440" w:type="dxa"/>
            <w:vAlign w:val="bottom"/>
          </w:tcPr>
          <w:p>
            <w:pPr>
              <w:ind w:left="2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8380" w:type="dxa"/>
            <w:vAlign w:val="bottom"/>
            <w:gridSpan w:val="3"/>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371"/>
        </w:trPr>
        <w:tc>
          <w:tcPr>
            <w:tcW w:w="9320" w:type="dxa"/>
            <w:vAlign w:val="bottom"/>
            <w:gridSpan w:val="4"/>
          </w:tcPr>
          <w:p>
            <w:pPr>
              <w:jc w:val="right"/>
              <w:ind w:right="472"/>
              <w:spacing w:after="0"/>
              <w:rPr>
                <w:sz w:val="20"/>
                <w:szCs w:val="20"/>
                <w:color w:val="auto"/>
              </w:rPr>
            </w:pPr>
            <w:r>
              <w:rPr>
                <w:rFonts w:ascii="Arial" w:cs="Arial" w:eastAsia="Arial" w:hAnsi="Arial"/>
                <w:sz w:val="18"/>
                <w:szCs w:val="18"/>
                <w:color w:val="auto"/>
                <w:w w:val="88"/>
              </w:rPr>
              <w:t>We estimate that our share of the total expenses of the offering, excluding the underwriting discount, will be approximately $</w:t>
            </w:r>
          </w:p>
        </w:tc>
        <w:tc>
          <w:tcPr>
            <w:tcW w:w="540" w:type="dxa"/>
            <w:vAlign w:val="bottom"/>
            <w:gridSpan w:val="3"/>
          </w:tcPr>
          <w:p>
            <w:pPr>
              <w:spacing w:after="0"/>
              <w:rPr>
                <w:sz w:val="20"/>
                <w:szCs w:val="20"/>
                <w:color w:val="auto"/>
              </w:rPr>
            </w:pPr>
            <w:r>
              <w:rPr>
                <w:rFonts w:ascii="Arial" w:cs="Arial" w:eastAsia="Arial" w:hAnsi="Arial"/>
                <w:sz w:val="18"/>
                <w:szCs w:val="18"/>
                <w:color w:val="auto"/>
                <w:w w:val="92"/>
              </w:rPr>
              <w:t>million.</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9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We expect delivery of the Notes will be made against payment therefor on or about September , 2014, which is the business day following the date of pricing of the Notes (such settlement being referred to as “T+ ”). Under Rule 15c6-1 of the Exchange Act, trades in the secondary market generally</w:t>
      </w:r>
    </w:p>
    <w:p>
      <w:pPr>
        <w:spacing w:after="0"/>
        <w:rPr>
          <w:sz w:val="20"/>
          <w:szCs w:val="20"/>
          <w:color w:val="auto"/>
        </w:rPr>
      </w:pPr>
      <w:r>
        <w:rPr>
          <w:rFonts w:ascii="Arial" w:cs="Arial" w:eastAsia="Arial" w:hAnsi="Arial"/>
          <w:sz w:val="15"/>
          <w:szCs w:val="15"/>
          <w:color w:val="auto"/>
        </w:rPr>
        <w:t>are required to settle in three business days unless the parties to any such trade expressly agree otherwise. Accordingly, purchasers who wish to trade the Notes on</w:t>
      </w:r>
    </w:p>
    <w:p>
      <w:pPr>
        <w:spacing w:after="0" w:line="38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Notes are only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w:t>
      </w:r>
    </w:p>
    <w:p>
      <w:pPr>
        <w:spacing w:after="0" w:line="26"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jc w:val="both"/>
        <w:ind w:left="900" w:right="100" w:hanging="325"/>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44"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Affiliates of certain of the underwriters are dealers under our commercial paper program and may hold commercial paper notes thereunder. Accordingly, they may receive a portion of the net proceeds from this offering.</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40"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2013, have been incorporated in reliance on the report of PricewaterhouseCoopers LLP, an independent registered public accounting firm, given on the authority of said firm as experts in auditing and accounting.</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63"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2014 and June 30, 2014; and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Reports on Form 8-K filed with the SEC on April 18, 2014 (documentation related to debt offering), April 29, 2014 (documentation related to debt offering) and August 22, 2014 (continuous equity offering program).</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6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0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0"/>
          <w:szCs w:val="20"/>
          <w:color w:val="auto"/>
        </w:rPr>
      </w:pPr>
    </w:p>
    <w:p>
      <w:pPr>
        <w:ind w:right="4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4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before you make an investment in our securities.</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September 27, 2012.</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37" w:lineRule="exact"/>
        <w:rPr>
          <w:sz w:val="20"/>
          <w:szCs w:val="20"/>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(documentation related to debt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17, 2012 (announcement to withdraw offer to acquire SemGroup Corporation);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50" w:lineRule="exact"/>
        <w:rPr>
          <w:rFonts w:ascii="Arial" w:cs="Arial" w:eastAsia="Arial" w:hAnsi="Arial"/>
          <w:sz w:val="18"/>
          <w:szCs w:val="18"/>
          <w:color w:val="auto"/>
        </w:rPr>
      </w:pPr>
    </w:p>
    <w:p>
      <w:pPr>
        <w:ind w:left="440" w:right="660" w:hanging="324"/>
        <w:spacing w:after="0" w:line="268"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left="320" w:right="540"/>
        <w:spacing w:after="0" w:line="440" w:lineRule="auto"/>
        <w:rPr>
          <w:sz w:val="20"/>
          <w:szCs w:val="20"/>
          <w:color w:val="auto"/>
        </w:rPr>
      </w:pPr>
      <w:r>
        <w:rPr>
          <w:rFonts w:ascii="Arial" w:cs="Arial" w:eastAsia="Arial" w:hAnsi="Arial"/>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440" w:right="780" w:hanging="324"/>
        <w:spacing w:after="0" w:line="268"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440" w:right="540" w:hanging="324"/>
        <w:spacing w:after="0" w:line="268"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ind w:left="440" w:right="200" w:hanging="324"/>
        <w:spacing w:after="0" w:line="259"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440" w:right="380" w:hanging="324"/>
        <w:spacing w:after="0" w:line="259"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440" w:right="720" w:hanging="324"/>
        <w:spacing w:after="0" w:line="268"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440" w:right="360" w:hanging="324"/>
        <w:spacing w:after="0" w:line="259"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440" w:right="400" w:hanging="324"/>
        <w:spacing w:after="0" w:line="268"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68" w:lineRule="auto"/>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440" w:right="200" w:hanging="324"/>
        <w:spacing w:after="0" w:line="268"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How Distributions from Capital Surplus Will Be Made. </w:t>
      </w:r>
      <w:r>
        <w:rPr>
          <w:rFonts w:ascii="Arial" w:cs="Arial" w:eastAsia="Arial" w:hAnsi="Arial"/>
          <w:sz w:val="16"/>
          <w:szCs w:val="16"/>
          <w:color w:val="auto"/>
        </w:rPr>
        <w:t>We will make distributions of available cash from capital surplus in the following manner:</w:t>
      </w:r>
    </w:p>
    <w:p>
      <w:pPr>
        <w:spacing w:after="0" w:line="113" w:lineRule="exact"/>
        <w:rPr>
          <w:sz w:val="20"/>
          <w:szCs w:val="20"/>
          <w:color w:val="auto"/>
        </w:rPr>
      </w:pPr>
    </w:p>
    <w:p>
      <w:pPr>
        <w:ind w:left="440" w:right="160" w:hanging="324"/>
        <w:spacing w:after="0" w:line="268" w:lineRule="auto"/>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440" w:right="140" w:hanging="324"/>
        <w:spacing w:after="0" w:line="259" w:lineRule="auto"/>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If we dissolve and liquidate, we will sell our assets or otherwise dispose of our assets and we will adjust the partners’ capital account balances to</w:t>
      </w:r>
      <w:r>
        <w:rPr>
          <w:rFonts w:ascii="Arial" w:cs="Arial" w:eastAsia="Arial" w:hAnsi="Arial"/>
          <w:sz w:val="15"/>
          <w:szCs w:val="15"/>
          <w:i w:val="1"/>
          <w:iCs w:val="1"/>
          <w:color w:val="auto"/>
        </w:rPr>
        <w:t xml:space="preserve"> </w:t>
      </w:r>
      <w:r>
        <w:rPr>
          <w:rFonts w:ascii="Arial" w:cs="Arial" w:eastAsia="Arial" w:hAnsi="Arial"/>
          <w:sz w:val="15"/>
          <w:szCs w:val="15"/>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440" w:right="500" w:hanging="324"/>
        <w:spacing w:after="0" w:line="268"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440" w:hanging="324"/>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440" w:right="220" w:hanging="324"/>
        <w:spacing w:after="0" w:line="268"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firstLine="8"/>
        <w:spacing w:after="0" w:line="261" w:lineRule="auto"/>
        <w:tabs>
          <w:tab w:leader="none" w:pos="24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440" w:hanging="324"/>
        <w:spacing w:after="0"/>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440" w:hanging="324"/>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440" w:hanging="324"/>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237"/>
        <w:spacing w:after="0"/>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786130</wp:posOffset>
            </wp:positionV>
            <wp:extent cx="1697990" cy="548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80" w:hanging="1211"/>
        <w:spacing w:after="0"/>
        <w:tabs>
          <w:tab w:leader="none" w:pos="4580" w:val="left"/>
        </w:tabs>
        <w:numPr>
          <w:ilvl w:val="0"/>
          <w:numId w:val="77"/>
        </w:numPr>
        <w:rPr>
          <w:rFonts w:ascii="Arial" w:cs="Arial" w:eastAsia="Arial" w:hAnsi="Arial"/>
          <w:sz w:val="29"/>
          <w:szCs w:val="29"/>
          <w:b w:val="1"/>
          <w:bCs w:val="1"/>
          <w:color w:val="auto"/>
        </w:rPr>
      </w:pPr>
      <w:r>
        <w:rPr>
          <w:rFonts w:ascii="Arial" w:cs="Arial" w:eastAsia="Arial" w:hAnsi="Arial"/>
          <w:sz w:val="29"/>
          <w:szCs w:val="29"/>
          <w:b w:val="1"/>
          <w:bCs w:val="1"/>
          <w:color w:val="auto"/>
        </w:rPr>
        <w:t>%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688975</wp:posOffset>
            </wp:positionV>
            <wp:extent cx="6604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PROSPECTUS SUPPLEMENT</w:t>
      </w:r>
    </w:p>
    <w:p>
      <w:pPr>
        <w:spacing w:after="0" w:line="165" w:lineRule="exact"/>
        <w:rPr>
          <w:sz w:val="20"/>
          <w:szCs w:val="20"/>
          <w:color w:val="auto"/>
        </w:rPr>
      </w:pPr>
    </w:p>
    <w:p>
      <w:pPr>
        <w:ind w:left="4980"/>
        <w:spacing w:after="0"/>
        <w:tabs>
          <w:tab w:leader="none" w:pos="5980" w:val="left"/>
        </w:tabs>
        <w:rPr>
          <w:sz w:val="20"/>
          <w:szCs w:val="20"/>
          <w:color w:val="auto"/>
        </w:rPr>
      </w:pPr>
      <w:r>
        <w:rPr>
          <w:rFonts w:ascii="Arial" w:cs="Arial" w:eastAsia="Arial" w:hAnsi="Arial"/>
          <w:sz w:val="18"/>
          <w:szCs w:val="18"/>
          <w:b w:val="1"/>
          <w:bCs w:val="1"/>
          <w:color w:val="auto"/>
        </w:rPr>
        <w:t>September</w:t>
        <w:tab/>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194945</wp:posOffset>
            </wp:positionV>
            <wp:extent cx="6604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200"/>
        <w:spacing w:after="0"/>
        <w:rPr>
          <w:sz w:val="20"/>
          <w:szCs w:val="20"/>
          <w:color w:val="auto"/>
        </w:rPr>
      </w:pPr>
      <w:r>
        <w:rPr>
          <w:rFonts w:ascii="Arial" w:cs="Arial" w:eastAsia="Arial" w:hAnsi="Arial"/>
          <w:sz w:val="22"/>
          <w:szCs w:val="22"/>
          <w:i w:val="1"/>
          <w:iCs w:val="1"/>
          <w:color w:val="auto"/>
        </w:rPr>
        <w:t>Joint Book-Running Managers</w:t>
      </w:r>
    </w:p>
    <w:p>
      <w:pPr>
        <w:spacing w:after="0" w:line="13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Barclays</w:t>
      </w:r>
    </w:p>
    <w:p>
      <w:pPr>
        <w:jc w:val="center"/>
        <w:ind w:right="-1200"/>
        <w:spacing w:after="0" w:line="237" w:lineRule="auto"/>
        <w:rPr>
          <w:sz w:val="20"/>
          <w:szCs w:val="20"/>
          <w:color w:val="auto"/>
        </w:rPr>
      </w:pPr>
      <w:r>
        <w:rPr>
          <w:rFonts w:ascii="Arial" w:cs="Arial" w:eastAsia="Arial" w:hAnsi="Arial"/>
          <w:sz w:val="32"/>
          <w:szCs w:val="32"/>
          <w:b w:val="1"/>
          <w:bCs w:val="1"/>
          <w:color w:val="auto"/>
        </w:rPr>
        <w:t>BNP PARIBAS</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618490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661670</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emdash "/>
      <w:numFmt w:val="bullet"/>
      <w:start w:val="1"/>
    </w:lvl>
  </w:abstractNum>
  <w:abstractNum w:abstractNumId="1">
    <w:nsid w:val="51EAD36B"/>
    <w:multiLevelType w:val="hybridMultilevel"/>
    <w:lvl w:ilvl="0">
      <w:lvlJc w:val="left"/>
      <w:lvlText w:val="\emdash "/>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decimal"/>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lvl w:ilvl="1">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lvl w:ilvl="1">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1)"/>
      <w:numFmt w:val="decimal"/>
      <w:start w:val="1"/>
    </w:lvl>
    <w:lvl w:ilvl="1">
      <w:lvlJc w:val="left"/>
      <w:lvlText w:val="(%2)"/>
      <w:numFmt w:val="lowerLetter"/>
      <w:start w:val="1"/>
    </w:lvl>
  </w:abstractNum>
  <w:abstractNum w:abstractNumId="21">
    <w:nsid w:val="579478FE"/>
    <w:multiLevelType w:val="hybridMultilevel"/>
    <w:lvl w:ilvl="0">
      <w:lvlJc w:val="left"/>
      <w:lvlText w:val="(%1)"/>
      <w:numFmt w:val="decimal"/>
      <w:start w:val="1"/>
    </w:lvl>
  </w:abstractNum>
  <w:abstractNum w:abstractNumId="22">
    <w:nsid w:val="749ABB43"/>
    <w:multiLevelType w:val="hybridMultilevel"/>
    <w:lvl w:ilvl="0">
      <w:lvlJc w:val="left"/>
      <w:lvlText w:val="(%1)"/>
      <w:numFmt w:val="decimal"/>
      <w:start w:val="15"/>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1)"/>
      <w:numFmt w:val="decimal"/>
      <w:start w:val="2"/>
    </w:lvl>
  </w:abstractNum>
  <w:abstractNum w:abstractNumId="26">
    <w:nsid w:val="75C6C33A"/>
    <w:multiLevelType w:val="hybridMultilevel"/>
    <w:lvl w:ilvl="0">
      <w:lvlJc w:val="left"/>
      <w:lvlText w:val="(%1)"/>
      <w:numFmt w:val="decimal"/>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1)"/>
      <w:numFmt w:val="lowerLetter"/>
      <w:start w:val="1"/>
    </w:lvl>
    <w:lvl w:ilvl="1">
      <w:lvlJc w:val="left"/>
      <w:lvlText w:val="(%2)"/>
      <w:numFmt w:val="decimal"/>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decimal"/>
      <w:start w:val="2"/>
    </w:lvl>
  </w:abstractNum>
  <w:abstractNum w:abstractNumId="65">
    <w:nsid w:val="6B94764"/>
    <w:multiLevelType w:val="hybridMultilevel"/>
    <w:lvl w:ilvl="0">
      <w:lvlJc w:val="left"/>
      <w:lvlText w:val="(%1)"/>
      <w:numFmt w:val="lowerLetter"/>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lowerRoman"/>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1)"/>
      <w:numFmt w:val="decimal"/>
      <w:start w:val="1"/>
    </w:lvl>
    <w:lvl w:ilvl="1">
      <w:lvlJc w:val="left"/>
      <w:lvlText w:val="(%2)"/>
      <w:numFmt w:val="lowerLetter"/>
      <w:start w:val="1"/>
    </w:lvl>
  </w:abstractNum>
  <w:abstractNum w:abstractNumId="71">
    <w:nsid w:val="540A471C"/>
    <w:multiLevelType w:val="hybridMultilevel"/>
    <w:lvl w:ilvl="0">
      <w:lvlJc w:val="left"/>
      <w:lvlText w:val="%1"/>
      <w:numFmt w:val="decimal"/>
      <w:start w:val="1"/>
    </w:lvl>
    <w:lvl w:ilvl="1">
      <w:lvlJc w:val="left"/>
      <w:lvlText w:val="(%2)"/>
      <w:numFmt w:val="lowerLetter"/>
      <w:start w:val="3"/>
    </w:lvl>
  </w:abstractNum>
  <w:abstractNum w:abstractNumId="72">
    <w:nsid w:val="7BD3EE7B"/>
    <w:multiLevelType w:val="hybridMultilevel"/>
    <w:lvl w:ilvl="0">
      <w:lvlJc w:val="left"/>
      <w:lvlText w:val="(%1)"/>
      <w:numFmt w:val="decimal"/>
      <w:start w:val="3"/>
    </w:lvl>
    <w:lvl w:ilvl="1">
      <w:lvlJc w:val="left"/>
      <w:lvlText w:val="%2"/>
      <w:numFmt w:val="lowerLetter"/>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2020-01-28T14:08:50Z</dcterms:created>
  <dcterms:modified xsi:type="dcterms:W3CDTF">2020-01-28T14:08:50Z</dcterms:modified>
</cp:coreProperties>
</file>