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1600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08/14/2023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0"/>
          <w:szCs w:val="20"/>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7"/>
            <w:vMerge w:val="restart"/>
          </w:tcPr>
          <w:p>
            <w:pPr>
              <w:ind w:left="60"/>
              <w:spacing w:after="0"/>
              <w:rPr>
                <w:sz w:val="20"/>
                <w:szCs w:val="20"/>
                <w:color w:val="auto"/>
              </w:rPr>
            </w:pPr>
            <w:r>
              <w:rPr>
                <w:rFonts w:ascii="Arial" w:cs="Arial" w:eastAsia="Arial" w:hAnsi="Arial"/>
                <w:sz w:val="17"/>
                <w:szCs w:val="17"/>
                <w:color w:val="0000FF"/>
                <w:w w:val="98"/>
              </w:rPr>
              <w:t>Common Units (Limited Partner Interests)</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08/14/2023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w w:val="97"/>
              </w:rPr>
              <w:t>139,350</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540" w:type="dxa"/>
            <w:vAlign w:val="bottom"/>
            <w:gridSpan w:val="3"/>
            <w:vMerge w:val="restart"/>
          </w:tcPr>
          <w:p>
            <w:pPr>
              <w:jc w:val="right"/>
              <w:ind w:right="80"/>
              <w:spacing w:after="0" w:line="382"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240,899,508</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gridSpan w:val="7"/>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18"/>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Plains All American GP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6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7">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6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160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1603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14, 2023, a total of 139,350 PAGP Class A shares were issued in connection with the vesting of outstanding LTIP awards under PAGP's long-term incentive plan. An equal number of AAP Class A units was issued to PAGP and an equal number of PAA Common Units was issued to AAP.</w:t>
      </w:r>
    </w:p>
    <w:p>
      <w:pPr>
        <w:spacing w:after="0" w:line="15" w:lineRule="exact"/>
        <w:rPr>
          <w:rFonts w:ascii="Arial" w:cs="Arial" w:eastAsia="Arial" w:hAnsi="Arial"/>
          <w:sz w:val="12"/>
          <w:szCs w:val="12"/>
          <w:color w:val="008000"/>
        </w:rPr>
      </w:pPr>
    </w:p>
    <w:p>
      <w:pPr>
        <w:ind w:left="20" w:right="480" w:firstLine="7"/>
        <w:spacing w:after="0" w:line="30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08/16/2023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30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2023-08-16T20:12:10Z</dcterms:created>
  <dcterms:modified xsi:type="dcterms:W3CDTF">2023-08-16T20:12:10Z</dcterms:modified>
</cp:coreProperties>
</file>