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7, 2018</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44" w:right="359" w:bottom="117"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2940"/>
          </w:cols>
          <w:pgMar w:left="240" w:top="544" w:right="359" w:bottom="117"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300"/>
          </w:cols>
          <w:pgMar w:left="240" w:top="544" w:right="359" w:bottom="117"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40" w:firstLine="648"/>
        <w:spacing w:after="0" w:line="257" w:lineRule="auto"/>
        <w:rPr>
          <w:sz w:val="20"/>
          <w:szCs w:val="20"/>
          <w:color w:val="auto"/>
        </w:rPr>
      </w:pPr>
      <w:r>
        <w:rPr>
          <w:rFonts w:ascii="Arial" w:cs="Arial" w:eastAsia="Arial" w:hAnsi="Arial"/>
          <w:sz w:val="18"/>
          <w:szCs w:val="18"/>
          <w:color w:val="auto"/>
        </w:rPr>
        <w:t>On August 7, 2018, the Registrant issued a press release reporting its second-quarter 2018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4"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4"/>
          <w:szCs w:val="24"/>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Exhibit 99.1 — </w:t>
      </w:r>
      <w:hyperlink w:anchor="page2">
        <w:r>
          <w:rPr>
            <w:rFonts w:ascii="Arial" w:cs="Arial" w:eastAsia="Arial" w:hAnsi="Arial"/>
            <w:sz w:val="18"/>
            <w:szCs w:val="18"/>
            <w:u w:val="single" w:color="auto"/>
            <w:color w:val="0000EE"/>
          </w:rPr>
          <w:t>Press Release dated August 7, 2018</w:t>
        </w:r>
      </w:hyperlink>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300"/>
          </w:cols>
          <w:pgMar w:left="240" w:top="544" w:right="359" w:bottom="117" w:gutter="0" w:footer="0" w:header="0"/>
          <w:type w:val="continuous"/>
        </w:sectPr>
      </w:pPr>
    </w:p>
    <w:bookmarkStart w:id="1" w:name="page2"/>
    <w:bookmarkEnd w:id="1"/>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820" w:type="dxa"/>
            <w:vAlign w:val="bottom"/>
            <w:gridSpan w:val="2"/>
          </w:tcPr>
          <w:p>
            <w:pPr>
              <w:ind w:left="220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2760" w:type="dxa"/>
            <w:vAlign w:val="bottom"/>
          </w:tcPr>
          <w:p>
            <w:pPr>
              <w:ind w:left="2200"/>
              <w:spacing w:after="0"/>
              <w:rPr>
                <w:sz w:val="20"/>
                <w:szCs w:val="20"/>
                <w:color w:val="auto"/>
              </w:rPr>
            </w:pPr>
            <w:r>
              <w:rPr>
                <w:rFonts w:ascii="Arial" w:cs="Arial" w:eastAsia="Arial" w:hAnsi="Arial"/>
                <w:sz w:val="18"/>
                <w:szCs w:val="18"/>
                <w:color w:val="auto"/>
              </w:rPr>
              <w:t>By:</w:t>
            </w:r>
          </w:p>
        </w:tc>
        <w:tc>
          <w:tcPr>
            <w:tcW w:w="506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600" w:type="dxa"/>
            <w:vAlign w:val="bottom"/>
          </w:tcPr>
          <w:p>
            <w:pPr>
              <w:spacing w:after="0"/>
              <w:rPr>
                <w:sz w:val="24"/>
                <w:szCs w:val="24"/>
                <w:color w:val="auto"/>
              </w:rPr>
            </w:pPr>
          </w:p>
        </w:tc>
        <w:tc>
          <w:tcPr>
            <w:tcW w:w="2760" w:type="dxa"/>
            <w:vAlign w:val="bottom"/>
          </w:tcPr>
          <w:p>
            <w:pPr>
              <w:ind w:left="2200"/>
              <w:spacing w:after="0"/>
              <w:rPr>
                <w:sz w:val="20"/>
                <w:szCs w:val="20"/>
                <w:color w:val="auto"/>
              </w:rPr>
            </w:pPr>
            <w:r>
              <w:rPr>
                <w:rFonts w:ascii="Arial" w:cs="Arial" w:eastAsia="Arial" w:hAnsi="Arial"/>
                <w:sz w:val="18"/>
                <w:szCs w:val="18"/>
                <w:color w:val="auto"/>
              </w:rPr>
              <w:t>By:</w:t>
            </w:r>
          </w:p>
        </w:tc>
        <w:tc>
          <w:tcPr>
            <w:tcW w:w="506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3600" w:type="dxa"/>
            <w:vAlign w:val="bottom"/>
          </w:tcPr>
          <w:p>
            <w:pPr>
              <w:spacing w:after="0"/>
              <w:rPr>
                <w:sz w:val="24"/>
                <w:szCs w:val="24"/>
                <w:color w:val="auto"/>
              </w:rPr>
            </w:pPr>
          </w:p>
        </w:tc>
        <w:tc>
          <w:tcPr>
            <w:tcW w:w="2760" w:type="dxa"/>
            <w:vAlign w:val="bottom"/>
          </w:tcPr>
          <w:p>
            <w:pPr>
              <w:ind w:left="2200"/>
              <w:spacing w:after="0"/>
              <w:rPr>
                <w:sz w:val="20"/>
                <w:szCs w:val="20"/>
                <w:color w:val="auto"/>
              </w:rPr>
            </w:pPr>
            <w:r>
              <w:rPr>
                <w:rFonts w:ascii="Arial" w:cs="Arial" w:eastAsia="Arial" w:hAnsi="Arial"/>
                <w:sz w:val="18"/>
                <w:szCs w:val="18"/>
                <w:color w:val="auto"/>
              </w:rPr>
              <w:t>By:</w:t>
            </w:r>
          </w:p>
        </w:tc>
        <w:tc>
          <w:tcPr>
            <w:tcW w:w="506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August 7, 2018</w:t>
            </w:r>
          </w:p>
        </w:tc>
        <w:tc>
          <w:tcPr>
            <w:tcW w:w="2760" w:type="dxa"/>
            <w:vAlign w:val="bottom"/>
          </w:tcPr>
          <w:p>
            <w:pPr>
              <w:ind w:left="220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Spurlin</w:t>
            </w:r>
          </w:p>
        </w:tc>
        <w:tc>
          <w:tcPr>
            <w:tcW w:w="40" w:type="dxa"/>
            <w:vAlign w:val="bottom"/>
          </w:tcPr>
          <w:p>
            <w:pPr>
              <w:spacing w:after="0"/>
              <w:rPr>
                <w:sz w:val="24"/>
                <w:szCs w:val="24"/>
                <w:color w:val="auto"/>
              </w:rPr>
            </w:pPr>
          </w:p>
        </w:tc>
      </w:tr>
      <w:tr>
        <w:trPr>
          <w:trHeight w:val="195"/>
        </w:trPr>
        <w:tc>
          <w:tcPr>
            <w:tcW w:w="36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Name:   Sharon Spurlin</w:t>
            </w:r>
          </w:p>
        </w:tc>
        <w:tc>
          <w:tcPr>
            <w:tcW w:w="4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Vice President and Treasurer</w:t>
            </w:r>
          </w:p>
        </w:tc>
        <w:tc>
          <w:tcPr>
            <w:tcW w:w="4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2760" w:type="dxa"/>
            <w:vAlign w:val="bottom"/>
          </w:tcPr>
          <w:p>
            <w:pPr>
              <w:ind w:left="2060"/>
              <w:spacing w:after="0"/>
              <w:rPr>
                <w:sz w:val="20"/>
                <w:szCs w:val="20"/>
                <w:color w:val="auto"/>
              </w:rPr>
            </w:pPr>
            <w:r>
              <w:rPr>
                <w:rFonts w:ascii="Arial" w:cs="Arial" w:eastAsia="Arial" w:hAnsi="Arial"/>
                <w:sz w:val="18"/>
                <w:szCs w:val="18"/>
                <w:color w:val="auto"/>
              </w:rPr>
              <w:t>3</w:t>
            </w:r>
          </w:p>
        </w:tc>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00" w:type="dxa"/>
            <w:vAlign w:val="bottom"/>
            <w:tcBorders>
              <w:bottom w:val="single" w:sz="8" w:color="808080"/>
            </w:tcBorders>
          </w:tcPr>
          <w:p>
            <w:pPr>
              <w:spacing w:after="0"/>
              <w:rPr>
                <w:sz w:val="11"/>
                <w:szCs w:val="11"/>
                <w:color w:val="auto"/>
              </w:rPr>
            </w:pPr>
          </w:p>
        </w:tc>
        <w:tc>
          <w:tcPr>
            <w:tcW w:w="2760" w:type="dxa"/>
            <w:vAlign w:val="bottom"/>
            <w:tcBorders>
              <w:bottom w:val="single" w:sz="8" w:color="808080"/>
            </w:tcBorders>
          </w:tcPr>
          <w:p>
            <w:pPr>
              <w:spacing w:after="0"/>
              <w:rPr>
                <w:sz w:val="11"/>
                <w:szCs w:val="11"/>
                <w:color w:val="auto"/>
              </w:rPr>
            </w:pPr>
          </w:p>
        </w:tc>
        <w:tc>
          <w:tcPr>
            <w:tcW w:w="5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154940</wp:posOffset>
            </wp:positionV>
            <wp:extent cx="6174740" cy="831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Second-Quarter 2018 Results</w:t>
      </w:r>
    </w:p>
    <w:p>
      <w:pPr>
        <w:spacing w:after="0" w:line="229" w:lineRule="exact"/>
        <w:rPr>
          <w:sz w:val="20"/>
          <w:szCs w:val="20"/>
          <w:color w:val="auto"/>
        </w:rPr>
      </w:pPr>
    </w:p>
    <w:p>
      <w:pPr>
        <w:ind w:right="420" w:firstLine="654"/>
        <w:spacing w:after="0" w:line="277" w:lineRule="auto"/>
        <w:rPr>
          <w:sz w:val="20"/>
          <w:szCs w:val="20"/>
          <w:color w:val="auto"/>
        </w:rPr>
      </w:pPr>
      <w:r>
        <w:rPr>
          <w:rFonts w:ascii="Arial" w:cs="Arial" w:eastAsia="Arial" w:hAnsi="Arial"/>
          <w:sz w:val="18"/>
          <w:szCs w:val="18"/>
          <w:color w:val="auto"/>
        </w:rPr>
        <w:t>(Houston — August 7, 2018) Plains All American Pipeline, L.P. (NYSE: PAA) and Plains GP Holdings (NYSE: PAGP) today reported second-quarter 2018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Second-Quarter Highlights</w:t>
      </w:r>
    </w:p>
    <w:p>
      <w:pPr>
        <w:spacing w:after="0" w:line="229"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Delivered 2Q18 financial and operating results ahead of expectations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2018 Adjusted EBITDA guidance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expect 14-15% fee-based Segment Adjusted EBITDA growth in 2019</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2018/2019 Capital Program ~$650 million to ~$2.6 billion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target with leverage reduction plan</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are pleased to report solid second-quarter results and increased guidance for the full year,” stated Willie Chiang, Executive Vice President and Chief Operating Officer of Plains All American Pipeline. “We remain on track to achieve our deleveraging objectives and targeted credit metrics within the first half of 2019, while maintaining substantial distribution coverage underpinned by fee-based cash flow. Additionally, strong Permian Basin fundamentals, combined with the growth and execution of our capital program, provide visibility for continued momentum for fee-based cash flow growth.”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GAAP Results</w:t>
            </w:r>
          </w:p>
        </w:tc>
        <w:tc>
          <w:tcPr>
            <w:tcW w:w="220" w:type="dxa"/>
            <w:vAlign w:val="bottom"/>
          </w:tcPr>
          <w:p>
            <w:pPr>
              <w:spacing w:after="0"/>
              <w:rPr>
                <w:sz w:val="12"/>
                <w:szCs w:val="12"/>
                <w:color w:val="auto"/>
              </w:rPr>
            </w:pPr>
          </w:p>
        </w:tc>
        <w:tc>
          <w:tcPr>
            <w:tcW w:w="720" w:type="dxa"/>
            <w:vAlign w:val="bottom"/>
          </w:tcPr>
          <w:p>
            <w:pPr>
              <w:jc w:val="right"/>
              <w:ind w:right="23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1280" w:type="dxa"/>
            <w:vAlign w:val="bottom"/>
            <w:gridSpan w:val="2"/>
          </w:tcPr>
          <w:p>
            <w:pPr>
              <w:jc w:val="center"/>
              <w:ind w:right="290"/>
              <w:spacing w:after="0" w:line="142" w:lineRule="exact"/>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240" w:type="dxa"/>
            <w:vAlign w:val="bottom"/>
            <w:gridSpan w:val="2"/>
          </w:tcPr>
          <w:p>
            <w:pPr>
              <w:jc w:val="center"/>
              <w:ind w:right="250"/>
              <w:spacing w:after="0" w:line="142"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80" w:type="dxa"/>
            <w:vAlign w:val="bottom"/>
            <w:tcBorders>
              <w:top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Diluted net income per 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0.21</w:t>
            </w:r>
          </w:p>
        </w:tc>
        <w:tc>
          <w:tcPr>
            <w:tcW w:w="128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(67)%</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0.78</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Diluted weighted average common units outstanding</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727</w:t>
            </w:r>
          </w:p>
        </w:tc>
        <w:tc>
          <w:tcPr>
            <w:tcW w:w="128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4120" w:type="dxa"/>
            <w:vAlign w:val="bottom"/>
            <w:gridSpan w:val="2"/>
          </w:tcPr>
          <w:p>
            <w:pPr>
              <w:spacing w:after="0"/>
              <w:rPr>
                <w:sz w:val="20"/>
                <w:szCs w:val="20"/>
                <w:color w:val="auto"/>
              </w:rPr>
            </w:pPr>
            <w:r>
              <w:rPr>
                <w:rFonts w:ascii="Arial" w:cs="Arial" w:eastAsia="Arial" w:hAnsi="Arial"/>
                <w:sz w:val="18"/>
                <w:szCs w:val="18"/>
                <w:color w:val="auto"/>
                <w:w w:val="98"/>
              </w:rPr>
              <w:t>Distribution per common unit declared for the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2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xml:space="preserve">Non-GAAP Results </w:t>
            </w:r>
            <w:r>
              <w:rPr>
                <w:rFonts w:ascii="Arial" w:cs="Arial" w:eastAsia="Arial" w:hAnsi="Arial"/>
                <w:sz w:val="16"/>
                <w:szCs w:val="16"/>
                <w:b w:val="1"/>
                <w:bCs w:val="1"/>
                <w:color w:val="auto"/>
                <w:vertAlign w:val="superscript"/>
              </w:rPr>
              <w:t>(1)</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Diluted adjusted net income per 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0.21</w:t>
            </w:r>
          </w:p>
        </w:tc>
        <w:tc>
          <w:tcPr>
            <w:tcW w:w="128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81%</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0.73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0.47</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451</w:t>
            </w:r>
          </w:p>
        </w:tc>
        <w:tc>
          <w:tcPr>
            <w:tcW w:w="128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Implied DCF per 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0.40</w:t>
            </w:r>
          </w:p>
        </w:tc>
        <w:tc>
          <w:tcPr>
            <w:tcW w:w="128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(8)%</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0.98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0.84</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80" w:hanging="332"/>
        <w:spacing w:after="0" w:line="238"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second quarter and first half of 2018 and 2017 is presented below:</w:t>
      </w:r>
    </w:p>
    <w:p>
      <w:pPr>
        <w:sectPr>
          <w:pgSz w:w="11900" w:h="16860"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auto"/>
        </w:rPr>
        <w:t>Summary of Selected Financial Data by Segment</w:t>
      </w:r>
      <w:r>
        <w:rPr>
          <w:rFonts w:ascii="Arial" w:cs="Arial" w:eastAsia="Arial" w:hAnsi="Arial"/>
          <w:sz w:val="16"/>
          <w:szCs w:val="16"/>
          <w:b w:val="1"/>
          <w:bCs w:val="1"/>
          <w:color w:val="auto"/>
        </w:rPr>
        <w:t xml:space="preserve"> </w:t>
      </w:r>
      <w:r>
        <w:rPr>
          <w:rFonts w:ascii="Arial" w:cs="Arial" w:eastAsia="Arial" w:hAnsi="Arial"/>
          <w:sz w:val="16"/>
          <w:szCs w:val="16"/>
          <w:color w:val="auto"/>
        </w:rPr>
        <w:t>(unaudited)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420"/>
          </w:cols>
          <w:pgMar w:left="240" w:top="33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Segment Adjusted EBITDA</w:t>
      </w:r>
    </w:p>
    <w:p>
      <w:pPr>
        <w:spacing w:after="0" w:line="36" w:lineRule="exact"/>
        <w:rPr>
          <w:sz w:val="20"/>
          <w:szCs w:val="20"/>
          <w:color w:val="auto"/>
        </w:rPr>
      </w:pPr>
    </w:p>
    <w:p>
      <w:pPr>
        <w:ind w:left="180" w:hanging="179"/>
        <w:spacing w:after="0" w:line="291" w:lineRule="auto"/>
        <w:rPr>
          <w:sz w:val="20"/>
          <w:szCs w:val="20"/>
          <w:color w:val="auto"/>
        </w:rPr>
      </w:pPr>
      <w:r>
        <w:rPr>
          <w:rFonts w:ascii="Arial" w:cs="Arial" w:eastAsia="Arial" w:hAnsi="Arial"/>
          <w:sz w:val="16"/>
          <w:szCs w:val="16"/>
          <w:b w:val="1"/>
          <w:bCs w:val="1"/>
          <w:i w:val="1"/>
          <w:iCs w:val="1"/>
          <w:color w:val="auto"/>
        </w:rPr>
        <w:t>Percentage change in Segment Adjusted EBITDA versus 2017 period</w:t>
      </w:r>
    </w:p>
    <w:p>
      <w:pPr>
        <w:ind w:left="180" w:hanging="179"/>
        <w:spacing w:after="0" w:line="331" w:lineRule="auto"/>
        <w:rPr>
          <w:sz w:val="20"/>
          <w:szCs w:val="20"/>
          <w:color w:val="auto"/>
        </w:rPr>
      </w:pPr>
      <w:r>
        <w:rPr>
          <w:rFonts w:ascii="Arial" w:cs="Arial" w:eastAsia="Arial" w:hAnsi="Arial"/>
          <w:sz w:val="15"/>
          <w:szCs w:val="15"/>
          <w:b w:val="1"/>
          <w:bCs w:val="1"/>
          <w:i w:val="1"/>
          <w:iCs w:val="1"/>
          <w:color w:val="auto"/>
        </w:rPr>
        <w:t>Percentage change in Segment Adjusted EBITDA versus 2017 further adjusted for impact of divested assets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Segment Adjusted EBITDA</w:t>
      </w:r>
    </w:p>
    <w:p>
      <w:pPr>
        <w:spacing w:after="0" w:line="36" w:lineRule="exact"/>
        <w:rPr>
          <w:sz w:val="20"/>
          <w:szCs w:val="20"/>
          <w:color w:val="auto"/>
        </w:rPr>
      </w:pPr>
    </w:p>
    <w:p>
      <w:pPr>
        <w:ind w:left="180" w:hanging="179"/>
        <w:spacing w:after="0" w:line="291" w:lineRule="auto"/>
        <w:rPr>
          <w:sz w:val="20"/>
          <w:szCs w:val="20"/>
          <w:color w:val="auto"/>
        </w:rPr>
      </w:pPr>
      <w:r>
        <w:rPr>
          <w:rFonts w:ascii="Arial" w:cs="Arial" w:eastAsia="Arial" w:hAnsi="Arial"/>
          <w:sz w:val="16"/>
          <w:szCs w:val="16"/>
          <w:b w:val="1"/>
          <w:bCs w:val="1"/>
          <w:i w:val="1"/>
          <w:iCs w:val="1"/>
          <w:color w:val="auto"/>
        </w:rPr>
        <w:t>Percentage change in Segment Adjusted EBITDA versus 2017 period</w:t>
      </w:r>
    </w:p>
    <w:p>
      <w:pPr>
        <w:ind w:left="180" w:hanging="179"/>
        <w:spacing w:after="0" w:line="331" w:lineRule="auto"/>
        <w:rPr>
          <w:sz w:val="20"/>
          <w:szCs w:val="20"/>
          <w:color w:val="auto"/>
        </w:rPr>
      </w:pPr>
      <w:r>
        <w:rPr>
          <w:rFonts w:ascii="Arial" w:cs="Arial" w:eastAsia="Arial" w:hAnsi="Arial"/>
          <w:sz w:val="15"/>
          <w:szCs w:val="15"/>
          <w:b w:val="1"/>
          <w:bCs w:val="1"/>
          <w:i w:val="1"/>
          <w:iCs w:val="1"/>
          <w:color w:val="auto"/>
        </w:rPr>
        <w:t>Percentage change in Segment Adjusted EBITDA versus 2017 further adjusted for impact of divested assets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6"/>
          </w:tcPr>
          <w:p>
            <w:pPr>
              <w:jc w:val="center"/>
              <w:ind w:left="941"/>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2"/>
              </w:rPr>
              <w:t>June 30, 2018</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June 30, 2017</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restart"/>
          </w:tcPr>
          <w:p>
            <w:pPr>
              <w:jc w:val="right"/>
              <w:ind w:right="308"/>
              <w:spacing w:after="0"/>
              <w:rPr>
                <w:sz w:val="20"/>
                <w:szCs w:val="20"/>
                <w:color w:val="auto"/>
              </w:rPr>
            </w:pPr>
            <w:r>
              <w:rPr>
                <w:rFonts w:ascii="Arial" w:cs="Arial" w:eastAsia="Arial" w:hAnsi="Arial"/>
                <w:sz w:val="14"/>
                <w:szCs w:val="14"/>
                <w:b w:val="1"/>
                <w:bCs w:val="1"/>
                <w:color w:val="auto"/>
                <w:w w:val="97"/>
              </w:rPr>
              <w:t>Transportation</w:t>
            </w:r>
          </w:p>
        </w:tc>
        <w:tc>
          <w:tcPr>
            <w:tcW w:w="160" w:type="dxa"/>
            <w:vAlign w:val="bottom"/>
          </w:tcPr>
          <w:p>
            <w:pPr>
              <w:spacing w:after="0"/>
              <w:rPr>
                <w:sz w:val="10"/>
                <w:szCs w:val="10"/>
                <w:color w:val="auto"/>
              </w:rPr>
            </w:pPr>
          </w:p>
        </w:tc>
        <w:tc>
          <w:tcPr>
            <w:tcW w:w="12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440" w:type="dxa"/>
            <w:vAlign w:val="bottom"/>
            <w:gridSpan w:val="3"/>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64"/>
              <w:spacing w:after="0" w:line="119" w:lineRule="exact"/>
              <w:rPr>
                <w:sz w:val="20"/>
                <w:szCs w:val="20"/>
                <w:color w:val="auto"/>
              </w:rPr>
            </w:pPr>
            <w:r>
              <w:rPr>
                <w:rFonts w:ascii="Arial" w:cs="Arial" w:eastAsia="Arial" w:hAnsi="Arial"/>
                <w:sz w:val="13"/>
                <w:szCs w:val="13"/>
                <w:b w:val="1"/>
                <w:bCs w:val="1"/>
                <w:color w:val="auto"/>
                <w:w w:val="99"/>
              </w:rPr>
              <w:t>Supply and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8"/>
              <w:spacing w:after="0"/>
              <w:rPr>
                <w:sz w:val="20"/>
                <w:szCs w:val="20"/>
                <w:color w:val="auto"/>
              </w:rPr>
            </w:pPr>
            <w:r>
              <w:rPr>
                <w:rFonts w:ascii="Arial" w:cs="Arial" w:eastAsia="Arial" w:hAnsi="Arial"/>
                <w:sz w:val="18"/>
                <w:szCs w:val="18"/>
                <w:b w:val="1"/>
                <w:bCs w:val="1"/>
                <w:i w:val="1"/>
                <w:iCs w:val="1"/>
                <w:color w:val="auto"/>
              </w:rPr>
              <w:t>21%</w:t>
            </w:r>
          </w:p>
        </w:tc>
        <w:tc>
          <w:tcPr>
            <w:tcW w:w="16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(5)%</w:t>
            </w:r>
          </w:p>
        </w:tc>
        <w:tc>
          <w:tcPr>
            <w:tcW w:w="120" w:type="dxa"/>
            <w:vAlign w:val="bottom"/>
          </w:tcPr>
          <w:p>
            <w:pPr>
              <w:spacing w:after="0"/>
              <w:rPr>
                <w:sz w:val="24"/>
                <w:szCs w:val="24"/>
                <w:color w:val="auto"/>
              </w:rPr>
            </w:pPr>
          </w:p>
        </w:tc>
        <w:tc>
          <w:tcPr>
            <w:tcW w:w="11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8"/>
                <w:szCs w:val="18"/>
                <w:b w:val="1"/>
                <w:bCs w:val="1"/>
                <w:i w:val="1"/>
                <w:iCs w:val="1"/>
                <w:color w:val="auto"/>
              </w:rPr>
              <w:t>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8"/>
              <w:spacing w:after="0"/>
              <w:rPr>
                <w:sz w:val="20"/>
                <w:szCs w:val="20"/>
                <w:color w:val="auto"/>
              </w:rPr>
            </w:pPr>
            <w:r>
              <w:rPr>
                <w:rFonts w:ascii="Arial" w:cs="Arial" w:eastAsia="Arial" w:hAnsi="Arial"/>
                <w:sz w:val="18"/>
                <w:szCs w:val="18"/>
                <w:b w:val="1"/>
                <w:bCs w:val="1"/>
                <w:i w:val="1"/>
                <w:iCs w:val="1"/>
                <w:color w:val="auto"/>
              </w:rPr>
              <w:t>27%</w:t>
            </w:r>
          </w:p>
        </w:tc>
        <w:tc>
          <w:tcPr>
            <w:tcW w:w="16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i w:val="1"/>
                <w:iCs w:val="1"/>
                <w:color w:val="auto"/>
              </w:rPr>
              <w:t>3%</w:t>
            </w:r>
          </w:p>
        </w:tc>
        <w:tc>
          <w:tcPr>
            <w:tcW w:w="120" w:type="dxa"/>
            <w:vAlign w:val="bottom"/>
          </w:tcPr>
          <w:p>
            <w:pPr>
              <w:spacing w:after="0"/>
              <w:rPr>
                <w:sz w:val="24"/>
                <w:szCs w:val="24"/>
                <w:color w:val="auto"/>
              </w:rPr>
            </w:pPr>
          </w:p>
        </w:tc>
        <w:tc>
          <w:tcPr>
            <w:tcW w:w="114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8"/>
                <w:szCs w:val="18"/>
                <w:b w:val="1"/>
                <w:bCs w:val="1"/>
                <w:i w:val="1"/>
                <w:iCs w:val="1"/>
                <w:color w:val="auto"/>
              </w:rPr>
              <w:t>N/A</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2"/>
              </w:rPr>
              <w:t>June 30, 2018</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June 30, 2017</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restart"/>
          </w:tcPr>
          <w:p>
            <w:pPr>
              <w:jc w:val="right"/>
              <w:ind w:right="308"/>
              <w:spacing w:after="0"/>
              <w:rPr>
                <w:sz w:val="20"/>
                <w:szCs w:val="20"/>
                <w:color w:val="auto"/>
              </w:rPr>
            </w:pPr>
            <w:r>
              <w:rPr>
                <w:rFonts w:ascii="Arial" w:cs="Arial" w:eastAsia="Arial" w:hAnsi="Arial"/>
                <w:sz w:val="14"/>
                <w:szCs w:val="14"/>
                <w:b w:val="1"/>
                <w:bCs w:val="1"/>
                <w:color w:val="auto"/>
                <w:w w:val="97"/>
              </w:rPr>
              <w:t>Transportation</w:t>
            </w:r>
          </w:p>
        </w:tc>
        <w:tc>
          <w:tcPr>
            <w:tcW w:w="160" w:type="dxa"/>
            <w:vAlign w:val="bottom"/>
          </w:tcPr>
          <w:p>
            <w:pPr>
              <w:spacing w:after="0"/>
              <w:rPr>
                <w:sz w:val="10"/>
                <w:szCs w:val="10"/>
                <w:color w:val="auto"/>
              </w:rPr>
            </w:pPr>
          </w:p>
        </w:tc>
        <w:tc>
          <w:tcPr>
            <w:tcW w:w="12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440" w:type="dxa"/>
            <w:vAlign w:val="bottom"/>
            <w:gridSpan w:val="3"/>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64"/>
              <w:spacing w:after="0" w:line="119" w:lineRule="exact"/>
              <w:rPr>
                <w:sz w:val="20"/>
                <w:szCs w:val="20"/>
                <w:color w:val="auto"/>
              </w:rPr>
            </w:pPr>
            <w:r>
              <w:rPr>
                <w:rFonts w:ascii="Arial" w:cs="Arial" w:eastAsia="Arial" w:hAnsi="Arial"/>
                <w:sz w:val="13"/>
                <w:szCs w:val="13"/>
                <w:b w:val="1"/>
                <w:bCs w:val="1"/>
                <w:color w:val="auto"/>
                <w:w w:val="99"/>
              </w:rPr>
              <w:t>Supply and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8"/>
              <w:spacing w:after="0"/>
              <w:rPr>
                <w:sz w:val="20"/>
                <w:szCs w:val="20"/>
                <w:color w:val="auto"/>
              </w:rPr>
            </w:pPr>
            <w:r>
              <w:rPr>
                <w:rFonts w:ascii="Arial" w:cs="Arial" w:eastAsia="Arial" w:hAnsi="Arial"/>
                <w:sz w:val="18"/>
                <w:szCs w:val="18"/>
                <w:b w:val="1"/>
                <w:bCs w:val="1"/>
                <w:i w:val="1"/>
                <w:iCs w:val="1"/>
                <w:color w:val="auto"/>
              </w:rPr>
              <w:t>22%</w:t>
            </w:r>
          </w:p>
        </w:tc>
        <w:tc>
          <w:tcPr>
            <w:tcW w:w="16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(3)%</w:t>
            </w:r>
          </w:p>
        </w:tc>
        <w:tc>
          <w:tcPr>
            <w:tcW w:w="120" w:type="dxa"/>
            <w:vAlign w:val="bottom"/>
          </w:tcPr>
          <w:p>
            <w:pPr>
              <w:spacing w:after="0"/>
              <w:rPr>
                <w:sz w:val="24"/>
                <w:szCs w:val="24"/>
                <w:color w:val="auto"/>
              </w:rPr>
            </w:pPr>
          </w:p>
        </w:tc>
        <w:tc>
          <w:tcPr>
            <w:tcW w:w="11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8"/>
                <w:szCs w:val="18"/>
                <w:b w:val="1"/>
                <w:bCs w:val="1"/>
                <w:i w:val="1"/>
                <w:iCs w:val="1"/>
                <w:color w:val="auto"/>
              </w:rPr>
              <w:t>96%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8"/>
              <w:spacing w:after="0"/>
              <w:rPr>
                <w:sz w:val="20"/>
                <w:szCs w:val="20"/>
                <w:color w:val="auto"/>
              </w:rPr>
            </w:pPr>
            <w:r>
              <w:rPr>
                <w:rFonts w:ascii="Arial" w:cs="Arial" w:eastAsia="Arial" w:hAnsi="Arial"/>
                <w:sz w:val="18"/>
                <w:szCs w:val="18"/>
                <w:b w:val="1"/>
                <w:bCs w:val="1"/>
                <w:i w:val="1"/>
                <w:iCs w:val="1"/>
                <w:color w:val="auto"/>
              </w:rPr>
              <w:t>26%</w:t>
            </w:r>
          </w:p>
        </w:tc>
        <w:tc>
          <w:tcPr>
            <w:tcW w:w="16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i w:val="1"/>
                <w:iCs w:val="1"/>
                <w:color w:val="auto"/>
              </w:rPr>
              <w:t>5%</w:t>
            </w:r>
          </w:p>
        </w:tc>
        <w:tc>
          <w:tcPr>
            <w:tcW w:w="120" w:type="dxa"/>
            <w:vAlign w:val="bottom"/>
          </w:tcPr>
          <w:p>
            <w:pPr>
              <w:spacing w:after="0"/>
              <w:rPr>
                <w:sz w:val="24"/>
                <w:szCs w:val="24"/>
                <w:color w:val="auto"/>
              </w:rPr>
            </w:pPr>
          </w:p>
        </w:tc>
        <w:tc>
          <w:tcPr>
            <w:tcW w:w="114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8"/>
                <w:szCs w:val="18"/>
                <w:b w:val="1"/>
                <w:bCs w:val="1"/>
                <w:i w:val="1"/>
                <w:iCs w:val="1"/>
                <w:color w:val="auto"/>
              </w:rPr>
              <w:t>N/A</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-2237740</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-1809115</wp:posOffset>
            </wp:positionV>
            <wp:extent cx="724662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-857250</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-427990</wp:posOffset>
            </wp:positionV>
            <wp:extent cx="724662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3000" w:space="220"/>
            <w:col w:w="8200"/>
          </w:cols>
          <w:pgMar w:left="240" w:top="337" w:right="239" w:bottom="0" w:gutter="0" w:footer="0" w:header="0"/>
          <w:type w:val="continuous"/>
        </w:sectPr>
      </w:pPr>
    </w:p>
    <w:p>
      <w:pPr>
        <w:ind w:right="60" w:firstLine="654"/>
        <w:spacing w:after="0" w:line="259" w:lineRule="auto"/>
        <w:rPr>
          <w:sz w:val="20"/>
          <w:szCs w:val="20"/>
          <w:color w:val="auto"/>
        </w:rPr>
      </w:pPr>
      <w:r>
        <w:rPr>
          <w:rFonts w:ascii="Arial" w:cs="Arial" w:eastAsia="Arial" w:hAnsi="Arial"/>
          <w:sz w:val="18"/>
          <w:szCs w:val="18"/>
          <w:color w:val="auto"/>
        </w:rPr>
        <w:t>Second-quarter 2018 Transportation Segment Adjusted EBITDA increased by 21% over comparable 2017 results. This increase was primarily driven by increased volume on our Permian Basin systems, in addition to contributions from our Eagle Ford JV system, which receives Permian volumes from our Cactus pipeline. Second-quarter 2018 also benefited from Diamond pipeline being placed into service in late 2017. Second-quarter 2018 results also were impacted by the sale of assets in the Rocky Mountain and Central regions.</w:t>
      </w:r>
    </w:p>
    <w:p>
      <w:pPr>
        <w:spacing w:after="0" w:line="187" w:lineRule="exact"/>
        <w:rPr>
          <w:sz w:val="20"/>
          <w:szCs w:val="20"/>
          <w:color w:val="auto"/>
        </w:rPr>
      </w:pPr>
    </w:p>
    <w:p>
      <w:pPr>
        <w:ind w:right="260" w:firstLine="654"/>
        <w:spacing w:after="0" w:line="308" w:lineRule="auto"/>
        <w:rPr>
          <w:sz w:val="20"/>
          <w:szCs w:val="20"/>
          <w:color w:val="auto"/>
        </w:rPr>
      </w:pPr>
      <w:r>
        <w:rPr>
          <w:rFonts w:ascii="Arial" w:cs="Arial" w:eastAsia="Arial" w:hAnsi="Arial"/>
          <w:sz w:val="17"/>
          <w:szCs w:val="17"/>
          <w:color w:val="auto"/>
        </w:rPr>
        <w:t>Second-quarter 2018 Facilities Segment Adjusted EBITDA decreased by 5% versus comparable 2017 results, primarily due to the impact of asset sales. This was partially offset by increased revenue from capacity expansions and increased throughput at our Cushing terminal.</w:t>
      </w:r>
    </w:p>
    <w:p>
      <w:pPr>
        <w:spacing w:after="0" w:line="147" w:lineRule="exact"/>
        <w:rPr>
          <w:sz w:val="20"/>
          <w:szCs w:val="20"/>
          <w:color w:val="auto"/>
        </w:rPr>
      </w:pPr>
    </w:p>
    <w:p>
      <w:pPr>
        <w:ind w:right="20" w:firstLine="654"/>
        <w:spacing w:after="0" w:line="277" w:lineRule="auto"/>
        <w:rPr>
          <w:sz w:val="20"/>
          <w:szCs w:val="20"/>
          <w:color w:val="auto"/>
        </w:rPr>
      </w:pPr>
      <w:r>
        <w:rPr>
          <w:rFonts w:ascii="Arial" w:cs="Arial" w:eastAsia="Arial" w:hAnsi="Arial"/>
          <w:sz w:val="18"/>
          <w:szCs w:val="18"/>
          <w:color w:val="auto"/>
        </w:rPr>
        <w:t>Second-quarter 2018 Supply and Logistics Segment Adjusted EBITDA increased versus comparable 2017 results due to improved NGL margins and crude oil arbitrage opportunities, partially offset by the absence of contango market conditions experienced in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Full-Year Guidance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full-year 2018 financial and operating guidance: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barrel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4"/>
                <w:szCs w:val="14"/>
                <w:b w:val="1"/>
                <w:bCs w:val="1"/>
                <w:color w:val="auto"/>
              </w:rPr>
              <w:t>Twelve Months Ended December 31,</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 (G)</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472"/>
              <w:spacing w:after="0" w:line="142" w:lineRule="exact"/>
              <w:rPr>
                <w:sz w:val="20"/>
                <w:szCs w:val="20"/>
                <w:color w:val="auto"/>
              </w:rPr>
            </w:pPr>
            <w:r>
              <w:rPr>
                <w:rFonts w:ascii="Arial" w:cs="Arial" w:eastAsia="Arial" w:hAnsi="Arial"/>
                <w:sz w:val="14"/>
                <w:szCs w:val="14"/>
                <w:b w:val="1"/>
                <w:bCs w:val="1"/>
                <w:color w:val="auto"/>
              </w:rPr>
              <w:t>+ /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Transportation</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1,141</w:t>
            </w:r>
          </w:p>
        </w:tc>
        <w:tc>
          <w:tcPr>
            <w:tcW w:w="18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1,287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b w:val="1"/>
                <w:bCs w:val="1"/>
                <w:color w:val="auto"/>
              </w:rPr>
              <w:t>Fee-Based</w:t>
            </w:r>
          </w:p>
        </w:tc>
        <w:tc>
          <w:tcPr>
            <w:tcW w:w="800" w:type="dxa"/>
            <w:vAlign w:val="bottom"/>
          </w:tcPr>
          <w:p>
            <w:pPr>
              <w:spacing w:after="0"/>
              <w:rPr>
                <w:sz w:val="18"/>
                <w:szCs w:val="18"/>
                <w:color w:val="auto"/>
              </w:rPr>
            </w:pPr>
          </w:p>
        </w:tc>
        <w:tc>
          <w:tcPr>
            <w:tcW w:w="880" w:type="dxa"/>
            <w:vAlign w:val="bottom"/>
            <w:tcBorders>
              <w:top w:val="single" w:sz="8" w:color="auto"/>
            </w:tcBorders>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1,808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Supply and Logistics</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Other income/(expense), net</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bottom w:val="single" w:sz="8" w:color="CCEEFF"/>
            </w:tcBorders>
            <w:shd w:val="clear" w:color="auto" w:fill="CCEEFF"/>
          </w:tcPr>
          <w:p>
            <w:pPr>
              <w:spacing w:after="0" w:line="210"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(1)</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2,169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160"/>
              <w:spacing w:after="0" w:line="23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(2)</w:t>
            </w:r>
          </w:p>
        </w:tc>
        <w:tc>
          <w:tcPr>
            <w:tcW w:w="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(451)</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(483)</w:t>
            </w:r>
          </w:p>
        </w:tc>
        <w:tc>
          <w:tcPr>
            <w:tcW w:w="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(420)</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Current income tax expense</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line="210"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3"/>
                <w:szCs w:val="23"/>
                <w:b w:val="1"/>
                <w:bCs w:val="1"/>
                <w:color w:val="auto"/>
                <w:vertAlign w:val="superscript"/>
              </w:rPr>
              <w:t>(1)</w:t>
            </w:r>
          </w:p>
        </w:tc>
        <w:tc>
          <w:tcPr>
            <w:tcW w:w="800" w:type="dxa"/>
            <w:vAlign w:val="bottom"/>
          </w:tcPr>
          <w:p>
            <w:pPr>
              <w:spacing w:after="0"/>
              <w:rPr>
                <w:sz w:val="18"/>
                <w:szCs w:val="18"/>
                <w:color w:val="auto"/>
              </w:rPr>
            </w:pPr>
          </w:p>
        </w:tc>
        <w:tc>
          <w:tcPr>
            <w:tcW w:w="880" w:type="dxa"/>
            <w:vAlign w:val="bottom"/>
            <w:tcBorders>
              <w:top w:val="single" w:sz="8" w:color="auto"/>
            </w:tcBorders>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1,312</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(3)</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General partner cash distributions</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Implied DCF Available to Common Unitholders</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Implied DCF per Common Unit </w:t>
            </w:r>
            <w:r>
              <w:rPr>
                <w:rFonts w:ascii="Arial" w:cs="Arial" w:eastAsia="Arial" w:hAnsi="Arial"/>
                <w:sz w:val="23"/>
                <w:szCs w:val="23"/>
                <w:b w:val="1"/>
                <w:bCs w:val="1"/>
                <w:color w:val="auto"/>
                <w:vertAlign w:val="superscript"/>
              </w:rPr>
              <w:t>(1)</w:t>
            </w:r>
          </w:p>
        </w:tc>
        <w:tc>
          <w:tcPr>
            <w:tcW w:w="1680" w:type="dxa"/>
            <w:vAlign w:val="bottom"/>
            <w:gridSpan w:val="2"/>
            <w:shd w:val="clear" w:color="auto" w:fill="CCEEFF"/>
          </w:tcPr>
          <w:p>
            <w:pPr>
              <w:jc w:val="right"/>
              <w:ind w:right="726"/>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Implied DCF per Common Unit and Common Equivalent Unit </w:t>
            </w:r>
            <w:r>
              <w:rPr>
                <w:rFonts w:ascii="Arial" w:cs="Arial" w:eastAsia="Arial" w:hAnsi="Arial"/>
                <w:sz w:val="23"/>
                <w:szCs w:val="23"/>
                <w:b w:val="1"/>
                <w:bCs w:val="1"/>
                <w:color w:val="auto"/>
                <w:vertAlign w:val="superscript"/>
              </w:rPr>
              <w:t>(1)</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1.63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1.67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3"/>
                <w:szCs w:val="23"/>
                <w:b w:val="1"/>
                <w:bCs w:val="1"/>
                <w:color w:val="auto"/>
                <w:vertAlign w:val="superscript"/>
              </w:rPr>
              <w:t>(4)</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2.65</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1.95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Distribution Coverage Ratio</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0.87x</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0.94x</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1.79x</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Arial" w:cs="Arial" w:eastAsia="Arial" w:hAnsi="Arial"/>
                <w:sz w:val="18"/>
                <w:szCs w:val="18"/>
                <w:b w:val="1"/>
                <w:bCs w:val="1"/>
                <w:color w:val="auto"/>
              </w:rPr>
              <w:t>Transportation</w:t>
            </w: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daily volumes (MBbls/d)</w:t>
            </w: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4,637</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5,186</w:t>
            </w: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2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0.67</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0.68</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b w:val="1"/>
                <w:bCs w:val="1"/>
                <w:color w:val="auto"/>
              </w:rPr>
              <w:t>Facilities</w:t>
            </w: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capacity (MMBbls/Mo)</w:t>
            </w: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2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0.44</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0.47</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b w:val="1"/>
                <w:bCs w:val="1"/>
                <w:color w:val="auto"/>
              </w:rPr>
              <w:t>Supply and Logistics</w:t>
            </w: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daily volumes (MBbls/d)</w:t>
            </w: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1,153</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1,219</w:t>
            </w: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2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0.85</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0.13</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Expansion Capital</w:t>
            </w:r>
          </w:p>
        </w:tc>
        <w:tc>
          <w:tcPr>
            <w:tcW w:w="22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1,405</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1,135</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Arial" w:cs="Arial" w:eastAsia="Arial" w:hAnsi="Arial"/>
                <w:sz w:val="18"/>
                <w:szCs w:val="18"/>
                <w:b w:val="1"/>
                <w:bCs w:val="1"/>
                <w:color w:val="auto"/>
                <w:w w:val="94"/>
              </w:rPr>
              <w:t>Third-Quarter Adjusted EBITDA as Percentage of Full Year</w:t>
            </w:r>
          </w:p>
        </w:tc>
        <w:tc>
          <w:tcPr>
            <w:tcW w:w="1980" w:type="dxa"/>
            <w:vAlign w:val="bottom"/>
          </w:tcPr>
          <w:p>
            <w:pPr>
              <w:spacing w:after="0"/>
              <w:rPr>
                <w:sz w:val="20"/>
                <w:szCs w:val="20"/>
                <w:color w:val="auto"/>
              </w:rPr>
            </w:pPr>
          </w:p>
        </w:tc>
        <w:tc>
          <w:tcPr>
            <w:tcW w:w="2540" w:type="dxa"/>
            <w:vAlign w:val="bottom"/>
          </w:tcPr>
          <w:p>
            <w:pPr>
              <w:jc w:val="right"/>
              <w:ind w:right="1030"/>
              <w:spacing w:after="0"/>
              <w:rPr>
                <w:sz w:val="20"/>
                <w:szCs w:val="20"/>
                <w:color w:val="auto"/>
              </w:rPr>
            </w:pPr>
            <w:r>
              <w:rPr>
                <w:rFonts w:ascii="Arial" w:cs="Arial" w:eastAsia="Arial" w:hAnsi="Arial"/>
                <w:sz w:val="18"/>
                <w:szCs w:val="18"/>
                <w:b w:val="1"/>
                <w:bCs w:val="1"/>
                <w:color w:val="auto"/>
              </w:rPr>
              <w:t>21%</w:t>
            </w:r>
          </w:p>
        </w:tc>
        <w:tc>
          <w:tcPr>
            <w:tcW w:w="1160" w:type="dxa"/>
            <w:vAlign w:val="bottom"/>
          </w:tcPr>
          <w:p>
            <w:pPr>
              <w:jc w:val="right"/>
              <w:ind w:right="550"/>
              <w:spacing w:after="0"/>
              <w:rPr>
                <w:sz w:val="20"/>
                <w:szCs w:val="20"/>
                <w:color w:val="auto"/>
              </w:rPr>
            </w:pPr>
            <w:r>
              <w:rPr>
                <w:rFonts w:ascii="Arial" w:cs="Arial" w:eastAsia="Arial" w:hAnsi="Arial"/>
                <w:sz w:val="18"/>
                <w:szCs w:val="18"/>
                <w:b w:val="1"/>
                <w:bCs w:val="1"/>
                <w:color w:val="auto"/>
              </w:rPr>
              <w:t>23%</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40" w:type="dxa"/>
            <w:vAlign w:val="bottom"/>
          </w:tcPr>
          <w:p>
            <w:pPr>
              <w:spacing w:after="0"/>
              <w:rPr>
                <w:sz w:val="20"/>
                <w:szCs w:val="20"/>
                <w:color w:val="auto"/>
              </w:rPr>
            </w:pPr>
          </w:p>
        </w:tc>
      </w:tr>
      <w:tr>
        <w:trPr>
          <w:trHeight w:val="421"/>
        </w:trPr>
        <w:tc>
          <w:tcPr>
            <w:tcW w:w="47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 more -</w:t>
            </w:r>
          </w:p>
        </w:tc>
        <w:tc>
          <w:tcPr>
            <w:tcW w:w="2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474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1980" w:type="dxa"/>
            <w:vAlign w:val="bottom"/>
          </w:tcPr>
          <w:p>
            <w:pPr>
              <w:ind w:left="80"/>
              <w:spacing w:after="0"/>
              <w:rPr>
                <w:sz w:val="20"/>
                <w:szCs w:val="20"/>
                <w:color w:val="auto"/>
              </w:rPr>
            </w:pPr>
            <w:r>
              <w:rPr>
                <w:rFonts w:ascii="Arial" w:cs="Arial" w:eastAsia="Arial" w:hAnsi="Arial"/>
                <w:sz w:val="18"/>
                <w:szCs w:val="18"/>
                <w:b w:val="1"/>
                <w:bCs w:val="1"/>
                <w:color w:val="auto"/>
                <w:w w:val="99"/>
              </w:rPr>
              <w:t>Houston, Texas 77002</w:t>
            </w:r>
          </w:p>
        </w:tc>
        <w:tc>
          <w:tcPr>
            <w:tcW w:w="25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713-646-4100 / 866-809-1291</w:t>
            </w: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0"/>
        </w:trPr>
        <w:tc>
          <w:tcPr>
            <w:tcW w:w="474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(G) 2018 Guidance forecasts are intended to be + / - amounts.</w:t>
      </w:r>
    </w:p>
    <w:p>
      <w:pPr>
        <w:spacing w:after="0" w:line="23" w:lineRule="exact"/>
        <w:rPr>
          <w:sz w:val="20"/>
          <w:szCs w:val="20"/>
          <w:color w:val="auto"/>
        </w:rPr>
      </w:pPr>
    </w:p>
    <w:p>
      <w:pPr>
        <w:ind w:left="340" w:right="80" w:hanging="332"/>
        <w:spacing w:after="0" w:line="254" w:lineRule="auto"/>
        <w:tabs>
          <w:tab w:leader="none" w:pos="328"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Non-GAAP Reconciliation tables attached hereto for information regarding non-GAAP financial measures and, for the historical 2016 and 2017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3" w:lineRule="exact"/>
        <w:rPr>
          <w:rFonts w:ascii="Arial" w:cs="Arial" w:eastAsia="Arial" w:hAnsi="Arial"/>
          <w:sz w:val="22"/>
          <w:szCs w:val="22"/>
          <w:color w:val="auto"/>
          <w:vertAlign w:val="superscript"/>
        </w:rPr>
      </w:pPr>
    </w:p>
    <w:p>
      <w:pPr>
        <w:ind w:left="320" w:hanging="312"/>
        <w:spacing w:after="0" w:line="205" w:lineRule="auto"/>
        <w:tabs>
          <w:tab w:leader="none" w:pos="320"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1" w:lineRule="exact"/>
        <w:rPr>
          <w:rFonts w:ascii="Arial" w:cs="Arial" w:eastAsia="Arial" w:hAnsi="Arial"/>
          <w:sz w:val="22"/>
          <w:szCs w:val="22"/>
          <w:color w:val="auto"/>
          <w:vertAlign w:val="superscript"/>
        </w:rPr>
      </w:pPr>
    </w:p>
    <w:p>
      <w:pPr>
        <w:ind w:left="340" w:right="180" w:hanging="332"/>
        <w:spacing w:after="0" w:line="236"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our preferred unitholders during the year presented. The distribution requirement of our Series A preferred units was paid-in-kind for all 2016 and 2017 quarterly distributions and for the February 2018 quarterly distribution. Distributions on our Series A preferred units must be paid in cash beginning with the May 2018 quarterly distribution. The distribution requirement of our Series B preferred units, which were issued in October 2017, is payable semi-annually in arrears on May 15 and November 15. A pro-rated initial distribution on the Series B preferred units was paid on November 15, 2017.</w:t>
      </w:r>
    </w:p>
    <w:p>
      <w:pPr>
        <w:spacing w:after="0" w:line="4"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Cash distributions per common unit paid during 2016 and 2017. 2018(G) reflects the current distribution rate held constant.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60" w:firstLine="654"/>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Q2 2018</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Q1 2018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630"/>
              <w:spacing w:after="0"/>
              <w:rPr>
                <w:sz w:val="20"/>
                <w:szCs w:val="20"/>
                <w:color w:val="auto"/>
              </w:rPr>
            </w:pPr>
            <w:r>
              <w:rPr>
                <w:rFonts w:ascii="Arial" w:cs="Arial" w:eastAsia="Arial" w:hAnsi="Arial"/>
                <w:sz w:val="14"/>
                <w:szCs w:val="14"/>
                <w:b w:val="1"/>
                <w:bCs w:val="1"/>
                <w:color w:val="auto"/>
              </w:rPr>
              <w:t>Q2 2017</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980" w:type="dxa"/>
            <w:vAlign w:val="bottom"/>
            <w:tcBorders>
              <w:top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0.30</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0.30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80" w:type="dxa"/>
            <w:vAlign w:val="bottom"/>
            <w:tcBorders>
              <w:top w:val="single" w:sz="8" w:color="CCEEFF"/>
            </w:tcBorders>
            <w:shd w:val="clear" w:color="auto" w:fill="CCEEFF"/>
          </w:tcPr>
          <w:p>
            <w:pPr>
              <w:spacing w:after="0"/>
              <w:rPr>
                <w:sz w:val="18"/>
                <w:szCs w:val="18"/>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b w:val="1"/>
                <w:bCs w:val="1"/>
                <w:color w:val="auto"/>
              </w:rPr>
              <w:t>Q2 2018 distribution percentage change from prior periods</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joint conference call at 4:00 p.m. CT on Tuesday, August 7, 2018 to discuss the following items:</w:t>
      </w:r>
    </w:p>
    <w:p>
      <w:pPr>
        <w:spacing w:after="0" w:line="225" w:lineRule="exact"/>
        <w:rPr>
          <w:sz w:val="20"/>
          <w:szCs w:val="20"/>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PAA’s second-quarter 2018 performance;</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and operating guidance for the full year of 2018;</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To access the internet webcast please go to </w:t>
      </w:r>
      <w:r>
        <w:rPr>
          <w:rFonts w:ascii="Arial" w:cs="Arial" w:eastAsia="Arial" w:hAnsi="Arial"/>
          <w:sz w:val="18"/>
          <w:szCs w:val="18"/>
          <w:u w:val="single" w:color="auto"/>
          <w:color w:val="auto"/>
        </w:rPr>
        <w:t>https://event.webcasts.com/starthere.jsp?ei=1199816&amp;tp_key=608fb57b8d</w:t>
      </w:r>
    </w:p>
    <w:p>
      <w:pPr>
        <w:spacing w:after="0" w:line="225" w:lineRule="exact"/>
        <w:rPr>
          <w:sz w:val="20"/>
          <w:szCs w:val="20"/>
          <w:color w:val="auto"/>
        </w:rPr>
      </w:pPr>
    </w:p>
    <w:p>
      <w:pPr>
        <w:ind w:right="120" w:firstLine="654"/>
        <w:spacing w:after="0" w:line="259" w:lineRule="auto"/>
        <w:rPr>
          <w:sz w:val="20"/>
          <w:szCs w:val="20"/>
          <w:color w:val="auto"/>
        </w:rPr>
      </w:pPr>
      <w:r>
        <w:rPr>
          <w:rFonts w:ascii="Arial" w:cs="Arial" w:eastAsia="Arial" w:hAnsi="Arial"/>
          <w:sz w:val="18"/>
          <w:szCs w:val="18"/>
          <w:color w:val="auto"/>
        </w:rPr>
        <w:t>Alternatively, the webcast can be accessed at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 A transcript will also be available after the call at the above referenced website.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671" w:gutter="0" w:footer="0" w:header="0"/>
        </w:sectPr>
      </w:pPr>
    </w:p>
    <w:bookmarkStart w:id="5" w:name="page6"/>
    <w:bookmarkEnd w:id="5"/>
    <w:p>
      <w:pPr>
        <w:spacing w:after="0" w:line="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220" w:firstLine="654"/>
        <w:spacing w:after="0" w:line="25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or losses on significant asset sales of unconsolidated entities) and adjusted for certain selected items impacting comparability (“Adjusted EBITDA”) and implied distributable cash flow (“DCF”).</w:t>
      </w:r>
    </w:p>
    <w:p>
      <w:pPr>
        <w:spacing w:after="0" w:line="188" w:lineRule="exact"/>
        <w:rPr>
          <w:sz w:val="20"/>
          <w:szCs w:val="20"/>
          <w:color w:val="auto"/>
        </w:rPr>
      </w:pPr>
    </w:p>
    <w:p>
      <w:pPr>
        <w:ind w:firstLine="654"/>
        <w:spacing w:after="0" w:line="285"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70" w:lineRule="exact"/>
        <w:rPr>
          <w:sz w:val="20"/>
          <w:szCs w:val="20"/>
          <w:color w:val="auto"/>
        </w:rPr>
      </w:pPr>
    </w:p>
    <w:p>
      <w:pPr>
        <w:ind w:right="60" w:firstLine="654"/>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These types of variations are not separately identified in this release, but will be discussed, as applicable, in management’s discussion and analysis of operating results in our Quarterly Report on Form 10-Q.</w:t>
      </w:r>
    </w:p>
    <w:p>
      <w:pPr>
        <w:spacing w:after="0" w:line="188" w:lineRule="exact"/>
        <w:rPr>
          <w:sz w:val="20"/>
          <w:szCs w:val="20"/>
          <w:color w:val="auto"/>
        </w:rPr>
      </w:pPr>
    </w:p>
    <w:p>
      <w:pPr>
        <w:ind w:right="20" w:firstLine="654"/>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654"/>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market distortions caused by over-commitments to infrastructure projects, which impacts volumes, margins, returns and overall earnings; unanticipated changes in crude oil and NGL market structure, grade differentials and volatility (or lack thereof); maintenance of our credit rating and ability to receive open credit from our suppliers and trade counterparties; environmental liabilities or events that are not covered by an indemnity, insurance or existing reserves; fluctuations in refinery capacity in areas supplied by our mainlines and other factors affecting demand for various grades of crude oil and natural gas and resulting changes in pricing conditions or transportation throughput requirements; the occurrence of a natural disaster, catastrophe, terrorist attack (including eco-terrorist attacks) or other event, including attacks on our electronic and computer systems; failure to implement or capitalize, or delays in implementing or capitalizing, on expansion projects, whether due to permitting delays, permitting withdrawals or other factors; shortages or cost increases of supplies, materials or labor; the impact of current and future laws, rulings, governmental regulations, accounting standards and statements, and related interpretations; the failure to consummate, or significant delay in consummating, sales of assets or interests as a part of our strategic divestiture program;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effectiveness of our risk management activities; fluctuations in the debt and equity markets, including the price of our units at the time of</w:t>
      </w:r>
    </w:p>
    <w:p>
      <w:pPr>
        <w:sectPr>
          <w:pgSz w:w="11900" w:h="16894" w:orient="portrait"/>
          <w:cols w:equalWidth="0" w:num="1">
            <w:col w:w="11420"/>
          </w:cols>
          <w:pgMar w:left="240" w:top="125" w:right="239" w:bottom="0" w:gutter="0" w:footer="0" w:header="0"/>
        </w:sectPr>
      </w:pPr>
    </w:p>
    <w:bookmarkStart w:id="6" w:name="page7"/>
    <w:bookmarkEnd w:id="6"/>
    <w:p>
      <w:pPr>
        <w:ind w:right="80"/>
        <w:spacing w:after="0" w:line="255" w:lineRule="auto"/>
        <w:rPr>
          <w:sz w:val="20"/>
          <w:szCs w:val="20"/>
          <w:color w:val="auto"/>
        </w:rPr>
      </w:pPr>
      <w:r>
        <w:rPr>
          <w:rFonts w:ascii="Arial" w:cs="Arial" w:eastAsia="Arial" w:hAnsi="Arial"/>
          <w:sz w:val="18"/>
          <w:szCs w:val="18"/>
          <w:color w:val="auto"/>
        </w:rPr>
        <w:t>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as well as in the storage of natural gas and the processing, transportation, fractionation, storage and marketing of natural gas liquids as discussed in the Partnerships’ filings with the Securities and Exchange Commission.</w:t>
      </w:r>
    </w:p>
    <w:p>
      <w:pPr>
        <w:spacing w:after="0" w:line="193" w:lineRule="exact"/>
        <w:rPr>
          <w:sz w:val="20"/>
          <w:szCs w:val="20"/>
          <w:color w:val="auto"/>
        </w:rPr>
      </w:pPr>
    </w:p>
    <w:p>
      <w:pPr>
        <w:ind w:right="20" w:firstLine="654"/>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20" w:firstLine="654"/>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60" w:type="dxa"/>
            <w:vAlign w:val="bottom"/>
            <w:gridSpan w:val="5"/>
          </w:tcPr>
          <w:p>
            <w:pPr>
              <w:jc w:val="right"/>
              <w:ind w:right="24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4"/>
          </w:tcPr>
          <w:p>
            <w:pPr>
              <w:jc w:val="center"/>
              <w:ind w:left="434"/>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625"/>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left="434"/>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8,080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6,078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Purchases and related costs</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7,551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5,320</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15,070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tcPr>
          <w:p>
            <w:pPr>
              <w:ind w:left="160"/>
              <w:spacing w:after="0"/>
              <w:rPr>
                <w:sz w:val="20"/>
                <w:szCs w:val="20"/>
                <w:color w:val="auto"/>
              </w:rPr>
            </w:pPr>
            <w:r>
              <w:rPr>
                <w:rFonts w:ascii="Arial" w:cs="Arial" w:eastAsia="Arial" w:hAnsi="Arial"/>
                <w:sz w:val="18"/>
                <w:szCs w:val="18"/>
                <w:color w:val="auto"/>
              </w:rPr>
              <w:t>Total costs and expenses</w:t>
            </w:r>
          </w:p>
        </w:tc>
        <w:tc>
          <w:tcPr>
            <w:tcW w:w="6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7,992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5,821</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257</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Current income tax expense</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160"/>
              <w:spacing w:after="0"/>
              <w:rPr>
                <w:sz w:val="20"/>
                <w:szCs w:val="20"/>
                <w:color w:val="auto"/>
              </w:rPr>
            </w:pPr>
            <w:r>
              <w:rPr>
                <w:rFonts w:ascii="Arial" w:cs="Arial" w:eastAsia="Arial" w:hAnsi="Arial"/>
                <w:sz w:val="18"/>
                <w:szCs w:val="18"/>
                <w:color w:val="auto"/>
              </w:rPr>
              <w:t>Net income allocated to common unitholders — Basic</w:t>
            </w:r>
          </w:p>
        </w:tc>
        <w:tc>
          <w:tcPr>
            <w:tcW w:w="14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148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286</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 weighted average common units outstanding</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820" w:type="dxa"/>
            <w:vAlign w:val="bottom"/>
            <w:gridSpan w:val="2"/>
          </w:tcPr>
          <w:p>
            <w:pPr>
              <w:ind w:left="160"/>
              <w:spacing w:after="0"/>
              <w:rPr>
                <w:sz w:val="20"/>
                <w:szCs w:val="20"/>
                <w:color w:val="auto"/>
              </w:rPr>
            </w:pPr>
            <w:r>
              <w:rPr>
                <w:rFonts w:ascii="Arial" w:cs="Arial" w:eastAsia="Arial" w:hAnsi="Arial"/>
                <w:sz w:val="18"/>
                <w:szCs w:val="18"/>
                <w:color w:val="auto"/>
              </w:rPr>
              <w:t>Basic net income per common unit</w:t>
            </w:r>
          </w:p>
        </w:tc>
        <w:tc>
          <w:tcPr>
            <w:tcW w:w="14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0.21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0.39</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160"/>
              <w:spacing w:after="0"/>
              <w:rPr>
                <w:sz w:val="20"/>
                <w:szCs w:val="20"/>
                <w:color w:val="auto"/>
              </w:rPr>
            </w:pPr>
            <w:r>
              <w:rPr>
                <w:rFonts w:ascii="Arial" w:cs="Arial" w:eastAsia="Arial" w:hAnsi="Arial"/>
                <w:sz w:val="18"/>
                <w:szCs w:val="18"/>
                <w:color w:val="auto"/>
              </w:rPr>
              <w:t>Net income allocated to common unitholders — Diluted</w:t>
            </w:r>
          </w:p>
        </w:tc>
        <w:tc>
          <w:tcPr>
            <w:tcW w:w="14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148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286</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 weighted average common units outstanding</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160"/>
              <w:spacing w:after="0"/>
              <w:rPr>
                <w:sz w:val="20"/>
                <w:szCs w:val="20"/>
                <w:color w:val="auto"/>
              </w:rPr>
            </w:pPr>
            <w:r>
              <w:rPr>
                <w:rFonts w:ascii="Arial" w:cs="Arial" w:eastAsia="Arial" w:hAnsi="Arial"/>
                <w:sz w:val="18"/>
                <w:szCs w:val="18"/>
                <w:color w:val="auto"/>
              </w:rPr>
              <w:t>Diluted net income per common unit</w:t>
            </w:r>
          </w:p>
        </w:tc>
        <w:tc>
          <w:tcPr>
            <w:tcW w:w="14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0.21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0.39</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4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4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 except per unit data)</w:t>
            </w:r>
          </w:p>
        </w:tc>
        <w:tc>
          <w:tcPr>
            <w:tcW w:w="2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60" w:type="dxa"/>
            <w:vAlign w:val="bottom"/>
            <w:gridSpan w:val="5"/>
          </w:tcPr>
          <w:p>
            <w:pPr>
              <w:jc w:val="right"/>
              <w:ind w:right="24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4"/>
          </w:tcPr>
          <w:p>
            <w:pPr>
              <w:jc w:val="center"/>
              <w:ind w:left="434"/>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625"/>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left="434"/>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144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0.38</w:t>
            </w:r>
          </w:p>
        </w:tc>
        <w:tc>
          <w:tcPr>
            <w:tcW w:w="92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0.73</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40" w:type="dxa"/>
            <w:vAlign w:val="bottom"/>
          </w:tcPr>
          <w:p>
            <w:pPr>
              <w:spacing w:after="0"/>
              <w:rPr>
                <w:sz w:val="18"/>
                <w:szCs w:val="18"/>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600" w:type="dxa"/>
            <w:vAlign w:val="bottom"/>
          </w:tcPr>
          <w:p>
            <w:pPr>
              <w:spacing w:after="0"/>
              <w:rPr>
                <w:sz w:val="24"/>
                <w:szCs w:val="24"/>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 more -</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4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4600" w:type="dxa"/>
            <w:vAlign w:val="bottom"/>
          </w:tcPr>
          <w:p>
            <w:pPr>
              <w:ind w:left="2300"/>
              <w:spacing w:after="0"/>
              <w:rPr>
                <w:sz w:val="20"/>
                <w:szCs w:val="20"/>
                <w:color w:val="auto"/>
              </w:rPr>
            </w:pPr>
            <w:r>
              <w:rPr>
                <w:rFonts w:ascii="Arial" w:cs="Arial" w:eastAsia="Arial" w:hAnsi="Arial"/>
                <w:sz w:val="18"/>
                <w:szCs w:val="18"/>
                <w:b w:val="1"/>
                <w:bCs w:val="1"/>
                <w:color w:val="auto"/>
                <w:w w:val="99"/>
              </w:rPr>
              <w:t>333 Clay Street, Suite 1600</w:t>
            </w:r>
          </w:p>
        </w:tc>
        <w:tc>
          <w:tcPr>
            <w:tcW w:w="222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8"/>
              </w:rPr>
              <w:t>Houston, Texas 77002</w:t>
            </w:r>
          </w:p>
        </w:tc>
        <w:tc>
          <w:tcPr>
            <w:tcW w:w="242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95"/>
              </w:rPr>
              <w:t>713-646-4100 / 866-809-1291</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30"/>
        </w:trPr>
        <w:tc>
          <w:tcPr>
            <w:tcW w:w="46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0" w:type="dxa"/>
            <w:vAlign w:val="bottom"/>
            <w:gridSpan w:val="3"/>
          </w:tcPr>
          <w:p>
            <w:pPr>
              <w:ind w:left="17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3,852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14,257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2,535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3,116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866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Other long-term assets, net</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904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25,699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0" w:type="dxa"/>
            <w:vAlign w:val="bottom"/>
            <w:gridSpan w:val="3"/>
          </w:tcPr>
          <w:p>
            <w:pPr>
              <w:ind w:left="17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5,122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net of unamortized discounts and debt issuance costs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8,937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787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14,875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10,824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25,699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540" w:type="dxa"/>
            <w:vAlign w:val="bottom"/>
            <w:gridSpan w:val="3"/>
            <w:vMerge w:val="continue"/>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line="210" w:lineRule="exact"/>
              <w:rPr>
                <w:sz w:val="20"/>
                <w:szCs w:val="20"/>
                <w:color w:val="auto"/>
              </w:rPr>
            </w:pPr>
            <w:r>
              <w:rPr>
                <w:rFonts w:ascii="Arial" w:cs="Arial" w:eastAsia="Arial" w:hAnsi="Arial"/>
                <w:sz w:val="18"/>
                <w:szCs w:val="18"/>
                <w:color w:val="auto"/>
              </w:rPr>
              <w:t xml:space="preserve">Short-term debt </w:t>
            </w:r>
            <w:r>
              <w:rPr>
                <w:rFonts w:ascii="Arial" w:cs="Arial" w:eastAsia="Arial" w:hAnsi="Arial"/>
                <w:sz w:val="23"/>
                <w:szCs w:val="23"/>
                <w:color w:val="auto"/>
                <w:vertAlign w:val="superscript"/>
              </w:rPr>
              <w:t>(1)</w:t>
            </w:r>
          </w:p>
        </w:tc>
        <w:tc>
          <w:tcPr>
            <w:tcW w:w="17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8,966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8,966</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10,824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gridSpan w:val="2"/>
            <w:vMerge w:val="restart"/>
          </w:tcPr>
          <w:p>
            <w:pPr>
              <w:ind w:left="340"/>
              <w:spacing w:after="0"/>
              <w:rPr>
                <w:sz w:val="20"/>
                <w:szCs w:val="20"/>
                <w:color w:val="auto"/>
              </w:rPr>
            </w:pPr>
            <w:r>
              <w:rPr>
                <w:rFonts w:ascii="Arial" w:cs="Arial" w:eastAsia="Arial" w:hAnsi="Arial"/>
                <w:sz w:val="18"/>
                <w:szCs w:val="18"/>
                <w:color w:val="auto"/>
              </w:rPr>
              <w:t>Total book capitalization, including short-term debt</w:t>
            </w:r>
          </w:p>
        </w:tc>
        <w:tc>
          <w:tcPr>
            <w:tcW w:w="1740" w:type="dxa"/>
            <w:vAlign w:val="bottom"/>
            <w:vMerge w:val="restart"/>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20" w:type="dxa"/>
            <w:vAlign w:val="bottom"/>
            <w:tcBorders>
              <w:bottom w:val="single" w:sz="8" w:color="CCEEFF"/>
            </w:tcBorders>
            <w:gridSpan w:val="2"/>
            <w:vMerge w:val="continue"/>
          </w:tcPr>
          <w:p>
            <w:pPr>
              <w:spacing w:after="0"/>
              <w:rPr>
                <w:sz w:val="20"/>
                <w:szCs w:val="20"/>
                <w:color w:val="auto"/>
              </w:rPr>
            </w:pPr>
          </w:p>
        </w:tc>
        <w:tc>
          <w:tcPr>
            <w:tcW w:w="17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20,733</w:t>
            </w:r>
          </w:p>
        </w:tc>
        <w:tc>
          <w:tcPr>
            <w:tcW w:w="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20,878</w:t>
            </w: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debt-to-total book capitalization, including short-term debt</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80" w:hanging="332"/>
        <w:spacing w:after="0" w:line="234"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As of June 30, 2018 and December 31, 2017, short-term debt includes borrowings of approximately $515 million and $523 million, respectively, for short-term hedged inventory purchases and borrowings of approximately $426 million and $212 million, respectively, for cash margin deposits with our clearing brokers, which are associated with financial derivatives used for hedging purposes.</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line="163" w:lineRule="exact"/>
        <w:rPr>
          <w:sz w:val="20"/>
          <w:szCs w:val="20"/>
          <w:color w:val="auto"/>
        </w:rPr>
      </w:pPr>
    </w:p>
    <w:p>
      <w:pPr>
        <w:ind w:left="6200"/>
        <w:spacing w:after="0"/>
        <w:tabs>
          <w:tab w:leader="none" w:pos="934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3"/>
          <w:szCs w:val="13"/>
          <w:b w:val="1"/>
          <w:bCs w:val="1"/>
          <w:color w:val="auto"/>
        </w:rPr>
        <w:t>Six Months Ended</w:t>
      </w:r>
    </w:p>
    <w:p>
      <w:pPr>
        <w:sectPr>
          <w:pgSz w:w="11900" w:h="16838" w:orient="portrait"/>
          <w:cols w:equalWidth="0" w:num="1">
            <w:col w:w="11460"/>
          </w:cols>
          <w:pgMar w:left="240" w:top="356" w:right="19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gridSpan w:val="2"/>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24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ind w:right="41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4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8"/>
              </w:rPr>
              <w:t>Transportation segment (average daily volumes in thousands of</w:t>
            </w:r>
          </w:p>
        </w:tc>
        <w:tc>
          <w:tcPr>
            <w:tcW w:w="8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barrels per day):</w:t>
            </w: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Tariff activities volumes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 (by region):</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3,734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2,761</w:t>
            </w:r>
          </w:p>
        </w:tc>
        <w:tc>
          <w:tcPr>
            <w:tcW w:w="1240" w:type="dxa"/>
            <w:vAlign w:val="bottom"/>
          </w:tcPr>
          <w:p>
            <w:pPr>
              <w:jc w:val="right"/>
              <w:spacing w:after="0"/>
              <w:rPr>
                <w:sz w:val="20"/>
                <w:szCs w:val="20"/>
                <w:color w:val="auto"/>
              </w:rPr>
            </w:pPr>
            <w:r>
              <w:rPr>
                <w:rFonts w:ascii="Arial" w:cs="Arial" w:eastAsia="Arial" w:hAnsi="Arial"/>
                <w:sz w:val="18"/>
                <w:szCs w:val="18"/>
                <w:color w:val="auto"/>
              </w:rPr>
              <w:t>3,489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434</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w:t>
            </w:r>
          </w:p>
        </w:tc>
        <w:tc>
          <w:tcPr>
            <w:tcW w:w="3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448</w:t>
            </w:r>
          </w:p>
        </w:tc>
        <w:tc>
          <w:tcPr>
            <w:tcW w:w="3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427</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445</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Gulf Coast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w:t>
            </w:r>
          </w:p>
        </w:tc>
        <w:tc>
          <w:tcPr>
            <w:tcW w:w="3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444</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263</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Western</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w:t>
            </w:r>
          </w:p>
        </w:tc>
        <w:tc>
          <w:tcPr>
            <w:tcW w:w="3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Canada</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298</w:t>
            </w:r>
          </w:p>
        </w:tc>
        <w:tc>
          <w:tcPr>
            <w:tcW w:w="3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363</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308</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5,535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NGL pipelines</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156</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Tariff activities total volumes</w:t>
            </w: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5,706</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Trucking volumes</w:t>
            </w:r>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99</w:t>
            </w: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5,797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Liquids storage (average monthly capacity in millions of barrels)</w:t>
            </w:r>
          </w:p>
        </w:tc>
        <w:tc>
          <w:tcPr>
            <w:tcW w:w="800" w:type="dxa"/>
            <w:vAlign w:val="bottom"/>
          </w:tcPr>
          <w:p>
            <w:pPr>
              <w:spacing w:after="0"/>
              <w:rPr>
                <w:sz w:val="22"/>
                <w:szCs w:val="2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2"/>
                <w:szCs w:val="22"/>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40" w:type="dxa"/>
            <w:vAlign w:val="bottom"/>
            <w:tcBorders>
              <w:top w:val="single" w:sz="8" w:color="CCEEFF"/>
            </w:tcBorders>
            <w:shd w:val="clear" w:color="auto" w:fill="CCEEFF"/>
          </w:tcPr>
          <w:p>
            <w:pPr>
              <w:ind w:left="160"/>
              <w:spacing w:after="0" w:line="156" w:lineRule="exact"/>
              <w:rPr>
                <w:sz w:val="20"/>
                <w:szCs w:val="20"/>
                <w:color w:val="auto"/>
              </w:rPr>
            </w:pPr>
            <w:r>
              <w:rPr>
                <w:rFonts w:ascii="Arial" w:cs="Arial" w:eastAsia="Arial" w:hAnsi="Arial"/>
                <w:sz w:val="18"/>
                <w:szCs w:val="18"/>
                <w:color w:val="auto"/>
                <w:w w:val="97"/>
              </w:rPr>
              <w:t>Natural gas storage (average monthly working capacity in billions of</w:t>
            </w:r>
          </w:p>
        </w:tc>
        <w:tc>
          <w:tcPr>
            <w:tcW w:w="8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tcBorders>
              <w:top w:val="single" w:sz="8" w:color="CCEEFF"/>
            </w:tcBorders>
            <w:vMerge w:val="restart"/>
            <w:shd w:val="clear" w:color="auto" w:fill="CCEEFF"/>
          </w:tcPr>
          <w:p>
            <w:pPr>
              <w:spacing w:after="0"/>
              <w:rPr>
                <w:sz w:val="13"/>
                <w:szCs w:val="13"/>
                <w:color w:val="auto"/>
              </w:rPr>
            </w:pP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cubic feet)</w:t>
            </w:r>
          </w:p>
        </w:tc>
        <w:tc>
          <w:tcPr>
            <w:tcW w:w="4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rPr>
              <w:t>NGL fractionation (average volumes in thousands of barrels per</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44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3"/>
                <w:szCs w:val="13"/>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119</w:t>
            </w:r>
          </w:p>
        </w:tc>
        <w:tc>
          <w:tcPr>
            <w:tcW w:w="15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day)</w:t>
            </w:r>
          </w:p>
        </w:tc>
        <w:tc>
          <w:tcPr>
            <w:tcW w:w="80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7"/>
              </w:rPr>
              <w:t>Facilities segment total volumes (average monthly volumes in millions</w:t>
            </w: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440" w:type="dxa"/>
            <w:vAlign w:val="bottom"/>
            <w:vMerge w:val="continue"/>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15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13"/>
                <w:szCs w:val="13"/>
                <w:color w:val="auto"/>
              </w:rPr>
            </w:pPr>
          </w:p>
        </w:tc>
        <w:tc>
          <w:tcPr>
            <w:tcW w:w="9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of barrels) </w:t>
            </w:r>
            <w:r>
              <w:rPr>
                <w:rFonts w:ascii="Arial" w:cs="Arial" w:eastAsia="Arial" w:hAnsi="Arial"/>
                <w:sz w:val="23"/>
                <w:szCs w:val="23"/>
                <w:color w:val="auto"/>
                <w:vertAlign w:val="superscript"/>
              </w:rPr>
              <w:t>(3)</w:t>
            </w:r>
          </w:p>
        </w:tc>
        <w:tc>
          <w:tcPr>
            <w:tcW w:w="7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Supply and Logistics segment (average daily volumes in thousands</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of barrels per day):</w:t>
            </w: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Crude oil lease gathering purchases</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1,028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940</w:t>
            </w:r>
          </w:p>
        </w:tc>
        <w:tc>
          <w:tcPr>
            <w:tcW w:w="1240" w:type="dxa"/>
            <w:vAlign w:val="bottom"/>
          </w:tcPr>
          <w:p>
            <w:pPr>
              <w:jc w:val="right"/>
              <w:spacing w:after="0"/>
              <w:rPr>
                <w:sz w:val="20"/>
                <w:szCs w:val="20"/>
                <w:color w:val="auto"/>
              </w:rPr>
            </w:pPr>
            <w:r>
              <w:rPr>
                <w:rFonts w:ascii="Arial" w:cs="Arial" w:eastAsia="Arial" w:hAnsi="Arial"/>
                <w:sz w:val="18"/>
                <w:szCs w:val="18"/>
                <w:color w:val="auto"/>
              </w:rPr>
              <w:t>1,030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w:t>
            </w:r>
          </w:p>
        </w:tc>
        <w:tc>
          <w:tcPr>
            <w:tcW w:w="3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Supply and Logistics segment total volumes</w:t>
            </w:r>
          </w:p>
        </w:tc>
        <w:tc>
          <w:tcPr>
            <w:tcW w:w="8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1,202</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Average volumes are calculated as total volumes for the period (attributable to our interest) divided by the number of days or months in the period.</w:t>
      </w:r>
    </w:p>
    <w:p>
      <w:pPr>
        <w:spacing w:after="0" w:line="1"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 w:lineRule="exact"/>
        <w:rPr>
          <w:rFonts w:ascii="Arial" w:cs="Arial" w:eastAsia="Arial" w:hAnsi="Arial"/>
          <w:sz w:val="23"/>
          <w:szCs w:val="23"/>
          <w:color w:val="auto"/>
          <w:vertAlign w:val="superscript"/>
        </w:rPr>
      </w:pPr>
    </w:p>
    <w:p>
      <w:pPr>
        <w:ind w:left="340" w:right="100" w:hanging="332"/>
        <w:spacing w:after="0" w:line="241" w:lineRule="auto"/>
        <w:tabs>
          <w:tab w:leader="none" w:pos="32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0" w:type="dxa"/>
            <w:vAlign w:val="bottom"/>
            <w:gridSpan w:val="5"/>
          </w:tcPr>
          <w:p>
            <w:pPr>
              <w:jc w:val="right"/>
              <w:ind w:right="28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665"/>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jc w:val="right"/>
              <w:ind w:right="27"/>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Common Unit</w:t>
            </w:r>
          </w:p>
        </w:tc>
        <w:tc>
          <w:tcPr>
            <w:tcW w:w="9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76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960" w:type="dxa"/>
            <w:vAlign w:val="bottom"/>
            <w:gridSpan w:val="2"/>
          </w:tcPr>
          <w:p>
            <w:pPr>
              <w:jc w:val="right"/>
              <w:ind w:right="68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188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388</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allocated to common unitholders</w:t>
            </w:r>
          </w:p>
        </w:tc>
        <w:tc>
          <w:tcPr>
            <w:tcW w:w="90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725</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76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960" w:type="dxa"/>
            <w:vAlign w:val="bottom"/>
            <w:gridSpan w:val="2"/>
          </w:tcPr>
          <w:p>
            <w:pPr>
              <w:jc w:val="right"/>
              <w:ind w:right="68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0.21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0.39</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760" w:type="dxa"/>
            <w:vAlign w:val="bottom"/>
            <w:gridSpan w:val="2"/>
            <w:shd w:val="clear" w:color="auto" w:fill="CCEEFF"/>
          </w:tcPr>
          <w:p>
            <w:pPr>
              <w:jc w:val="right"/>
              <w:ind w:right="707"/>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960" w:type="dxa"/>
            <w:vAlign w:val="bottom"/>
            <w:gridSpan w:val="2"/>
            <w:shd w:val="clear" w:color="auto" w:fill="CCEEFF"/>
          </w:tcPr>
          <w:p>
            <w:pPr>
              <w:jc w:val="right"/>
              <w:ind w:right="68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388</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allocated to common unitholders</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(2)</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weighted average common units outstanding</w:t>
            </w:r>
          </w:p>
        </w:tc>
        <w:tc>
          <w:tcPr>
            <w:tcW w:w="82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28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28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line="216" w:lineRule="exact"/>
              <w:rPr>
                <w:sz w:val="20"/>
                <w:szCs w:val="20"/>
                <w:color w:val="auto"/>
              </w:rPr>
            </w:pPr>
            <w:r>
              <w:rPr>
                <w:rFonts w:ascii="Arial" w:cs="Arial" w:eastAsia="Arial" w:hAnsi="Arial"/>
                <w:sz w:val="18"/>
                <w:szCs w:val="18"/>
                <w:color w:val="auto"/>
              </w:rPr>
              <w:t xml:space="preserve">Diluted net income per common unit </w:t>
            </w:r>
            <w:r>
              <w:rPr>
                <w:rFonts w:ascii="Arial" w:cs="Arial" w:eastAsia="Arial" w:hAnsi="Arial"/>
                <w:sz w:val="23"/>
                <w:szCs w:val="23"/>
                <w:color w:val="auto"/>
                <w:vertAlign w:val="superscript"/>
              </w:rPr>
              <w:t>(3)</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0.21</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38"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ind w:left="340" w:right="100" w:hanging="332"/>
        <w:spacing w:after="0" w:line="237"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Our Long-term Incentive Plan (“LTIP”) awards that contemplate the issuance of common units and certain AAP Management Units that contemplate the issuance of common units to AAP when such AAP Management Units become earned are considered dilutive unless (i) they become vested or earned only upon the satisfaction of a performance condition and (ii) that performance condition has yet to be satisfied. LTIP awards and AAP Management Units that are deemed to be dilutive are reduced by a hypothetical common unit repurchase based on the remaining unamortized fair value, as prescribed by the treasury stock method in guidance issued by the FASB.</w:t>
      </w:r>
    </w:p>
    <w:p>
      <w:pPr>
        <w:spacing w:after="0" w:line="1" w:lineRule="exact"/>
        <w:rPr>
          <w:rFonts w:ascii="Arial" w:cs="Arial" w:eastAsia="Arial" w:hAnsi="Arial"/>
          <w:sz w:val="23"/>
          <w:szCs w:val="23"/>
          <w:color w:val="auto"/>
          <w:vertAlign w:val="superscript"/>
        </w:rPr>
      </w:pPr>
    </w:p>
    <w:p>
      <w:pPr>
        <w:ind w:left="340" w:right="260" w:hanging="332"/>
        <w:spacing w:after="0" w:line="219"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 per common unit for the three and six months ended June 30, 2018 and 2017 as the effect was antidilutive.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6"/>
              </w:rPr>
              <w:t>June 30, 2017</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7"/>
              </w:rPr>
              <w:t>Transportation</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2"/>
              <w:spacing w:after="0" w:line="119" w:lineRule="exact"/>
              <w:rPr>
                <w:sz w:val="20"/>
                <w:szCs w:val="20"/>
                <w:color w:val="auto"/>
              </w:rPr>
            </w:pPr>
            <w:r>
              <w:rPr>
                <w:rFonts w:ascii="Arial" w:cs="Arial" w:eastAsia="Arial" w:hAnsi="Arial"/>
                <w:sz w:val="13"/>
                <w:szCs w:val="13"/>
                <w:b w:val="1"/>
                <w:bCs w:val="1"/>
                <w:color w:val="auto"/>
                <w:w w:val="99"/>
              </w:rPr>
              <w:t>Supply and</w:t>
            </w:r>
          </w:p>
        </w:tc>
        <w:tc>
          <w:tcPr>
            <w:tcW w:w="4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Logistics</w:t>
            </w: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7,781</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(7,959)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9"/>
              </w:rPr>
              <w:t>Equity earnings in unconsolidated entities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Depreciation and amortization of</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(Gains)/losses from derivative activities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of inventory valuation</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Long-term inventory costing</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Deficiencies under minimum volume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net</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Equity-indexed compensation expense</w:t>
            </w: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gain on foreign currency</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Line 901 incident</w:t>
            </w: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Significant acquisition-related expenses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right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Maintenance capital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include equity-indexed compensation expense.</w:t>
      </w:r>
    </w:p>
    <w:p>
      <w:pPr>
        <w:spacing w:after="0" w:line="2" w:lineRule="exact"/>
        <w:rPr>
          <w:rFonts w:ascii="Arial" w:cs="Arial" w:eastAsia="Arial" w:hAnsi="Arial"/>
          <w:sz w:val="23"/>
          <w:szCs w:val="23"/>
          <w:color w:val="auto"/>
          <w:vertAlign w:val="superscript"/>
        </w:rPr>
      </w:pPr>
    </w:p>
    <w:p>
      <w:pPr>
        <w:ind w:left="340" w:right="280" w:hanging="332"/>
        <w:spacing w:after="0" w:line="242"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40" w:right="40" w:hanging="332"/>
        <w:spacing w:after="0" w:line="229"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Chief Operating Decision Maker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2" w:lineRule="exact"/>
        <w:rPr>
          <w:rFonts w:ascii="Arial" w:cs="Arial" w:eastAsia="Arial" w:hAnsi="Arial"/>
          <w:sz w:val="23"/>
          <w:szCs w:val="23"/>
          <w:color w:val="auto"/>
          <w:vertAlign w:val="superscript"/>
        </w:rPr>
      </w:pPr>
    </w:p>
    <w:p>
      <w:pPr>
        <w:ind w:left="5520" w:hanging="96"/>
        <w:spacing w:after="0"/>
        <w:tabs>
          <w:tab w:leader="none" w:pos="5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6" w:right="239" w:bottom="0" w:gutter="0" w:footer="0" w:header="0"/>
        </w:sectPr>
      </w:pPr>
    </w:p>
    <w:bookmarkStart w:id="10" w:name="page11"/>
    <w:bookmarkEnd w:id="10"/>
    <w:p>
      <w:pPr>
        <w:spacing w:after="0" w:line="59"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2"/>
              </w:rPr>
              <w:t>Six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Six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6"/>
              </w:rPr>
              <w:t>June 30, 2017</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Transportation</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2"/>
              <w:spacing w:after="0" w:line="119" w:lineRule="exact"/>
              <w:rPr>
                <w:sz w:val="20"/>
                <w:szCs w:val="20"/>
                <w:color w:val="auto"/>
              </w:rPr>
            </w:pPr>
            <w:r>
              <w:rPr>
                <w:rFonts w:ascii="Arial" w:cs="Arial" w:eastAsia="Arial" w:hAnsi="Arial"/>
                <w:sz w:val="13"/>
                <w:szCs w:val="13"/>
                <w:b w:val="1"/>
                <w:bCs w:val="1"/>
                <w:color w:val="auto"/>
                <w:w w:val="99"/>
              </w:rPr>
              <w:t>Supply and</w:t>
            </w:r>
          </w:p>
        </w:tc>
        <w:tc>
          <w:tcPr>
            <w:tcW w:w="4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Logistics</w:t>
            </w: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15,893</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(15,884)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(11,678)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9"/>
              </w:rPr>
              <w:t>Equity earnings in unconsolidated entities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Depreciation and amortization of</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(Gains)/losses from derivative activities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of inventory valuation</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Long-term inventory costing</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Deficiencies under minimum volume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net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Equity-indexed compensation expense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(gain)/loss on foreign currency</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Line 901 incident</w:t>
            </w: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Significant acquisition-related expenses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CCEEFF"/>
              <w:right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Maintenance capital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8"/>
              <w:spacing w:after="0"/>
              <w:rPr>
                <w:sz w:val="20"/>
                <w:szCs w:val="20"/>
                <w:color w:val="auto"/>
              </w:rPr>
            </w:pPr>
            <w:r>
              <w:rPr>
                <w:rFonts w:ascii="Arial" w:cs="Arial" w:eastAsia="Arial" w:hAnsi="Arial"/>
                <w:sz w:val="18"/>
                <w:szCs w:val="18"/>
                <w:color w:val="auto"/>
              </w:rPr>
              <w:t>57</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include equity-indexed compensation expense.</w:t>
      </w:r>
    </w:p>
    <w:p>
      <w:pPr>
        <w:spacing w:after="0" w:line="2" w:lineRule="exact"/>
        <w:rPr>
          <w:rFonts w:ascii="Arial" w:cs="Arial" w:eastAsia="Arial" w:hAnsi="Arial"/>
          <w:sz w:val="23"/>
          <w:szCs w:val="23"/>
          <w:color w:val="auto"/>
          <w:vertAlign w:val="superscript"/>
        </w:rPr>
      </w:pPr>
    </w:p>
    <w:p>
      <w:pPr>
        <w:ind w:left="340" w:right="280" w:hanging="332"/>
        <w:spacing w:after="0" w:line="242" w:lineRule="auto"/>
        <w:tabs>
          <w:tab w:leader="none" w:pos="32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40" w:right="300" w:hanging="332"/>
        <w:spacing w:after="0" w:line="229"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4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4"/>
                <w:szCs w:val="14"/>
                <w:b w:val="1"/>
                <w:bCs w:val="1"/>
                <w:color w:val="auto"/>
                <w:w w:val="89"/>
              </w:rPr>
              <w:t>June 30,</w:t>
            </w: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536"/>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536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Gains/(losses) from derivative activities net of inventory valuation</w:t>
            </w: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360" w:type="dxa"/>
            <w:vAlign w:val="bottom"/>
          </w:tcPr>
          <w:p>
            <w:pPr>
              <w:ind w:left="180"/>
              <w:spacing w:after="0" w:line="231"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(2)</w:t>
            </w:r>
          </w:p>
        </w:tc>
        <w:tc>
          <w:tcPr>
            <w:tcW w:w="132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(232)</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53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5360" w:type="dxa"/>
            <w:vAlign w:val="bottom"/>
          </w:tcPr>
          <w:p>
            <w:pPr>
              <w:spacing w:after="0" w:line="21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(4)</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3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5360" w:type="dxa"/>
            <w:vAlign w:val="bottom"/>
          </w:tcPr>
          <w:p>
            <w:pPr>
              <w:spacing w:after="0" w:line="216"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(6)</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53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(7)</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bl>
    <w:p>
      <w:pPr>
        <w:sectPr>
          <w:pgSz w:w="11900" w:h="16897" w:orient="portrait"/>
          <w:cols w:equalWidth="0" w:num="1">
            <w:col w:w="11420"/>
          </w:cols>
          <w:pgMar w:left="240" w:top="121" w:right="239" w:bottom="0" w:gutter="0" w:footer="0" w:header="0"/>
        </w:sectPr>
      </w:pPr>
    </w:p>
    <w:bookmarkStart w:id="11" w:name="page12"/>
    <w:bookmarkEnd w:id="1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720" w:type="dxa"/>
            <w:vAlign w:val="bottom"/>
          </w:tcPr>
          <w:p>
            <w:pPr>
              <w:spacing w:after="0"/>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(8)</w:t>
            </w: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Selected items impacting comparability - Adjusted EBITDA</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180"/>
              <w:spacing w:after="0" w:line="201" w:lineRule="exact"/>
              <w:rPr>
                <w:sz w:val="20"/>
                <w:szCs w:val="20"/>
                <w:color w:val="auto"/>
              </w:rPr>
            </w:pPr>
            <w:r>
              <w:rPr>
                <w:rFonts w:ascii="Arial" w:cs="Arial" w:eastAsia="Arial" w:hAnsi="Arial"/>
                <w:sz w:val="18"/>
                <w:szCs w:val="18"/>
                <w:color w:val="auto"/>
                <w:w w:val="94"/>
              </w:rPr>
              <w:t>Selected items impacting comparability - Adjusted net income attributable</w:t>
            </w: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20" w:type="dxa"/>
            <w:vAlign w:val="bottom"/>
            <w:vMerge w:val="continue"/>
          </w:tcPr>
          <w:p>
            <w:pPr>
              <w:spacing w:after="0"/>
              <w:rPr>
                <w:sz w:val="15"/>
                <w:szCs w:val="15"/>
                <w:color w:val="auto"/>
              </w:rPr>
            </w:pPr>
          </w:p>
        </w:tc>
        <w:tc>
          <w:tcPr>
            <w:tcW w:w="180" w:type="dxa"/>
            <w:vAlign w:val="bottom"/>
            <w:vMerge w:val="restart"/>
          </w:tcPr>
          <w:p>
            <w:pPr>
              <w:spacing w:after="0"/>
              <w:rPr>
                <w:sz w:val="15"/>
                <w:szCs w:val="15"/>
                <w:color w:val="auto"/>
              </w:rPr>
            </w:pP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(224)</w:t>
            </w:r>
          </w:p>
        </w:tc>
        <w:tc>
          <w:tcPr>
            <w:tcW w:w="540" w:type="dxa"/>
            <w:vAlign w:val="bottom"/>
            <w:vMerge w:val="restart"/>
          </w:tcPr>
          <w:p>
            <w:pPr>
              <w:jc w:val="right"/>
              <w:ind w:right="350"/>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w:t>
            </w:r>
          </w:p>
        </w:tc>
        <w:tc>
          <w:tcPr>
            <w:tcW w:w="560" w:type="dxa"/>
            <w:vAlign w:val="bottom"/>
            <w:gridSpan w:val="2"/>
            <w:vMerge w:val="restart"/>
          </w:tcPr>
          <w:p>
            <w:pPr>
              <w:jc w:val="right"/>
              <w:ind w:right="285"/>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(246)</w:t>
            </w:r>
          </w:p>
        </w:tc>
        <w:tc>
          <w:tcPr>
            <w:tcW w:w="480" w:type="dxa"/>
            <w:vAlign w:val="bottom"/>
            <w:gridSpan w:val="2"/>
            <w:vMerge w:val="restart"/>
          </w:tcPr>
          <w:p>
            <w:pPr>
              <w:jc w:val="right"/>
              <w:ind w:right="350"/>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720" w:type="dxa"/>
            <w:vAlign w:val="bottom"/>
          </w:tcPr>
          <w:p>
            <w:pPr>
              <w:ind w:left="360"/>
              <w:spacing w:after="0"/>
              <w:rPr>
                <w:sz w:val="20"/>
                <w:szCs w:val="20"/>
                <w:color w:val="auto"/>
              </w:rPr>
            </w:pPr>
            <w:r>
              <w:rPr>
                <w:rFonts w:ascii="Arial" w:cs="Arial" w:eastAsia="Arial" w:hAnsi="Arial"/>
                <w:sz w:val="18"/>
                <w:szCs w:val="18"/>
                <w:color w:val="auto"/>
              </w:rPr>
              <w:t>to PAA</w:t>
            </w:r>
          </w:p>
        </w:tc>
        <w:tc>
          <w:tcPr>
            <w:tcW w:w="18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hanging="332"/>
        <w:spacing w:after="0" w:line="254" w:lineRule="auto"/>
        <w:tabs>
          <w:tab w:leader="none" w:pos="32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1" w:lineRule="exact"/>
        <w:rPr>
          <w:rFonts w:ascii="Arial" w:cs="Arial" w:eastAsia="Arial" w:hAnsi="Arial"/>
          <w:sz w:val="22"/>
          <w:szCs w:val="22"/>
          <w:color w:val="auto"/>
          <w:vertAlign w:val="superscript"/>
        </w:rPr>
      </w:pPr>
    </w:p>
    <w:p>
      <w:pPr>
        <w:ind w:left="340" w:right="180" w:hanging="332"/>
        <w:spacing w:after="0" w:line="265" w:lineRule="auto"/>
        <w:tabs>
          <w:tab w:leader="none" w:pos="32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 w:lineRule="exact"/>
        <w:rPr>
          <w:rFonts w:ascii="Arial" w:cs="Arial" w:eastAsia="Arial" w:hAnsi="Arial"/>
          <w:sz w:val="21"/>
          <w:szCs w:val="21"/>
          <w:color w:val="auto"/>
          <w:vertAlign w:val="superscript"/>
        </w:rPr>
      </w:pPr>
    </w:p>
    <w:p>
      <w:pPr>
        <w:ind w:left="340" w:right="20" w:hanging="332"/>
        <w:spacing w:after="0" w:line="273" w:lineRule="auto"/>
        <w:tabs>
          <w:tab w:leader="none" w:pos="32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 w:lineRule="exact"/>
        <w:rPr>
          <w:rFonts w:ascii="Arial" w:cs="Arial" w:eastAsia="Arial" w:hAnsi="Arial"/>
          <w:sz w:val="21"/>
          <w:szCs w:val="21"/>
          <w:color w:val="auto"/>
          <w:vertAlign w:val="superscript"/>
        </w:rPr>
      </w:pPr>
    </w:p>
    <w:p>
      <w:pPr>
        <w:ind w:left="340" w:right="140" w:hanging="332"/>
        <w:spacing w:after="0" w:line="239"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 w:lineRule="exact"/>
        <w:rPr>
          <w:rFonts w:ascii="Arial" w:cs="Arial" w:eastAsia="Arial" w:hAnsi="Arial"/>
          <w:sz w:val="23"/>
          <w:szCs w:val="23"/>
          <w:color w:val="auto"/>
          <w:vertAlign w:val="superscript"/>
        </w:rPr>
      </w:pPr>
    </w:p>
    <w:p>
      <w:pPr>
        <w:ind w:left="340" w:right="380" w:hanging="332"/>
        <w:spacing w:after="0" w:line="231" w:lineRule="auto"/>
        <w:tabs>
          <w:tab w:leader="none" w:pos="32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ind w:left="340" w:right="600" w:hanging="332"/>
        <w:spacing w:after="0" w:line="219"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Includes acquisition-related expenses associated with the Alpha Crude Connector acquisition.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to Adjusted EBITDA and Implied DCF Reconciliation</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Income</w:t>
            </w:r>
          </w:p>
        </w:tc>
        <w:tc>
          <w:tcPr>
            <w:tcW w:w="980" w:type="dxa"/>
            <w:vAlign w:val="bottom"/>
            <w:gridSpan w:val="2"/>
          </w:tcPr>
          <w:p>
            <w:pPr>
              <w:jc w:val="right"/>
              <w:ind w:right="597"/>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388</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Income tax (benefit)/expense</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57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57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r>
      <w:tr>
        <w:trPr>
          <w:trHeight w:val="210"/>
        </w:trPr>
        <w:tc>
          <w:tcPr>
            <w:tcW w:w="5700" w:type="dxa"/>
            <w:vAlign w:val="bottom"/>
          </w:tcPr>
          <w:p>
            <w:pPr>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ind w:right="59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280" w:type="dxa"/>
            <w:vAlign w:val="bottom"/>
          </w:tcPr>
          <w:p>
            <w:pPr>
              <w:spacing w:after="0"/>
              <w:rPr>
                <w:sz w:val="18"/>
                <w:szCs w:val="18"/>
                <w:color w:val="auto"/>
              </w:rPr>
            </w:pPr>
          </w:p>
        </w:tc>
        <w:tc>
          <w:tcPr>
            <w:tcW w:w="76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(107)</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5700" w:type="dxa"/>
            <w:vAlign w:val="bottom"/>
          </w:tcPr>
          <w:p>
            <w:pPr>
              <w:ind w:left="180"/>
              <w:spacing w:after="0" w:line="216" w:lineRule="exact"/>
              <w:rPr>
                <w:sz w:val="20"/>
                <w:szCs w:val="20"/>
                <w:color w:val="auto"/>
              </w:rPr>
            </w:pPr>
            <w:r>
              <w:rPr>
                <w:rFonts w:ascii="Arial" w:cs="Arial" w:eastAsia="Arial" w:hAnsi="Arial"/>
                <w:sz w:val="18"/>
                <w:szCs w:val="18"/>
                <w:color w:val="auto"/>
                <w:w w:val="94"/>
              </w:rPr>
              <w:t xml:space="preserve">Adjusted equity earnings in unconsolidated entities, net of distributions </w:t>
            </w:r>
            <w:r>
              <w:rPr>
                <w:rFonts w:ascii="Arial" w:cs="Arial" w:eastAsia="Arial" w:hAnsi="Arial"/>
                <w:sz w:val="23"/>
                <w:szCs w:val="23"/>
                <w:color w:val="auto"/>
                <w:w w:val="94"/>
                <w:vertAlign w:val="superscript"/>
              </w:rPr>
              <w:t>(4)</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57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5700" w:type="dxa"/>
            <w:vAlign w:val="bottom"/>
          </w:tcPr>
          <w:p>
            <w:pPr>
              <w:spacing w:after="0"/>
              <w:rPr>
                <w:sz w:val="20"/>
                <w:szCs w:val="20"/>
                <w:color w:val="auto"/>
              </w:rPr>
            </w:pPr>
            <w:r>
              <w:rPr>
                <w:rFonts w:ascii="Arial" w:cs="Arial" w:eastAsia="Arial" w:hAnsi="Arial"/>
                <w:sz w:val="18"/>
                <w:szCs w:val="18"/>
                <w:color w:val="auto"/>
              </w:rPr>
              <w:t>Implied DCF</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ind w:right="59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80" w:type="dxa"/>
            <w:vAlign w:val="bottom"/>
          </w:tcPr>
          <w:p>
            <w:pPr>
              <w:spacing w:after="0"/>
              <w:rPr>
                <w:sz w:val="18"/>
                <w:szCs w:val="18"/>
                <w:color w:val="auto"/>
              </w:rPr>
            </w:pPr>
          </w:p>
        </w:tc>
        <w:tc>
          <w:tcPr>
            <w:tcW w:w="76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3"/>
                <w:szCs w:val="23"/>
                <w:color w:val="auto"/>
                <w:vertAlign w:val="superscript"/>
              </w:rPr>
              <w:t>(6)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Implied DCF Available to Common Unitholders</w:t>
            </w:r>
          </w:p>
        </w:tc>
        <w:tc>
          <w:tcPr>
            <w:tcW w:w="20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tcPr>
          <w:p>
            <w:pPr>
              <w:spacing w:after="0"/>
              <w:rPr>
                <w:sz w:val="21"/>
                <w:szCs w:val="21"/>
                <w:color w:val="auto"/>
              </w:rPr>
            </w:pPr>
          </w:p>
        </w:tc>
      </w:tr>
      <w:tr>
        <w:trPr>
          <w:trHeight w:val="37"/>
        </w:trPr>
        <w:tc>
          <w:tcPr>
            <w:tcW w:w="57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bl>
    <w:p>
      <w:pPr>
        <w:sectPr>
          <w:pgSz w:w="11900" w:h="16900" w:orient="portrait"/>
          <w:cols w:equalWidth="0" w:num="1">
            <w:col w:w="11420"/>
          </w:cols>
          <w:pgMar w:left="240" w:top="91"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0.37</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0.40</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0.98</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(8)</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0.38</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0.37</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0.94</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 Paid per Common Unit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0.30</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0.55</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0.60</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line="216"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218</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399</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435</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Common Unit Distribution Coverage Ratio</w:t>
            </w: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1.23x</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0.73x</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1.63x</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0.77x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Implied DCF Excess / (Shortage)</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276</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00" w:hanging="332"/>
        <w:spacing w:after="0" w:line="227"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Adjustment to add back our proportionate share of depreciation and amortization expense and gains or losses on significant asset sales of unconsolidated entities.</w:t>
      </w:r>
    </w:p>
    <w:p>
      <w:pPr>
        <w:ind w:left="320" w:hanging="312"/>
        <w:spacing w:after="0" w:line="196" w:lineRule="auto"/>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20" w:hanging="312"/>
        <w:spacing w:after="0" w:line="203" w:lineRule="auto"/>
        <w:tabs>
          <w:tab w:leader="none" w:pos="32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 w:lineRule="exact"/>
        <w:rPr>
          <w:rFonts w:ascii="Arial" w:cs="Arial" w:eastAsia="Arial" w:hAnsi="Arial"/>
          <w:sz w:val="22"/>
          <w:szCs w:val="22"/>
          <w:color w:val="auto"/>
          <w:vertAlign w:val="superscript"/>
        </w:rPr>
      </w:pPr>
    </w:p>
    <w:p>
      <w:pPr>
        <w:ind w:left="340" w:right="780" w:hanging="332"/>
        <w:spacing w:after="0" w:line="219"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Represents the difference between non-cash equity earnings in unconsolidated entities (adjusted for our proportionate share of depreciation and amortization and gains or losses on significant asset sales) and cash distributions received from such entities.</w:t>
      </w:r>
    </w:p>
    <w:p>
      <w:pPr>
        <w:ind w:left="320" w:hanging="312"/>
        <w:spacing w:after="0" w:line="196" w:lineRule="auto"/>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1" w:lineRule="exact"/>
        <w:rPr>
          <w:rFonts w:ascii="Arial" w:cs="Arial" w:eastAsia="Arial" w:hAnsi="Arial"/>
          <w:sz w:val="23"/>
          <w:szCs w:val="23"/>
          <w:color w:val="auto"/>
          <w:vertAlign w:val="superscript"/>
        </w:rPr>
      </w:pPr>
    </w:p>
    <w:p>
      <w:pPr>
        <w:ind w:left="340" w:right="140" w:hanging="332"/>
        <w:spacing w:after="0" w:line="260" w:lineRule="auto"/>
        <w:tabs>
          <w:tab w:leader="none" w:pos="32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were paid in cash beginning with the May 2018 quarterly distribution. The current $61.25 per unit annual distribution requirement of our Series B preferred units, which were issued in October 2017, is payable semi-annually in arrears on May 15 and November 15.</w:t>
      </w:r>
    </w:p>
    <w:p>
      <w:pPr>
        <w:spacing w:after="0" w:line="3" w:lineRule="exact"/>
        <w:rPr>
          <w:rFonts w:ascii="Arial" w:cs="Arial" w:eastAsia="Arial" w:hAnsi="Arial"/>
          <w:sz w:val="21"/>
          <w:szCs w:val="21"/>
          <w:color w:val="auto"/>
          <w:vertAlign w:val="superscript"/>
        </w:rPr>
      </w:pPr>
    </w:p>
    <w:p>
      <w:pPr>
        <w:ind w:left="340" w:right="120" w:hanging="332"/>
        <w:spacing w:after="0" w:line="219"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divided by the weighted average common units outstanding for the period of 725 million, 725 million, 725 million, and 708 million, respectively.</w:t>
      </w:r>
    </w:p>
    <w:p>
      <w:pPr>
        <w:spacing w:after="0" w:line="1" w:lineRule="exact"/>
        <w:rPr>
          <w:rFonts w:ascii="Arial" w:cs="Arial" w:eastAsia="Arial" w:hAnsi="Arial"/>
          <w:sz w:val="23"/>
          <w:szCs w:val="23"/>
          <w:color w:val="auto"/>
          <w:vertAlign w:val="superscript"/>
        </w:rPr>
      </w:pPr>
    </w:p>
    <w:p>
      <w:pPr>
        <w:ind w:left="340" w:right="400" w:hanging="332"/>
        <w:spacing w:after="0" w:line="249" w:lineRule="auto"/>
        <w:tabs>
          <w:tab w:leader="none" w:pos="328"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Implied DCF Available to Common Unitholders for the period, adjusted for Series A preferred unit cash distributions paid (if any), divided by the weighted average common units and common equivalent units outstanding for the periods of 796 million, 791 million, 796 million, and 774 million, respectively. Our Series A preferred units are convertible into common units, generally on a one-for-one basis and subject to customary anti-dilution adjustments, at any time after January 28, 2018, in whole or in part, subject to certain minimum conversion amounts.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4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6"/>
              </w:rPr>
              <w:t>Net Income Per Common Unit to Implied DCF Per Common Unit and</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Common Equivalent Unit Reconciliation</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02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0.30</w:t>
            </w: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Implied DCF per common unit</w:t>
            </w:r>
          </w:p>
        </w:tc>
        <w:tc>
          <w:tcPr>
            <w:tcW w:w="2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02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0.31</w:t>
            </w: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Implied DCF per common unit and common equivalent unit</w:t>
            </w:r>
          </w:p>
        </w:tc>
        <w:tc>
          <w:tcPr>
            <w:tcW w:w="2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60" w:hanging="332"/>
        <w:spacing w:after="0" w:line="227"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and Implied DCF Reconciliation” table for additional information.</w:t>
      </w:r>
    </w:p>
    <w:p>
      <w:pPr>
        <w:ind w:left="320" w:hanging="312"/>
        <w:spacing w:after="0" w:line="196" w:lineRule="auto"/>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725 million, 725 million, 725 million and 708 million, respectively.</w:t>
      </w:r>
    </w:p>
    <w:p>
      <w:pPr>
        <w:spacing w:after="0" w:line="1" w:lineRule="exact"/>
        <w:rPr>
          <w:rFonts w:ascii="Arial" w:cs="Arial" w:eastAsia="Arial" w:hAnsi="Arial"/>
          <w:sz w:val="23"/>
          <w:szCs w:val="23"/>
          <w:color w:val="auto"/>
          <w:vertAlign w:val="superscript"/>
        </w:rPr>
      </w:pPr>
    </w:p>
    <w:p>
      <w:pPr>
        <w:ind w:left="340" w:right="200" w:hanging="332"/>
        <w:spacing w:after="0" w:line="219"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for the period of approximately 71 million, 66 million, 71 million and 66 million,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8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6"/>
              </w:rPr>
              <w:t>Net Income Per Common Unit to Adjusted Net Income Per Common</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Unit Reconciliation</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08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0.31</w:t>
            </w: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adjusted net income per common unit</w:t>
            </w:r>
          </w:p>
        </w:tc>
        <w:tc>
          <w:tcPr>
            <w:tcW w:w="30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Diluted net income per common unit</w:t>
            </w:r>
          </w:p>
        </w:tc>
        <w:tc>
          <w:tcPr>
            <w:tcW w:w="108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0.31</w:t>
            </w: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Diluted adjusted net income per common unit</w:t>
            </w:r>
          </w:p>
        </w:tc>
        <w:tc>
          <w:tcPr>
            <w:tcW w:w="3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13" w:name="page14"/>
    <w:bookmarkEnd w:id="13"/>
    <w:p>
      <w:pPr>
        <w:ind w:left="340" w:right="540" w:hanging="332"/>
        <w:spacing w:after="0" w:line="227"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2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ind w:left="4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78"/>
        </w:trPr>
        <w:tc>
          <w:tcPr>
            <w:tcW w:w="528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Fee-based Segment Adjusted EBITDA to Adjusted EBITDA</w:t>
            </w:r>
          </w:p>
        </w:tc>
        <w:tc>
          <w:tcPr>
            <w:tcW w:w="6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Reconciliation</w:t>
            </w:r>
          </w:p>
        </w:tc>
        <w:tc>
          <w:tcPr>
            <w:tcW w:w="6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Transportation Segment Adjusted EBITDA</w:t>
            </w:r>
          </w:p>
        </w:tc>
        <w:tc>
          <w:tcPr>
            <w:tcW w:w="142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360</w:t>
            </w: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695</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Facilities Segment Adjusted EBITDA</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r>
      <w:tr>
        <w:trPr>
          <w:trHeight w:val="210"/>
        </w:trPr>
        <w:tc>
          <w:tcPr>
            <w:tcW w:w="5280" w:type="dxa"/>
            <w:vAlign w:val="bottom"/>
          </w:tcPr>
          <w:p>
            <w:pPr>
              <w:ind w:left="180"/>
              <w:spacing w:after="0"/>
              <w:rPr>
                <w:sz w:val="20"/>
                <w:szCs w:val="20"/>
                <w:color w:val="auto"/>
              </w:rPr>
            </w:pPr>
            <w:r>
              <w:rPr>
                <w:rFonts w:ascii="Arial" w:cs="Arial" w:eastAsia="Arial" w:hAnsi="Arial"/>
                <w:sz w:val="18"/>
                <w:szCs w:val="18"/>
                <w:color w:val="auto"/>
              </w:rPr>
              <w:t>Fee-based Segment Adjusted EBITDA</w:t>
            </w:r>
          </w:p>
        </w:tc>
        <w:tc>
          <w:tcPr>
            <w:tcW w:w="620" w:type="dxa"/>
            <w:vAlign w:val="bottom"/>
          </w:tcPr>
          <w:p>
            <w:pPr>
              <w:spacing w:after="0"/>
              <w:rPr>
                <w:sz w:val="18"/>
                <w:szCs w:val="18"/>
                <w:color w:val="auto"/>
              </w:rPr>
            </w:pPr>
          </w:p>
        </w:tc>
        <w:tc>
          <w:tcPr>
            <w:tcW w:w="80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280" w:type="dxa"/>
            <w:vAlign w:val="bottom"/>
          </w:tcPr>
          <w:p>
            <w:pPr>
              <w:spacing w:after="0"/>
              <w:rPr>
                <w:sz w:val="18"/>
                <w:szCs w:val="18"/>
                <w:color w:val="auto"/>
              </w:rPr>
            </w:pPr>
          </w:p>
        </w:tc>
        <w:tc>
          <w:tcPr>
            <w:tcW w:w="78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Supply and Logistics Segment Adjusted EBITDA</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5280" w:type="dxa"/>
            <w:vAlign w:val="bottom"/>
          </w:tcPr>
          <w:p>
            <w:pPr>
              <w:spacing w:after="0" w:line="216"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0"/>
        </w:trPr>
        <w:tc>
          <w:tcPr>
            <w:tcW w:w="5280" w:type="dxa"/>
            <w:vAlign w:val="bottom"/>
            <w:tcBorders>
              <w:top w:val="single" w:sz="8" w:color="CCEEFF"/>
              <w:bottom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80" w:hanging="332"/>
        <w:spacing w:after="0" w:line="234"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income/(expense), net adjusted for selected items impacting comparability of $(10) million, less than $1 million, $(9) million and $5 million for the three and six months ended June 30, 2018 and 2017, respectively. See the “Selected Items Impacting Comparability” table for additional information.</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See the “Net Income to Adjusted EBITDA and Implied DCF Reconciliation” table for reconciliation to net income.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Twelve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to Adjusted EBITDA and Implied DCF Reconciliation</w:t>
            </w:r>
          </w:p>
        </w:tc>
        <w:tc>
          <w:tcPr>
            <w:tcW w:w="1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Income</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858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Selected items impacting comparability - Adjusted EBITDA</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EBITDA</w:t>
            </w:r>
          </w:p>
        </w:tc>
        <w:tc>
          <w:tcPr>
            <w:tcW w:w="140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shd w:val="clear" w:color="auto" w:fill="CCEEFF"/>
          </w:tcPr>
          <w:p>
            <w:pPr>
              <w:ind w:left="160"/>
              <w:spacing w:after="0" w:line="197" w:lineRule="exact"/>
              <w:rPr>
                <w:sz w:val="20"/>
                <w:szCs w:val="20"/>
                <w:color w:val="auto"/>
              </w:rPr>
            </w:pPr>
            <w:r>
              <w:rPr>
                <w:rFonts w:ascii="Arial" w:cs="Arial" w:eastAsia="Arial" w:hAnsi="Arial"/>
                <w:sz w:val="17"/>
                <w:szCs w:val="17"/>
                <w:color w:val="auto"/>
              </w:rPr>
              <w:t xml:space="preserve">Interest expense, net </w:t>
            </w:r>
            <w:r>
              <w:rPr>
                <w:rFonts w:ascii="Arial" w:cs="Arial" w:eastAsia="Arial" w:hAnsi="Arial"/>
                <w:sz w:val="22"/>
                <w:szCs w:val="22"/>
                <w:color w:val="auto"/>
                <w:vertAlign w:val="superscript"/>
              </w:rPr>
              <w:t>(2)</w:t>
            </w:r>
          </w:p>
        </w:tc>
        <w:tc>
          <w:tcPr>
            <w:tcW w:w="1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(483)</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Maintenance capital</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3"/>
                <w:szCs w:val="23"/>
                <w:color w:val="auto"/>
                <w:vertAlign w:val="superscript"/>
              </w:rPr>
              <w:t>(3)</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noncontrolling interests</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Implied DCF</w:t>
            </w:r>
          </w:p>
        </w:tc>
        <w:tc>
          <w:tcPr>
            <w:tcW w:w="1400" w:type="dxa"/>
            <w:vAlign w:val="bottom"/>
          </w:tcPr>
          <w:p>
            <w:pPr>
              <w:spacing w:after="0"/>
              <w:rPr>
                <w:sz w:val="18"/>
                <w:szCs w:val="18"/>
                <w:color w:val="auto"/>
              </w:rPr>
            </w:pPr>
          </w:p>
        </w:tc>
        <w:tc>
          <w:tcPr>
            <w:tcW w:w="90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3"/>
                <w:szCs w:val="23"/>
                <w:color w:val="auto"/>
                <w:vertAlign w:val="superscript"/>
              </w:rPr>
              <w:t>(4)</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General partner cash distributions </w:t>
            </w:r>
            <w:r>
              <w:rPr>
                <w:rFonts w:ascii="Arial" w:cs="Arial" w:eastAsia="Arial" w:hAnsi="Arial"/>
                <w:sz w:val="23"/>
                <w:szCs w:val="23"/>
                <w:color w:val="auto"/>
                <w:vertAlign w:val="superscript"/>
              </w:rPr>
              <w:t>(5)</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Available to Common Unitholders</w:t>
            </w: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(6)</w:t>
            </w:r>
          </w:p>
        </w:tc>
        <w:tc>
          <w:tcPr>
            <w:tcW w:w="2300" w:type="dxa"/>
            <w:vAlign w:val="bottom"/>
            <w:gridSpan w:val="2"/>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line="216"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(7)</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1.67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Cash Distribution Paid per Common Unit</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1.95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(8)</w:t>
            </w:r>
          </w:p>
        </w:tc>
        <w:tc>
          <w:tcPr>
            <w:tcW w:w="2300" w:type="dxa"/>
            <w:vAlign w:val="bottom"/>
            <w:gridSpan w:val="2"/>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Common Unit Distribution Coverage Ratio</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0.94x</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0.87x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Implied DCF Excess / (Shortage)</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40" w:right="100" w:hanging="332"/>
        <w:spacing w:after="0" w:line="227"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Adjustment to add back our proportionate share of depreciation and amortization expense and gains or losses on significant asset sales of unconsolidated entities.</w:t>
      </w:r>
    </w:p>
    <w:p>
      <w:pPr>
        <w:ind w:left="320" w:hanging="312"/>
        <w:spacing w:after="0" w:line="205" w:lineRule="auto"/>
        <w:tabs>
          <w:tab w:leader="none" w:pos="320"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1" w:lineRule="exact"/>
        <w:rPr>
          <w:rFonts w:ascii="Arial" w:cs="Arial" w:eastAsia="Arial" w:hAnsi="Arial"/>
          <w:sz w:val="22"/>
          <w:szCs w:val="22"/>
          <w:color w:val="auto"/>
          <w:vertAlign w:val="superscript"/>
        </w:rPr>
      </w:pPr>
    </w:p>
    <w:p>
      <w:pPr>
        <w:ind w:left="340" w:right="780" w:hanging="332"/>
        <w:spacing w:after="0" w:line="219"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Represents the difference between non-cash equity earnings in unconsolidated entities (adjusted for our proportionate share of depreciation and amortization and gains or losses on significant asset sales) and cash distributions received from such entities.</w:t>
      </w:r>
    </w:p>
    <w:p>
      <w:pPr>
        <w:ind w:left="340" w:right="60" w:hanging="332"/>
        <w:spacing w:after="0" w:line="271" w:lineRule="auto"/>
        <w:tabs>
          <w:tab w:leader="none" w:pos="328"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Cash distributions paid to our preferred unitholders during the period presented. The $0.5250 quarterly ($2.10 annualized) per unit distribution requirement of our Series A preferred units has been paid-in-kind for each quarterly distribution since their issuance; as such, no Series A preferred unit distributions are included for any periods presented. Distributions on our Series A preferred units must be paid in cash beginning with the May 2018 quarterly distribution. The $61.25 per unit annual distribution requirement of our Series B preferred units, which were issued in October 2017, is payable semi-annually in arrears on May 15 and November 15. A pro-rated initial distribution on the Series B preferred units was paid on November 15, 2017.</w:t>
      </w:r>
    </w:p>
    <w:p>
      <w:pPr>
        <w:sectPr>
          <w:pgSz w:w="11900" w:h="16838" w:orient="portrait"/>
          <w:cols w:equalWidth="0" w:num="1">
            <w:col w:w="11420"/>
          </w:cols>
          <w:pgMar w:left="240" w:top="125" w:right="239" w:bottom="0" w:gutter="0" w:footer="0" w:header="0"/>
        </w:sectPr>
      </w:pPr>
    </w:p>
    <w:bookmarkStart w:id="14" w:name="page15"/>
    <w:bookmarkEnd w:id="14"/>
    <w:p>
      <w:pPr>
        <w:ind w:left="340" w:right="340" w:hanging="332"/>
        <w:spacing w:after="0" w:line="227"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The Simplification Transactions, which closed on November 15, 2016, simplified our governance structure and permanently eliminated our incentive distribution rights (IDRs) and the economic rights associated with our 2% general partner interest.</w:t>
      </w:r>
    </w:p>
    <w:p>
      <w:pPr>
        <w:ind w:left="340" w:right="80" w:hanging="332"/>
        <w:spacing w:after="0" w:line="219"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divided by the weighted average common units outstanding for the periods of 717 million and 464 million, respectively.</w:t>
      </w:r>
    </w:p>
    <w:p>
      <w:pPr>
        <w:spacing w:after="0" w:line="1" w:lineRule="exact"/>
        <w:rPr>
          <w:rFonts w:ascii="Arial" w:cs="Arial" w:eastAsia="Arial" w:hAnsi="Arial"/>
          <w:sz w:val="23"/>
          <w:szCs w:val="23"/>
          <w:color w:val="auto"/>
          <w:vertAlign w:val="superscript"/>
        </w:rPr>
      </w:pPr>
    </w:p>
    <w:p>
      <w:pPr>
        <w:ind w:left="340" w:right="160" w:hanging="332"/>
        <w:spacing w:after="0" w:line="234"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adjusted for Series A preferred unit cash distributions paid (if any), divided by the weighted average common units and common equivalent units outstanding for the periods of 784 million and 522 million, respectively. Our Series A preferred units are convertible into common units, generally on a one-for-one basis and subject to customary anti-dilution adjustments, at any time after January 28, 2018, in whole or in part, subject to certain minimum conversion amounts.</w:t>
      </w:r>
    </w:p>
    <w:p>
      <w:pPr>
        <w:spacing w:after="0" w:line="1" w:lineRule="exact"/>
        <w:rPr>
          <w:rFonts w:ascii="Arial" w:cs="Arial" w:eastAsia="Arial" w:hAnsi="Arial"/>
          <w:sz w:val="23"/>
          <w:szCs w:val="23"/>
          <w:color w:val="auto"/>
          <w:vertAlign w:val="superscript"/>
        </w:rPr>
      </w:pPr>
    </w:p>
    <w:p>
      <w:pPr>
        <w:ind w:left="340" w:right="80" w:hanging="332"/>
        <w:spacing w:after="0" w:line="219"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 For the twelve months ended December 31, 2016, includes $565 million of cash distributions paid to the general partner during the period.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Twelve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4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7"/>
              </w:rPr>
              <w:t>Net Income Per Common Unit to Implied DCF Per Common Unit and Common Equivalent Unit</w:t>
            </w: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Reconciliation</w:t>
            </w: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38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0.96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Implied DCF per common unit</w:t>
            </w:r>
          </w:p>
        </w:tc>
        <w:tc>
          <w:tcPr>
            <w:tcW w:w="44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38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0.96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(3)</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Implied DCF per common unit and common equivalent unit</w:t>
            </w:r>
          </w:p>
        </w:tc>
        <w:tc>
          <w:tcPr>
            <w:tcW w:w="4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60" w:hanging="332"/>
        <w:spacing w:after="0" w:line="227"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and Implied DCF Reconciliation” table for additional information.</w:t>
      </w:r>
    </w:p>
    <w:p>
      <w:pPr>
        <w:ind w:left="320" w:hanging="312"/>
        <w:spacing w:after="0" w:line="196" w:lineRule="auto"/>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717 million and 464 million, respectively.</w:t>
      </w:r>
    </w:p>
    <w:p>
      <w:pPr>
        <w:spacing w:after="0" w:line="1" w:lineRule="exact"/>
        <w:rPr>
          <w:rFonts w:ascii="Arial" w:cs="Arial" w:eastAsia="Arial" w:hAnsi="Arial"/>
          <w:sz w:val="23"/>
          <w:szCs w:val="23"/>
          <w:color w:val="auto"/>
          <w:vertAlign w:val="superscript"/>
        </w:rPr>
      </w:pPr>
    </w:p>
    <w:p>
      <w:pPr>
        <w:ind w:left="340" w:right="200" w:hanging="332"/>
        <w:spacing w:after="0" w:line="219"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for the period of 67 million and 58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2"/>
              </w:rPr>
              <w:t>June 30, 2017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w w:val="97"/>
              </w:rPr>
              <w:t>Transportation</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w w:val="95"/>
              </w:rPr>
              <w:t>Transportation</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Logistics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line="216" w:lineRule="exact"/>
              <w:rPr>
                <w:sz w:val="20"/>
                <w:szCs w:val="20"/>
                <w:color w:val="auto"/>
              </w:rPr>
            </w:pPr>
            <w:r>
              <w:rPr>
                <w:rFonts w:ascii="Arial" w:cs="Arial" w:eastAsia="Arial" w:hAnsi="Arial"/>
                <w:sz w:val="18"/>
                <w:szCs w:val="18"/>
                <w:color w:val="auto"/>
              </w:rPr>
              <w:t xml:space="preserve">Impact of divested assets </w:t>
            </w:r>
            <w:r>
              <w:rPr>
                <w:rFonts w:ascii="Arial" w:cs="Arial" w:eastAsia="Arial" w:hAnsi="Arial"/>
                <w:sz w:val="23"/>
                <w:szCs w:val="23"/>
                <w:color w:val="auto"/>
                <w:vertAlign w:val="superscript"/>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8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Segment Adjusted EBITDA further</w:t>
            </w: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for impact of divested</w:t>
            </w: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8"/>
                <w:szCs w:val="18"/>
                <w:color w:val="auto"/>
              </w:rPr>
              <w:t>358</w:t>
            </w:r>
          </w:p>
        </w:tc>
        <w:tc>
          <w:tcPr>
            <w:tcW w:w="36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171</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282</w:t>
            </w:r>
          </w:p>
        </w:tc>
        <w:tc>
          <w:tcPr>
            <w:tcW w:w="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40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140" w:type="dxa"/>
            <w:vAlign w:val="bottom"/>
            <w:tcBorders>
              <w:right w:val="single" w:sz="8" w:color="auto"/>
            </w:tcBorders>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2"/>
              </w:rPr>
              <w:t>June 30, 2017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w w:val="97"/>
              </w:rPr>
              <w:t>Transportation</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w w:val="95"/>
              </w:rPr>
              <w:t>Transportation</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Logistics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line="216" w:lineRule="exact"/>
              <w:rPr>
                <w:sz w:val="20"/>
                <w:szCs w:val="20"/>
                <w:color w:val="auto"/>
              </w:rPr>
            </w:pPr>
            <w:r>
              <w:rPr>
                <w:rFonts w:ascii="Arial" w:cs="Arial" w:eastAsia="Arial" w:hAnsi="Arial"/>
                <w:sz w:val="18"/>
                <w:szCs w:val="18"/>
                <w:color w:val="auto"/>
              </w:rPr>
              <w:t xml:space="preserve">Impact of divested assets </w:t>
            </w:r>
            <w:r>
              <w:rPr>
                <w:rFonts w:ascii="Arial" w:cs="Arial" w:eastAsia="Arial" w:hAnsi="Arial"/>
                <w:sz w:val="23"/>
                <w:szCs w:val="23"/>
                <w:color w:val="auto"/>
                <w:vertAlign w:val="superscript"/>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8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Segment Adjusted EBITDA further</w:t>
            </w: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for impact of divested</w:t>
            </w: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8"/>
                <w:szCs w:val="18"/>
                <w:color w:val="auto"/>
              </w:rPr>
              <w:t>689</w:t>
            </w:r>
          </w:p>
        </w:tc>
        <w:tc>
          <w:tcPr>
            <w:tcW w:w="36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355</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545</w:t>
            </w:r>
          </w:p>
        </w:tc>
        <w:tc>
          <w:tcPr>
            <w:tcW w:w="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339</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40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60" w:hanging="332"/>
        <w:spacing w:after="0" w:line="269" w:lineRule="auto"/>
        <w:tabs>
          <w:tab w:leader="none" w:pos="328"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Estimated impact of divestitures completed during 2017 and the first six months of 2018, assuming an effective date of 1/1/17. Divested assets include certain pipelines in the Rocky Mountain and Central regions that were previously reported in our Transportation segment, and certain Bay Area, California terminal assets, a natural gas storage facility and a natural gas processing facility that were previously reported in our Facilities segment.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82" w:gutter="0" w:footer="0" w:header="0"/>
        </w:sectPr>
      </w:pPr>
    </w:p>
    <w:bookmarkStart w:id="15" w:name="page16"/>
    <w:bookmarkEnd w:id="15"/>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Common Unit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960" w:type="dxa"/>
            <w:vAlign w:val="bottom"/>
            <w:gridSpan w:val="2"/>
          </w:tcPr>
          <w:p>
            <w:pPr>
              <w:jc w:val="right"/>
              <w:ind w:right="59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388</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Selected items impacting comparability - Adjusted net income attributable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to PAA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w:t>
            </w:r>
          </w:p>
        </w:tc>
        <w:tc>
          <w:tcPr>
            <w:tcW w:w="7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80" w:type="dxa"/>
            <w:vAlign w:val="bottom"/>
          </w:tcPr>
          <w:p>
            <w:pPr>
              <w:spacing w:after="0"/>
              <w:rPr>
                <w:sz w:val="18"/>
                <w:szCs w:val="18"/>
                <w:color w:val="auto"/>
              </w:rPr>
            </w:pPr>
          </w:p>
        </w:tc>
        <w:tc>
          <w:tcPr>
            <w:tcW w:w="780" w:type="dxa"/>
            <w:vAlign w:val="bottom"/>
            <w:tcBorders>
              <w:top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18"/>
                <w:szCs w:val="18"/>
                <w:color w:val="auto"/>
              </w:rPr>
            </w:pPr>
          </w:p>
        </w:tc>
        <w:tc>
          <w:tcPr>
            <w:tcW w:w="760" w:type="dxa"/>
            <w:vAlign w:val="bottom"/>
            <w:tcBorders>
              <w:top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net income allocated to common unitholders</w:t>
            </w:r>
          </w:p>
        </w:tc>
        <w:tc>
          <w:tcPr>
            <w:tcW w:w="18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725</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Basic adjusted net income per common unit</w:t>
            </w:r>
          </w:p>
        </w:tc>
        <w:tc>
          <w:tcPr>
            <w:tcW w:w="960" w:type="dxa"/>
            <w:vAlign w:val="bottom"/>
            <w:gridSpan w:val="2"/>
          </w:tcPr>
          <w:p>
            <w:pPr>
              <w:jc w:val="right"/>
              <w:ind w:right="59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0.38</w:t>
            </w: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0.73</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960" w:type="dxa"/>
            <w:vAlign w:val="bottom"/>
            <w:gridSpan w:val="2"/>
            <w:shd w:val="clear" w:color="auto" w:fill="CCEEFF"/>
          </w:tcPr>
          <w:p>
            <w:pPr>
              <w:jc w:val="right"/>
              <w:ind w:right="596"/>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388</w:t>
            </w: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tcPr>
          <w:p>
            <w:pPr>
              <w:ind w:left="160"/>
              <w:spacing w:after="0" w:line="201" w:lineRule="exact"/>
              <w:rPr>
                <w:sz w:val="20"/>
                <w:szCs w:val="20"/>
                <w:color w:val="auto"/>
              </w:rPr>
            </w:pPr>
            <w:r>
              <w:rPr>
                <w:rFonts w:ascii="Arial" w:cs="Arial" w:eastAsia="Arial" w:hAnsi="Arial"/>
                <w:sz w:val="18"/>
                <w:szCs w:val="18"/>
                <w:color w:val="auto"/>
                <w:w w:val="94"/>
              </w:rPr>
              <w:t>Selected items impacting comparability - Adjusted net income attributable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to PAA </w:t>
            </w:r>
            <w:r>
              <w:rPr>
                <w:rFonts w:ascii="Arial" w:cs="Arial" w:eastAsia="Arial" w:hAnsi="Arial"/>
                <w:sz w:val="23"/>
                <w:szCs w:val="23"/>
                <w:color w:val="auto"/>
                <w:vertAlign w:val="superscript"/>
              </w:rPr>
              <w:t>(2)</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224</w:t>
            </w:r>
          </w:p>
        </w:tc>
        <w:tc>
          <w:tcPr>
            <w:tcW w:w="76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allocated to common unitholders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weighted average common units outstanding</w:t>
            </w:r>
          </w:p>
        </w:tc>
        <w:tc>
          <w:tcPr>
            <w:tcW w:w="18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2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line="216" w:lineRule="exact"/>
              <w:rPr>
                <w:sz w:val="20"/>
                <w:szCs w:val="20"/>
                <w:color w:val="auto"/>
              </w:rPr>
            </w:pPr>
            <w:r>
              <w:rPr>
                <w:rFonts w:ascii="Arial" w:cs="Arial" w:eastAsia="Arial" w:hAnsi="Arial"/>
                <w:sz w:val="18"/>
                <w:szCs w:val="18"/>
                <w:color w:val="auto"/>
              </w:rPr>
              <w:t xml:space="preserve">Diluted adjusted net income per common unit </w:t>
            </w:r>
            <w:r>
              <w:rPr>
                <w:rFonts w:ascii="Arial" w:cs="Arial" w:eastAsia="Arial" w:hAnsi="Arial"/>
                <w:sz w:val="23"/>
                <w:szCs w:val="23"/>
                <w:color w:val="auto"/>
                <w:vertAlign w:val="superscript"/>
              </w:rPr>
              <w:t>(4)</w:t>
            </w:r>
          </w:p>
        </w:tc>
        <w:tc>
          <w:tcPr>
            <w:tcW w:w="960" w:type="dxa"/>
            <w:vAlign w:val="bottom"/>
            <w:gridSpan w:val="2"/>
          </w:tcPr>
          <w:p>
            <w:pPr>
              <w:jc w:val="right"/>
              <w:ind w:right="59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0.38</w:t>
            </w: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0.73</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38"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ind w:left="320" w:hanging="312"/>
        <w:spacing w:after="0" w:line="196" w:lineRule="auto"/>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160" w:hanging="332"/>
        <w:spacing w:after="0" w:line="236"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Our LTIP awards that contemplate the issuance of common units and certain AAP Management Units that contemplate the issuance of common units to AAP when such AAP Management Units become earned are considered dilutive unless (i) they become vested or earned only upon the satisfaction of a performance condition and (ii) that performance condition has yet to be satisfied. LTIP awards and AAP Management Units that are deemed to be dilutive are reduced by a hypothetical common unit repurchase based on the remaining unamortized fair value, as prescribed by the treasury stock method in guidance issued by the FASB.</w:t>
      </w:r>
    </w:p>
    <w:p>
      <w:pPr>
        <w:spacing w:after="0" w:line="4" w:lineRule="exact"/>
        <w:rPr>
          <w:rFonts w:ascii="Arial" w:cs="Arial" w:eastAsia="Arial" w:hAnsi="Arial"/>
          <w:sz w:val="23"/>
          <w:szCs w:val="23"/>
          <w:color w:val="auto"/>
          <w:vertAlign w:val="superscript"/>
        </w:rPr>
      </w:pPr>
    </w:p>
    <w:p>
      <w:pPr>
        <w:ind w:left="340" w:right="180" w:hanging="332"/>
        <w:spacing w:after="0" w:line="219"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adjusted net income per common unit for the three and six months ended June 30, 2018 and 2017 as the effect was antidilutive.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5"/>
          </w:tcPr>
          <w:p>
            <w:pPr>
              <w:jc w:val="center"/>
              <w:ind w:right="190"/>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60" w:type="dxa"/>
            <w:vAlign w:val="bottom"/>
            <w:gridSpan w:val="5"/>
          </w:tcPr>
          <w:p>
            <w:pPr>
              <w:jc w:val="center"/>
              <w:ind w:right="125"/>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450"/>
              <w:spacing w:after="0"/>
              <w:rPr>
                <w:sz w:val="20"/>
                <w:szCs w:val="20"/>
                <w:color w:val="auto"/>
              </w:rPr>
            </w:pPr>
            <w:r>
              <w:rPr>
                <w:rFonts w:ascii="Arial" w:cs="Arial" w:eastAsia="Arial" w:hAnsi="Arial"/>
                <w:sz w:val="14"/>
                <w:szCs w:val="14"/>
                <w:b w:val="1"/>
                <w:bCs w:val="1"/>
                <w:color w:val="auto"/>
                <w:w w:val="92"/>
              </w:rPr>
              <w:t>June 30, 2018</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425"/>
              <w:spacing w:after="0"/>
              <w:rPr>
                <w:sz w:val="20"/>
                <w:szCs w:val="20"/>
                <w:color w:val="auto"/>
              </w:rPr>
            </w:pPr>
            <w:r>
              <w:rPr>
                <w:rFonts w:ascii="Arial" w:cs="Arial" w:eastAsia="Arial" w:hAnsi="Arial"/>
                <w:sz w:val="14"/>
                <w:szCs w:val="14"/>
                <w:b w:val="1"/>
                <w:bCs w:val="1"/>
                <w:color w:val="auto"/>
                <w:w w:val="92"/>
              </w:rPr>
              <w:t>June 30, 2017</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PAA</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3"/>
          </w:tcPr>
          <w:p>
            <w:pPr>
              <w:jc w:val="center"/>
              <w:ind w:right="450"/>
              <w:spacing w:after="0" w:line="119" w:lineRule="exact"/>
              <w:rPr>
                <w:sz w:val="20"/>
                <w:szCs w:val="20"/>
                <w:color w:val="auto"/>
              </w:rPr>
            </w:pPr>
            <w:r>
              <w:rPr>
                <w:rFonts w:ascii="Arial" w:cs="Arial" w:eastAsia="Arial" w:hAnsi="Arial"/>
                <w:sz w:val="13"/>
                <w:szCs w:val="13"/>
                <w:b w:val="1"/>
                <w:bCs w:val="1"/>
                <w:color w:val="auto"/>
                <w:w w:val="96"/>
              </w:rPr>
              <w:t>Consolidating</w:t>
            </w: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PAA</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3"/>
          </w:tcPr>
          <w:p>
            <w:pPr>
              <w:jc w:val="center"/>
              <w:ind w:right="445"/>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45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425"/>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3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16" w:name="page17"/>
    <w:bookmarkEnd w:id="1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7,551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7,551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5,320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3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7,994</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5,821</w:t>
            </w: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257</w:t>
            </w:r>
          </w:p>
        </w:tc>
        <w:tc>
          <w:tcPr>
            <w:tcW w:w="4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ind w:left="16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3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640" w:type="dxa"/>
            <w:vAlign w:val="bottom"/>
            <w:vMerge w:val="continue"/>
            <w:shd w:val="clear" w:color="auto" w:fill="CCEEFF"/>
          </w:tcPr>
          <w:p>
            <w:pPr>
              <w:spacing w:after="0"/>
              <w:rPr>
                <w:sz w:val="15"/>
                <w:szCs w:val="15"/>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58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4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188</w:t>
            </w: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4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38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NET INCOME</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PER CLASS A SHARE</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WEIGHTED</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AVERAGE CLASS A SHARES</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tcPr>
          <w:p>
            <w:pPr>
              <w:jc w:val="center"/>
              <w:ind w:right="350"/>
              <w:spacing w:after="0"/>
              <w:rPr>
                <w:sz w:val="20"/>
                <w:szCs w:val="20"/>
                <w:color w:val="auto"/>
              </w:rPr>
            </w:pPr>
            <w:r>
              <w:rPr>
                <w:rFonts w:ascii="Arial" w:cs="Arial" w:eastAsia="Arial" w:hAnsi="Arial"/>
                <w:sz w:val="14"/>
                <w:szCs w:val="14"/>
                <w:b w:val="1"/>
                <w:bCs w:val="1"/>
                <w:color w:val="auto"/>
                <w:w w:val="92"/>
              </w:rPr>
              <w:t>Six Months Ended</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center"/>
              <w:ind w:right="285"/>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450"/>
              <w:spacing w:after="0"/>
              <w:rPr>
                <w:sz w:val="20"/>
                <w:szCs w:val="20"/>
                <w:color w:val="auto"/>
              </w:rPr>
            </w:pPr>
            <w:r>
              <w:rPr>
                <w:rFonts w:ascii="Arial" w:cs="Arial" w:eastAsia="Arial" w:hAnsi="Arial"/>
                <w:sz w:val="14"/>
                <w:szCs w:val="14"/>
                <w:b w:val="1"/>
                <w:bCs w:val="1"/>
                <w:color w:val="auto"/>
                <w:w w:val="92"/>
              </w:rPr>
              <w:t>June 30, 2018</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425"/>
              <w:spacing w:after="0"/>
              <w:rPr>
                <w:sz w:val="20"/>
                <w:szCs w:val="20"/>
                <w:color w:val="auto"/>
              </w:rPr>
            </w:pPr>
            <w:r>
              <w:rPr>
                <w:rFonts w:ascii="Arial" w:cs="Arial" w:eastAsia="Arial" w:hAnsi="Arial"/>
                <w:sz w:val="14"/>
                <w:szCs w:val="14"/>
                <w:b w:val="1"/>
                <w:bCs w:val="1"/>
                <w:color w:val="auto"/>
                <w:w w:val="92"/>
              </w:rPr>
              <w:t>June 30, 2017</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PAA</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3"/>
          </w:tcPr>
          <w:p>
            <w:pPr>
              <w:jc w:val="center"/>
              <w:ind w:right="450"/>
              <w:spacing w:after="0" w:line="119" w:lineRule="exact"/>
              <w:rPr>
                <w:sz w:val="20"/>
                <w:szCs w:val="20"/>
                <w:color w:val="auto"/>
              </w:rPr>
            </w:pPr>
            <w:r>
              <w:rPr>
                <w:rFonts w:ascii="Arial" w:cs="Arial" w:eastAsia="Arial" w:hAnsi="Arial"/>
                <w:sz w:val="13"/>
                <w:szCs w:val="13"/>
                <w:b w:val="1"/>
                <w:bCs w:val="1"/>
                <w:color w:val="auto"/>
                <w:w w:val="96"/>
              </w:rPr>
              <w:t>Consolidating</w:t>
            </w:r>
          </w:p>
        </w:tc>
        <w:tc>
          <w:tcPr>
            <w:tcW w:w="11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220" w:type="dxa"/>
            <w:vAlign w:val="bottom"/>
          </w:tcPr>
          <w:p>
            <w:pPr>
              <w:spacing w:after="0"/>
              <w:rPr>
                <w:sz w:val="10"/>
                <w:szCs w:val="10"/>
                <w:color w:val="auto"/>
              </w:rPr>
            </w:pPr>
          </w:p>
        </w:tc>
        <w:tc>
          <w:tcPr>
            <w:tcW w:w="9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PAA</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3"/>
          </w:tcPr>
          <w:p>
            <w:pPr>
              <w:jc w:val="center"/>
              <w:ind w:right="445"/>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45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1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425"/>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16,478</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15,070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15,070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10,912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3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16,012</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3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3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ind w:left="16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(509)</w:t>
            </w: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6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8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8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right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8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8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17" w:name="page18"/>
    <w:bookmarkEnd w:id="17"/>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(567)</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right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NET INCOME</w:t>
            </w: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PER CLASS A SHARE</w:t>
            </w: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20" w:type="dxa"/>
            <w:vAlign w:val="bottom"/>
            <w:tcBorders>
              <w:right w:val="single" w:sz="8" w:color="auto"/>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WEIGHTED</w:t>
            </w: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AVERAGE CLASS A SHARES</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2018</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22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Consolidating</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3,855</w:t>
            </w:r>
          </w:p>
        </w:tc>
        <w:tc>
          <w:tcPr>
            <w:tcW w:w="1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14,273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2,535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2,535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1,377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1,377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Long-term inventory</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25,699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27,092</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PARTNERS’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b w:val="1"/>
                <w:bCs w:val="1"/>
                <w:color w:val="auto"/>
              </w:rPr>
              <w:t>CAPITAL</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w w:val="96"/>
              </w:rPr>
              <w:t>Senior notes, net of unamortized discounts and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8,937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8,937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8,933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9"/>
              </w:rPr>
              <w:t>Other long-term liabilities and deferred credits</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787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14,877</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Partners’ capital excluding noncontrolling</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10,824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1,661</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(9,263)</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10,554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10,554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10,663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10,663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12,215</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27,092</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478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45" w:lineRule="exact"/>
        <w:rPr>
          <w:sz w:val="20"/>
          <w:szCs w:val="20"/>
          <w:color w:val="auto"/>
        </w:rPr>
      </w:pPr>
    </w:p>
    <w:tbl>
      <w:tblPr>
        <w:tblLayout w:type="fixed"/>
        <w:tblInd w:w="5900" w:type="dxa"/>
        <w:tblCellMar>
          <w:top w:w="0" w:type="dxa"/>
          <w:left w:w="0" w:type="dxa"/>
          <w:bottom w:w="0" w:type="dxa"/>
          <w:right w:w="0" w:type="dxa"/>
        </w:tblCellMar>
      </w:tblPr>
      <w:tr>
        <w:trPr>
          <w:trHeight w:val="161"/>
        </w:trPr>
        <w:tc>
          <w:tcPr>
            <w:tcW w:w="28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2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880" w:type="dxa"/>
            <w:vAlign w:val="bottom"/>
          </w:tcPr>
          <w:p>
            <w:pPr>
              <w:spacing w:after="0"/>
              <w:rPr>
                <w:sz w:val="14"/>
                <w:szCs w:val="14"/>
                <w:color w:val="auto"/>
              </w:rPr>
            </w:pPr>
          </w:p>
        </w:tc>
        <w:tc>
          <w:tcPr>
            <w:tcW w:w="198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Pr>
          <w:p>
            <w:pPr>
              <w:spacing w:after="0"/>
              <w:rPr>
                <w:sz w:val="14"/>
                <w:szCs w:val="14"/>
                <w:color w:val="auto"/>
              </w:rPr>
            </w:pPr>
          </w:p>
        </w:tc>
        <w:tc>
          <w:tcPr>
            <w:tcW w:w="1700" w:type="dxa"/>
            <w:vAlign w:val="bottom"/>
          </w:tcPr>
          <w:p>
            <w:pPr>
              <w:jc w:val="center"/>
              <w:ind w:right="788"/>
              <w:spacing w:after="0"/>
              <w:rPr>
                <w:sz w:val="20"/>
                <w:szCs w:val="20"/>
                <w:color w:val="auto"/>
              </w:rPr>
            </w:pPr>
            <w:r>
              <w:rPr>
                <w:rFonts w:ascii="Arial" w:cs="Arial" w:eastAsia="Arial" w:hAnsi="Arial"/>
                <w:sz w:val="14"/>
                <w:szCs w:val="14"/>
                <w:b w:val="1"/>
                <w:bCs w:val="1"/>
                <w:color w:val="auto"/>
                <w:w w:val="92"/>
              </w:rPr>
              <w:t>June 30,</w:t>
            </w:r>
          </w:p>
        </w:tc>
      </w:tr>
      <w:tr>
        <w:trPr>
          <w:trHeight w:val="180"/>
        </w:trPr>
        <w:tc>
          <w:tcPr>
            <w:tcW w:w="8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170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5"/>
                <w:szCs w:val="15"/>
                <w:color w:val="auto"/>
              </w:rPr>
            </w:pPr>
          </w:p>
        </w:tc>
        <w:tc>
          <w:tcPr>
            <w:tcW w:w="8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70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r>
    </w:tbl>
    <w:p>
      <w:pPr>
        <w:sectPr>
          <w:pgSz w:w="11900" w:h="16949" w:orient="portrait"/>
          <w:cols w:equalWidth="0" w:num="1">
            <w:col w:w="11420"/>
          </w:cols>
          <w:pgMar w:left="240" w:top="130"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Borders>
              <w:top w:val="single" w:sz="8" w:color="CCEEFF"/>
            </w:tcBorders>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Basic and Diluted Net Income per Class A Share </w:t>
            </w:r>
            <w:r>
              <w:rPr>
                <w:rFonts w:ascii="Arial" w:cs="Arial" w:eastAsia="Arial" w:hAnsi="Arial"/>
                <w:sz w:val="23"/>
                <w:szCs w:val="23"/>
                <w:b w:val="1"/>
                <w:bCs w:val="1"/>
                <w:color w:val="auto"/>
                <w:vertAlign w:val="superscript"/>
              </w:rPr>
              <w:t>(1)</w:t>
            </w:r>
          </w:p>
        </w:tc>
        <w:tc>
          <w:tcPr>
            <w:tcW w:w="5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 average Class A shares outstanding</w:t>
            </w: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5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income per Class A share</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0.05</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0.16</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0" w:hanging="332"/>
        <w:spacing w:after="0" w:line="227" w:lineRule="auto"/>
        <w:tabs>
          <w:tab w:leader="none" w:pos="32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For the three and six months ended June 30, 2018 and 2017, the possible exchange of any AAP units and certain AAP Management Units would not have had a dilutive effect on basic net income per Class A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28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4600" w:type="dxa"/>
            <w:vAlign w:val="bottom"/>
            <w:gridSpan w:val="2"/>
          </w:tcPr>
          <w:p>
            <w:pPr>
              <w:spacing w:after="0"/>
              <w:rPr>
                <w:sz w:val="20"/>
                <w:szCs w:val="20"/>
                <w:color w:val="auto"/>
              </w:rPr>
            </w:pPr>
            <w:r>
              <w:rPr>
                <w:rFonts w:ascii="Arial" w:cs="Arial" w:eastAsia="Arial" w:hAnsi="Arial"/>
                <w:sz w:val="18"/>
                <w:szCs w:val="18"/>
                <w:color w:val="auto"/>
              </w:rPr>
              <w:t>Roy Lamoreaux</w:t>
            </w:r>
          </w:p>
        </w:tc>
        <w:tc>
          <w:tcPr>
            <w:tcW w:w="2280" w:type="dxa"/>
            <w:vAlign w:val="bottom"/>
          </w:tcPr>
          <w:p>
            <w:pPr>
              <w:ind w:left="1340"/>
              <w:spacing w:after="0"/>
              <w:rPr>
                <w:sz w:val="20"/>
                <w:szCs w:val="20"/>
                <w:color w:val="auto"/>
              </w:rPr>
            </w:pPr>
            <w:r>
              <w:rPr>
                <w:rFonts w:ascii="Arial" w:cs="Arial" w:eastAsia="Arial" w:hAnsi="Arial"/>
                <w:sz w:val="18"/>
                <w:szCs w:val="18"/>
                <w:color w:val="auto"/>
              </w:rPr>
              <w:t>Brett Magill</w:t>
            </w:r>
          </w:p>
        </w:tc>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Vice President, Investor Relations &amp; Communications</w:t>
            </w:r>
          </w:p>
        </w:tc>
        <w:tc>
          <w:tcPr>
            <w:tcW w:w="6820" w:type="dxa"/>
            <w:vAlign w:val="bottom"/>
            <w:gridSpan w:val="2"/>
          </w:tcPr>
          <w:p>
            <w:pPr>
              <w:ind w:left="1340"/>
              <w:spacing w:after="0"/>
              <w:rPr>
                <w:sz w:val="20"/>
                <w:szCs w:val="20"/>
                <w:color w:val="auto"/>
              </w:rPr>
            </w:pPr>
            <w:r>
              <w:rPr>
                <w:rFonts w:ascii="Arial" w:cs="Arial" w:eastAsia="Arial" w:hAnsi="Arial"/>
                <w:sz w:val="18"/>
                <w:szCs w:val="18"/>
                <w:color w:val="auto"/>
              </w:rPr>
              <w:t>Director, Investor Relations</w:t>
            </w:r>
          </w:p>
        </w:tc>
        <w:tc>
          <w:tcPr>
            <w:tcW w:w="40" w:type="dxa"/>
            <w:vAlign w:val="bottom"/>
          </w:tcPr>
          <w:p>
            <w:pPr>
              <w:spacing w:after="0"/>
              <w:rPr>
                <w:sz w:val="18"/>
                <w:szCs w:val="18"/>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6820" w:type="dxa"/>
            <w:vAlign w:val="bottom"/>
            <w:gridSpan w:val="2"/>
          </w:tcPr>
          <w:p>
            <w:pPr>
              <w:ind w:left="1340"/>
              <w:spacing w:after="0"/>
              <w:rPr>
                <w:sz w:val="20"/>
                <w:szCs w:val="20"/>
                <w:color w:val="auto"/>
              </w:rPr>
            </w:pPr>
            <w:r>
              <w:rPr>
                <w:rFonts w:ascii="Arial" w:cs="Arial" w:eastAsia="Arial" w:hAnsi="Arial"/>
                <w:sz w:val="18"/>
                <w:szCs w:val="18"/>
                <w:color w:val="auto"/>
              </w:rPr>
              <w:t>(866) 809-1291</w:t>
            </w:r>
          </w:p>
        </w:tc>
        <w:tc>
          <w:tcPr>
            <w:tcW w:w="4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8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6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640" w:type="dxa"/>
            <w:vAlign w:val="bottom"/>
          </w:tcPr>
          <w:p>
            <w:pPr>
              <w:spacing w:after="0"/>
              <w:rPr>
                <w:sz w:val="19"/>
                <w:szCs w:val="19"/>
                <w:color w:val="auto"/>
              </w:rPr>
            </w:pPr>
          </w:p>
        </w:tc>
        <w:tc>
          <w:tcPr>
            <w:tcW w:w="3960" w:type="dxa"/>
            <w:vAlign w:val="bottom"/>
          </w:tcPr>
          <w:p>
            <w:pPr>
              <w:ind w:left="1660"/>
              <w:spacing w:after="0"/>
              <w:rPr>
                <w:sz w:val="20"/>
                <w:szCs w:val="20"/>
                <w:color w:val="auto"/>
              </w:rPr>
            </w:pPr>
            <w:r>
              <w:rPr>
                <w:rFonts w:ascii="Arial" w:cs="Arial" w:eastAsia="Arial" w:hAnsi="Arial"/>
                <w:sz w:val="18"/>
                <w:szCs w:val="18"/>
                <w:b w:val="1"/>
                <w:bCs w:val="1"/>
                <w:color w:val="auto"/>
                <w:w w:val="99"/>
              </w:rPr>
              <w:t>333 Clay Street, Suite 1600</w:t>
            </w:r>
          </w:p>
        </w:tc>
        <w:tc>
          <w:tcPr>
            <w:tcW w:w="2280" w:type="dxa"/>
            <w:vAlign w:val="bottom"/>
          </w:tcPr>
          <w:p>
            <w:pPr>
              <w:ind w:left="220"/>
              <w:spacing w:after="0"/>
              <w:rPr>
                <w:sz w:val="20"/>
                <w:szCs w:val="20"/>
                <w:color w:val="auto"/>
              </w:rPr>
            </w:pPr>
            <w:r>
              <w:rPr>
                <w:rFonts w:ascii="Arial" w:cs="Arial" w:eastAsia="Arial" w:hAnsi="Arial"/>
                <w:sz w:val="18"/>
                <w:szCs w:val="18"/>
                <w:b w:val="1"/>
                <w:bCs w:val="1"/>
                <w:color w:val="auto"/>
              </w:rPr>
              <w:t>Houston, Texas 77002</w:t>
            </w:r>
          </w:p>
        </w:tc>
        <w:tc>
          <w:tcPr>
            <w:tcW w:w="4540" w:type="dxa"/>
            <w:vAlign w:val="bottom"/>
          </w:tcPr>
          <w:p>
            <w:pPr>
              <w:jc w:val="right"/>
              <w:ind w:right="2210"/>
              <w:spacing w:after="0"/>
              <w:rPr>
                <w:sz w:val="20"/>
                <w:szCs w:val="20"/>
                <w:color w:val="auto"/>
              </w:rPr>
            </w:pPr>
            <w:r>
              <w:rPr>
                <w:rFonts w:ascii="Arial" w:cs="Arial" w:eastAsia="Arial" w:hAnsi="Arial"/>
                <w:sz w:val="18"/>
                <w:szCs w:val="18"/>
                <w:b w:val="1"/>
                <w:bCs w:val="1"/>
                <w:color w:val="auto"/>
                <w:w w:val="92"/>
              </w:rPr>
              <w:t>713-646-4100 / 866-809-1291</w:t>
            </w:r>
          </w:p>
        </w:tc>
        <w:tc>
          <w:tcPr>
            <w:tcW w:w="40" w:type="dxa"/>
            <w:vAlign w:val="bottom"/>
          </w:tcPr>
          <w:p>
            <w:pPr>
              <w:spacing w:after="0"/>
              <w:rPr>
                <w:sz w:val="19"/>
                <w:szCs w:val="19"/>
                <w:color w:val="auto"/>
              </w:rPr>
            </w:pPr>
          </w:p>
        </w:tc>
      </w:tr>
      <w:tr>
        <w:trPr>
          <w:trHeight w:val="330"/>
        </w:trPr>
        <w:tc>
          <w:tcPr>
            <w:tcW w:w="64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o"/>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lvl w:ilvl="1">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5"/>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2020-01-13T05:44:51Z</dcterms:created>
  <dcterms:modified xsi:type="dcterms:W3CDTF">2020-01-13T05:44:51Z</dcterms:modified>
</cp:coreProperties>
</file>