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333-200596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142875</wp:posOffset>
            </wp:positionV>
            <wp:extent cx="283019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019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402,447,679 Class A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11" w:lineRule="exact"/>
        <w:rPr>
          <w:sz w:val="24"/>
          <w:szCs w:val="24"/>
          <w:color w:val="auto"/>
        </w:rPr>
      </w:pPr>
    </w:p>
    <w:p>
      <w:pPr>
        <w:ind w:right="140" w:firstLine="324"/>
        <w:spacing w:after="0" w:line="257" w:lineRule="auto"/>
        <w:rPr>
          <w:sz w:val="20"/>
          <w:szCs w:val="20"/>
          <w:color w:val="auto"/>
        </w:rPr>
      </w:pPr>
      <w:r>
        <w:rPr>
          <w:rFonts w:ascii="Arial" w:cs="Arial" w:eastAsia="Arial" w:hAnsi="Arial"/>
          <w:sz w:val="18"/>
          <w:szCs w:val="18"/>
          <w:color w:val="auto"/>
        </w:rPr>
        <w:t>This prospectus supplement updates and amends certain information contained in the prospectus dated December 10, 2014, as supplemented by the prospectus supplements dated December 31, 2014, April 1, 2015, July 1, 2015, October 1, 2015, December 22, 2015, January 4, 2016 and February 1, 2016 (as supplemented, the “Prospectus”), covering the resale by selling shareholders of up to an aggregate of 402,447,679 Class A shares representing limited partner interests in us. This prospectus supplement is not complete without, and may not be utilized except in connection with, the Prospectus, including any additional amendments or supplements thereto.</w:t>
      </w:r>
    </w:p>
    <w:p>
      <w:pPr>
        <w:spacing w:after="0" w:line="175" w:lineRule="exact"/>
        <w:rPr>
          <w:sz w:val="24"/>
          <w:szCs w:val="24"/>
          <w:color w:val="auto"/>
        </w:rPr>
      </w:pPr>
    </w:p>
    <w:p>
      <w:pPr>
        <w:ind w:right="180" w:firstLine="324"/>
        <w:spacing w:after="0" w:line="239" w:lineRule="auto"/>
        <w:rPr>
          <w:sz w:val="20"/>
          <w:szCs w:val="20"/>
          <w:color w:val="auto"/>
        </w:rPr>
      </w:pPr>
      <w:r>
        <w:rPr>
          <w:rFonts w:ascii="Arial" w:cs="Arial" w:eastAsia="Arial" w:hAnsi="Arial"/>
          <w:sz w:val="22"/>
          <w:szCs w:val="22"/>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the prospectus dated December 10, 2014 before you make an investment in our Class A shares.</w:t>
      </w:r>
    </w:p>
    <w:p>
      <w:pPr>
        <w:spacing w:after="0" w:line="190" w:lineRule="exact"/>
        <w:rPr>
          <w:sz w:val="24"/>
          <w:szCs w:val="24"/>
          <w:color w:val="auto"/>
        </w:rPr>
      </w:pPr>
    </w:p>
    <w:p>
      <w:pPr>
        <w:ind w:right="420" w:firstLine="324"/>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Class A shares or determined if this prospectus supplement is truthful or complete. Any representation to the contrary is a criminal offense.</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4"/>
          <w:szCs w:val="24"/>
          <w:color w:val="auto"/>
        </w:rPr>
      </w:pPr>
    </w:p>
    <w:p>
      <w:pPr>
        <w:ind w:right="700" w:firstLine="324"/>
        <w:spacing w:after="0" w:line="277" w:lineRule="auto"/>
        <w:rPr>
          <w:sz w:val="20"/>
          <w:szCs w:val="20"/>
          <w:color w:val="auto"/>
        </w:rPr>
      </w:pPr>
      <w:r>
        <w:rPr>
          <w:rFonts w:ascii="Arial" w:cs="Arial" w:eastAsia="Arial" w:hAnsi="Arial"/>
          <w:sz w:val="18"/>
          <w:szCs w:val="18"/>
          <w:color w:val="auto"/>
        </w:rPr>
        <w:t>This prospectus supplement is being filed to amend and supplement the information that appears under the caption “Selling Shareholders” in the Prospectus. Capitalized terms that are not defined in this prospectus supplement are defined in the Prospectus.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4"/>
          <w:szCs w:val="24"/>
          <w:color w:val="auto"/>
        </w:rPr>
      </w:pPr>
    </w:p>
    <w:p>
      <w:pPr>
        <w:ind w:right="180" w:firstLine="324"/>
        <w:spacing w:after="0" w:line="272" w:lineRule="auto"/>
        <w:rPr>
          <w:sz w:val="20"/>
          <w:szCs w:val="20"/>
          <w:color w:val="auto"/>
        </w:rPr>
      </w:pPr>
      <w:r>
        <w:rPr>
          <w:rFonts w:ascii="Arial" w:cs="Arial" w:eastAsia="Arial" w:hAnsi="Arial"/>
          <w:sz w:val="17"/>
          <w:szCs w:val="17"/>
          <w:color w:val="auto"/>
        </w:rPr>
        <w:t>On or about February 10, 2016, (i) KAFU Holdings, L.P. (“KAFU”) exercised the Exchange Right with respect to an aggregate of 1,381,785 of its Class B shares, AAP units and general partner units and then distributed the resulting 1,381,785 Class A shares to certain of the selling shareholders listed below, (ii) KAFU Holdings (QP), L.P. (“KAFU QP”) exercised the Exchange Right with respect to an aggregate of 18,818,507 of its Class B shares, AAP units and general partner units and then distributed the resulting 18,818,507 Class A shares to certain of the selling shareholders listed below and (iii) FRCI, LLC (“FRCI”) exercised the Exchange Right with respect to 445,466 of its Class B shares, AAP units and general partner units and then distributed the resulting 445,466 Class A shares to certain of the selling shareholders listed below. We are amending the Selling Shareholders table in the Prospectus to reflect these transfers and to include or update information with respect to the transferees of such interests.</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Class A</w:t>
            </w:r>
          </w:p>
        </w:tc>
        <w:tc>
          <w:tcPr>
            <w:tcW w:w="1220" w:type="dxa"/>
            <w:vAlign w:val="bottom"/>
          </w:tcPr>
          <w:p>
            <w:pPr>
              <w:jc w:val="center"/>
              <w:ind w:left="88"/>
              <w:spacing w:after="0"/>
              <w:rPr>
                <w:sz w:val="20"/>
                <w:szCs w:val="20"/>
                <w:color w:val="auto"/>
              </w:rPr>
            </w:pPr>
            <w:r>
              <w:rPr>
                <w:rFonts w:ascii="Arial" w:cs="Arial" w:eastAsia="Arial" w:hAnsi="Arial"/>
                <w:sz w:val="14"/>
                <w:szCs w:val="14"/>
                <w:b w:val="1"/>
                <w:bCs w:val="1"/>
                <w:color w:val="auto"/>
                <w:w w:val="88"/>
              </w:rPr>
              <w:t>Percentage of</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Class A</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Class A</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Class A</w:t>
            </w:r>
          </w:p>
        </w:tc>
        <w:tc>
          <w:tcPr>
            <w:tcW w:w="142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Class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Shares</w:t>
            </w:r>
          </w:p>
        </w:tc>
        <w:tc>
          <w:tcPr>
            <w:tcW w:w="12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Shares to be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Shares</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Selling Shareholders</w:t>
            </w: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2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Offered</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1"/>
        </w:trPr>
        <w:tc>
          <w:tcPr>
            <w:tcW w:w="3920" w:type="dxa"/>
            <w:vAlign w:val="bottom"/>
            <w:gridSpan w:val="3"/>
            <w:vMerge w:val="continue"/>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to the Offering</w:t>
            </w:r>
          </w:p>
        </w:tc>
        <w:tc>
          <w:tcPr>
            <w:tcW w:w="122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to the Offering</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Hereby</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Offering</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KAFU Holdings, L.P.(1)(2)</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3,305,189</w:t>
            </w:r>
          </w:p>
        </w:tc>
        <w:tc>
          <w:tcPr>
            <w:tcW w:w="4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3,305,189</w:t>
            </w:r>
          </w:p>
        </w:tc>
        <w:tc>
          <w:tcPr>
            <w:tcW w:w="4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KAFU Holdings LLC(1)(3)</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39,051</w:t>
            </w:r>
          </w:p>
        </w:tc>
        <w:tc>
          <w:tcPr>
            <w:tcW w:w="1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39,051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Daniel Zelikow Custodian FBO Mateo P.</w:t>
            </w: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Sanguinetti-Zelikow(1)</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19,512</w:t>
            </w:r>
          </w:p>
        </w:tc>
        <w:tc>
          <w:tcPr>
            <w:tcW w:w="1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19,512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Daniel Zelikow Custodian FBO Maya N.</w:t>
            </w: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Sanguinetti-Zelikow(1)</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19,512</w:t>
            </w:r>
          </w:p>
        </w:tc>
        <w:tc>
          <w:tcPr>
            <w:tcW w:w="1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19,512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Steven Zaw and Noriko Zaw, Trustees of the Zaw</w:t>
            </w: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Family 2013 Living Trust dtd October 26,</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2013(1)(4)</w:t>
            </w:r>
          </w:p>
        </w:tc>
        <w:tc>
          <w:tcPr>
            <w:tcW w:w="3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643</w:t>
            </w:r>
          </w:p>
        </w:tc>
        <w:tc>
          <w:tcPr>
            <w:tcW w:w="1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KAFU Transferees(5)</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1,674,647(6)</w:t>
            </w:r>
          </w:p>
        </w:tc>
        <w:tc>
          <w:tcPr>
            <w:tcW w:w="1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1,303,067(6)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371,580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45"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KAFU Holdings (QP), L.P.(1)(7)</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64,803,104</w:t>
            </w: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64,803,104</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Kayne Anderson MLP Fund, L.P.(1)(8)</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5,332,745(9)</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2,256,245(9)</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3,076,500</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Kayne Anderson Capital Income Partners (QP),</w:t>
            </w:r>
          </w:p>
        </w:tc>
        <w:tc>
          <w:tcPr>
            <w:tcW w:w="1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L.P.(1)(8)</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1,819,773</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1,819,773</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The Lieberthal Trust dtd 3/23/89(10)</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1,565,548</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1,565,548</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Robert Sinnott 2010 GRAT dtd 1/28/2010(11)</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1,487,244</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1,487,244</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Rosa Sinnott 2010 GRAT dtd 1/28/2010(11)</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1,487,244</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1,487,244</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Daniel Weingeist</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1,212,507</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1,212,507</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Kayne Foundation(1)(12)</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962,970</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962,970</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 &amp; R Schnell Living Trust dtd 1/26/91 as</w:t>
            </w:r>
          </w:p>
        </w:tc>
        <w:tc>
          <w:tcPr>
            <w:tcW w:w="1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Amended and Restated(13)</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812,936(14)</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636,281(14)</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176,655</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William H. Waldorf</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597,076</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597,076</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NFS/FMTC FBO William H. Waldorf IRA</w:t>
            </w:r>
          </w:p>
        </w:tc>
        <w:tc>
          <w:tcPr>
            <w:tcW w:w="1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Rollover</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547,994</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547,994</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Kanti (QP), L.P.(1)(7)</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522,913</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522,913</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Kayne Anderson Non-Traditional Investments,</w:t>
            </w:r>
          </w:p>
        </w:tc>
        <w:tc>
          <w:tcPr>
            <w:tcW w:w="1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L.P.(1)(7)</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135,295</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135,295</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Kayne Anderson Capital Advisors, L.P.(1)(3)</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91,095</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91,095</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Kayne Anderson Income Partners, L.P.(1)(8)</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47,979</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47,979</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KAFU QP </w:t>
            </w:r>
            <w:r>
              <w:rPr>
                <w:rFonts w:ascii="Arial" w:cs="Arial" w:eastAsia="Arial" w:hAnsi="Arial"/>
                <w:sz w:val="17"/>
                <w:szCs w:val="17"/>
                <w:color w:val="auto"/>
              </w:rPr>
              <w:t>Transferees(15)</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5,594,122(16)</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5,448,343(16)</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145,779</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FRCI, LLC</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FRCI Transferees(17)</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730,960(18)</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445,466(18)</w:t>
            </w:r>
          </w:p>
        </w:tc>
        <w:tc>
          <w:tcPr>
            <w:tcW w:w="16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285,494</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0" w:type="dxa"/>
            <w:vAlign w:val="bottom"/>
          </w:tcPr>
          <w:p>
            <w:pPr>
              <w:jc w:val="right"/>
              <w:ind w:right="1350"/>
              <w:spacing w:after="0"/>
              <w:rPr>
                <w:sz w:val="20"/>
                <w:szCs w:val="20"/>
                <w:color w:val="auto"/>
              </w:rPr>
            </w:pPr>
            <w:r>
              <w:rPr>
                <w:rFonts w:ascii="Arial" w:cs="Arial" w:eastAsia="Arial" w:hAnsi="Arial"/>
                <w:sz w:val="18"/>
                <w:szCs w:val="18"/>
                <w:color w:val="auto"/>
              </w:rPr>
              <w:t>S-2</w:t>
            </w: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82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8" w:lineRule="exact"/>
        <w:rPr>
          <w:sz w:val="20"/>
          <w:szCs w:val="20"/>
          <w:color w:val="auto"/>
        </w:rPr>
      </w:pPr>
    </w:p>
    <w:p>
      <w:pPr>
        <w:ind w:left="500" w:right="320" w:hanging="492"/>
        <w:spacing w:after="0" w:line="286" w:lineRule="auto"/>
        <w:tabs>
          <w:tab w:leader="none" w:pos="507"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97" w:lineRule="exact"/>
        <w:rPr>
          <w:rFonts w:ascii="Arial" w:cs="Arial" w:eastAsia="Arial" w:hAnsi="Arial"/>
          <w:sz w:val="17"/>
          <w:szCs w:val="17"/>
          <w:color w:val="auto"/>
        </w:rPr>
      </w:pPr>
    </w:p>
    <w:p>
      <w:pPr>
        <w:ind w:left="500" w:right="240" w:hanging="492"/>
        <w:spacing w:after="0" w:line="302" w:lineRule="auto"/>
        <w:tabs>
          <w:tab w:leader="none" w:pos="507" w:val="left"/>
        </w:tabs>
        <w:numPr>
          <w:ilvl w:val="0"/>
          <w:numId w:val="2"/>
        </w:numPr>
        <w:rPr>
          <w:rFonts w:ascii="Arial" w:cs="Arial" w:eastAsia="Arial" w:hAnsi="Arial"/>
          <w:sz w:val="16"/>
          <w:szCs w:val="16"/>
          <w:color w:val="auto"/>
        </w:rPr>
      </w:pPr>
      <w:r>
        <w:rPr>
          <w:rFonts w:ascii="Arial" w:cs="Arial" w:eastAsia="Arial" w:hAnsi="Arial"/>
          <w:sz w:val="16"/>
          <w:szCs w:val="16"/>
          <w:color w:val="auto"/>
        </w:rPr>
        <w:t>Kayne Anderson Capital Advisors, L.P. (“KACALP”) serves as the manager of the selling shareholder. Richard A. Kayne is the controlling owner of KACALP, and Robert Sinnott is the portfolio manager of the selling shareholder. Therefore each of Messrs. Kayne and Sinnott may be deemed to exercise shared voting and dispositive power over the Class A shares held by the selling shareholder. Each of Messrs. Kayne and Sinnott disclaims beneficial ownership of any of our Class A shares held by the selling shareholder except to the extent of his pecuniary interest therein.</w:t>
      </w:r>
    </w:p>
    <w:p>
      <w:pPr>
        <w:spacing w:after="0" w:line="154" w:lineRule="exact"/>
        <w:rPr>
          <w:rFonts w:ascii="Arial" w:cs="Arial" w:eastAsia="Arial" w:hAnsi="Arial"/>
          <w:sz w:val="16"/>
          <w:szCs w:val="16"/>
          <w:color w:val="auto"/>
        </w:rPr>
      </w:pPr>
    </w:p>
    <w:p>
      <w:pPr>
        <w:ind w:left="500" w:right="340" w:hanging="492"/>
        <w:spacing w:after="0" w:line="264" w:lineRule="auto"/>
        <w:tabs>
          <w:tab w:leader="none" w:pos="501" w:val="left"/>
        </w:tabs>
        <w:numPr>
          <w:ilvl w:val="0"/>
          <w:numId w:val="2"/>
        </w:numPr>
        <w:rPr>
          <w:rFonts w:ascii="Arial" w:cs="Arial" w:eastAsia="Arial" w:hAnsi="Arial"/>
          <w:sz w:val="18"/>
          <w:szCs w:val="18"/>
          <w:color w:val="auto"/>
        </w:rPr>
      </w:pPr>
      <w:r>
        <w:rPr>
          <w:rFonts w:ascii="Arial" w:cs="Arial" w:eastAsia="Arial" w:hAnsi="Arial"/>
          <w:sz w:val="18"/>
          <w:szCs w:val="18"/>
          <w:color w:val="auto"/>
        </w:rPr>
        <w:t>Richard A. Kayne, Chairman and Chief Executive Officer of the managing member of the selling shareholder, exercises sole voting and dispositive power over the Class A shares held by the selling shareholder. Mr. Kayne disclaims beneficial ownership of any of our Class A shares held by the selling shareholder except to the extent of his pecuniary interest therein.</w:t>
      </w:r>
    </w:p>
    <w:p>
      <w:pPr>
        <w:spacing w:after="0" w:line="113" w:lineRule="exact"/>
        <w:rPr>
          <w:rFonts w:ascii="Arial" w:cs="Arial" w:eastAsia="Arial" w:hAnsi="Arial"/>
          <w:sz w:val="18"/>
          <w:szCs w:val="18"/>
          <w:color w:val="auto"/>
        </w:rPr>
      </w:pPr>
    </w:p>
    <w:p>
      <w:pPr>
        <w:jc w:val="both"/>
        <w:ind w:left="500" w:right="240" w:hanging="492"/>
        <w:spacing w:after="0" w:line="264" w:lineRule="auto"/>
        <w:tabs>
          <w:tab w:leader="none" w:pos="507"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of Noriko Zaw and Steven Zaw, trustees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spacing w:after="0" w:line="113" w:lineRule="exact"/>
        <w:rPr>
          <w:rFonts w:ascii="Arial" w:cs="Arial" w:eastAsia="Arial" w:hAnsi="Arial"/>
          <w:sz w:val="18"/>
          <w:szCs w:val="18"/>
          <w:color w:val="auto"/>
        </w:rPr>
      </w:pPr>
    </w:p>
    <w:p>
      <w:pPr>
        <w:ind w:left="500" w:right="240" w:hanging="492"/>
        <w:spacing w:after="0" w:line="342" w:lineRule="auto"/>
        <w:tabs>
          <w:tab w:leader="none" w:pos="501"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18 persons not otherwise listed above, none of which currently owns more than 0.2% of the Class A shares. Collectively, these shareholders own approximately 0.3% of the Class A shares. The selling shareholders are partners of KAFU; none of them are our employees.</w:t>
      </w:r>
    </w:p>
    <w:p>
      <w:pPr>
        <w:spacing w:after="0" w:line="56" w:lineRule="exact"/>
        <w:rPr>
          <w:rFonts w:ascii="Arial" w:cs="Arial" w:eastAsia="Arial" w:hAnsi="Arial"/>
          <w:sz w:val="16"/>
          <w:szCs w:val="16"/>
          <w:color w:val="auto"/>
        </w:rPr>
      </w:pPr>
    </w:p>
    <w:p>
      <w:pPr>
        <w:ind w:left="500" w:right="220" w:hanging="492"/>
        <w:spacing w:after="0" w:line="277" w:lineRule="auto"/>
        <w:tabs>
          <w:tab w:leader="none" w:pos="50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selling shareholders received an aggregate of 1,303,067 Class A shares in the transfer from KAFU; an aggregate of 371,580 Class A shares were previously owned.</w:t>
      </w:r>
    </w:p>
    <w:p>
      <w:pPr>
        <w:spacing w:after="0" w:line="102" w:lineRule="exact"/>
        <w:rPr>
          <w:rFonts w:ascii="Arial" w:cs="Arial" w:eastAsia="Arial" w:hAnsi="Arial"/>
          <w:sz w:val="18"/>
          <w:szCs w:val="18"/>
          <w:color w:val="auto"/>
        </w:rPr>
      </w:pPr>
    </w:p>
    <w:p>
      <w:pPr>
        <w:ind w:left="500" w:right="160" w:hanging="492"/>
        <w:spacing w:after="0" w:line="259" w:lineRule="auto"/>
        <w:tabs>
          <w:tab w:leader="none" w:pos="501"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of Robert Sinnott, portfolio manager of the selling shareholder, and Richard A. Kayne, Chairman and Chief Executive Officer of the manager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spacing w:after="0" w:line="119" w:lineRule="exact"/>
        <w:rPr>
          <w:rFonts w:ascii="Arial" w:cs="Arial" w:eastAsia="Arial" w:hAnsi="Arial"/>
          <w:sz w:val="18"/>
          <w:szCs w:val="18"/>
          <w:color w:val="auto"/>
        </w:rPr>
      </w:pPr>
    </w:p>
    <w:p>
      <w:pPr>
        <w:ind w:left="500" w:right="100" w:hanging="492"/>
        <w:spacing w:after="0" w:line="259" w:lineRule="auto"/>
        <w:tabs>
          <w:tab w:leader="none" w:pos="507"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of J.C. Frey, portfolio manager of the selling shareholder, and Richard A. Kayne, Chairman and Chief Executive Officer of the general partner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sectPr>
          <w:pgSz w:w="11900" w:h="16838" w:orient="portrait"/>
          <w:cols w:equalWidth="0" w:num="1">
            <w:col w:w="11460"/>
          </w:cols>
          <w:pgMar w:left="240" w:top="140" w:right="199" w:bottom="0" w:gutter="0" w:footer="0" w:header="0"/>
        </w:sectPr>
      </w:pPr>
    </w:p>
    <w:bookmarkStart w:id="2" w:name="page3"/>
    <w:bookmarkEnd w:id="2"/>
    <w:p>
      <w:pPr>
        <w:ind w:left="492" w:hanging="492"/>
        <w:spacing w:after="0"/>
        <w:tabs>
          <w:tab w:leader="none" w:pos="49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selling shareholder received 2,256,245 Class A shares in the transfer from KAFU QP; 3,076,500 Class A shares were previously owned.</w:t>
      </w:r>
    </w:p>
    <w:p>
      <w:pPr>
        <w:spacing w:after="0" w:line="169" w:lineRule="exact"/>
        <w:rPr>
          <w:rFonts w:ascii="Arial" w:cs="Arial" w:eastAsia="Arial" w:hAnsi="Arial"/>
          <w:sz w:val="17"/>
          <w:szCs w:val="17"/>
          <w:color w:val="auto"/>
        </w:rPr>
      </w:pPr>
    </w:p>
    <w:p>
      <w:pPr>
        <w:ind w:left="492" w:hanging="492"/>
        <w:spacing w:after="0" w:line="264"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Gary Lieberthal, trustee of the selling shareholder, exercises sole voting and dispositive power over the Class A shares held by the selling shareholder. Mr. Lieberthal disclaims beneficial ownership of any of our Class A shares held by the selling shareholder except to the extent of his pecuniary interest therein.</w:t>
      </w:r>
    </w:p>
    <w:p>
      <w:pPr>
        <w:spacing w:after="0" w:line="181" w:lineRule="exact"/>
        <w:rPr>
          <w:rFonts w:ascii="Arial" w:cs="Arial" w:eastAsia="Arial" w:hAnsi="Arial"/>
          <w:sz w:val="18"/>
          <w:szCs w:val="18"/>
          <w:color w:val="auto"/>
        </w:rPr>
      </w:pPr>
    </w:p>
    <w:p>
      <w:pPr>
        <w:ind w:left="492" w:right="220" w:hanging="492"/>
        <w:spacing w:after="0" w:line="264" w:lineRule="auto"/>
        <w:tabs>
          <w:tab w:leader="none" w:pos="488" w:val="left"/>
        </w:tabs>
        <w:numPr>
          <w:ilvl w:val="0"/>
          <w:numId w:val="3"/>
        </w:numPr>
        <w:rPr>
          <w:rFonts w:ascii="Arial" w:cs="Arial" w:eastAsia="Arial" w:hAnsi="Arial"/>
          <w:sz w:val="18"/>
          <w:szCs w:val="18"/>
          <w:color w:val="auto"/>
        </w:rPr>
      </w:pPr>
      <w:r>
        <w:rPr>
          <w:rFonts w:ascii="Arial" w:cs="Arial" w:eastAsia="Arial" w:hAnsi="Arial"/>
          <w:sz w:val="18"/>
          <w:szCs w:val="18"/>
          <w:color w:val="auto"/>
        </w:rPr>
        <w:t>John Sinnott, trustee of the selling shareholder, exercises sole voting and dispositive power over the Class A shares held by the selling shareholder. Mr. Sinnott disclaims beneficial ownership of any of our Class A shares held by the selling shareholder except to the extent of his pecuniary interest therein.</w:t>
      </w:r>
    </w:p>
    <w:p>
      <w:pPr>
        <w:spacing w:after="0" w:line="181" w:lineRule="exact"/>
        <w:rPr>
          <w:rFonts w:ascii="Arial" w:cs="Arial" w:eastAsia="Arial" w:hAnsi="Arial"/>
          <w:sz w:val="18"/>
          <w:szCs w:val="18"/>
          <w:color w:val="auto"/>
        </w:rPr>
      </w:pPr>
    </w:p>
    <w:p>
      <w:pPr>
        <w:ind w:left="492" w:right="200" w:hanging="492"/>
        <w:spacing w:after="0" w:line="259"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Suzanne L. Kayne, President and Director, Richard A. Kayne and Maggie Kayne, Directors, Howard Zelikow, Treasurer, and Janis Minton, Secretary,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spacing w:after="0" w:line="186" w:lineRule="exact"/>
        <w:rPr>
          <w:rFonts w:ascii="Arial" w:cs="Arial" w:eastAsia="Arial" w:hAnsi="Arial"/>
          <w:sz w:val="18"/>
          <w:szCs w:val="18"/>
          <w:color w:val="auto"/>
        </w:rPr>
      </w:pPr>
    </w:p>
    <w:p>
      <w:pPr>
        <w:ind w:left="492" w:right="600" w:hanging="492"/>
        <w:spacing w:after="0" w:line="264"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Robert H. Schnell, trustee of the selling shareholder, exercises sole voting and dispositive power over the Class A shares held by the selling shareholder. Mr. Schnell disclaims beneficial ownership of any of our Class A shares held by the selling shareholder except to the extent of his pecuniary interest therein.</w:t>
      </w:r>
    </w:p>
    <w:p>
      <w:pPr>
        <w:spacing w:after="0" w:line="181" w:lineRule="exact"/>
        <w:rPr>
          <w:rFonts w:ascii="Arial" w:cs="Arial" w:eastAsia="Arial" w:hAnsi="Arial"/>
          <w:sz w:val="18"/>
          <w:szCs w:val="18"/>
          <w:color w:val="auto"/>
        </w:rPr>
      </w:pPr>
    </w:p>
    <w:p>
      <w:pPr>
        <w:ind w:left="492" w:hanging="492"/>
        <w:spacing w:after="0"/>
        <w:tabs>
          <w:tab w:leader="none" w:pos="49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selling shareholder received 636,281 Class A shares in the transfer from KAFU QP; 176,655 Class A shares were previously owned.</w:t>
      </w:r>
    </w:p>
    <w:p>
      <w:pPr>
        <w:spacing w:after="0" w:line="236" w:lineRule="exact"/>
        <w:rPr>
          <w:rFonts w:ascii="Arial" w:cs="Arial" w:eastAsia="Arial" w:hAnsi="Arial"/>
          <w:sz w:val="17"/>
          <w:szCs w:val="17"/>
          <w:color w:val="auto"/>
        </w:rPr>
      </w:pPr>
    </w:p>
    <w:p>
      <w:pPr>
        <w:ind w:left="492" w:right="140" w:hanging="492"/>
        <w:spacing w:after="0" w:line="342" w:lineRule="auto"/>
        <w:tabs>
          <w:tab w:leader="none" w:pos="48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80 persons not otherwise listed above, none of which currently owns more than 0.1% of the Class A shares. Collectively, these shareholders own approximately 0.9% of the Class A shares. The selling shareholders are partners of KAFU QP; none of them are our employees.</w:t>
      </w:r>
    </w:p>
    <w:p>
      <w:pPr>
        <w:spacing w:after="0" w:line="123" w:lineRule="exact"/>
        <w:rPr>
          <w:rFonts w:ascii="Arial" w:cs="Arial" w:eastAsia="Arial" w:hAnsi="Arial"/>
          <w:sz w:val="16"/>
          <w:szCs w:val="16"/>
          <w:color w:val="auto"/>
        </w:rPr>
      </w:pPr>
    </w:p>
    <w:p>
      <w:pPr>
        <w:ind w:left="492" w:right="240" w:hanging="492"/>
        <w:spacing w:after="0" w:line="277" w:lineRule="auto"/>
        <w:tabs>
          <w:tab w:leader="none" w:pos="48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selling shareholders received an aggregate of 5,448,343 Class A shares in the transfer from KAFU QP; an aggregate of 145,779 Class A shares were previously owned.</w:t>
      </w:r>
    </w:p>
    <w:p>
      <w:pPr>
        <w:spacing w:after="0" w:line="170" w:lineRule="exact"/>
        <w:rPr>
          <w:rFonts w:ascii="Arial" w:cs="Arial" w:eastAsia="Arial" w:hAnsi="Arial"/>
          <w:sz w:val="18"/>
          <w:szCs w:val="18"/>
          <w:color w:val="auto"/>
        </w:rPr>
      </w:pPr>
    </w:p>
    <w:p>
      <w:pPr>
        <w:ind w:left="492" w:right="100" w:hanging="492"/>
        <w:spacing w:after="0" w:line="342" w:lineRule="auto"/>
        <w:tabs>
          <w:tab w:leader="none" w:pos="48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six persons not otherwise listed above, none of which currently owns more than 0.1% of the Class A shares. Collectively, these shareholders own approximately 0.1% of the Class A shares. The selling shareholders are members of FRCI; none of them are our employees.</w:t>
      </w:r>
    </w:p>
    <w:p>
      <w:pPr>
        <w:spacing w:after="0" w:line="123" w:lineRule="exact"/>
        <w:rPr>
          <w:rFonts w:ascii="Arial" w:cs="Arial" w:eastAsia="Arial" w:hAnsi="Arial"/>
          <w:sz w:val="16"/>
          <w:szCs w:val="16"/>
          <w:color w:val="auto"/>
        </w:rPr>
      </w:pPr>
    </w:p>
    <w:p>
      <w:pPr>
        <w:ind w:left="492" w:right="340" w:hanging="492"/>
        <w:spacing w:after="0" w:line="277" w:lineRule="auto"/>
        <w:tabs>
          <w:tab w:leader="none" w:pos="48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selling shareholders received an aggregate of 445,466 Class A shares in the transfer from FRCI; an aggregate of 285,494 Class A shares were previously owned.</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52"/>
      </w:cols>
      <w:pgMar w:left="248"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2020-01-19T18:50:23Z</dcterms:created>
  <dcterms:modified xsi:type="dcterms:W3CDTF">2020-01-19T18:50:23Z</dcterms:modified>
</cp:coreProperties>
</file>