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 2017</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333-207139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Post-Effective Amendment No. 1</w:t>
      </w:r>
    </w:p>
    <w:p>
      <w:pPr>
        <w:jc w:val="center"/>
        <w:spacing w:after="0" w:line="221" w:lineRule="auto"/>
        <w:rPr>
          <w:sz w:val="20"/>
          <w:szCs w:val="20"/>
          <w:color w:val="auto"/>
        </w:rPr>
      </w:pP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S-3</w:t>
      </w:r>
    </w:p>
    <w:p>
      <w:pPr>
        <w:jc w:val="center"/>
        <w:spacing w:after="0" w:line="235" w:lineRule="auto"/>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PLAINS ALL AMERICAN PIPELINE, L.P.</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PAA FINANCE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3820" w:type="dxa"/>
        <w:tblCellMar>
          <w:top w:w="0" w:type="dxa"/>
          <w:left w:w="0" w:type="dxa"/>
          <w:bottom w:w="0" w:type="dxa"/>
          <w:right w:w="0" w:type="dxa"/>
        </w:tblCellMar>
      </w:tblPr>
      <w:tr>
        <w:trPr>
          <w:trHeight w:val="161"/>
        </w:trPr>
        <w:tc>
          <w:tcPr>
            <w:tcW w:w="2060" w:type="dxa"/>
            <w:vAlign w:val="bottom"/>
          </w:tcPr>
          <w:p>
            <w:pPr>
              <w:jc w:val="center"/>
              <w:ind w:right="312"/>
              <w:spacing w:after="0"/>
              <w:rPr>
                <w:sz w:val="20"/>
                <w:szCs w:val="20"/>
                <w:color w:val="auto"/>
              </w:rPr>
            </w:pPr>
            <w:r>
              <w:rPr>
                <w:rFonts w:ascii="Arial" w:cs="Arial" w:eastAsia="Arial" w:hAnsi="Arial"/>
                <w:sz w:val="14"/>
                <w:szCs w:val="14"/>
                <w:b w:val="1"/>
                <w:bCs w:val="1"/>
                <w:color w:val="auto"/>
                <w:w w:val="91"/>
              </w:rPr>
              <w:t>Delaware</w:t>
            </w:r>
          </w:p>
        </w:tc>
        <w:tc>
          <w:tcPr>
            <w:tcW w:w="1400" w:type="dxa"/>
            <w:vAlign w:val="bottom"/>
          </w:tcPr>
          <w:p>
            <w:pPr>
              <w:jc w:val="center"/>
              <w:ind w:left="312"/>
              <w:spacing w:after="0"/>
              <w:rPr>
                <w:sz w:val="20"/>
                <w:szCs w:val="20"/>
                <w:color w:val="auto"/>
              </w:rPr>
            </w:pPr>
            <w:r>
              <w:rPr>
                <w:rFonts w:ascii="Arial" w:cs="Arial" w:eastAsia="Arial" w:hAnsi="Arial"/>
                <w:sz w:val="14"/>
                <w:szCs w:val="14"/>
                <w:b w:val="1"/>
                <w:bCs w:val="1"/>
                <w:color w:val="auto"/>
                <w:w w:val="88"/>
              </w:rPr>
              <w:t>76-0582150</w:t>
            </w:r>
          </w:p>
        </w:tc>
      </w:tr>
      <w:tr>
        <w:trPr>
          <w:trHeight w:val="151"/>
        </w:trPr>
        <w:tc>
          <w:tcPr>
            <w:tcW w:w="2060" w:type="dxa"/>
            <w:vAlign w:val="bottom"/>
          </w:tcPr>
          <w:p>
            <w:pPr>
              <w:jc w:val="center"/>
              <w:ind w:right="312"/>
              <w:spacing w:after="0" w:line="151" w:lineRule="exact"/>
              <w:rPr>
                <w:sz w:val="20"/>
                <w:szCs w:val="20"/>
                <w:color w:val="auto"/>
              </w:rPr>
            </w:pPr>
            <w:r>
              <w:rPr>
                <w:rFonts w:ascii="Arial" w:cs="Arial" w:eastAsia="Arial" w:hAnsi="Arial"/>
                <w:sz w:val="14"/>
                <w:szCs w:val="14"/>
                <w:b w:val="1"/>
                <w:bCs w:val="1"/>
                <w:color w:val="auto"/>
                <w:w w:val="91"/>
              </w:rPr>
              <w:t>Delaware</w:t>
            </w:r>
          </w:p>
        </w:tc>
        <w:tc>
          <w:tcPr>
            <w:tcW w:w="1400" w:type="dxa"/>
            <w:vAlign w:val="bottom"/>
          </w:tcPr>
          <w:p>
            <w:pPr>
              <w:jc w:val="center"/>
              <w:ind w:left="312"/>
              <w:spacing w:after="0" w:line="151" w:lineRule="exact"/>
              <w:rPr>
                <w:sz w:val="20"/>
                <w:szCs w:val="20"/>
                <w:color w:val="auto"/>
              </w:rPr>
            </w:pPr>
            <w:r>
              <w:rPr>
                <w:rFonts w:ascii="Arial" w:cs="Arial" w:eastAsia="Arial" w:hAnsi="Arial"/>
                <w:sz w:val="14"/>
                <w:szCs w:val="14"/>
                <w:b w:val="1"/>
                <w:bCs w:val="1"/>
                <w:color w:val="auto"/>
                <w:w w:val="88"/>
              </w:rPr>
              <w:t>56-2464313</w:t>
            </w:r>
          </w:p>
        </w:tc>
      </w:tr>
      <w:tr>
        <w:trPr>
          <w:trHeight w:val="149"/>
        </w:trPr>
        <w:tc>
          <w:tcPr>
            <w:tcW w:w="206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7"/>
              </w:rPr>
              <w:t>(State or Other Jurisdiction of</w:t>
            </w:r>
          </w:p>
        </w:tc>
        <w:tc>
          <w:tcPr>
            <w:tcW w:w="1400" w:type="dxa"/>
            <w:vAlign w:val="bottom"/>
          </w:tcPr>
          <w:p>
            <w:pPr>
              <w:jc w:val="center"/>
              <w:ind w:left="2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60" w:type="dxa"/>
            <w:vAlign w:val="bottom"/>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00" w:type="dxa"/>
            <w:vAlign w:val="bottom"/>
          </w:tcPr>
          <w:p>
            <w:pPr>
              <w:jc w:val="center"/>
              <w:ind w:left="312"/>
              <w:spacing w:after="0"/>
              <w:rPr>
                <w:sz w:val="20"/>
                <w:szCs w:val="20"/>
                <w:color w:val="auto"/>
              </w:rPr>
            </w:pPr>
            <w:r>
              <w:rPr>
                <w:rFonts w:ascii="Arial" w:cs="Arial" w:eastAsia="Arial" w:hAnsi="Arial"/>
                <w:sz w:val="14"/>
                <w:szCs w:val="14"/>
                <w:color w:val="auto"/>
                <w:w w:val="93"/>
              </w:rPr>
              <w:t>Identification No.)</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333 Clay Street, Suite 1600</w:t>
      </w:r>
    </w:p>
    <w:p>
      <w:pPr>
        <w:jc w:val="center"/>
        <w:spacing w:after="0" w:line="223" w:lineRule="auto"/>
        <w:rPr>
          <w:sz w:val="20"/>
          <w:szCs w:val="20"/>
          <w:color w:val="auto"/>
        </w:rPr>
      </w:pPr>
      <w:r>
        <w:rPr>
          <w:rFonts w:ascii="Arial" w:cs="Arial" w:eastAsia="Arial" w:hAnsi="Arial"/>
          <w:sz w:val="14"/>
          <w:szCs w:val="14"/>
          <w:b w:val="1"/>
          <w:bCs w:val="1"/>
          <w:color w:val="auto"/>
        </w:rPr>
        <w:t>Houston, Texas 77002</w:t>
      </w:r>
    </w:p>
    <w:p>
      <w:pPr>
        <w:jc w:val="center"/>
        <w:spacing w:after="0" w:line="222" w:lineRule="auto"/>
        <w:rPr>
          <w:sz w:val="20"/>
          <w:szCs w:val="20"/>
          <w:color w:val="auto"/>
        </w:rPr>
      </w:pPr>
      <w:r>
        <w:rPr>
          <w:rFonts w:ascii="Arial" w:cs="Arial" w:eastAsia="Arial" w:hAnsi="Arial"/>
          <w:sz w:val="14"/>
          <w:szCs w:val="14"/>
          <w:b w:val="1"/>
          <w:bCs w:val="1"/>
          <w:color w:val="auto"/>
        </w:rPr>
        <w:t>(713) 646-4100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Richard McGee</w:t>
      </w:r>
    </w:p>
    <w:p>
      <w:pPr>
        <w:jc w:val="center"/>
        <w:spacing w:after="0" w:line="223" w:lineRule="auto"/>
        <w:rPr>
          <w:sz w:val="20"/>
          <w:szCs w:val="20"/>
          <w:color w:val="auto"/>
        </w:rPr>
      </w:pPr>
      <w:r>
        <w:rPr>
          <w:rFonts w:ascii="Arial" w:cs="Arial" w:eastAsia="Arial" w:hAnsi="Arial"/>
          <w:sz w:val="14"/>
          <w:szCs w:val="14"/>
          <w:b w:val="1"/>
          <w:bCs w:val="1"/>
          <w:color w:val="auto"/>
        </w:rPr>
        <w:t>Executive Vice President, General</w:t>
      </w:r>
    </w:p>
    <w:p>
      <w:pPr>
        <w:jc w:val="center"/>
        <w:spacing w:after="0" w:line="222" w:lineRule="auto"/>
        <w:rPr>
          <w:sz w:val="20"/>
          <w:szCs w:val="20"/>
          <w:color w:val="auto"/>
        </w:rPr>
      </w:pPr>
      <w:r>
        <w:rPr>
          <w:rFonts w:ascii="Arial" w:cs="Arial" w:eastAsia="Arial" w:hAnsi="Arial"/>
          <w:sz w:val="14"/>
          <w:szCs w:val="14"/>
          <w:b w:val="1"/>
          <w:bCs w:val="1"/>
          <w:color w:val="auto"/>
        </w:rPr>
        <w:t>Counsel and Secretary</w:t>
      </w:r>
    </w:p>
    <w:p>
      <w:pPr>
        <w:jc w:val="center"/>
        <w:spacing w:after="0" w:line="221" w:lineRule="auto"/>
        <w:rPr>
          <w:sz w:val="20"/>
          <w:szCs w:val="20"/>
          <w:color w:val="auto"/>
        </w:rPr>
      </w:pPr>
      <w:r>
        <w:rPr>
          <w:rFonts w:ascii="Arial" w:cs="Arial" w:eastAsia="Arial" w:hAnsi="Arial"/>
          <w:sz w:val="14"/>
          <w:szCs w:val="14"/>
          <w:b w:val="1"/>
          <w:bCs w:val="1"/>
          <w:color w:val="auto"/>
        </w:rPr>
        <w:t>333 Clay Street, Suite 1600</w:t>
      </w:r>
    </w:p>
    <w:p>
      <w:pPr>
        <w:jc w:val="center"/>
        <w:spacing w:after="0" w:line="222" w:lineRule="auto"/>
        <w:rPr>
          <w:sz w:val="20"/>
          <w:szCs w:val="20"/>
          <w:color w:val="auto"/>
        </w:rPr>
      </w:pPr>
      <w:r>
        <w:rPr>
          <w:rFonts w:ascii="Arial" w:cs="Arial" w:eastAsia="Arial" w:hAnsi="Arial"/>
          <w:sz w:val="14"/>
          <w:szCs w:val="14"/>
          <w:b w:val="1"/>
          <w:bCs w:val="1"/>
          <w:color w:val="auto"/>
        </w:rPr>
        <w:t>Houston, Texas 77002</w:t>
      </w:r>
    </w:p>
    <w:p>
      <w:pPr>
        <w:jc w:val="center"/>
        <w:spacing w:after="0" w:line="221" w:lineRule="auto"/>
        <w:rPr>
          <w:sz w:val="20"/>
          <w:szCs w:val="20"/>
          <w:color w:val="auto"/>
        </w:rPr>
      </w:pPr>
      <w:r>
        <w:rPr>
          <w:rFonts w:ascii="Arial" w:cs="Arial" w:eastAsia="Arial" w:hAnsi="Arial"/>
          <w:sz w:val="14"/>
          <w:szCs w:val="14"/>
          <w:b w:val="1"/>
          <w:bCs w:val="1"/>
          <w:color w:val="auto"/>
        </w:rPr>
        <w:t>(713) 646-4100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to:</w:t>
      </w:r>
    </w:p>
    <w:p>
      <w:pPr>
        <w:jc w:val="center"/>
        <w:spacing w:after="0" w:line="223" w:lineRule="auto"/>
        <w:rPr>
          <w:sz w:val="20"/>
          <w:szCs w:val="20"/>
          <w:color w:val="auto"/>
        </w:rPr>
      </w:pPr>
      <w:r>
        <w:rPr>
          <w:rFonts w:ascii="Arial" w:cs="Arial" w:eastAsia="Arial" w:hAnsi="Arial"/>
          <w:sz w:val="14"/>
          <w:szCs w:val="14"/>
          <w:b w:val="1"/>
          <w:bCs w:val="1"/>
          <w:color w:val="auto"/>
        </w:rPr>
        <w:t>David P. Oelman</w:t>
      </w:r>
    </w:p>
    <w:p>
      <w:pPr>
        <w:jc w:val="center"/>
        <w:spacing w:after="0" w:line="222" w:lineRule="auto"/>
        <w:rPr>
          <w:sz w:val="20"/>
          <w:szCs w:val="20"/>
          <w:color w:val="auto"/>
        </w:rPr>
      </w:pPr>
      <w:r>
        <w:rPr>
          <w:rFonts w:ascii="Arial" w:cs="Arial" w:eastAsia="Arial" w:hAnsi="Arial"/>
          <w:sz w:val="14"/>
          <w:szCs w:val="14"/>
          <w:b w:val="1"/>
          <w:bCs w:val="1"/>
          <w:color w:val="auto"/>
        </w:rPr>
        <w:t>Alan Beck</w:t>
      </w:r>
    </w:p>
    <w:p>
      <w:pPr>
        <w:jc w:val="center"/>
        <w:spacing w:after="0" w:line="221" w:lineRule="auto"/>
        <w:rPr>
          <w:sz w:val="20"/>
          <w:szCs w:val="20"/>
          <w:color w:val="auto"/>
        </w:rPr>
      </w:pPr>
      <w:r>
        <w:rPr>
          <w:rFonts w:ascii="Arial" w:cs="Arial" w:eastAsia="Arial" w:hAnsi="Arial"/>
          <w:sz w:val="14"/>
          <w:szCs w:val="14"/>
          <w:b w:val="1"/>
          <w:bCs w:val="1"/>
          <w:color w:val="auto"/>
        </w:rPr>
        <w:t>Vinson &amp; Elkins L.L.P.</w:t>
      </w:r>
    </w:p>
    <w:p>
      <w:pPr>
        <w:jc w:val="center"/>
        <w:spacing w:after="0" w:line="222" w:lineRule="auto"/>
        <w:rPr>
          <w:sz w:val="20"/>
          <w:szCs w:val="20"/>
          <w:color w:val="auto"/>
        </w:rPr>
      </w:pPr>
      <w:r>
        <w:rPr>
          <w:rFonts w:ascii="Arial" w:cs="Arial" w:eastAsia="Arial" w:hAnsi="Arial"/>
          <w:sz w:val="14"/>
          <w:szCs w:val="14"/>
          <w:b w:val="1"/>
          <w:bCs w:val="1"/>
          <w:color w:val="auto"/>
        </w:rPr>
        <w:t>1001 Fannin Street, Suite 2500</w:t>
      </w:r>
    </w:p>
    <w:p>
      <w:pPr>
        <w:jc w:val="center"/>
        <w:spacing w:after="0" w:line="221" w:lineRule="auto"/>
        <w:rPr>
          <w:sz w:val="20"/>
          <w:szCs w:val="20"/>
          <w:color w:val="auto"/>
        </w:rPr>
      </w:pPr>
      <w:r>
        <w:rPr>
          <w:rFonts w:ascii="Arial" w:cs="Arial" w:eastAsia="Arial" w:hAnsi="Arial"/>
          <w:sz w:val="14"/>
          <w:szCs w:val="14"/>
          <w:b w:val="1"/>
          <w:bCs w:val="1"/>
          <w:color w:val="auto"/>
        </w:rPr>
        <w:t>Houston, Texas 77002</w:t>
      </w:r>
    </w:p>
    <w:p>
      <w:pPr>
        <w:jc w:val="center"/>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20" w:firstLine="371"/>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SEC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40" w:firstLine="371"/>
        <w:spacing w:after="0" w:line="168"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2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43" w:orient="portrait"/>
          <w:cols w:equalWidth="0" w:num="1">
            <w:col w:w="11420"/>
          </w:cols>
          <w:pgMar w:left="240" w:top="685" w:right="239" w:bottom="0" w:gutter="0" w:footer="0" w:header="0"/>
        </w:sectPr>
      </w:pPr>
    </w:p>
    <w:bookmarkStart w:id="1" w:name="page2"/>
    <w:bookmarkEnd w:id="1"/>
    <w:p>
      <w:pPr>
        <w:ind w:left="3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Non-accelerated filer o</w:t>
      </w:r>
    </w:p>
    <w:p>
      <w:pPr>
        <w:jc w:val="center"/>
        <w:ind w:right="1120"/>
        <w:spacing w:after="0" w:line="221" w:lineRule="auto"/>
        <w:rPr>
          <w:sz w:val="20"/>
          <w:szCs w:val="20"/>
          <w:color w:val="auto"/>
        </w:rPr>
      </w:pPr>
      <w:r>
        <w:rPr>
          <w:rFonts w:ascii="Arial" w:cs="Arial" w:eastAsia="Arial" w:hAnsi="Arial"/>
          <w:sz w:val="14"/>
          <w:szCs w:val="14"/>
          <w:color w:val="auto"/>
        </w:rPr>
        <w:t>(Do not check if a</w:t>
      </w:r>
    </w:p>
    <w:p>
      <w:pPr>
        <w:jc w:val="center"/>
        <w:ind w:right="11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348" w:lineRule="exact"/>
        <w:rPr>
          <w:sz w:val="20"/>
          <w:szCs w:val="20"/>
          <w:color w:val="auto"/>
        </w:rPr>
      </w:pPr>
    </w:p>
    <w:p>
      <w:pPr>
        <w:sectPr>
          <w:pgSz w:w="11900" w:h="16838" w:orient="portrait"/>
          <w:cols w:equalWidth="0" w:num="4">
            <w:col w:w="2660" w:space="720"/>
            <w:col w:w="2020" w:space="720"/>
            <w:col w:w="2620" w:space="720"/>
            <w:col w:w="1860"/>
          </w:cols>
          <w:pgMar w:left="240" w:top="104" w:right="339" w:bottom="1440" w:gutter="0" w:footer="0" w:header="0"/>
        </w:sectPr>
      </w:pPr>
    </w:p>
    <w:p>
      <w:pPr>
        <w:spacing w:after="0" w:line="15" w:lineRule="exact"/>
        <w:rPr>
          <w:sz w:val="20"/>
          <w:szCs w:val="20"/>
          <w:color w:val="auto"/>
        </w:rPr>
      </w:pPr>
    </w:p>
    <w:p>
      <w:pPr>
        <w:ind w:right="38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080" w:type="dxa"/>
            <w:vAlign w:val="bottom"/>
            <w:tcBorders>
              <w:top w:val="single" w:sz="8" w:color="auto"/>
              <w:bottom w:val="single" w:sz="8" w:color="auto"/>
            </w:tcBorders>
          </w:tcPr>
          <w:p>
            <w:pPr>
              <w:spacing w:after="0"/>
              <w:rPr>
                <w:sz w:val="3"/>
                <w:szCs w:val="3"/>
                <w:color w:val="auto"/>
              </w:rPr>
            </w:pPr>
          </w:p>
        </w:tc>
        <w:tc>
          <w:tcPr>
            <w:tcW w:w="26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640" w:type="dxa"/>
            <w:vAlign w:val="bottom"/>
          </w:tcPr>
          <w:p>
            <w:pPr>
              <w:jc w:val="center"/>
              <w:ind w:left="493"/>
              <w:spacing w:after="0" w:line="117" w:lineRule="exact"/>
              <w:rPr>
                <w:sz w:val="20"/>
                <w:szCs w:val="20"/>
                <w:color w:val="auto"/>
              </w:rPr>
            </w:pPr>
            <w:r>
              <w:rPr>
                <w:rFonts w:ascii="Arial" w:cs="Arial" w:eastAsia="Arial" w:hAnsi="Arial"/>
                <w:sz w:val="12"/>
                <w:szCs w:val="12"/>
                <w:b w:val="1"/>
                <w:bCs w:val="1"/>
                <w:color w:val="auto"/>
              </w:rPr>
              <w:t>Amount to be Registered/</w:t>
            </w:r>
          </w:p>
        </w:tc>
        <w:tc>
          <w:tcPr>
            <w:tcW w:w="15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40" w:type="dxa"/>
            <w:vAlign w:val="bottom"/>
          </w:tcPr>
          <w:p>
            <w:pPr>
              <w:jc w:val="center"/>
              <w:ind w:left="493"/>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40" w:type="dxa"/>
            <w:vAlign w:val="bottom"/>
          </w:tcPr>
          <w:p>
            <w:pPr>
              <w:jc w:val="center"/>
              <w:ind w:left="493"/>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40" w:type="dxa"/>
            <w:vAlign w:val="bottom"/>
          </w:tcPr>
          <w:p>
            <w:pPr>
              <w:jc w:val="center"/>
              <w:ind w:left="493"/>
              <w:spacing w:after="0" w:line="149" w:lineRule="exact"/>
              <w:rPr>
                <w:sz w:val="20"/>
                <w:szCs w:val="20"/>
                <w:color w:val="auto"/>
              </w:rPr>
            </w:pPr>
            <w:r>
              <w:rPr>
                <w:rFonts w:ascii="Arial" w:cs="Arial" w:eastAsia="Arial" w:hAnsi="Arial"/>
                <w:sz w:val="14"/>
                <w:szCs w:val="14"/>
                <w:b w:val="1"/>
                <w:bCs w:val="1"/>
                <w:color w:val="auto"/>
                <w:w w:val="90"/>
              </w:rPr>
              <w:t>Per Unit/</w:t>
            </w:r>
          </w:p>
        </w:tc>
        <w:tc>
          <w:tcPr>
            <w:tcW w:w="1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40" w:type="dxa"/>
            <w:vAlign w:val="bottom"/>
          </w:tcPr>
          <w:p>
            <w:pPr>
              <w:jc w:val="center"/>
              <w:ind w:left="493"/>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5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8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2640" w:type="dxa"/>
            <w:vAlign w:val="bottom"/>
          </w:tcPr>
          <w:p>
            <w:pPr>
              <w:jc w:val="center"/>
              <w:ind w:left="493"/>
              <w:spacing w:after="0" w:line="149" w:lineRule="exact"/>
              <w:rPr>
                <w:sz w:val="20"/>
                <w:szCs w:val="20"/>
                <w:color w:val="auto"/>
              </w:rPr>
            </w:pPr>
            <w:r>
              <w:rPr>
                <w:rFonts w:ascii="Arial" w:cs="Arial" w:eastAsia="Arial" w:hAnsi="Arial"/>
                <w:sz w:val="14"/>
                <w:szCs w:val="14"/>
                <w:b w:val="1"/>
                <w:bCs w:val="1"/>
                <w:color w:val="auto"/>
                <w:w w:val="86"/>
              </w:rPr>
              <w:t>Aggregate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4080" w:type="dxa"/>
            <w:vAlign w:val="bottom"/>
            <w:tcBorders>
              <w:bottom w:val="single" w:sz="8" w:color="auto"/>
            </w:tcBorders>
          </w:tcPr>
          <w:p>
            <w:pPr>
              <w:jc w:val="center"/>
              <w:ind w:left="432"/>
              <w:spacing w:after="0"/>
              <w:rPr>
                <w:sz w:val="20"/>
                <w:szCs w:val="20"/>
                <w:color w:val="auto"/>
              </w:rPr>
            </w:pPr>
            <w:r>
              <w:rPr>
                <w:rFonts w:ascii="Arial" w:cs="Arial" w:eastAsia="Arial" w:hAnsi="Arial"/>
                <w:sz w:val="14"/>
                <w:szCs w:val="14"/>
                <w:b w:val="1"/>
                <w:bCs w:val="1"/>
                <w:color w:val="auto"/>
                <w:w w:val="85"/>
              </w:rPr>
              <w:t>to be Registered</w:t>
            </w:r>
          </w:p>
        </w:tc>
        <w:tc>
          <w:tcPr>
            <w:tcW w:w="2640" w:type="dxa"/>
            <w:vAlign w:val="bottom"/>
            <w:tcBorders>
              <w:bottom w:val="single" w:sz="8" w:color="auto"/>
            </w:tcBorders>
          </w:tcPr>
          <w:p>
            <w:pPr>
              <w:jc w:val="center"/>
              <w:ind w:left="493"/>
              <w:spacing w:after="0"/>
              <w:rPr>
                <w:sz w:val="20"/>
                <w:szCs w:val="20"/>
                <w:color w:val="auto"/>
              </w:rPr>
            </w:pPr>
            <w:r>
              <w:rPr>
                <w:rFonts w:ascii="Arial" w:cs="Arial" w:eastAsia="Arial" w:hAnsi="Arial"/>
                <w:sz w:val="14"/>
                <w:szCs w:val="14"/>
                <w:b w:val="1"/>
                <w:bCs w:val="1"/>
                <w:color w:val="auto"/>
                <w:w w:val="91"/>
              </w:rPr>
              <w:t>Offering Price(1)</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74"/>
        </w:trPr>
        <w:tc>
          <w:tcPr>
            <w:tcW w:w="2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units representing limited partner interests</w:t>
            </w:r>
          </w:p>
        </w:tc>
        <w:tc>
          <w:tcPr>
            <w:tcW w:w="2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r>
        <w:trPr>
          <w:trHeight w:val="169"/>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Preferred units representing limited partner interests</w:t>
            </w:r>
          </w:p>
        </w:tc>
        <w:tc>
          <w:tcPr>
            <w:tcW w:w="2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9"/>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Debt securities</w:t>
            </w:r>
          </w:p>
        </w:tc>
        <w:tc>
          <w:tcPr>
            <w:tcW w:w="26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9"/>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w:t>
            </w:r>
          </w:p>
        </w:tc>
        <w:tc>
          <w:tcPr>
            <w:tcW w:w="2640" w:type="dxa"/>
            <w:vAlign w:val="bottom"/>
            <w:tcBorders>
              <w:bottom w:val="single" w:sz="8" w:color="auto"/>
            </w:tcBorders>
          </w:tcPr>
          <w:p>
            <w:pPr>
              <w:jc w:val="center"/>
              <w:ind w:left="493"/>
              <w:spacing w:after="0"/>
              <w:rPr>
                <w:sz w:val="20"/>
                <w:szCs w:val="20"/>
                <w:color w:val="auto"/>
              </w:rPr>
            </w:pPr>
            <w:r>
              <w:rPr>
                <w:rFonts w:ascii="Arial" w:cs="Arial" w:eastAsia="Arial" w:hAnsi="Arial"/>
                <w:sz w:val="14"/>
                <w:szCs w:val="14"/>
                <w:color w:val="auto"/>
                <w:w w:val="93"/>
              </w:rPr>
              <w:t>(1)</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3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initial offering price or number of the securities of each identified class is being registered as may from time to time be offered hereunder at indeterminate prices. In accordance with Rules 456(b) and 457(r) under the Securities Act of 1933, as amended, the registrant is deferring payment of all of the registration fee and will pay the registration fee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4"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This Post-Effective Amendment No. 1 to Plains All American Pipeline, L.P.'s Registration Statement on Form S-3 (File No. 333-207139), or Registration Statement, is being filed to register, in addition to the classes of securities originally registered, an indeterminate amount of preferred units representing limited partner interests, as permitted under Rule 413(b) under the Securities Act of 1933, as amended, to file the required exhibits to the Registration Statement and to make certain ancillary conforming revisions.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may offer and sell the common units representing limited partner interests of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2"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33" w:lineRule="exact"/>
        <w:rPr>
          <w:sz w:val="20"/>
          <w:szCs w:val="20"/>
          <w:color w:val="auto"/>
        </w:rPr>
      </w:pPr>
    </w:p>
    <w:p>
      <w:pPr>
        <w:jc w:val="both"/>
        <w:ind w:right="220"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October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9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Forward-Looking Statements</w:t>
              </w:r>
            </w:hyperlink>
          </w:p>
        </w:tc>
        <w:tc>
          <w:tcPr>
            <w:tcW w:w="720" w:type="dxa"/>
            <w:vAlign w:val="bottom"/>
            <w:gridSpan w:val="2"/>
          </w:tcPr>
          <w:p>
            <w:pPr>
              <w:spacing w:after="0"/>
              <w:rPr>
                <w:sz w:val="17"/>
                <w:szCs w:val="17"/>
                <w:color w:val="auto"/>
              </w:rPr>
            </w:pPr>
          </w:p>
        </w:tc>
        <w:tc>
          <w:tcPr>
            <w:tcW w:w="6000" w:type="dxa"/>
            <w:vAlign w:val="bottom"/>
            <w:gridSpan w:val="5"/>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About Plains All American Pipeline, L.P.</w:t>
              </w:r>
            </w:hyperlink>
          </w:p>
        </w:tc>
        <w:tc>
          <w:tcPr>
            <w:tcW w:w="586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586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7640" w:type="dxa"/>
            <w:vAlign w:val="bottom"/>
            <w:gridSpan w:val="11"/>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Ratio of Earnings to Fixed Charges and Ratio of Earnings to Combined Fixed Charges and Preferred Unit Distributions</w:t>
              </w:r>
            </w:hyperlink>
          </w:p>
        </w:tc>
        <w:tc>
          <w:tcPr>
            <w:tcW w:w="40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Description of Our Debt Securities</w:t>
              </w:r>
            </w:hyperlink>
          </w:p>
        </w:tc>
        <w:tc>
          <w:tcPr>
            <w:tcW w:w="594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Description of Our Preferred Units</w:t>
              </w:r>
            </w:hyperlink>
          </w:p>
        </w:tc>
        <w:tc>
          <w:tcPr>
            <w:tcW w:w="634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Description of Our Common Units</w:t>
              </w:r>
            </w:hyperlink>
          </w:p>
        </w:tc>
        <w:tc>
          <w:tcPr>
            <w:tcW w:w="634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17</w:t>
              </w:r>
            </w:hyperlink>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Cash Distribution Policy</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Our Partnership Agreement</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Material U.S. Federal Income Tax Consequences</w:t>
              </w:r>
            </w:hyperlink>
          </w:p>
        </w:tc>
        <w:tc>
          <w:tcPr>
            <w:tcW w:w="53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26</w:t>
              </w:r>
            </w:hyperlink>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42</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7400" w:type="dxa"/>
            <w:vAlign w:val="bottom"/>
            <w:gridSpan w:val="10"/>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44</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Experts</w:t>
              </w:r>
            </w:hyperlink>
          </w:p>
        </w:tc>
        <w:tc>
          <w:tcPr>
            <w:tcW w:w="7820" w:type="dxa"/>
            <w:vAlign w:val="bottom"/>
            <w:gridSpan w:val="1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44</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making your investment decision, you should rely only on the information contained or incorporated by reference in this prospectus.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55"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2017 and June 30, 2017;</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January 25, 2017, February 14, 2017, February 21, 2017, March 1, 2017, July 6, 2017 and August 17, 2017;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16, 2016 and any subsequent amendment thereto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4" w:lineRule="exact"/>
        <w:rPr>
          <w:sz w:val="20"/>
          <w:szCs w:val="20"/>
          <w:color w:val="auto"/>
        </w:rPr>
      </w:pPr>
    </w:p>
    <w:p>
      <w:pPr>
        <w:ind w:left="108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discussed in Item 1A. of our Annual Report on Form 10-K for the year ended December 31, 2016 (File No. 001-14569), which is incorporated into this prospectus by reference. Except as required by applicable securities laws, we do not intend to update these forward-looking statements and information.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NGL, natural gas and refined products.</w:t>
      </w:r>
    </w:p>
    <w:p>
      <w:pPr>
        <w:spacing w:after="0" w:line="139"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principal executive offices are located at 333 Clay Street, Suite 1600, Houston, Texas 77002 and our telephone number is (713) 646-4100. We maintain a website at www.plainsallamerican.com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For additional information about us please refer to the documents set forth under "Where You Can Find More Information" in this prospectus, including our Annual Report on Form 10-K for the fiscal year ended December 31, 2016, which is incorporated by reference herein.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2016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20" w:right="26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vMerge w:val="restart"/>
          </w:tcPr>
          <w:p>
            <w:pPr>
              <w:jc w:val="right"/>
              <w:ind w:right="99"/>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3.35x</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2.25x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7"/>
              </w:rPr>
              <w:t>Ratio of Earnings to Combined Fixed Charges and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Unit Distributions(1)(2)</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2.72x</w:t>
            </w: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1.86x</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6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no preferred units were outstanding for any of the years ended December 31, 2015, 2014, 2013 and 2012, no historical ratio of earnings to combined fixed charges and preferred unit distributions are presented for those years.</w:t>
      </w:r>
    </w:p>
    <w:p>
      <w:pPr>
        <w:spacing w:after="0" w:line="212" w:lineRule="exact"/>
        <w:rPr>
          <w:rFonts w:ascii="Arial" w:cs="Arial" w:eastAsia="Arial" w:hAnsi="Arial"/>
          <w:sz w:val="18"/>
          <w:szCs w:val="18"/>
          <w:color w:val="auto"/>
        </w:rPr>
      </w:pPr>
    </w:p>
    <w:p>
      <w:pPr>
        <w:ind w:left="1680" w:right="76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distribution requirement of our Series A Preferred Units was paid in additional Series A Preferred Units for the year ended December 31, 2016 and the six months ended June 30, 2017.</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senior to all classes or series of equity securities in us with respect to distribution rights and rights upon liquidation. The holders of the Series A preferred units will receive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Series A preferred units in additional Series A preferred units, in cash or a combination of both. With respect to any quarter ending after the Initial Distribution Period, we must pay distributions on the Series A preferred units in cash. For a period of 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"Distribution Rate Reset"). If the holders of Series A preferred units have exercised the Distribution Rate Reset,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7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holders of Series A preferred units may convert their preferred units, generally on a one-for-one basis and subject to customary anti-dilution adjustments, at any time after the second anniversary of the issuance date (or prior to a liquidation),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preferred units. We may convert the Series A preferred units at any time (but not more often than once per quarter) after the third anniversary of the issuance date,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will vote on an as-converted basis with our common units and will have certain other class voting rights with respect to any amendment to our partnership agreement that would adversely affect any rights, preferences or privileges of the Series A preferred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Our partnership agreement authorizes us to issue an unlimited number of additional limited partner interests and other equity securities on the terms and conditions established by our general partner, subject to the approval of the holders of our Series A preferred units with respect to securities that rank senior to, and in excess of a permitted amount of parity preferred securities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units with respect to distributions. As of the date of this prospectus, we had 68,329,949 Series A preferred units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above.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management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provided in the Third Amended and Restated Limited Liability Company Agreement of PAGP GP, our board of directors consists of 12 members divided into three classes (excluding those directors who are also officers of PAGP GP). The directors of the board are appointed as follows: (a) three of the members are designated to serve on the board of directors of PAGP GP by the three members of PAGP GP that currently hold board designation rights (affiliates of The Energy &amp; Minerals Group, Kayne Anderson Investment Management Inc. and Occidental Petroleum Corporation); (b) six of the members (three of whom must be independent directors eligible to serve on the audit committee) are elected, and may be removed, by the board of directors of PAGP GP; and (c) one of the members is the Chief Executive Officer and two of the members are appointed by majority vote of the board of directors.</w:t>
      </w:r>
    </w:p>
    <w:p>
      <w:pPr>
        <w:spacing w:after="0" w:line="17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Beginning in 2018, PAGP will hold an annual meeting of its shareholders for the purpose of electing PAGP GP directors with expiring terms other than the designated directors, any directors who are officers of PAGP GP and any director subject to appointment by the holders of the Series A Preferred Units. PAA, which holds all of PAGP's issued and outstanding Class C shares, will hold an annual meeting of its limited partners in advance of PAGP's annual meeting. The purpose of our annual meeting will be to allow our limited partners, other than AAP,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its limited partners. At our annual meeting, common units held by AAP will not be voted and will not be counted for purposes of determining whether a quorum exists.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Subject to certain limitations, each holder of AAP's Class A units (other than PAGP and GP LLC) has the right (a "Redemption Right") to cause AAP to redeem any or all of such holder's AAP Units in exchange for the distribution of an equivalent number of our common units held by AAP. In connection with any such redemption, the redeeming holder will transfer Class A units to AAP and a corresponding number of Class B shares and PAGP GP company units (if any), in each case, to PAGP. The Class A units transferred to AAP will be cancelled, the Class B shares transferred to PAGP will be cancelled and the PAGP GP company units transferred to PAGP will remain outstanding and increase PAGP's ownership percentage in PAGP GP.</w:t>
      </w:r>
    </w:p>
    <w:p>
      <w:pPr>
        <w:spacing w:after="0" w:line="170"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Redemption Rights as a holder of AAP's Class A units. Holders of AAP management units who convert such units into AAP Class A units and Class B shares will not receive PAGP GP company units and thus will not need to include any PAGP GP company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8"/>
          <w:szCs w:val="18"/>
          <w:color w:val="auto"/>
        </w:rPr>
        <w:t>We will distribute to our common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unitholders, other than current holders of Series A Preferred Units in certain circumstances. We may fund acquisitions through the issuance of additional common units or other equity securities.</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the Preferred Units—Series A Convertible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holders of at least 75% of the outstanding 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80" w:firstLine="351"/>
        <w:spacing w:after="0" w:line="305"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ind w:right="120" w:firstLine="8"/>
        <w:spacing w:after="0" w:line="261" w:lineRule="auto"/>
        <w:tabs>
          <w:tab w:leader="none" w:pos="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5620" w:right="3160" w:hanging="5072"/>
        <w:spacing w:after="0" w:line="519" w:lineRule="auto"/>
        <w:tabs>
          <w:tab w:leader="none" w:pos="10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or "us" are references to Plains All American Pipeline, L.P. and its subsidiaries.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prospective unitholder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consult the unitholder's own tax advisor in analyzing the federal, state, local and non-U.S. tax consequences particular to that unitholder resulting from ownership or disposition of units and potential changes in applicable tax laws.</w:t>
      </w:r>
    </w:p>
    <w:p>
      <w:pPr>
        <w:spacing w:after="0" w:line="17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(3) whether our method for taking into account Section 743 adjustments is sustainable in certain cases (please read "—Tax Consequences of Unit Ownership—Section 754 Election" and "—Uniformity of Units") and (4) whether our allocations of income, gain, loss and deduction will be given effect for U.S. federal income tax purposes (please read "— Allocation of Income, Gain, Loss and Deduction").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expect to be treated as a partnership for U.S. federal income tax purposes and, therefore, subject to the discussion below under "—Administrative Matters—Information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jc w:val="both"/>
        <w:ind w:right="120" w:firstLine="351"/>
        <w:spacing w:after="0" w:line="283" w:lineRule="auto"/>
        <w:rPr>
          <w:sz w:val="20"/>
          <w:szCs w:val="20"/>
          <w:color w:val="auto"/>
        </w:rPr>
      </w:pPr>
      <w:r>
        <w:rPr>
          <w:rFonts w:ascii="Arial" w:cs="Arial" w:eastAsia="Arial" w:hAnsi="Arial"/>
          <w:sz w:val="16"/>
          <w:szCs w:val="16"/>
          <w:color w:val="auto"/>
        </w:rPr>
        <w:t>Section 7704 of the Code provides that a publicly-traded partnership will be treated as a corporation for federal income tax purposes. However, if 90% or more of a partnership's gross income for every taxable year it is publicly-traded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w:t>
      </w:r>
    </w:p>
    <w:p>
      <w:pPr>
        <w:spacing w:after="0" w:line="3" w:lineRule="exact"/>
        <w:rPr>
          <w:sz w:val="20"/>
          <w:szCs w:val="20"/>
          <w:color w:val="auto"/>
        </w:rPr>
      </w:pPr>
    </w:p>
    <w:p>
      <w:pPr>
        <w:jc w:val="both"/>
        <w:ind w:right="80" w:firstLine="8"/>
        <w:spacing w:after="0" w:line="254"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and gains derived from the exploration, development, mining or production, processing, refining, transportation (including pipelines transporting gas, oil, or products thereof) or the marketing of any "mineral or natural resource", and (vi) gains from the sale or disposition of a capital asset (or property described in Section 1231(b) of the Code) held for the production of qualifying income. We estimate that less than 5 percent of our current gross income is not qualifying income; however, this estimate could change from time to time.</w:t>
      </w:r>
    </w:p>
    <w:p>
      <w:pPr>
        <w:spacing w:after="0" w:line="198"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61" w:lineRule="exact"/>
        <w:rPr>
          <w:sz w:val="20"/>
          <w:szCs w:val="20"/>
          <w:color w:val="auto"/>
        </w:rPr>
      </w:pPr>
    </w:p>
    <w:p>
      <w:pPr>
        <w:ind w:left="540" w:right="160" w:firstLine="359"/>
        <w:spacing w:after="0" w:line="268" w:lineRule="auto"/>
        <w:tabs>
          <w:tab w:leader="none" w:pos="12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5" w:lineRule="exact"/>
        <w:rPr>
          <w:rFonts w:ascii="Arial" w:cs="Arial" w:eastAsia="Arial" w:hAnsi="Arial"/>
          <w:sz w:val="18"/>
          <w:szCs w:val="18"/>
          <w:color w:val="auto"/>
        </w:rPr>
      </w:pPr>
    </w:p>
    <w:p>
      <w:pPr>
        <w:ind w:left="540" w:firstLine="359"/>
        <w:spacing w:after="0" w:line="332" w:lineRule="auto"/>
        <w:tabs>
          <w:tab w:leader="none" w:pos="12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60" w:firstLine="359"/>
        <w:spacing w:after="0" w:line="259" w:lineRule="auto"/>
        <w:tabs>
          <w:tab w:leader="none" w:pos="12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propose and consider substantive changes to the existing federal income tax laws that affect publicly-traded partnerships. One such legislative proposal would have eliminated the Qualifying Income Exception upon which we rely for our treatment as a partnership for federal income tax purposes.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(the "Final Regulations")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Unitholders of the Partnership who are admitted as limited partners of the partnership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94"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39"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a beneficial owner of units whose units have been transferred to a short seller to complete a short sale would appear to lose status as a partner with respect to such units for federal income tax purposes. Please read "—Tax Consequences of Unit Ownership—Treatment of Securities Loans."</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A unitholder who is not treated as a partner in us as described above is urged to consult its own tax advisors with respect to the tax consequences applicable to such unitholder under its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Subject to the discussion below under "—Entity-Level Collections of Unitholder Taxes" and "—Administrative Matters—Information Returns and Audit Procedures", with respect to payments we may be required to make on behalf of our unitholders,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its share of our liabilities. The IRS has ruled that a partner who acquires interests in a partnership in separate transactions must combine those interests and maintain a single adjusted tax basis for all of those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passive income we generate may be deducted in full when a unitholder disposes of all of its units in a fully taxable transaction with an unrelated party. The passive loss rules are applied after other applicable limitations on deductions, including the at risk and basis limitations.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is generally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to reflect the unit purchase price upon subsequent purchases of units. That election is irrevocable without the consent of the IRS. The Section 743(b) adjustment separately applies to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tax basis in our assets as to all unitholders and (2) its Section 743(b) adjustment to that tax basis (which may be positive or negative).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are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and deductions previously taken, may be subject to the recapture rules and taxed as ordinary income rather than capital gain. Similarly, a unitholder who has taken cost recovery or depreciation deductions with respect to property we own will likely be required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"Disposition of Units—Recognition of Gain or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 will be required to recognize gain or loss on a sale or exchange of a unit equal to the difference, if any, between the unitholder's amount realized and the adjusted tax basis in the unit sold.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the sale or exchange.</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is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bears the same relation to the partner's tax basis in its entire interest in the partnership as the value of the interest sold bears to the value of the partner's entire interest in the partnership.</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20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transferor unitholders, as well as among unitholders whose interests vary during a taxable year, to conform to a method permitted under the Treasury Regulations.</w:t>
      </w:r>
    </w:p>
    <w:p>
      <w:pPr>
        <w:spacing w:after="0" w:line="260"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Termination</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will be considered to have technically terminated our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technical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technical termination occurring on a date other than December 31 would require that we file two tax returns for one fiscal year, thereby increasing our administration and tax preparation costs. However, pursuant to an IRS relief procedure the IRS may allow a technically terminated partnership to provide a single Schedule K-1 for the calendar year in which a termination occurs. Following a technical termination, we would be required to make new tax elections, including a new election under Section 754 of the Code, and the termination would result in a deferral of our deductions for depreciation and thus may increase the taxable income allocable to our unitholders. A technical termination could also result in penalties if we were unable to determine that the technical termination had occurred. Moreover, a technical termination may either accelerate the application of, or subject us to, any tax legislation enacted before the technical termination that would not otherwise have been applied to us as a continuing partnership as opposed to a terminating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39" w:lineRule="exact"/>
        <w:rPr>
          <w:sz w:val="20"/>
          <w:szCs w:val="20"/>
          <w:color w:val="auto"/>
        </w:rPr>
      </w:pPr>
    </w:p>
    <w:p>
      <w:pPr>
        <w:ind w:right="20" w:firstLine="351"/>
        <w:spacing w:after="0" w:line="252" w:lineRule="auto"/>
        <w:rPr>
          <w:sz w:val="20"/>
          <w:szCs w:val="20"/>
          <w:color w:val="auto"/>
        </w:rPr>
      </w:pPr>
      <w:r>
        <w:rPr>
          <w:rFonts w:ascii="Arial" w:cs="Arial" w:eastAsia="Arial" w:hAnsi="Arial"/>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it is probable that Non-U.S. Unitholders will be deemed to conduct such activities through a permanent establishment in the United States within the meaning of any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20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realized by a Non-U.S. Unitholder from the sale of its interest in a partnership that is engaged in a trade or business in the United States will be considered to be "effectively connected" with a U.S. trade or business. Although one court that recently reviewed the IRS position rejected it as unpersuasive, part or all of a Non-U.S. Unitholder's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gain from the sale or other disposition of units may be treated as effectively connected with a unitholder's indirect U.S. trade or business constituted by its investment in us.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Moreover, under the Foreign Investment in Real Property Tax Act, as long as our partnership units continue to be regularly traded on an established securities market, a Non-U.S. Unitholder generally will only be subject to federal income tax upon the sale or disposition of a unit if at any time during the shorter of the five-year period ending on the date of the disposition or the Non-U.S. Unitholder's holding period for the unit (i) such Non-U.S. Unitholder owned (directly or indirectly constructively applying certain attribution rules) more than 5% of our units and (ii) 50% or more of the fair market value of our real property interests and other assets used or held for use in a trade or business consisted of U.S. real property interests (which include U.S. real estate, including land, improvements, and associated personal property, and interests in certain entities holding U.S. real estate). If our units were not considered to be regularly traded on an established securities market, such Non-U.S. Unitholder (regardless of the percentage of units owned) would be subject to U.S. federal income tax on a taxable disposition of our units, and a 15% withholding tax would apply to the gross proceeds from such disposition (as described in the preceding paragraph). More than 50% of our assets may consist of U.S. real property interests. Therefore, each Non-U.S. Unitholder may be subject to federal income tax on gain from the sale or disposition of its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Publicly-traded partnerships are treated as entities separate from its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and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general partner and unitholders take any such audit adjustment into account in accordance with their interests in us during the taxable year under audit, but there can be no assurance that such election will be effective in all circumstances. With respect to audit adjustments as to an entity in which we are a member or partner, the Joint Committee of Taxation has stated that we would not be able to have our general partner and our unitholders take such audit adjustment into account. If we are unable to have our general partner and our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and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8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the unitholders.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periodical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rules generally apply to payments of FDAP Income currently and generally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who is foreign financial institution or certain other non-U.S. entity, or a person that hold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wholly-owned agency or instrumentality of either of the foregoing;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units such broker or financial institution acquires, holds or transfers for its own account. A penalty of $260 per failure, up to a maximum of $3,218,500 per calendar year, is imposed by the Code for failure to report that information to us. The nominee is required to supply the beneficial owner of the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Other Tax Considerations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its potential impact on its investment in us.</w:t>
      </w:r>
    </w:p>
    <w:p>
      <w:pPr>
        <w:spacing w:after="0" w:line="198"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it is the responsibility of each unitholder to file all state, local and non-U.S., as well as federal tax returns that may be required of it. Vinson &amp;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7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7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760" w:type="dxa"/>
            <w:vAlign w:val="bottom"/>
            <w:tcBorders>
              <w:bottom w:val="single" w:sz="8" w:color="auto"/>
            </w:tcBorders>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 is deferring payment of the registration fee in reliance on Rule 456(b) and Rule 457(r).</w:t>
      </w:r>
    </w:p>
    <w:p>
      <w:pPr>
        <w:spacing w:after="0" w:line="252" w:lineRule="exact"/>
        <w:rPr>
          <w:sz w:val="20"/>
          <w:szCs w:val="20"/>
          <w:color w:val="auto"/>
        </w:rPr>
      </w:pPr>
    </w:p>
    <w:p>
      <w:pPr>
        <w:ind w:left="2260" w:right="60" w:hanging="540"/>
        <w:spacing w:after="0" w:line="268" w:lineRule="auto"/>
        <w:tabs>
          <w:tab w:leader="none" w:pos="2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Officers and Members of Our Board of Directors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182" w:lineRule="exact"/>
        <w:rPr>
          <w:sz w:val="20"/>
          <w:szCs w:val="20"/>
          <w:color w:val="auto"/>
        </w:rPr>
      </w:pPr>
    </w:p>
    <w:p>
      <w:pPr>
        <w:ind w:right="720" w:firstLine="341"/>
        <w:spacing w:after="0" w:line="259" w:lineRule="auto"/>
        <w:rPr>
          <w:sz w:val="20"/>
          <w:szCs w:val="20"/>
          <w:color w:val="auto"/>
        </w:rPr>
      </w:pPr>
      <w:r>
        <w:rPr>
          <w:rFonts w:ascii="Arial" w:cs="Arial" w:eastAsia="Arial" w:hAnsi="Arial"/>
          <w:sz w:val="18"/>
          <w:szCs w:val="18"/>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PAA GP Holdings LLC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194"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PAA GP Holdings LLC provides for the indemnification of (a) any of its original members ("Existing Owner") or any owner of a direct or indirect 10% ownership interest in Plains AAP, L.P.'s Class A units ("Qualifying Interest Holder"), (b) any Person who is or was an affiliate of PAA GP Holdings LLC, any Existing Owner or any Qualifying Interest Holder,</w:t>
      </w:r>
    </w:p>
    <w:p>
      <w:pPr>
        <w:spacing w:after="0" w:line="2" w:lineRule="exact"/>
        <w:rPr>
          <w:sz w:val="20"/>
          <w:szCs w:val="20"/>
          <w:color w:val="auto"/>
        </w:rPr>
      </w:pPr>
    </w:p>
    <w:p>
      <w:pPr>
        <w:ind w:right="20" w:firstLine="8"/>
        <w:spacing w:after="0" w:line="284" w:lineRule="auto"/>
        <w:tabs>
          <w:tab w:leader="none" w:pos="23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shareholder, director, officer, fiduciary, agent or trustee of PAA GP Holdings LLC, any Existing Owner or any Qualifying Interest Holder or any affiliate thereof, (d) any Person who is or was serving at the request of PAA GP Holdings LLC, any Existing Owner or any Qualifying Interest Holder or any affiliate of thereof as a member, manager, partner, director, officer, fiduciary, agent or trustee of another person in furtherance of the business or affairs of PAA GP Holdings LLC or its subsidiaries (provided, that a person shall not be indemnified by reason of providing, on a fee-for-services basis, trustee, fiduciary or custodial services), and (e) any person the board of directors of PAA GP Holdings LLC designates an indemnitee (collectively, the "Indemnitees"),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an Indemnitee, regardless of whether an Indemnitee continues to be an Indemnitee at the time any such liability or expense is paid or incurred, if such Indemnitee acted in good faith and in a manner he, she or it reasonably believed to be in, or not opposed to, the interests of PAA GP Holdings LLC and with respect to any criminal proceeding, had no reason to believe his, her or its conduct was unlawful. Expenses incurred by an Indemnitee in defending any such claim, demand, action, suit or proceeding will, from time to time, be advanced by PAA GP Holdings LLC prior to the final disposition of such claim, demand, action, suit or proceeding upon receipt by PAA GP Holdings LLC of an undertaking by or on behalf of the Indemnitee to repay such amounts if it is ultimately determined that the Indemnitee is not entitled to be indemnified. PAA GP Holdings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PAA GP Holdings LLC.</w:t>
      </w:r>
    </w:p>
    <w:p>
      <w:pPr>
        <w:spacing w:after="0" w:line="18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175"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Registration Statement, and such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700" w:hanging="35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60" w:firstLine="360"/>
        <w:spacing w:after="0" w:line="253" w:lineRule="auto"/>
        <w:tabs>
          <w:tab w:leader="none" w:pos="1764" w:val="left"/>
        </w:tabs>
        <w:numPr>
          <w:ilvl w:val="2"/>
          <w:numId w:val="4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firstLine="360"/>
        <w:spacing w:after="0" w:line="268" w:lineRule="auto"/>
        <w:tabs>
          <w:tab w:leader="none" w:pos="17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(l)(a), (l)(b) and (1)(c) above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w:t>
      </w:r>
    </w:p>
    <w:p>
      <w:pPr>
        <w:spacing w:after="0" w:line="161" w:lineRule="exact"/>
        <w:rPr>
          <w:sz w:val="20"/>
          <w:szCs w:val="20"/>
          <w:color w:val="auto"/>
        </w:rPr>
      </w:pPr>
    </w:p>
    <w:p>
      <w:pPr>
        <w:jc w:val="both"/>
        <w:ind w:left="540" w:right="340" w:firstLine="359"/>
        <w:spacing w:after="0" w:line="259" w:lineRule="auto"/>
        <w:tabs>
          <w:tab w:leader="none" w:pos="12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2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60" w:firstLine="360"/>
        <w:spacing w:after="0" w:line="268" w:lineRule="auto"/>
        <w:tabs>
          <w:tab w:leader="none" w:pos="17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40"/>
        <w:spacing w:after="0" w:line="286"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8" w:lineRule="exact"/>
        <w:rPr>
          <w:sz w:val="20"/>
          <w:szCs w:val="20"/>
          <w:color w:val="auto"/>
        </w:rPr>
      </w:pPr>
    </w:p>
    <w:p>
      <w:pPr>
        <w:ind w:left="540" w:firstLine="359"/>
        <w:spacing w:after="0" w:line="255" w:lineRule="auto"/>
        <w:tabs>
          <w:tab w:leader="none" w:pos="12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60" w:hanging="320"/>
        <w:spacing w:after="0"/>
        <w:tabs>
          <w:tab w:leader="none" w:pos="17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40" w:firstLine="360"/>
        <w:spacing w:after="0" w:line="268" w:lineRule="auto"/>
        <w:tabs>
          <w:tab w:leader="none" w:pos="17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firstLine="360"/>
        <w:spacing w:after="0" w:line="268" w:lineRule="auto"/>
        <w:tabs>
          <w:tab w:leader="none" w:pos="17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60" w:hanging="320"/>
        <w:spacing w:after="0"/>
        <w:tabs>
          <w:tab w:leader="none" w:pos="1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20" w:firstLine="359"/>
        <w:spacing w:after="0" w:line="255" w:lineRule="auto"/>
        <w:tabs>
          <w:tab w:leader="none" w:pos="6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196" w:lineRule="exact"/>
        <w:rPr>
          <w:rFonts w:ascii="Arial" w:cs="Arial" w:eastAsia="Arial" w:hAnsi="Arial"/>
          <w:sz w:val="18"/>
          <w:szCs w:val="18"/>
          <w:color w:val="auto"/>
        </w:rPr>
      </w:pPr>
    </w:p>
    <w:p>
      <w:pPr>
        <w:ind w:firstLine="359"/>
        <w:spacing w:after="0" w:line="290" w:lineRule="auto"/>
        <w:tabs>
          <w:tab w:leader="none" w:pos="6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20" w:type="dxa"/>
            <w:vAlign w:val="bottom"/>
            <w:gridSpan w:val="11"/>
          </w:tcPr>
          <w:p>
            <w:pPr>
              <w:ind w:left="60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8280" w:type="dxa"/>
            <w:vAlign w:val="bottom"/>
            <w:gridSpan w:val="17"/>
          </w:tcPr>
          <w:p>
            <w:pPr>
              <w:ind w:left="80"/>
              <w:spacing w:after="0"/>
              <w:rPr>
                <w:sz w:val="20"/>
                <w:szCs w:val="20"/>
                <w:color w:val="auto"/>
              </w:rPr>
            </w:pPr>
            <w:r>
              <w:rPr>
                <w:rFonts w:ascii="Arial" w:cs="Arial" w:eastAsia="Arial" w:hAnsi="Arial"/>
                <w:sz w:val="18"/>
                <w:szCs w:val="18"/>
                <w:color w:val="auto"/>
              </w:rPr>
              <w:t>—  Form of Underwriting Agreement</w:t>
            </w:r>
          </w:p>
        </w:tc>
      </w:tr>
      <w:tr>
        <w:trPr>
          <w:trHeight w:val="394"/>
        </w:trPr>
        <w:tc>
          <w:tcPr>
            <w:tcW w:w="7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8280" w:type="dxa"/>
            <w:vAlign w:val="bottom"/>
            <w:gridSpan w:val="17"/>
          </w:tcPr>
          <w:p>
            <w:pPr>
              <w:ind w:left="80"/>
              <w:spacing w:after="0"/>
              <w:rPr>
                <w:rFonts w:ascii="Arial" w:cs="Arial" w:eastAsia="Arial" w:hAnsi="Arial"/>
                <w:sz w:val="18"/>
                <w:szCs w:val="18"/>
                <w:color w:val="auto"/>
                <w:w w:val="89"/>
              </w:rPr>
            </w:pPr>
            <w:r>
              <w:rPr>
                <w:rFonts w:ascii="Arial" w:cs="Arial" w:eastAsia="Arial" w:hAnsi="Arial"/>
                <w:sz w:val="18"/>
                <w:szCs w:val="18"/>
                <w:color w:val="auto"/>
                <w:w w:val="89"/>
              </w:rPr>
              <w:t xml:space="preserve">—  </w:t>
            </w:r>
            <w:hyperlink r:id="rId71">
              <w:r>
                <w:rPr>
                  <w:rFonts w:ascii="Arial" w:cs="Arial" w:eastAsia="Arial" w:hAnsi="Arial"/>
                  <w:sz w:val="18"/>
                  <w:szCs w:val="18"/>
                  <w:color w:val="0000EE"/>
                  <w:w w:val="89"/>
                </w:rPr>
                <w:t>Indenture for Senior Debt Securities dated as of September 25, 2002 among Plains All American Pipeline, L.P.,</w:t>
              </w:r>
            </w:hyperlink>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20" w:type="dxa"/>
            <w:vAlign w:val="bottom"/>
            <w:tcBorders>
              <w:top w:val="single" w:sz="8" w:color="0000EE"/>
            </w:tcBorders>
            <w:gridSpan w:val="16"/>
          </w:tcPr>
          <w:p>
            <w:pPr>
              <w:spacing w:after="0" w:line="196"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PAA Finance Corp. and Wachovia Bank, National Association, as original trustee (incorporated by reference to</w:t>
              </w:r>
            </w:hyperlink>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0" w:type="dxa"/>
            <w:vAlign w:val="bottom"/>
            <w:tcBorders>
              <w:top w:val="single" w:sz="8" w:color="0000EE"/>
            </w:tcBorders>
            <w:gridSpan w:val="15"/>
          </w:tcPr>
          <w:p>
            <w:pPr>
              <w:spacing w:after="0" w:line="196"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Exhibit 4.1 of the Partnership's Quarterly Report on Form 10-Q for the quarter ended September 30, 2002 (File</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No. 001-14569)).</w:t>
              </w:r>
            </w:hyperlink>
          </w:p>
        </w:tc>
        <w:tc>
          <w:tcPr>
            <w:tcW w:w="6560" w:type="dxa"/>
            <w:vAlign w:val="bottom"/>
            <w:tcBorders>
              <w:top w:val="single" w:sz="8" w:color="0000EE"/>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70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8280" w:type="dxa"/>
            <w:vAlign w:val="bottom"/>
            <w:gridSpan w:val="17"/>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2">
              <w:r>
                <w:rPr>
                  <w:rFonts w:ascii="Arial" w:cs="Arial" w:eastAsia="Arial" w:hAnsi="Arial"/>
                  <w:sz w:val="18"/>
                  <w:szCs w:val="18"/>
                  <w:color w:val="0000EE"/>
                  <w:w w:val="91"/>
                </w:rPr>
                <w:t>Form of Subordinated Indenture for Subordinated Debt Securities (incorporated by reference to Exhibit 4.2 of</w:t>
              </w:r>
            </w:hyperlink>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00" w:type="dxa"/>
            <w:vAlign w:val="bottom"/>
            <w:tcBorders>
              <w:top w:val="single" w:sz="8" w:color="0000EE"/>
            </w:tcBorders>
            <w:gridSpan w:val="12"/>
          </w:tcPr>
          <w:p>
            <w:pPr>
              <w:spacing w:after="0" w:line="196" w:lineRule="exact"/>
              <w:rPr>
                <w:rFonts w:ascii="Arial" w:cs="Arial" w:eastAsia="Arial" w:hAnsi="Arial"/>
                <w:sz w:val="18"/>
                <w:szCs w:val="18"/>
                <w:color w:val="0000EE"/>
                <w:w w:val="95"/>
              </w:rPr>
            </w:pPr>
            <w:hyperlink r:id="rId72">
              <w:r>
                <w:rPr>
                  <w:rFonts w:ascii="Arial" w:cs="Arial" w:eastAsia="Arial" w:hAnsi="Arial"/>
                  <w:sz w:val="18"/>
                  <w:szCs w:val="18"/>
                  <w:color w:val="0000EE"/>
                  <w:w w:val="95"/>
                </w:rPr>
                <w:t>the Partnership's Registration Statement on Form S-3 filed on August 27, 2001 (File No. 333-68446))</w:t>
              </w:r>
            </w:hyperlink>
          </w:p>
        </w:tc>
        <w:tc>
          <w:tcPr>
            <w:tcW w:w="120" w:type="dxa"/>
            <w:vAlign w:val="bottom"/>
            <w:gridSpan w:val="4"/>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51"/>
        </w:trPr>
        <w:tc>
          <w:tcPr>
            <w:tcW w:w="8980" w:type="dxa"/>
            <w:vAlign w:val="bottom"/>
            <w:gridSpan w:val="18"/>
          </w:tcPr>
          <w:p>
            <w:pPr>
              <w:ind w:left="220"/>
              <w:spacing w:after="0"/>
              <w:rPr>
                <w:sz w:val="20"/>
                <w:szCs w:val="20"/>
                <w:color w:val="auto"/>
              </w:rPr>
            </w:pPr>
            <w:r>
              <w:rPr>
                <w:rFonts w:ascii="Arial" w:cs="Arial" w:eastAsia="Arial" w:hAnsi="Arial"/>
                <w:sz w:val="18"/>
                <w:szCs w:val="18"/>
                <w:color w:val="auto"/>
              </w:rPr>
              <w:t>4.3**  —  Form of Senior Debt Securities</w:t>
            </w:r>
          </w:p>
        </w:tc>
      </w:tr>
      <w:tr>
        <w:trPr>
          <w:trHeight w:val="432"/>
        </w:trPr>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8280" w:type="dxa"/>
            <w:vAlign w:val="bottom"/>
            <w:gridSpan w:val="17"/>
          </w:tcPr>
          <w:p>
            <w:pPr>
              <w:ind w:left="80"/>
              <w:spacing w:after="0"/>
              <w:rPr>
                <w:sz w:val="20"/>
                <w:szCs w:val="20"/>
                <w:color w:val="auto"/>
              </w:rPr>
            </w:pPr>
            <w:r>
              <w:rPr>
                <w:rFonts w:ascii="Arial" w:cs="Arial" w:eastAsia="Arial" w:hAnsi="Arial"/>
                <w:sz w:val="18"/>
                <w:szCs w:val="18"/>
                <w:color w:val="auto"/>
              </w:rPr>
              <w:t>—  Form of Subordinated Debt Securities</w:t>
            </w:r>
          </w:p>
        </w:tc>
      </w:tr>
      <w:tr>
        <w:trPr>
          <w:trHeight w:val="394"/>
        </w:trPr>
        <w:tc>
          <w:tcPr>
            <w:tcW w:w="70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8280" w:type="dxa"/>
            <w:vAlign w:val="bottom"/>
            <w:gridSpan w:val="17"/>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3">
              <w:r>
                <w:rPr>
                  <w:rFonts w:ascii="Arial" w:cs="Arial" w:eastAsia="Arial" w:hAnsi="Arial"/>
                  <w:sz w:val="18"/>
                  <w:szCs w:val="18"/>
                  <w:color w:val="0000EE"/>
                </w:rPr>
                <w:t>Opinion of Vinson &amp; Elkins L.L.P. as to the legality of the securities being registered</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70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8280" w:type="dxa"/>
            <w:vAlign w:val="bottom"/>
            <w:gridSpan w:val="17"/>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7">
              <w:r>
                <w:rPr>
                  <w:rFonts w:ascii="Arial" w:cs="Arial" w:eastAsia="Arial" w:hAnsi="Arial"/>
                  <w:sz w:val="18"/>
                  <w:szCs w:val="18"/>
                  <w:color w:val="0000EE"/>
                </w:rPr>
                <w:t>Opinion of Vinson &amp; Elkins L.L.P. relating to tax matters</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700" w:type="dxa"/>
            <w:vAlign w:val="bottom"/>
          </w:tcPr>
          <w:p>
            <w:pPr>
              <w:jc w:val="right"/>
              <w:ind w:right="92"/>
              <w:spacing w:after="0"/>
              <w:rPr>
                <w:sz w:val="20"/>
                <w:szCs w:val="20"/>
                <w:color w:val="auto"/>
              </w:rPr>
            </w:pPr>
            <w:r>
              <w:rPr>
                <w:rFonts w:ascii="Arial" w:cs="Arial" w:eastAsia="Arial" w:hAnsi="Arial"/>
                <w:sz w:val="18"/>
                <w:szCs w:val="18"/>
                <w:color w:val="auto"/>
              </w:rPr>
              <w:t>12.1*</w:t>
            </w:r>
          </w:p>
        </w:tc>
        <w:tc>
          <w:tcPr>
            <w:tcW w:w="8280" w:type="dxa"/>
            <w:vAlign w:val="bottom"/>
            <w:gridSpan w:val="17"/>
          </w:tcPr>
          <w:p>
            <w:pPr>
              <w:ind w:left="80"/>
              <w:spacing w:after="0"/>
              <w:rPr>
                <w:rFonts w:ascii="Arial" w:cs="Arial" w:eastAsia="Arial" w:hAnsi="Arial"/>
                <w:sz w:val="18"/>
                <w:szCs w:val="18"/>
                <w:color w:val="auto"/>
                <w:w w:val="89"/>
              </w:rPr>
            </w:pPr>
            <w:r>
              <w:rPr>
                <w:rFonts w:ascii="Arial" w:cs="Arial" w:eastAsia="Arial" w:hAnsi="Arial"/>
                <w:sz w:val="18"/>
                <w:szCs w:val="18"/>
                <w:color w:val="auto"/>
                <w:w w:val="89"/>
              </w:rPr>
              <w:t xml:space="preserve">—  </w:t>
            </w:r>
            <w:hyperlink w:anchor="page70">
              <w:r>
                <w:rPr>
                  <w:rFonts w:ascii="Arial" w:cs="Arial" w:eastAsia="Arial" w:hAnsi="Arial"/>
                  <w:sz w:val="18"/>
                  <w:szCs w:val="18"/>
                  <w:color w:val="0000EE"/>
                  <w:w w:val="89"/>
                </w:rPr>
                <w:t>Computation of ratio of earnings to fixed charges and ratio of earnings to combined fixed charges and preferred</w:t>
              </w:r>
            </w:hyperlink>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unit distributions</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70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8280" w:type="dxa"/>
            <w:vAlign w:val="bottom"/>
            <w:gridSpan w:val="17"/>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2">
              <w:r>
                <w:rPr>
                  <w:rFonts w:ascii="Arial" w:cs="Arial" w:eastAsia="Arial" w:hAnsi="Arial"/>
                  <w:sz w:val="18"/>
                  <w:szCs w:val="18"/>
                  <w:color w:val="0000EE"/>
                </w:rPr>
                <w:t>Consent of PricewaterhouseCoopers LLP</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700" w:type="dxa"/>
            <w:vAlign w:val="bottom"/>
          </w:tcPr>
          <w:p>
            <w:pPr>
              <w:jc w:val="right"/>
              <w:ind w:right="92"/>
              <w:spacing w:after="0"/>
              <w:rPr>
                <w:sz w:val="20"/>
                <w:szCs w:val="20"/>
                <w:color w:val="auto"/>
              </w:rPr>
            </w:pPr>
            <w:r>
              <w:rPr>
                <w:rFonts w:ascii="Arial" w:cs="Arial" w:eastAsia="Arial" w:hAnsi="Arial"/>
                <w:sz w:val="18"/>
                <w:szCs w:val="18"/>
                <w:color w:val="auto"/>
              </w:rPr>
              <w:t>23.2*</w:t>
            </w:r>
          </w:p>
        </w:tc>
        <w:tc>
          <w:tcPr>
            <w:tcW w:w="8280" w:type="dxa"/>
            <w:vAlign w:val="bottom"/>
            <w:gridSpan w:val="17"/>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3">
              <w:r>
                <w:rPr>
                  <w:rFonts w:ascii="Arial" w:cs="Arial" w:eastAsia="Arial" w:hAnsi="Arial"/>
                  <w:sz w:val="18"/>
                  <w:szCs w:val="18"/>
                  <w:color w:val="0000EE"/>
                </w:rPr>
                <w:t>Consent of Vinson &amp; Elkins L.L.P. (contained in Exhibits 5.1 and 8.1)</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700" w:type="dxa"/>
            <w:vAlign w:val="bottom"/>
          </w:tcPr>
          <w:p>
            <w:pPr>
              <w:jc w:val="right"/>
              <w:ind w:right="72"/>
              <w:spacing w:after="0"/>
              <w:rPr>
                <w:sz w:val="20"/>
                <w:szCs w:val="20"/>
                <w:color w:val="auto"/>
              </w:rPr>
            </w:pPr>
            <w:r>
              <w:rPr>
                <w:rFonts w:ascii="Arial" w:cs="Arial" w:eastAsia="Arial" w:hAnsi="Arial"/>
                <w:sz w:val="18"/>
                <w:szCs w:val="18"/>
                <w:color w:val="auto"/>
              </w:rPr>
              <w:t>24.1+</w:t>
            </w:r>
          </w:p>
        </w:tc>
        <w:tc>
          <w:tcPr>
            <w:tcW w:w="8280" w:type="dxa"/>
            <w:vAlign w:val="bottom"/>
            <w:gridSpan w:val="17"/>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9">
              <w:r>
                <w:rPr>
                  <w:rFonts w:ascii="Arial" w:cs="Arial" w:eastAsia="Arial" w:hAnsi="Arial"/>
                  <w:sz w:val="18"/>
                  <w:szCs w:val="18"/>
                  <w:color w:val="0000EE"/>
                </w:rPr>
                <w:t>Powers of Attorney (included on the signature page of this registration statement)</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700" w:type="dxa"/>
            <w:vAlign w:val="bottom"/>
          </w:tcPr>
          <w:p>
            <w:pPr>
              <w:jc w:val="right"/>
              <w:ind w:right="72"/>
              <w:spacing w:after="0"/>
              <w:rPr>
                <w:sz w:val="20"/>
                <w:szCs w:val="20"/>
                <w:color w:val="auto"/>
              </w:rPr>
            </w:pPr>
            <w:r>
              <w:rPr>
                <w:rFonts w:ascii="Arial" w:cs="Arial" w:eastAsia="Arial" w:hAnsi="Arial"/>
                <w:sz w:val="18"/>
                <w:szCs w:val="18"/>
                <w:color w:val="auto"/>
              </w:rPr>
              <w:t>25.1+</w:t>
            </w:r>
          </w:p>
        </w:tc>
        <w:tc>
          <w:tcPr>
            <w:tcW w:w="8280" w:type="dxa"/>
            <w:vAlign w:val="bottom"/>
            <w:gridSpan w:val="17"/>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3">
              <w:r>
                <w:rPr>
                  <w:rFonts w:ascii="Arial" w:cs="Arial" w:eastAsia="Arial" w:hAnsi="Arial"/>
                  <w:sz w:val="18"/>
                  <w:szCs w:val="18"/>
                  <w:color w:val="0000EE"/>
                  <w:w w:val="92"/>
                </w:rPr>
                <w:t>Form T-1 Statement of Eligibility and Qualification under the Trust Indenture Act of 1939 of the trustee under</w:t>
              </w:r>
            </w:hyperlink>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the Senior Indenture</w:t>
              </w:r>
            </w:hyperlink>
          </w:p>
        </w:tc>
        <w:tc>
          <w:tcPr>
            <w:tcW w:w="100" w:type="dxa"/>
            <w:vAlign w:val="bottom"/>
            <w:gridSpan w:val="3"/>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r>
      <w:tr>
        <w:trPr>
          <w:trHeight w:val="412"/>
        </w:trPr>
        <w:tc>
          <w:tcPr>
            <w:tcW w:w="700" w:type="dxa"/>
            <w:vAlign w:val="bottom"/>
          </w:tcPr>
          <w:p>
            <w:pPr>
              <w:jc w:val="right"/>
              <w:ind w:right="72"/>
              <w:spacing w:after="0"/>
              <w:rPr>
                <w:sz w:val="20"/>
                <w:szCs w:val="20"/>
                <w:color w:val="auto"/>
              </w:rPr>
            </w:pPr>
            <w:r>
              <w:rPr>
                <w:rFonts w:ascii="Arial" w:cs="Arial" w:eastAsia="Arial" w:hAnsi="Arial"/>
                <w:sz w:val="18"/>
                <w:szCs w:val="18"/>
                <w:color w:val="auto"/>
              </w:rPr>
              <w:t>25.2+</w:t>
            </w:r>
          </w:p>
        </w:tc>
        <w:tc>
          <w:tcPr>
            <w:tcW w:w="8280" w:type="dxa"/>
            <w:vAlign w:val="bottom"/>
            <w:gridSpan w:val="17"/>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4">
              <w:r>
                <w:rPr>
                  <w:rFonts w:ascii="Arial" w:cs="Arial" w:eastAsia="Arial" w:hAnsi="Arial"/>
                  <w:sz w:val="18"/>
                  <w:szCs w:val="18"/>
                  <w:color w:val="0000EE"/>
                  <w:w w:val="92"/>
                </w:rPr>
                <w:t>Form T-1 Statement of Eligibility and Qualification under the Trust Indenture Act of 1939 of the trustee under</w:t>
              </w:r>
            </w:hyperlink>
          </w:p>
        </w:tc>
      </w:tr>
      <w:tr>
        <w:trPr>
          <w:trHeight w:val="196"/>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the Subordinated Indenture</w:t>
              </w:r>
            </w:hyperlink>
          </w:p>
        </w:tc>
        <w:tc>
          <w:tcPr>
            <w:tcW w:w="100" w:type="dxa"/>
            <w:vAlign w:val="bottom"/>
            <w:gridSpan w:val="3"/>
          </w:tcPr>
          <w:p>
            <w:pPr>
              <w:spacing w:after="0"/>
              <w:rPr>
                <w:sz w:val="17"/>
                <w:szCs w:val="17"/>
                <w:color w:val="auto"/>
              </w:rPr>
            </w:pPr>
          </w:p>
        </w:tc>
      </w:tr>
      <w:tr>
        <w:trPr>
          <w:trHeight w:val="129"/>
        </w:trPr>
        <w:tc>
          <w:tcPr>
            <w:tcW w:w="7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8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68"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Exchange Act or in a post-effective amendment to this registration statement.</w:t>
      </w:r>
    </w:p>
    <w:p>
      <w:pPr>
        <w:spacing w:after="0" w:line="199" w:lineRule="exact"/>
        <w:rPr>
          <w:sz w:val="20"/>
          <w:szCs w:val="20"/>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October 2, 2017.</w:t>
      </w:r>
    </w:p>
    <w:p>
      <w:pPr>
        <w:spacing w:after="0" w:line="18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PLAINS ALL AMERICAN PIPELINE, L.P.</w:t>
      </w:r>
    </w:p>
    <w:p>
      <w:pPr>
        <w:spacing w:after="0" w:line="258" w:lineRule="exact"/>
        <w:rPr>
          <w:sz w:val="20"/>
          <w:szCs w:val="20"/>
          <w:color w:val="auto"/>
        </w:rPr>
      </w:pPr>
    </w:p>
    <w:p>
      <w:pPr>
        <w:ind w:left="53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15" w:lineRule="exact"/>
        <w:rPr>
          <w:sz w:val="20"/>
          <w:szCs w:val="20"/>
          <w:color w:val="auto"/>
        </w:rPr>
      </w:pPr>
    </w:p>
    <w:p>
      <w:pPr>
        <w:ind w:left="53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Plains AAP, L.P., its sole member</w:t>
      </w:r>
    </w:p>
    <w:p>
      <w:pPr>
        <w:spacing w:after="0" w:line="9" w:lineRule="exact"/>
        <w:rPr>
          <w:sz w:val="20"/>
          <w:szCs w:val="20"/>
          <w:color w:val="auto"/>
        </w:rPr>
      </w:pPr>
    </w:p>
    <w:p>
      <w:pPr>
        <w:ind w:left="53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9" w:lineRule="exact"/>
        <w:rPr>
          <w:sz w:val="20"/>
          <w:szCs w:val="20"/>
          <w:color w:val="auto"/>
        </w:rPr>
      </w:pPr>
    </w:p>
    <w:p>
      <w:pPr>
        <w:ind w:left="53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Plains GP Holdings, L.P., its sole member</w:t>
      </w:r>
    </w:p>
    <w:p>
      <w:pPr>
        <w:spacing w:after="0" w:line="9" w:lineRule="exact"/>
        <w:rPr>
          <w:sz w:val="20"/>
          <w:szCs w:val="20"/>
          <w:color w:val="auto"/>
        </w:rPr>
      </w:pPr>
    </w:p>
    <w:p>
      <w:pPr>
        <w:ind w:left="53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46" w:lineRule="exact"/>
        <w:rPr>
          <w:sz w:val="20"/>
          <w:szCs w:val="20"/>
          <w:color w:val="auto"/>
        </w:rPr>
      </w:pPr>
    </w:p>
    <w:p>
      <w:pPr>
        <w:ind w:left="53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28644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78"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8"/>
          <w:szCs w:val="18"/>
          <w:color w:val="auto"/>
        </w:rPr>
        <w:t>Name:</w:t>
        <w:tab/>
        <w:t>Richard K. McGee</w:t>
      </w:r>
    </w:p>
    <w:p>
      <w:pPr>
        <w:spacing w:after="0" w:line="15"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General Counsel and</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pacing w:after="0" w:line="180"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PAA GP HOLDINGS LLC, for itself and as the general partner of PLAINS GP HOLDINGS, L.P., which is the sole member of PLAINS ALL AMERICAN GP LLC, which is the general partner of PLAINS AAP, L.P., which is the sole member of PAA GP LLC, which is the general partner of PLAINS ALL AMERICAN PIPELINE, L.P.</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382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 and Chief Executive</w:t>
            </w:r>
          </w:p>
        </w:tc>
        <w:tc>
          <w:tcPr>
            <w:tcW w:w="2860" w:type="dxa"/>
            <w:vAlign w:val="bottom"/>
            <w:vMerge w:val="restart"/>
          </w:tcPr>
          <w:p>
            <w:pPr>
              <w:ind w:left="320"/>
              <w:spacing w:after="0"/>
              <w:rPr>
                <w:sz w:val="20"/>
                <w:szCs w:val="20"/>
                <w:color w:val="auto"/>
              </w:rPr>
            </w:pPr>
            <w:r>
              <w:rPr>
                <w:rFonts w:ascii="Arial" w:cs="Arial" w:eastAsia="Arial" w:hAnsi="Arial"/>
                <w:sz w:val="18"/>
                <w:szCs w:val="18"/>
                <w:color w:val="auto"/>
              </w:rPr>
              <w:t>October 2, 2017</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20" w:type="dxa"/>
            <w:vAlign w:val="bottom"/>
            <w:vMerge w:val="continue"/>
          </w:tcPr>
          <w:p>
            <w:pPr>
              <w:spacing w:after="0"/>
              <w:rPr>
                <w:sz w:val="8"/>
                <w:szCs w:val="8"/>
                <w:color w:val="auto"/>
              </w:rPr>
            </w:pPr>
          </w:p>
        </w:tc>
        <w:tc>
          <w:tcPr>
            <w:tcW w:w="2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Greg L. Armstrong</w:t>
            </w:r>
          </w:p>
        </w:tc>
        <w:tc>
          <w:tcPr>
            <w:tcW w:w="38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Officer (Principal Executive Officer)</w:t>
            </w: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3820" w:type="dxa"/>
            <w:vAlign w:val="bottom"/>
            <w:vMerge w:val="continue"/>
          </w:tcPr>
          <w:p>
            <w:pPr>
              <w:spacing w:after="0"/>
              <w:rPr>
                <w:sz w:val="9"/>
                <w:szCs w:val="9"/>
                <w:color w:val="auto"/>
              </w:rPr>
            </w:pPr>
          </w:p>
        </w:tc>
        <w:tc>
          <w:tcPr>
            <w:tcW w:w="2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3820" w:type="dxa"/>
            <w:vAlign w:val="bottom"/>
            <w:vMerge w:val="restart"/>
          </w:tcPr>
          <w:p>
            <w:pPr>
              <w:ind w:left="160"/>
              <w:spacing w:after="0"/>
              <w:rPr>
                <w:sz w:val="20"/>
                <w:szCs w:val="20"/>
                <w:color w:val="auto"/>
              </w:rPr>
            </w:pPr>
            <w:r>
              <w:rPr>
                <w:rFonts w:ascii="Arial" w:cs="Arial" w:eastAsia="Arial" w:hAnsi="Arial"/>
                <w:sz w:val="18"/>
                <w:szCs w:val="18"/>
                <w:color w:val="auto"/>
                <w:w w:val="97"/>
              </w:rPr>
              <w:t>President, Chief Operating Officer and Director</w:t>
            </w:r>
          </w:p>
        </w:tc>
        <w:tc>
          <w:tcPr>
            <w:tcW w:w="2860" w:type="dxa"/>
            <w:vAlign w:val="bottom"/>
            <w:vMerge w:val="restart"/>
          </w:tcPr>
          <w:p>
            <w:pPr>
              <w:ind w:left="320"/>
              <w:spacing w:after="0"/>
              <w:rPr>
                <w:sz w:val="20"/>
                <w:szCs w:val="20"/>
                <w:color w:val="auto"/>
              </w:rPr>
            </w:pPr>
            <w:r>
              <w:rPr>
                <w:rFonts w:ascii="Arial" w:cs="Arial" w:eastAsia="Arial" w:hAnsi="Arial"/>
                <w:sz w:val="18"/>
                <w:szCs w:val="18"/>
                <w:color w:val="auto"/>
              </w:rPr>
              <w:t>October 2,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820" w:type="dxa"/>
            <w:vAlign w:val="bottom"/>
            <w:vMerge w:val="continue"/>
          </w:tcPr>
          <w:p>
            <w:pPr>
              <w:spacing w:after="0"/>
              <w:rPr>
                <w:sz w:val="8"/>
                <w:szCs w:val="8"/>
                <w:color w:val="auto"/>
              </w:rPr>
            </w:pPr>
          </w:p>
        </w:tc>
        <w:tc>
          <w:tcPr>
            <w:tcW w:w="2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820" w:type="dxa"/>
            <w:vAlign w:val="bottom"/>
            <w:vMerge w:val="continue"/>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38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20" w:type="dxa"/>
            <w:vAlign w:val="bottom"/>
          </w:tcPr>
          <w:p>
            <w:pPr>
              <w:ind w:left="840"/>
              <w:spacing w:after="0"/>
              <w:rPr>
                <w:sz w:val="20"/>
                <w:szCs w:val="20"/>
                <w:color w:val="auto"/>
              </w:rPr>
            </w:pPr>
            <w:r>
              <w:rPr>
                <w:rFonts w:ascii="Arial" w:cs="Arial" w:eastAsia="Arial" w:hAnsi="Arial"/>
                <w:sz w:val="18"/>
                <w:szCs w:val="18"/>
                <w:color w:val="auto"/>
              </w:rPr>
              <w:t>II-7</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WILLIE C.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Willie C. Chiang</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Al Swanson</w:t>
      </w:r>
    </w:p>
    <w:p>
      <w:pPr>
        <w:spacing w:after="0" w:line="266"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Chris Herbold</w:t>
      </w:r>
    </w:p>
    <w:p>
      <w:pPr>
        <w:spacing w:after="0" w:line="266"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OSCAR K.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Oscar K. Brown</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22726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Everardo Goyanes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Gary R. Petersen</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John T. Raymond</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Bobby S. Shackouls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726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8"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22726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J. Taft Symonds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726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Christopher M. Temple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Executive Vice President, Chief Operating Officer (U.S.) and Director</w:t>
      </w:r>
    </w:p>
    <w:p>
      <w:pPr>
        <w:spacing w:after="0" w:line="200" w:lineRule="exact"/>
        <w:rPr>
          <w:sz w:val="20"/>
          <w:szCs w:val="20"/>
          <w:color w:val="auto"/>
        </w:rPr>
      </w:pPr>
    </w:p>
    <w:p>
      <w:pPr>
        <w:spacing w:after="0" w:line="20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Executive Vice President and Chief Financial Officer (Principal Financial Officer)</w:t>
      </w:r>
    </w:p>
    <w:p>
      <w:pPr>
        <w:spacing w:after="0" w:line="26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Vice President—Accounting and Chief Accounting Officer (Principal Accounting Officer)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color w:val="auto"/>
        </w:rPr>
        <w:t>October</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6985</wp:posOffset>
            </wp:positionV>
            <wp:extent cx="1117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color w:val="auto"/>
        </w:rPr>
        <w:t>October</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6985</wp:posOffset>
            </wp:positionV>
            <wp:extent cx="1117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 2017</w:t>
      </w:r>
    </w:p>
    <w:p>
      <w:pPr>
        <w:sectPr>
          <w:pgSz w:w="11900" w:h="16838" w:orient="portrait"/>
          <w:cols w:equalWidth="0" w:num="3">
            <w:col w:w="4180" w:space="720"/>
            <w:col w:w="3520" w:space="420"/>
            <w:col w:w="1379"/>
          </w:cols>
          <w:pgMar w:left="240" w:top="131" w:right="1440"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October 2, 2017.</w:t>
      </w:r>
    </w:p>
    <w:p>
      <w:pPr>
        <w:spacing w:after="0" w:line="18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PAA FINANCE CORP.</w:t>
      </w:r>
    </w:p>
    <w:p>
      <w:pPr>
        <w:spacing w:after="0" w:line="258" w:lineRule="exact"/>
        <w:rPr>
          <w:sz w:val="20"/>
          <w:szCs w:val="20"/>
          <w:color w:val="auto"/>
        </w:rPr>
      </w:pPr>
    </w:p>
    <w:p>
      <w:pPr>
        <w:ind w:left="538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71120</wp:posOffset>
            </wp:positionV>
            <wp:extent cx="28644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78"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8"/>
          <w:szCs w:val="18"/>
          <w:color w:val="auto"/>
        </w:rPr>
        <w:t>Name:</w:t>
        <w:tab/>
        <w:t>Richard K. McGee</w:t>
      </w:r>
    </w:p>
    <w:p>
      <w:pPr>
        <w:spacing w:after="0" w:line="15" w:lineRule="exact"/>
        <w:rPr>
          <w:sz w:val="20"/>
          <w:szCs w:val="20"/>
          <w:color w:val="auto"/>
        </w:rPr>
      </w:pPr>
    </w:p>
    <w:p>
      <w:pPr>
        <w:ind w:left="580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General Counsel and</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ectPr>
          <w:pgSz w:w="11900" w:h="16838" w:orient="portrait"/>
          <w:cols w:equalWidth="0" w:num="1">
            <w:col w:w="11360"/>
          </w:cols>
          <w:pgMar w:left="240" w:top="13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1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4269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78" w:lineRule="exact"/>
        <w:rPr>
          <w:sz w:val="20"/>
          <w:szCs w:val="20"/>
          <w:color w:val="auto"/>
        </w:rPr>
      </w:pPr>
    </w:p>
    <w:p>
      <w:pPr>
        <w:jc w:val="center"/>
        <w:ind w:left="1940"/>
        <w:spacing w:after="0"/>
        <w:rPr>
          <w:sz w:val="20"/>
          <w:szCs w:val="20"/>
          <w:color w:val="auto"/>
        </w:rPr>
      </w:pPr>
      <w:r>
        <w:rPr>
          <w:rFonts w:ascii="Arial" w:cs="Arial" w:eastAsia="Arial" w:hAnsi="Arial"/>
          <w:sz w:val="18"/>
          <w:szCs w:val="18"/>
          <w:color w:val="auto"/>
        </w:rPr>
        <w:t>Greg L. Armstrong</w:t>
      </w:r>
    </w:p>
    <w:p>
      <w:pPr>
        <w:spacing w:after="0" w:line="225" w:lineRule="exact"/>
        <w:rPr>
          <w:sz w:val="20"/>
          <w:szCs w:val="20"/>
          <w:color w:val="auto"/>
        </w:rPr>
      </w:pPr>
    </w:p>
    <w:p>
      <w:pPr>
        <w:jc w:val="center"/>
        <w:ind w:left="1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4269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7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Al Swanson</w:t>
      </w:r>
    </w:p>
    <w:p>
      <w:pPr>
        <w:spacing w:after="0" w:line="279" w:lineRule="exact"/>
        <w:rPr>
          <w:sz w:val="20"/>
          <w:szCs w:val="20"/>
          <w:color w:val="auto"/>
        </w:rPr>
      </w:pPr>
    </w:p>
    <w:p>
      <w:pPr>
        <w:jc w:val="center"/>
        <w:ind w:left="1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4269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7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Chris Herbold</w:t>
      </w:r>
    </w:p>
    <w:p>
      <w:pPr>
        <w:spacing w:after="0" w:line="279" w:lineRule="exact"/>
        <w:rPr>
          <w:sz w:val="20"/>
          <w:szCs w:val="20"/>
          <w:color w:val="auto"/>
        </w:rPr>
      </w:pPr>
    </w:p>
    <w:p>
      <w:pPr>
        <w:jc w:val="center"/>
        <w:ind w:left="1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4269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78"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Harry N. Pefanis</w:t>
      </w:r>
    </w:p>
    <w:p>
      <w:pPr>
        <w:spacing w:after="0" w:line="252" w:lineRule="exact"/>
        <w:rPr>
          <w:sz w:val="20"/>
          <w:szCs w:val="20"/>
          <w:color w:val="auto"/>
        </w:rPr>
      </w:pPr>
    </w:p>
    <w:p>
      <w:pPr>
        <w:ind w:left="2280" w:hanging="1131"/>
        <w:spacing w:after="0"/>
        <w:tabs>
          <w:tab w:leader="none" w:pos="22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85725</wp:posOffset>
            </wp:positionV>
            <wp:extent cx="22123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jc w:val="center"/>
        <w:ind w:left="2280"/>
        <w:spacing w:after="0"/>
        <w:rPr>
          <w:sz w:val="20"/>
          <w:szCs w:val="20"/>
          <w:color w:val="auto"/>
        </w:rPr>
      </w:pPr>
      <w:r>
        <w:rPr>
          <w:rFonts w:ascii="Arial" w:cs="Arial" w:eastAsia="Arial" w:hAnsi="Arial"/>
          <w:sz w:val="18"/>
          <w:szCs w:val="18"/>
          <w:color w:val="auto"/>
        </w:rPr>
        <w:t>Richard K. McGee</w:t>
      </w:r>
    </w:p>
    <w:p>
      <w:pPr>
        <w:spacing w:after="0" w:line="15" w:lineRule="exact"/>
        <w:rPr>
          <w:sz w:val="20"/>
          <w:szCs w:val="20"/>
          <w:color w:val="auto"/>
        </w:rPr>
      </w:pPr>
    </w:p>
    <w:p>
      <w:pPr>
        <w:jc w:val="center"/>
        <w:ind w:left="2280"/>
        <w:spacing w:after="0"/>
        <w:rPr>
          <w:sz w:val="20"/>
          <w:szCs w:val="20"/>
          <w:color w:val="auto"/>
        </w:rPr>
      </w:pP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 FINANCE CORP.</w:t>
      </w:r>
    </w:p>
    <w:p>
      <w:pPr>
        <w:spacing w:after="0" w:line="339" w:lineRule="exact"/>
        <w:rPr>
          <w:sz w:val="20"/>
          <w:szCs w:val="20"/>
          <w:color w:val="auto"/>
        </w:rPr>
      </w:pPr>
    </w:p>
    <w:p>
      <w:pPr>
        <w:ind w:left="280"/>
        <w:spacing w:after="0" w:line="268" w:lineRule="auto"/>
        <w:rPr>
          <w:sz w:val="20"/>
          <w:szCs w:val="20"/>
          <w:color w:val="auto"/>
        </w:rPr>
      </w:pPr>
      <w:r>
        <w:rPr>
          <w:rFonts w:ascii="Arial" w:cs="Arial" w:eastAsia="Arial" w:hAnsi="Arial"/>
          <w:sz w:val="18"/>
          <w:szCs w:val="18"/>
          <w:color w:val="auto"/>
        </w:rPr>
        <w:t>Chief Executive Officer and Director (Principal Executive Officer)</w:t>
      </w:r>
    </w:p>
    <w:p>
      <w:pPr>
        <w:spacing w:after="0" w:line="294" w:lineRule="exact"/>
        <w:rPr>
          <w:sz w:val="20"/>
          <w:szCs w:val="20"/>
          <w:color w:val="auto"/>
        </w:rPr>
      </w:pPr>
    </w:p>
    <w:p>
      <w:pPr>
        <w:ind w:left="280" w:right="400"/>
        <w:spacing w:after="0" w:line="259" w:lineRule="auto"/>
        <w:rPr>
          <w:sz w:val="20"/>
          <w:szCs w:val="20"/>
          <w:color w:val="auto"/>
        </w:rPr>
      </w:pPr>
      <w:r>
        <w:rPr>
          <w:rFonts w:ascii="Arial" w:cs="Arial" w:eastAsia="Arial" w:hAnsi="Arial"/>
          <w:sz w:val="18"/>
          <w:szCs w:val="18"/>
          <w:color w:val="auto"/>
        </w:rPr>
        <w:t>Executive Vice President, Chief Financial Officer and Director (Principal Financial Officer)</w:t>
      </w:r>
    </w:p>
    <w:p>
      <w:pPr>
        <w:spacing w:after="0" w:line="221" w:lineRule="exact"/>
        <w:rPr>
          <w:sz w:val="20"/>
          <w:szCs w:val="20"/>
          <w:color w:val="auto"/>
        </w:rPr>
      </w:pPr>
    </w:p>
    <w:p>
      <w:pPr>
        <w:ind w:left="280" w:right="380"/>
        <w:spacing w:after="0" w:line="259" w:lineRule="auto"/>
        <w:rPr>
          <w:sz w:val="20"/>
          <w:szCs w:val="20"/>
          <w:color w:val="auto"/>
        </w:rPr>
      </w:pPr>
      <w:r>
        <w:rPr>
          <w:rFonts w:ascii="Arial" w:cs="Arial" w:eastAsia="Arial" w:hAnsi="Arial"/>
          <w:sz w:val="18"/>
          <w:szCs w:val="18"/>
          <w:color w:val="auto"/>
        </w:rPr>
        <w:t>Vice President—Accounting and Chief Accounting Officer (Principal Accounting Officer)</w:t>
      </w: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October 2,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October 2, 2017</w:t>
      </w:r>
    </w:p>
    <w:p>
      <w:pPr>
        <w:sectPr>
          <w:pgSz w:w="11900" w:h="16838" w:orient="portrait"/>
          <w:cols w:equalWidth="0" w:num="3">
            <w:col w:w="4160" w:space="680"/>
            <w:col w:w="3620" w:space="480"/>
            <w:col w:w="2420"/>
          </w:cols>
          <w:pgMar w:left="240" w:top="131" w:right="299" w:bottom="1440" w:gutter="0" w:footer="0" w:header="0"/>
          <w:type w:val="continuous"/>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269240</wp:posOffset>
            </wp:positionH>
            <wp:positionV relativeFrom="page">
              <wp:posOffset>534670</wp:posOffset>
            </wp:positionV>
            <wp:extent cx="162941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629410" cy="188595"/>
                    </a:xfrm>
                    <a:prstGeom prst="rect">
                      <a:avLst/>
                    </a:prstGeom>
                    <a:noFill/>
                  </pic:spPr>
                </pic:pic>
              </a:graphicData>
            </a:graphic>
          </wp:anchor>
        </w:drawing>
        <w:t>Exhibit 5.1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October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acted as counsel for Plains All American Pipeline,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with respect to the preparation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Post-Effective Amendment No. 1 to the Registration Statement on Form S-3 (Registration No. 333-207139) (such registration statement,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originally filed on September 25, 2015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by the Partnership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 and sale by the Partnership from time to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415 under the Securities Act, of:</w:t>
      </w:r>
    </w:p>
    <w:p>
      <w:pPr>
        <w:spacing w:after="0" w:line="219" w:lineRule="exact"/>
        <w:rPr>
          <w:sz w:val="20"/>
          <w:szCs w:val="20"/>
          <w:color w:val="auto"/>
        </w:rPr>
      </w:pPr>
    </w:p>
    <w:p>
      <w:pPr>
        <w:ind w:left="1240" w:hanging="341"/>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(the "</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200" w:firstLine="359"/>
        <w:spacing w:after="0" w:line="268" w:lineRule="auto"/>
        <w:tabs>
          <w:tab w:leader="none" w:pos="12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securities, which may be co-issued by PAA Finance Corp., a Delaware corporation ("</w:t>
      </w:r>
      <w:r>
        <w:rPr>
          <w:rFonts w:ascii="Arial" w:cs="Arial" w:eastAsia="Arial" w:hAnsi="Arial"/>
          <w:sz w:val="18"/>
          <w:szCs w:val="18"/>
          <w:b w:val="1"/>
          <w:bCs w:val="1"/>
          <w:i w:val="1"/>
          <w:iCs w:val="1"/>
          <w:color w:val="auto"/>
        </w:rPr>
        <w:t>PAA Finance</w:t>
      </w:r>
      <w:r>
        <w:rPr>
          <w:rFonts w:ascii="Arial" w:cs="Arial" w:eastAsia="Arial" w:hAnsi="Arial"/>
          <w:sz w:val="18"/>
          <w:szCs w:val="18"/>
          <w:color w:val="auto"/>
        </w:rPr>
        <w:t>"), in one or more series, consisting of notes, debentures or other evidences of indebtedness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preferred units representing limited partner interests in the Partnership (the "</w:t>
      </w:r>
      <w:r>
        <w:rPr>
          <w:rFonts w:ascii="Arial" w:cs="Arial" w:eastAsia="Arial" w:hAnsi="Arial"/>
          <w:sz w:val="18"/>
          <w:szCs w:val="18"/>
          <w:b w:val="1"/>
          <w:bCs w:val="1"/>
          <w:i w:val="1"/>
          <w:iCs w:val="1"/>
          <w:color w:val="auto"/>
        </w:rPr>
        <w:t>Preferred Units</w:t>
      </w:r>
      <w:r>
        <w:rPr>
          <w:rFonts w:ascii="Arial" w:cs="Arial" w:eastAsia="Arial" w:hAnsi="Arial"/>
          <w:sz w:val="18"/>
          <w:szCs w:val="18"/>
          <w:color w:val="auto"/>
        </w:rPr>
        <w:t>").</w:t>
      </w:r>
    </w:p>
    <w:p>
      <w:pPr>
        <w:spacing w:after="0" w:line="225"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Common Units, Debt Securities and Preferred Units are collectively referred to herein as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We have also participated in the preparation of the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contained in the Registration Statement to which this opinion is an exhibit.</w:t>
      </w:r>
    </w:p>
    <w:p>
      <w:pPr>
        <w:spacing w:after="0" w:line="139"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rendering the opinions set forth below, we have examined and relied upon (i) the Delaware Revised Uniform Limited Partnership Act (the "</w:t>
      </w:r>
      <w:r>
        <w:rPr>
          <w:rFonts w:ascii="Arial" w:cs="Arial" w:eastAsia="Arial" w:hAnsi="Arial"/>
          <w:sz w:val="16"/>
          <w:szCs w:val="16"/>
          <w:b w:val="1"/>
          <w:bCs w:val="1"/>
          <w:i w:val="1"/>
          <w:i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(ii)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(iii) the Registration Statement, including the Prospectus, (iv) the Senior Indenture (the "</w:t>
      </w:r>
      <w:r>
        <w:rPr>
          <w:rFonts w:ascii="Arial" w:cs="Arial" w:eastAsia="Arial" w:hAnsi="Arial"/>
          <w:sz w:val="16"/>
          <w:szCs w:val="16"/>
          <w:b w:val="1"/>
          <w:bCs w:val="1"/>
          <w:i w:val="1"/>
          <w:iCs w:val="1"/>
          <w:color w:val="auto"/>
        </w:rPr>
        <w:t>Senior Indenture</w:t>
      </w:r>
      <w:r>
        <w:rPr>
          <w:rFonts w:ascii="Arial" w:cs="Arial" w:eastAsia="Arial" w:hAnsi="Arial"/>
          <w:sz w:val="16"/>
          <w:szCs w:val="16"/>
          <w:color w:val="auto"/>
        </w:rPr>
        <w:t>"), attached as Exhibit 4.1 to the Registration Statement, (v) the form of Subordinated Indenture (the "</w:t>
      </w:r>
      <w:r>
        <w:rPr>
          <w:rFonts w:ascii="Arial" w:cs="Arial" w:eastAsia="Arial" w:hAnsi="Arial"/>
          <w:sz w:val="16"/>
          <w:szCs w:val="16"/>
          <w:b w:val="1"/>
          <w:bCs w:val="1"/>
          <w:i w:val="1"/>
          <w:iCs w:val="1"/>
          <w:color w:val="auto"/>
        </w:rPr>
        <w:t>Subordinated Indenture</w:t>
      </w:r>
      <w:r>
        <w:rPr>
          <w:rFonts w:ascii="Arial" w:cs="Arial" w:eastAsia="Arial" w:hAnsi="Arial"/>
          <w:sz w:val="16"/>
          <w:szCs w:val="16"/>
          <w:color w:val="auto"/>
        </w:rPr>
        <w:t>," together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Indenture, the "</w:t>
      </w:r>
      <w:r>
        <w:rPr>
          <w:rFonts w:ascii="Arial" w:cs="Arial" w:eastAsia="Arial" w:hAnsi="Arial"/>
          <w:sz w:val="16"/>
          <w:szCs w:val="16"/>
          <w:b w:val="1"/>
          <w:bCs w:val="1"/>
          <w:i w:val="1"/>
          <w:iCs w:val="1"/>
          <w:color w:val="auto"/>
        </w:rPr>
        <w:t>Indentures</w:t>
      </w:r>
      <w:r>
        <w:rPr>
          <w:rFonts w:ascii="Arial" w:cs="Arial" w:eastAsia="Arial" w:hAnsi="Arial"/>
          <w:sz w:val="16"/>
          <w:szCs w:val="16"/>
          <w:color w:val="auto"/>
        </w:rPr>
        <w:t>"), attached as Exhibit 4.2 to the Registration Statement, (vi) the Sixth Amended and Restated Agreement of Limited Partnership of the Partnership, as amended (the "</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(vii) the Certificate of Limited Partnership filed with the Secretary of State of Delaware pursuant to the Delaware LP Act in connection with the formation of the Partnership,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this opinion, we have assumed that:</w:t>
      </w:r>
    </w:p>
    <w:p>
      <w:pPr>
        <w:spacing w:after="0" w:line="225" w:lineRule="exact"/>
        <w:rPr>
          <w:sz w:val="20"/>
          <w:szCs w:val="20"/>
          <w:color w:val="auto"/>
        </w:rPr>
      </w:pPr>
    </w:p>
    <w:p>
      <w:pPr>
        <w:ind w:left="1240" w:hanging="34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Registration Statement, and any amendments thereto (including post-effective amendments), will have become effective;</w:t>
      </w:r>
    </w:p>
    <w:p>
      <w:pPr>
        <w:spacing w:after="0" w:line="225" w:lineRule="exact"/>
        <w:rPr>
          <w:rFonts w:ascii="Arial" w:cs="Arial" w:eastAsia="Arial" w:hAnsi="Arial"/>
          <w:sz w:val="18"/>
          <w:szCs w:val="18"/>
          <w:color w:val="auto"/>
        </w:rPr>
      </w:pPr>
    </w:p>
    <w:p>
      <w:pPr>
        <w:ind w:left="540" w:right="180" w:firstLine="359"/>
        <w:spacing w:after="0" w:line="268" w:lineRule="auto"/>
        <w:tabs>
          <w:tab w:leader="none" w:pos="1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supplement to the Prospectus (a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will have been prepared and filed with the Commission describing the Securities offered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807720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5737225" cy="3689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5737225" cy="36893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180" w:right="80" w:firstLine="359"/>
        <w:spacing w:after="0" w:line="268"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8895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all Securities will be issued and sold in compliance with applicable federal and state securities laws and in the manner stated in the Registration Statement and the appropriate Prospectus Supplement;</w:t>
      </w:r>
    </w:p>
    <w:p>
      <w:pPr>
        <w:spacing w:after="0" w:line="185" w:lineRule="exact"/>
        <w:rPr>
          <w:rFonts w:ascii="Arial" w:cs="Arial" w:eastAsia="Arial" w:hAnsi="Arial"/>
          <w:sz w:val="18"/>
          <w:szCs w:val="18"/>
          <w:color w:val="auto"/>
        </w:rPr>
      </w:pPr>
    </w:p>
    <w:p>
      <w:pPr>
        <w:ind w:left="180" w:right="520" w:firstLine="359"/>
        <w:spacing w:after="0" w:line="268"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offered will have been duly authorized and validly executed and delivered by the Partnership and the other parties thereto; and</w:t>
      </w:r>
    </w:p>
    <w:p>
      <w:pPr>
        <w:spacing w:after="0" w:line="185" w:lineRule="exact"/>
        <w:rPr>
          <w:rFonts w:ascii="Arial" w:cs="Arial" w:eastAsia="Arial" w:hAnsi="Arial"/>
          <w:sz w:val="18"/>
          <w:szCs w:val="18"/>
          <w:color w:val="auto"/>
        </w:rPr>
      </w:pPr>
    </w:p>
    <w:p>
      <w:pPr>
        <w:ind w:left="180" w:right="20" w:firstLine="359"/>
        <w:spacing w:after="0" w:line="268"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Securities issuable upon conversion, exchange or exercise of any Security being offered will be duly authorized, created, and, if appropriate, reserved for issuance upon such conversion, exercise or exchange.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left="180" w:firstLine="359"/>
        <w:spacing w:after="0" w:line="294" w:lineRule="auto"/>
        <w:tabs>
          <w:tab w:leader="none" w:pos="8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(to the extent required under the Partnership Agreement) and non-assessable (except as such nonassessability may be affected by Sections 17-303, 17-607 or 17-804 of the Delaware LP Act).</w:t>
      </w:r>
    </w:p>
    <w:p>
      <w:pPr>
        <w:spacing w:after="0" w:line="169" w:lineRule="exact"/>
        <w:rPr>
          <w:rFonts w:ascii="Arial" w:cs="Arial" w:eastAsia="Arial" w:hAnsi="Arial"/>
          <w:sz w:val="16"/>
          <w:szCs w:val="16"/>
          <w:color w:val="auto"/>
        </w:rPr>
      </w:pPr>
    </w:p>
    <w:p>
      <w:pPr>
        <w:ind w:left="180" w:right="160" w:firstLine="359"/>
        <w:spacing w:after="0" w:line="283" w:lineRule="auto"/>
        <w:tabs>
          <w:tab w:leader="none" w:pos="8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 (iii)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w:t>
      </w:r>
    </w:p>
    <w:p>
      <w:pPr>
        <w:ind w:left="180" w:right="40" w:firstLine="8"/>
        <w:spacing w:after="0" w:line="281" w:lineRule="auto"/>
        <w:tabs>
          <w:tab w:leader="none" w:pos="42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w:t>
      </w:r>
    </w:p>
    <w:p>
      <w:pPr>
        <w:spacing w:after="0" w:line="1" w:lineRule="exact"/>
        <w:rPr>
          <w:rFonts w:ascii="Arial" w:cs="Arial" w:eastAsia="Arial" w:hAnsi="Arial"/>
          <w:sz w:val="16"/>
          <w:szCs w:val="16"/>
          <w:color w:val="auto"/>
        </w:rPr>
      </w:pPr>
    </w:p>
    <w:p>
      <w:pPr>
        <w:ind w:left="440" w:hanging="252"/>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public policy, applicable law relating to fiduciary duties and indemnification and an implied covenant of good faith and fair dealing.</w:t>
      </w:r>
    </w:p>
    <w:p>
      <w:pPr>
        <w:spacing w:after="0" w:line="218" w:lineRule="exact"/>
        <w:rPr>
          <w:rFonts w:ascii="Arial" w:cs="Arial" w:eastAsia="Arial" w:hAnsi="Arial"/>
          <w:sz w:val="18"/>
          <w:szCs w:val="18"/>
          <w:color w:val="auto"/>
        </w:rPr>
      </w:pPr>
    </w:p>
    <w:p>
      <w:pPr>
        <w:ind w:left="180" w:right="20" w:firstLine="359"/>
        <w:spacing w:after="0" w:line="294" w:lineRule="auto"/>
        <w:tabs>
          <w:tab w:leader="none" w:pos="864" w:val="left"/>
        </w:tabs>
        <w:numPr>
          <w:ilvl w:val="1"/>
          <w:numId w:val="54"/>
        </w:numPr>
        <w:rPr>
          <w:rFonts w:ascii="Arial" w:cs="Arial" w:eastAsia="Arial" w:hAnsi="Arial"/>
          <w:sz w:val="16"/>
          <w:szCs w:val="16"/>
          <w:color w:val="auto"/>
        </w:rPr>
      </w:pPr>
      <w:r>
        <w:rPr>
          <w:rFonts w:ascii="Arial" w:cs="Arial" w:eastAsia="Arial" w:hAnsi="Arial"/>
          <w:sz w:val="16"/>
          <w:szCs w:val="16"/>
          <w:color w:val="auto"/>
        </w:rPr>
        <w:t>With respect to the Preferred Units, when (i) the Partnership has taken all necessary action to approve the issuance and terms of such Preferred Units, the terms of the offering and related matters; and (ii) the Preferred Units have been issued and delivered in accordance with the terms of the applicable definitive underwriting or similar agreement approved by the Partnership upon payment of the consideration therefor provided for therein, then the Preferred Units will be validly issued, fully paid (to the extent required under the Partnership Agreement) and nonassessable (except as such nonassessability may be affected by Sections 17-303, 17-607 or 17-804 of the Delaware LP Act).</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644" w:right="259" w:bottom="1440" w:gutter="0" w:footer="0" w:header="0"/>
        </w:sectPr>
      </w:pPr>
    </w:p>
    <w:bookmarkStart w:id="64" w:name="page65"/>
    <w:bookmarkEnd w:id="64"/>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8895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The opinions expressed herein are qualified in the following respects:</w:t>
      </w:r>
    </w:p>
    <w:p>
      <w:pPr>
        <w:spacing w:after="0" w:line="225" w:lineRule="exact"/>
        <w:rPr>
          <w:sz w:val="20"/>
          <w:szCs w:val="20"/>
          <w:color w:val="auto"/>
        </w:rPr>
      </w:pPr>
    </w:p>
    <w:p>
      <w:pPr>
        <w:ind w:left="540" w:firstLine="359"/>
        <w:spacing w:after="0" w:line="259" w:lineRule="auto"/>
        <w:tabs>
          <w:tab w:leader="none" w:pos="12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94" w:lineRule="exact"/>
        <w:rPr>
          <w:rFonts w:ascii="Arial" w:cs="Arial" w:eastAsia="Arial" w:hAnsi="Arial"/>
          <w:sz w:val="18"/>
          <w:szCs w:val="18"/>
          <w:color w:val="auto"/>
        </w:rPr>
      </w:pPr>
    </w:p>
    <w:p>
      <w:pPr>
        <w:ind w:left="540" w:firstLine="359"/>
        <w:spacing w:after="0" w:line="259" w:lineRule="auto"/>
        <w:tabs>
          <w:tab w:leader="none" w:pos="12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Common Units and the Preferred Units will conform to the specimens thereof examined by us and will have been duly countersigned by a transfer agent and duly registered by a registrar of the Common Units and the Preferred Units.</w:t>
      </w:r>
    </w:p>
    <w:p>
      <w:pPr>
        <w:spacing w:after="0" w:line="194" w:lineRule="exact"/>
        <w:rPr>
          <w:rFonts w:ascii="Arial" w:cs="Arial" w:eastAsia="Arial" w:hAnsi="Arial"/>
          <w:sz w:val="18"/>
          <w:szCs w:val="18"/>
          <w:color w:val="auto"/>
        </w:rPr>
      </w:pPr>
    </w:p>
    <w:p>
      <w:pPr>
        <w:jc w:val="both"/>
        <w:ind w:left="540" w:right="20" w:firstLine="359"/>
        <w:spacing w:after="0" w:line="298" w:lineRule="auto"/>
        <w:tabs>
          <w:tab w:leader="none" w:pos="12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and (iv) each certificate from governmental officials reviewed by us is accurate, complete and authentic, and all official public records are accurate and complete.</w:t>
      </w:r>
    </w:p>
    <w:p>
      <w:pPr>
        <w:spacing w:after="0" w:line="166" w:lineRule="exact"/>
        <w:rPr>
          <w:rFonts w:ascii="Arial" w:cs="Arial" w:eastAsia="Arial" w:hAnsi="Arial"/>
          <w:sz w:val="16"/>
          <w:szCs w:val="16"/>
          <w:color w:val="auto"/>
        </w:rPr>
      </w:pPr>
    </w:p>
    <w:p>
      <w:pPr>
        <w:ind w:left="540" w:right="120" w:firstLine="359"/>
        <w:spacing w:after="0" w:line="256" w:lineRule="auto"/>
        <w:tabs>
          <w:tab w:leader="none" w:pos="12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opinion is limited in all respects to U.S. federal laws, the laws of the State of New York, the Delaware LP Act and the DGCL.</w:t>
      </w:r>
    </w:p>
    <w:p>
      <w:pPr>
        <w:spacing w:after="0" w:line="248"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44" w:right="35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269240</wp:posOffset>
            </wp:positionH>
            <wp:positionV relativeFrom="page">
              <wp:posOffset>534670</wp:posOffset>
            </wp:positionV>
            <wp:extent cx="162941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629410" cy="188595"/>
                    </a:xfrm>
                    <a:prstGeom prst="rect">
                      <a:avLst/>
                    </a:prstGeom>
                    <a:noFill/>
                  </pic:spPr>
                </pic:pic>
              </a:graphicData>
            </a:graphic>
          </wp:anchor>
        </w:drawing>
        <w:t>Exhibit 8.1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October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 xml:space="preserve">We have acted as counsel for Plains All American Pipeline,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a Delaware limited partnership, with respect to the preparation of the Post-Effective Amendment No. 1 to the Registration Statement on Form S-3 (Registration No. 333-207139) (such registration statement,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originally filed on September 25, 2015, with the Securities and Exchange Commission in connection with the registration by the Partnership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common units representing limited partner interests in the Partnership, preferred units representing limited partner interests in the Partnership, and debt securities. We have also participated in the preparation of the Prospectus contained in the Registration Statement to which this opinion is an exhibit.</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 xml:space="preserve">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6"/>
          <w:szCs w:val="16"/>
          <w:b w:val="1"/>
          <w:bCs w:val="1"/>
          <w:i w:val="1"/>
          <w:iCs w:val="1"/>
          <w:color w:val="auto"/>
        </w:rPr>
        <w:t>"Officer's Certificate"</w:t>
      </w:r>
      <w:r>
        <w:rPr>
          <w:rFonts w:ascii="Arial" w:cs="Arial" w:eastAsia="Arial" w:hAnsi="Arial"/>
          <w:sz w:val="16"/>
          <w:szCs w:val="16"/>
          <w:color w:val="auto"/>
        </w:rPr>
        <w:t>). In addition, this opinion is based upon the factual representations of the Partnership concerning its business, properties and governing documents as set forth in the Registration Statement.</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765810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5128260" cy="3346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128260" cy="3346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right="200" w:firstLine="35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8895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preferred units, or debt securities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hereby consent to the filing of this opinion of counsel as an exhibit to the Registration Statement and the use of our name in the Registration Statement.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giving such consent, we do not admit that we are within the category of persons whose consent is required under Section 7 of the Securities Act.</w:t>
      </w:r>
    </w:p>
    <w:p>
      <w:pPr>
        <w:spacing w:after="0" w:line="24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rFonts w:ascii="Arial" w:cs="Arial" w:eastAsia="Arial" w:hAnsi="Arial"/>
          <w:sz w:val="22"/>
          <w:szCs w:val="22"/>
          <w:color w:val="0000EE"/>
        </w:rPr>
      </w:pPr>
      <w:hyperlink w:anchor="page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ind w:left="280" w:right="220"/>
        <w:spacing w:after="0" w:line="275" w:lineRule="auto"/>
        <w:rPr>
          <w:sz w:val="20"/>
          <w:szCs w:val="20"/>
          <w:color w:val="auto"/>
        </w:rPr>
      </w:pPr>
      <w:r>
        <w:rPr>
          <w:rFonts w:ascii="Arial" w:cs="Arial" w:eastAsia="Arial" w:hAnsi="Arial"/>
          <w:sz w:val="18"/>
          <w:szCs w:val="18"/>
          <w:b w:val="1"/>
          <w:bCs w:val="1"/>
          <w:color w:val="auto"/>
        </w:rPr>
        <w:t>STATEMENT OF COMPUTATION OF RATIO OF EARNINGS TO FIXED CHARGES AND RATIO OF EARNINGS TO COMBINED FIXED CHARGES AND PREFERRED UNIT DISTRIBUTIONS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8"/>
              </w:rPr>
              <w:t>Year Ended December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Pre-tax income from continuing operations before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 and income from equity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investees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Fixed charges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add: Distributed income of equity investees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Amortization of capitalized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less: Capitalized interest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Earnings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FIXED CHARGES(1)</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 and capitalized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7"/>
              </w:rPr>
              <w:t>Portion of rent expense related to interest (33.33%)</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Fixed Charges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color w:val="auto"/>
              </w:rPr>
              <w:t>Preferred unit distributions(2)(3)</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Total Combined Fixed Charges and Preferred Unit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RATIO OF EARNINGS TO FIXED CHARGES(4)</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3.35x</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2.25x</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2.80x</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4.30x</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4.41x</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4.03x</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 OF EARNINGS TO COMBINED FIXED</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CHARGES AND PREFERRED UNIT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DISTRIBUTIONS(2)(3)(4)</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2.72x</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1.86x</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4" w:lineRule="auto"/>
        <w:tabs>
          <w:tab w:leader="none" w:pos="1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purposes of computing the ratio of earnings to fixed charges and the ratio of earnings to combined fixed charges and preferred unit distributions,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96" w:lineRule="exact"/>
        <w:rPr>
          <w:rFonts w:ascii="Arial" w:cs="Arial" w:eastAsia="Arial" w:hAnsi="Arial"/>
          <w:sz w:val="16"/>
          <w:szCs w:val="16"/>
          <w:color w:val="auto"/>
        </w:rPr>
      </w:pPr>
    </w:p>
    <w:p>
      <w:pPr>
        <w:ind w:left="1680" w:right="180" w:hanging="531"/>
        <w:spacing w:after="0" w:line="268" w:lineRule="auto"/>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Because no preferred units were outstanding for any of the years ended December 31, 2015, 2014, 2013 and 2012, no historical ratio of earnings to combined fixed charges and preferred unit distributions are presented for those years.</w:t>
      </w:r>
    </w:p>
    <w:p>
      <w:pPr>
        <w:spacing w:after="0" w:line="199" w:lineRule="exact"/>
        <w:rPr>
          <w:rFonts w:ascii="Arial" w:cs="Arial" w:eastAsia="Arial" w:hAnsi="Arial"/>
          <w:sz w:val="18"/>
          <w:szCs w:val="18"/>
          <w:color w:val="auto"/>
        </w:rPr>
      </w:pPr>
    </w:p>
    <w:p>
      <w:pPr>
        <w:ind w:left="1680" w:right="100" w:hanging="531"/>
        <w:spacing w:after="0" w:line="255" w:lineRule="auto"/>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distribution requirement of our Series A convertible preferred units (the "Series A Preferred Units") was paid in additional Series A Preferred Units for the year ended December 31, 2016 and the six months ended June 30, 2017. We issued 2,653,323 additional Series A Preferred Units in lieu of cash distributions of $69 million for the distributions pertaining to the six months ended June 30, 2017, and we issued 4,646,499 additional Series A Preferred Units in lieu of cash distributions of $122 million for the distributions pertaining to the year ended December 31, 2016.</w:t>
      </w:r>
    </w:p>
    <w:p>
      <w:pPr>
        <w:spacing w:after="0" w:line="210" w:lineRule="exact"/>
        <w:rPr>
          <w:rFonts w:ascii="Arial" w:cs="Arial" w:eastAsia="Arial" w:hAnsi="Arial"/>
          <w:sz w:val="18"/>
          <w:szCs w:val="18"/>
          <w:color w:val="auto"/>
        </w:rPr>
      </w:pPr>
    </w:p>
    <w:p>
      <w:pPr>
        <w:ind w:left="1680" w:hanging="531"/>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STATEMENT OF COMPUTATION OF RATIO OF EARNINGS TO FIXED CHARGES AND RATIO OF EARNINGS TO COMBINED FIXED CHARGES</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AND PREFERRED UNIT DISTRIBUTIONS (in millions, except ratio data)</w:t>
        </w:r>
      </w:hyperlink>
    </w:p>
    <w:p>
      <w:pPr>
        <w:sectPr>
          <w:pgSz w:w="11900" w:h="16838" w:orient="portrait"/>
          <w:cols w:equalWidth="0" w:num="1">
            <w:col w:w="11160"/>
          </w:cols>
          <w:pgMar w:left="240" w:top="820" w:right="499" w:bottom="1440" w:gutter="0" w:footer="0" w:header="0"/>
        </w:sectPr>
      </w:pPr>
    </w:p>
    <w:bookmarkStart w:id="71" w:name="page72"/>
    <w:bookmarkEnd w:id="71"/>
    <w:p>
      <w:pPr>
        <w:spacing w:after="0"/>
        <w:rPr>
          <w:rFonts w:ascii="Arial" w:cs="Arial" w:eastAsia="Arial" w:hAnsi="Arial"/>
          <w:sz w:val="22"/>
          <w:szCs w:val="22"/>
          <w:color w:val="0000EE"/>
        </w:rPr>
      </w:pPr>
      <w:hyperlink w:anchor="page7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hereby consent to the incorporation by reference in this Registration Statement on Form S-3, as amended by Post-Effective Amendment No. 1 to Form S-3, of our report dated February 23, 2017 relating to the financial statements, and the effectiveness of internal control over financial reporting, which appears in Plains All American Pipeline, L.P.'s Annual Report on Form 10-K for the year ended December 31, 2016. We also consent to the reference to us under the heading "Experts" in such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Letter"/>
      <w:start w:val="1"/>
    </w:lvl>
    <w:lvl w:ilvl="1">
      <w:lvlJc w:val="left"/>
      <w:lvlText w:val="(%2)"/>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lowerRoman"/>
      <w:start w:val="2"/>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Roman"/>
      <w:start w:val="5"/>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lvl w:ilvl="1">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lowerLetter"/>
      <w:start w:val="3"/>
    </w:lvl>
  </w:abstractNum>
  <w:abstractNum w:abstractNumId="39">
    <w:nsid w:val="7644A4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0">
    <w:nsid w:val="32FFF902"/>
    <w:multiLevelType w:val="hybridMultilevel"/>
    <w:lvl w:ilvl="0">
      <w:lvlJc w:val="left"/>
      <w:lvlText w:val="(%1)"/>
      <w:numFmt w:val="lowerLetter"/>
      <w:start w:val="3"/>
    </w:lvl>
  </w:abstractNum>
  <w:abstractNum w:abstractNumId="41">
    <w:nsid w:val="684A481A"/>
    <w:multiLevelType w:val="hybridMultilevel"/>
    <w:lvl w:ilvl="0">
      <w:lvlJc w:val="left"/>
      <w:lvlText w:val="(%1)"/>
      <w:numFmt w:val="decimal"/>
      <w:start w:val="2"/>
    </w:lvl>
    <w:lvl w:ilvl="1">
      <w:lvlJc w:val="left"/>
      <w:lvlText w:val="(%2)"/>
      <w:numFmt w:val="lowerLetter"/>
      <w:start w:val="1"/>
    </w:lvl>
  </w:abstractNum>
  <w:abstractNum w:abstractNumId="42">
    <w:nsid w:val="579478FE"/>
    <w:multiLevelType w:val="hybridMultilevel"/>
    <w:lvl w:ilvl="0">
      <w:lvlJc w:val="left"/>
      <w:lvlText w:val="(%1)"/>
      <w:numFmt w:val="decimal"/>
      <w:start w:val="5"/>
    </w:lvl>
    <w:lvl w:ilvl="1">
      <w:lvlJc w:val="left"/>
      <w:lvlText w:val="(%2)"/>
      <w:numFmt w:val="lowerLetter"/>
      <w:start w:val="1"/>
    </w:lvl>
  </w:abstractNum>
  <w:abstractNum w:abstractNumId="43">
    <w:nsid w:val="749ABB43"/>
    <w:multiLevelType w:val="hybridMultilevel"/>
    <w:lvl w:ilvl="0">
      <w:lvlJc w:val="left"/>
      <w:lvlText w:val="%1"/>
      <w:numFmt w:val="upperLetter"/>
      <w:start w:val="1"/>
    </w:lvl>
    <w:lvl w:ilvl="1">
      <w:lvlJc w:val="left"/>
      <w:lvlText w:val="(%2)"/>
      <w:numFmt w:val="lowerLetter"/>
      <w:start w:val="3"/>
    </w:lvl>
  </w:abstractNum>
  <w:abstractNum w:abstractNumId="44">
    <w:nsid w:val="3DC240FB"/>
    <w:multiLevelType w:val="hybridMultilevel"/>
    <w:lvl w:ilvl="0">
      <w:lvlJc w:val="left"/>
      <w:lvlText w:val="%1."/>
      <w:numFmt w:val="upperLetter"/>
      <w:start w:val="2"/>
    </w:lvl>
    <w:lvl w:ilvl="1">
      <w:lvlJc w:val="left"/>
      <w:lvlText w:val="%2"/>
      <w:numFmt w:val="lowerLetter"/>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3"/>
    </w:lvl>
  </w:abstractNum>
  <w:abstractNum w:abstractNumId="52">
    <w:nsid w:val="4F4EF005"/>
    <w:multiLevelType w:val="hybridMultilevel"/>
    <w:lvl w:ilvl="0">
      <w:lvlJc w:val="left"/>
      <w:lvlText w:val="%1"/>
      <w:numFmt w:val="lowerLetter"/>
      <w:start w:val="1"/>
    </w:lvl>
    <w:lvl w:ilvl="1">
      <w:lvlJc w:val="left"/>
      <w:lvlText w:val="(%2)"/>
      <w:numFmt w:val="decimal"/>
      <w:start w:val="1"/>
    </w:lvl>
  </w:abstractNum>
  <w:abstractNum w:abstractNumId="53">
    <w:nsid w:val="23F9C13C"/>
    <w:multiLevelType w:val="hybridMultilevel"/>
    <w:lvl w:ilvl="0">
      <w:lvlJc w:val="left"/>
      <w:lvlText w:val="(%1)"/>
      <w:numFmt w:val="lowerLetter"/>
      <w:start w:val="24"/>
    </w:lvl>
    <w:lvl w:ilvl="1">
      <w:lvlJc w:val="left"/>
      <w:lvlText w:val="(%2)"/>
      <w:numFmt w:val="decimal"/>
      <w:start w:val="3"/>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jpeg"/><Relationship Id="rId102" Type="http://schemas.openxmlformats.org/officeDocument/2006/relationships/image" Target="media/image91.png"/><Relationship Id="rId103" Type="http://schemas.openxmlformats.org/officeDocument/2006/relationships/image" Target="media/image92.jpeg"/><Relationship Id="rId104" Type="http://schemas.openxmlformats.org/officeDocument/2006/relationships/image" Target="media/image93.jpeg"/><Relationship Id="rId105" Type="http://schemas.openxmlformats.org/officeDocument/2006/relationships/image" Target="media/image94.png"/><Relationship Id="rId106" Type="http://schemas.openxmlformats.org/officeDocument/2006/relationships/image" Target="media/image95.jpeg"/><Relationship Id="rId107" Type="http://schemas.openxmlformats.org/officeDocument/2006/relationships/image" Target="media/image96.png"/><Relationship Id="rId108" Type="http://schemas.openxmlformats.org/officeDocument/2006/relationships/image" Target="media/image97.jpeg"/><Relationship Id="rId109" Type="http://schemas.openxmlformats.org/officeDocument/2006/relationships/image" Target="media/image98.png"/><Relationship Id="rId110" Type="http://schemas.openxmlformats.org/officeDocument/2006/relationships/image" Target="media/image99.jpeg"/><Relationship Id="rId111" Type="http://schemas.openxmlformats.org/officeDocument/2006/relationships/image" Target="media/image100.jpe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71" Type="http://schemas.openxmlformats.org/officeDocument/2006/relationships/hyperlink" Target="http://www.sec.gov/Archives/edgar/data/1070423/000089924302002834/dex41.txt" TargetMode="External"/><Relationship Id="rId72" Type="http://schemas.openxmlformats.org/officeDocument/2006/relationships/hyperlink" Target="http://www.sec.gov/Archives/edgar/data/1070423/000089924301501392/dex42.txt" TargetMode="External"/><Relationship Id="rId73" Type="http://schemas.openxmlformats.org/officeDocument/2006/relationships/hyperlink" Target="http://www.sec.gov/Archives/edgar/data/1070423/000104746915007560/a2226093zex-25_1.htm" TargetMode="External"/><Relationship Id="rId74" Type="http://schemas.openxmlformats.org/officeDocument/2006/relationships/hyperlink" Target="http://www.sec.gov/Archives/edgar/data/1070423/000104746915007560/a2226093zex-25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2020-01-18T11:29:57Z</dcterms:created>
  <dcterms:modified xsi:type="dcterms:W3CDTF">2020-01-18T11:29:57Z</dcterms:modified>
</cp:coreProperties>
</file>