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4.xml.htm"/>
      <w:bookmarkStart w:id="1" w:name="ksa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RAYMOND JOHN 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2229 SAN FELIPE STREET, SUITE 1300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77019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05/23/2019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37"/>
        <w:gridCol w:w="914"/>
        <w:gridCol w:w="784"/>
        <w:gridCol w:w="662"/>
        <w:gridCol w:w="285"/>
        <w:gridCol w:w="1149"/>
        <w:gridCol w:w="424"/>
        <w:gridCol w:w="650"/>
        <w:gridCol w:w="1249"/>
        <w:gridCol w:w="966"/>
        <w:gridCol w:w="10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8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3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05/23/2019</w:t>
            </w:r>
          </w:p>
        </w:tc>
        <w:tc>
          <w:tcPr>
            <w:tcW w:w="7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4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12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03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05/23/2019</w:t>
            </w:r>
          </w:p>
        </w:tc>
        <w:tc>
          <w:tcPr>
            <w:tcW w:w="7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4,013,478</w:t>
            </w:r>
          </w:p>
        </w:tc>
        <w:tc>
          <w:tcPr>
            <w:tcW w:w="4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12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03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(3)</w:t>
            </w:r>
            <w:r>
              <w:rPr/>
              <w:t xml:space="preserve"> </w:t>
            </w:r>
          </w:p>
        </w:tc>
        <w:tc>
          <w:tcPr>
            <w:tcW w:w="2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8,179,284</w:t>
            </w:r>
          </w:p>
        </w:tc>
        <w:tc>
          <w:tcPr>
            <w:tcW w:w="4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12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8,179,284</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03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05/28/2019</w:t>
            </w:r>
          </w:p>
        </w:tc>
        <w:tc>
          <w:tcPr>
            <w:tcW w:w="78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(3)</w:t>
            </w:r>
            <w:r>
              <w:rPr/>
              <w:t xml:space="preserve"> </w:t>
            </w:r>
          </w:p>
        </w:tc>
        <w:tc>
          <w:tcPr>
            <w:tcW w:w="28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8,179,284</w:t>
            </w:r>
          </w:p>
        </w:tc>
        <w:tc>
          <w:tcPr>
            <w:tcW w:w="4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23.1</w:t>
            </w:r>
            <w:r>
              <w:rPr/>
              <w:t xml:space="preserve"> </w:t>
            </w:r>
          </w:p>
        </w:tc>
        <w:tc>
          <w:tcPr>
            <w:tcW w:w="12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(4)</w:t>
            </w:r>
            <w:r>
              <w:rPr/>
              <w:t xml:space="preserve"> </w:t>
            </w:r>
          </w:p>
        </w:tc>
      </w:tr>
      <w:tr>
        <w:trPr/>
        <w:tc>
          <w:tcPr>
            <w:tcW w:w="203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8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2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1,599,616</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8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19" w:type="dxa"/>
        <w:jc w:val="left"/>
        <w:tblInd w:w="0" w:type="dxa"/>
        <w:tblCellMar>
          <w:top w:w="60" w:type="dxa"/>
          <w:left w:w="60" w:type="dxa"/>
          <w:bottom w:w="60" w:type="dxa"/>
          <w:right w:w="60" w:type="dxa"/>
        </w:tblCellMar>
      </w:tblPr>
      <w:tblGrid>
        <w:gridCol w:w="815"/>
        <w:gridCol w:w="861"/>
        <w:gridCol w:w="891"/>
        <w:gridCol w:w="771"/>
        <w:gridCol w:w="660"/>
        <w:gridCol w:w="231"/>
        <w:gridCol w:w="966"/>
        <w:gridCol w:w="276"/>
        <w:gridCol w:w="906"/>
        <w:gridCol w:w="801"/>
        <w:gridCol w:w="891"/>
        <w:gridCol w:w="1101"/>
        <w:gridCol w:w="801"/>
        <w:gridCol w:w="966"/>
        <w:gridCol w:w="831"/>
        <w:gridCol w:w="951"/>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05/23/2019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(5)(6)</w:t>
            </w:r>
            <w:r>
              <w:rPr/>
              <w:t xml:space="preserve"> </w:t>
            </w:r>
          </w:p>
        </w:tc>
        <w:tc>
          <w:tcPr>
            <w:tcW w:w="23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8,275,520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(5)(6)</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11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8,275,520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(5)(6)</w:t>
            </w:r>
            <w:r>
              <w:rPr/>
              <w:t xml:space="preserve"> </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8,275,520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9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Shares/Class A Units/GP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(7)</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11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3,183,216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3,183,216</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w:t>
            </w:r>
            <w:r>
              <w:rPr>
                <w:rFonts w:ascii="Times;serif" w:hAnsi="Times;serif"/>
                <w:color w:val="008000"/>
                <w:position w:val="7"/>
                <w:sz w:val="16"/>
                <w:sz w:val="20"/>
                <w:highlight w:val="white"/>
              </w:rPr>
              <w:t>(7)</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May 23, 2019, pursuant to the limited partnership agreement of Plains AAP, L.P. ("AAP"), EMG Investment, LLC ("EMG") redeemed 4,013,478 Class A Units in AAP ("Class A Units") for common units ("Common Units") of Plains All American Pipeline, L.P. held by AAP on a one-for-one basis, by delivering such Class A Units to Plains AAP along with the associated Class B Shares ("Class B Shares") in Plains GP Holdings, L.P. ("PAGP") and GP Units ("GP Units") in PAA GP Holdings LLC to PAGP (the "Redemption Right"). Immediately following such redemption, EMG distributed to certain of its members, in-kind and on a pro rata basis based on their ownership interests in EMG, the Common Units received in such redemption. Each member receiving such Common Units is bound by a lock-up, which restricts the sale of such Common Units (i) in any amount prior to the 61st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(ii) in an amount exceeding 1/3 of the Common Units distributed to such Member prior to the 121st day following the date of redemption, and (iii) in an amount exceeding 2/3 of the Common Units distributed to such Member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May 28, 2019, EMG requested redemption of 8,179,284 Class A Units in exchange for Common Units on a one-for-one basis pursuant to its Redemption Right. EMG has agreed to sell the Common Units it will receive pursuant to such request for redemption in multiple transactions exempt from registration under Rule 144 of the Securities Act of 1933, as amended, at a price of $23.10 per Common Unit. Following the completion of such sales, EMG will distribute the proceeds thereof to its remaining members on a pro rata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Beneficial ownership of the Common Units referred to herein is being reported hereunder solely because the Reporting Person may be deemed to beneficially own such Common Units as a result of his status as the Chief Executive Officer of the designated manager of EMG. The Reporting Person disclaims beneficial ownership of the securities held by EMG except to the extent of his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Reporting Person acquired bundled interests comprising the Class A Units, Class B Shares and GP Units reported herein upon the distribution thereof by EMG, of which the Reporting Person is a member, on a pro rata basis based on the Reporting Person's ownership interest in EMG. Pursuant to the limited partnership agreement of AAP, the Reporting Person will have a Redemption Right with respect to such bundled interests. The Reporting Person is bound by a lock-up, which restricts the sale of Common Units or Class A shares ("PAGP Class A Shares") of PAGP into which such bundled interests are convertible (i) in any amount prior to the 61st day following the date of redemption, (ii) in an amount exceeding 1/3 of the Common Units or PAGP Class A Shares into which the bundled interests distributed to the Reporting Person are convertible prior to the 121st day following the date of redemption, and</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(iii) in an amount exceeding 2/3 of the Common Units or PAGP Class A Shares into which the bundled interests distributed to the Reporting Person are convertible prior to the 181st day following the date of redemption.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Pursuant to the limited partnership agreement of AAP, the Reporting Person has a Redemption Right with respect to the Class A Units, Class B Shares and GP Units referred to herein. Beneficial ownership of the Class A Units, Class B Shares and GP Units referred to herein is being reported hereunder because the Reporting Person beneficially owns such Class A Units, Class B Shares and GP Units as a result of his ownership of Lynx Holdings I, LLC.</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T. Raymond</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05/28/2019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186173"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1222</Words>
  <CharactersWithSpaces>7419</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