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-227965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5"/>
        </w:trPr>
        <w:tc>
          <w:tcPr>
            <w:tcW w:w="62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5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5255895</wp:posOffset>
            </wp:positionH>
            <wp:positionV relativeFrom="paragraph">
              <wp:posOffset>-587375</wp:posOffset>
            </wp:positionV>
            <wp:extent cx="8255" cy="5880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8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3944620</wp:posOffset>
            </wp:positionH>
            <wp:positionV relativeFrom="paragraph">
              <wp:posOffset>-595630</wp:posOffset>
            </wp:positionV>
            <wp:extent cx="8255" cy="5962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6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3968115</wp:posOffset>
            </wp:positionH>
            <wp:positionV relativeFrom="paragraph">
              <wp:posOffset>-571500</wp:posOffset>
            </wp:positionV>
            <wp:extent cx="1271905" cy="5486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905" cy="548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-1675765</wp:posOffset>
            </wp:positionH>
            <wp:positionV relativeFrom="paragraph">
              <wp:posOffset>24765</wp:posOffset>
            </wp:positionV>
            <wp:extent cx="6972300" cy="15659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1565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440"/>
            <w:col w:w="8440"/>
          </w:cols>
          <w:pgMar w:left="460" w:top="218" w:right="359" w:bottom="1440" w:gutter="0" w:footer="0" w:header="0"/>
        </w:sectPr>
      </w:pP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Chiang Willie CW</w:t>
        </w:r>
      </w:hyperlink>
    </w:p>
    <w:p>
      <w:pPr>
        <w:spacing w:after="0" w:line="2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333 CLAY ST., STE. 1600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4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HOUSTON</w:t>
            </w:r>
          </w:p>
        </w:tc>
        <w:tc>
          <w:tcPr>
            <w:tcW w:w="11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TX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77002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3840" w:type="dxa"/>
            <w:vAlign w:val="bottom"/>
          </w:tcPr>
          <w:p>
            <w:pPr>
              <w:ind w:left="60"/>
              <w:spacing w:after="0" w:line="134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5"/>
                  <w:szCs w:val="15"/>
                  <w:u w:val="single" w:color="auto"/>
                  <w:color w:val="0000EE"/>
                </w:rPr>
                <w:t>PLAINS ALL AMERICAN PIPELINE LP</w:t>
              </w:r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3840" w:type="dxa"/>
            <w:vAlign w:val="bottom"/>
            <w:vMerge w:val="restart"/>
          </w:tcPr>
          <w:p>
            <w:pPr>
              <w:ind w:left="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PAA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3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3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3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Chairman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3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08/13/2020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3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3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17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-2437765</wp:posOffset>
            </wp:positionH>
            <wp:positionV relativeFrom="paragraph">
              <wp:posOffset>120015</wp:posOffset>
            </wp:positionV>
            <wp:extent cx="6972300" cy="16776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1677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5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jc w:val="center"/>
              <w:ind w:righ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75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Units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7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08/14/2020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36,000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259,302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Units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7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08/14/2020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14,166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7.97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245,136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Units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7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08/14/2020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27,500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272,636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Units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7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08/14/2020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10,822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7.97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261,814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5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40" w:type="dxa"/>
            <w:vAlign w:val="bottom"/>
            <w:gridSpan w:val="10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78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6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08/14/2020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36,000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08/14/2020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36,000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20"/>
              <w:spacing w:after="0" w:line="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Units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08/14/2020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27,500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08/14/2020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27,500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27,500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20"/>
              <w:spacing w:after="0" w:line="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Units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08/13/2020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375,940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(4)(5)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(4)(5)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375,940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375,940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20"/>
              <w:spacing w:after="0" w:line="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Units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-2001520</wp:posOffset>
            </wp:positionV>
            <wp:extent cx="7035800" cy="20986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5800" cy="2098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Units granted under Long-Term Incentive Plan (includes distribution equivalent rights payable in cash).</w:t>
      </w:r>
    </w:p>
    <w:p>
      <w:pPr>
        <w:spacing w:after="0" w:line="3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common unit is deliverable, upon vesting, for each Phantom Unit that vests.</w:t>
      </w:r>
    </w:p>
    <w:p>
      <w:pPr>
        <w:spacing w:after="0" w:line="3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N/A</w:t>
      </w:r>
    </w:p>
    <w:p>
      <w:pPr>
        <w:spacing w:after="0" w:line="3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hanging="2"/>
        <w:spacing w:after="0" w:line="276" w:lineRule="auto"/>
        <w:tabs>
          <w:tab w:leader="none" w:pos="165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These phantom units will vest as follows: (a) Tranche 1, consisting of 187,970 phantom units, will vest on the August 2023 distribution date assuming continued service through such date; (b) Tranche 2, consisting of 93,985 phantom units (assuming 100% payout at target), will potentially vest on the August 2023 distribution date at a scaled payout range of between 0% to 200% (0 units to 187,970 units) based on PAA's total shareholder return (TSR) over the three-year period ending June 30, 2023 compared to the TSR of a selected peer group; and (c) Tranche 3, consisting of 93,985 phantom units (assuming 100% payout at target), will potentially vest on the August 2023 distribution date at a scaled payout range of between 0% to 200% (0 units to 187,970 units) based on (i) PAA achieving cumulative distributable cash flow per common unit equivalent of $6.00 over the three-year period ending June 30, 2023 and (ii) PAA achieving a leverage ratio as of June 30, 2023 consistent with the leverage ratio assumed in its long term plan as of August 2020.</w:t>
      </w:r>
    </w:p>
    <w:p>
      <w:pPr>
        <w:spacing w:after="0" w:line="11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40" w:right="340" w:hanging="2"/>
        <w:spacing w:after="0" w:line="231" w:lineRule="auto"/>
        <w:tabs>
          <w:tab w:leader="none" w:pos="16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DERs associated with Tranche 1 will accrue for the first year and be paid in cash in a lump sum on the August 2021 distribution date; beginning in November 2021, DERs associated with Tranche 1 will be paid quarterly until the phantom units vest. DERs associated with Tranches 2 and 3 will accrue during the three-year vesting period and be paid in cash in a lump sum on the August 2023 distribution date with respect to each phantom unit that vests on such date.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/s/ Ann F. Gullion, as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08/17/2020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in-fact for Willie CW Chiang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19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** Signature of Reporting Person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both"/>
        <w:ind w:left="40" w:right="3820" w:hanging="2"/>
        <w:spacing w:after="0" w:line="352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421559" TargetMode="External"/><Relationship Id="rId14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2020-08-17T18:38:21Z</dcterms:created>
  <dcterms:modified xsi:type="dcterms:W3CDTF">2020-08-17T18:38:21Z</dcterms:modified>
</cp:coreProperties>
</file>