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May 9, 2025</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90"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May 9, 2025, the Registrant issued a press release reporting its first-quarter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160" w:type="dxa"/>
            <w:vAlign w:val="bottom"/>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May 9, 2025</w:t>
            </w:r>
          </w:p>
        </w:tc>
        <w:tc>
          <w:tcPr>
            <w:tcW w:w="5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856" w:right="39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7800" w:type="dxa"/>
            <w:vAlign w:val="bottom"/>
            <w:gridSpan w:val="3"/>
          </w:tcPr>
          <w:p>
            <w:pPr>
              <w:ind w:left="162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2900" w:type="dxa"/>
            <w:vAlign w:val="bottom"/>
          </w:tcPr>
          <w:p>
            <w:pPr>
              <w:spacing w:after="0"/>
              <w:rPr>
                <w:sz w:val="24"/>
                <w:szCs w:val="24"/>
                <w:color w:val="auto"/>
              </w:rPr>
            </w:pP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2025</w:t>
            </w:r>
          </w:p>
        </w:tc>
        <w:tc>
          <w:tcPr>
            <w:tcW w:w="20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29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282575</wp:posOffset>
            </wp:positionV>
            <wp:extent cx="1969135" cy="451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913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Plains All American Reports First-Quarter 2025 Results</w:t>
      </w:r>
    </w:p>
    <w:p>
      <w:pPr>
        <w:spacing w:after="0" w:line="23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Houston, TX – May 9, 2025 – Plains All American Pipeline, L.P. (Nasdaq: PAA) and Plains GP Holdings (Nasdaq: PAGP) today reported first-quarter 2025 results and provided the following highlights: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First-Quarter Results</w:t>
      </w:r>
    </w:p>
    <w:p>
      <w:pPr>
        <w:spacing w:after="0" w:line="157"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net income attributable to PAA of $443 million and net cash provided by operating activities of $639 million</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Adjusted EBITDA attributable to PAA of $754 million</w:t>
      </w:r>
    </w:p>
    <w:p>
      <w:pPr>
        <w:spacing w:after="0" w:line="166" w:lineRule="exact"/>
        <w:rPr>
          <w:rFonts w:ascii="Times New Roman" w:cs="Times New Roman" w:eastAsia="Times New Roman" w:hAnsi="Times New Roman"/>
          <w:sz w:val="17"/>
          <w:szCs w:val="17"/>
          <w:color w:val="auto"/>
        </w:rPr>
      </w:pPr>
    </w:p>
    <w:p>
      <w:pPr>
        <w:ind w:left="620" w:right="8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Exited the quarter with 3.3x leverage ratio, toward the low end of our target range of 3.25x - 3.75x (includes previously announced and closed transactions)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a quarterly cash distribution of $0.38 per unit ($1.52 per unit annualized), representing a current distribution yield of ~9.0%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Highlights</w:t>
      </w:r>
    </w:p>
    <w:p>
      <w:pPr>
        <w:spacing w:after="0" w:line="144" w:lineRule="exact"/>
        <w:rPr>
          <w:sz w:val="20"/>
          <w:szCs w:val="20"/>
          <w:color w:val="auto"/>
        </w:rPr>
      </w:pPr>
    </w:p>
    <w:p>
      <w:pPr>
        <w:ind w:left="620" w:right="20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Plains acquired the remaining 50% interest in Cheyenne Pipeline, enhancing our integration from the Guernsey market to pipelines supplying Cushing, Oklahoma, which closed on February 28, 2025</w:t>
      </w:r>
    </w:p>
    <w:p>
      <w:pPr>
        <w:spacing w:after="0" w:line="99" w:lineRule="exact"/>
        <w:rPr>
          <w:rFonts w:ascii="Times New Roman" w:cs="Times New Roman" w:eastAsia="Times New Roman" w:hAnsi="Times New Roman"/>
          <w:sz w:val="17"/>
          <w:szCs w:val="17"/>
          <w:color w:val="auto"/>
        </w:rPr>
      </w:pPr>
    </w:p>
    <w:p>
      <w:pPr>
        <w:ind w:left="620" w:right="3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Plains acquired Black Knight Midstream’s Permian Basin crude oil gathering business, for approximately $55 million, which closed effective May 1, 2025</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Placed into service the 30 Mb/d Fort Saskatchewan fractionation complex debottleneck project enhancing our fee-based cash flow in Canada</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our 2025 C3+ spec product sales hedge profile to approximately 80% at approximately $0.70 per gallon level</w:t>
      </w:r>
    </w:p>
    <w:p>
      <w:pPr>
        <w:spacing w:after="0" w:line="200" w:lineRule="exact"/>
        <w:rPr>
          <w:sz w:val="20"/>
          <w:szCs w:val="20"/>
          <w:color w:val="auto"/>
        </w:rPr>
      </w:pPr>
    </w:p>
    <w:p>
      <w:pPr>
        <w:spacing w:after="0" w:line="3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“Plains delivered another quarter of solid operational and financial performance,” said Willie Chiang, Chairman and CEO. “Substantial cash flow generation from our integrated Crude Oil and NGL footprints coupled with a strong balance sheet positions us well through a time of market volatility and uncertainty. Our focus on efficient growth remains consistent with the addition of two new bolt-on acquisitions and our Fort Saskatchewan fractionation complex debottleneck project now in service. Finally, our commitment to financial discipline and financial flexibility remains unchanged while continuing to return cash to unitholders through a strong distribution payout.”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5"/>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814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581"/>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(2)</w:t>
            </w:r>
          </w:p>
        </w:tc>
        <w:tc>
          <w:tcPr>
            <w:tcW w:w="2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814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(3)</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2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246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200" w:hanging="317"/>
        <w:spacing w:after="0" w:line="23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(the “Permian JV”), Cactus II Pipeline LLC and Red River Pipeline LLC joint ventures.</w:t>
      </w:r>
    </w:p>
    <w:p>
      <w:pPr>
        <w:spacing w:after="0" w:line="35"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2025 period includes the impact of a net cash outflow of $624 million for bolt-on acquisitions.</w:t>
      </w:r>
    </w:p>
    <w:p>
      <w:pPr>
        <w:spacing w:after="0" w:line="151"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560" w:type="dxa"/>
            <w:vAlign w:val="bottom"/>
            <w:tcBorders>
              <w:bottom w:val="single" w:sz="8" w:color="auto"/>
            </w:tcBorders>
          </w:tcPr>
          <w:p>
            <w:pPr>
              <w:spacing w:after="0"/>
              <w:rPr>
                <w:sz w:val="18"/>
                <w:szCs w:val="18"/>
                <w:color w:val="auto"/>
              </w:rPr>
            </w:pPr>
          </w:p>
        </w:tc>
      </w:tr>
      <w:tr>
        <w:trPr>
          <w:trHeight w:val="201"/>
        </w:trPr>
        <w:tc>
          <w:tcPr>
            <w:tcW w:w="78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NGL</w:t>
            </w:r>
          </w:p>
        </w:tc>
        <w:tc>
          <w:tcPr>
            <w:tcW w:w="560" w:type="dxa"/>
            <w:vAlign w:val="bottom"/>
            <w:tcBorders>
              <w:bottom w:val="single" w:sz="8" w:color="auto"/>
            </w:tcBorders>
          </w:tcPr>
          <w:p>
            <w:pPr>
              <w:spacing w:after="0"/>
              <w:rPr>
                <w:sz w:val="17"/>
                <w:szCs w:val="17"/>
                <w:color w:val="auto"/>
              </w:rPr>
            </w:pPr>
          </w:p>
        </w:tc>
      </w:tr>
      <w:tr>
        <w:trPr>
          <w:trHeight w:val="23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March 31, 2025</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559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March 31, 2024</w:t>
            </w:r>
          </w:p>
        </w:tc>
        <w:tc>
          <w:tcPr>
            <w:tcW w:w="1160" w:type="dxa"/>
            <w:vAlign w:val="bottom"/>
            <w:tcBorders>
              <w:bottom w:val="single" w:sz="8" w:color="auto"/>
            </w:tcBorders>
          </w:tcPr>
          <w:p>
            <w:pPr>
              <w:jc w:val="right"/>
              <w:ind w:right="978"/>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553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9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159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2024 period</w:t>
            </w:r>
          </w:p>
        </w:tc>
        <w:tc>
          <w:tcPr>
            <w:tcW w:w="1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19 %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First-quarter 2025 Crude Oil Segment Adjusted EBITDA was in line with comparable 2024 results. Favorable results in the 2025 period from (i) higher tariff volumes on our pipelines, (ii) tariff escalations and (iii) contributions from recently completed bolt-on acquisitions were largely offset by (iv) higher operating expenses and (v) the impact to our assets from refinery downtime.</w:t>
      </w:r>
    </w:p>
    <w:p>
      <w:pPr>
        <w:spacing w:after="0" w:line="193"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First-quarter 2025 NGL Segment Adjusted EBITDA increased 19% versus comparable 2024 results primarily due to higher weighted average frac spreads and NGL sales volumes in the first quarter of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May 9, 2025 to discuss first-quarter performance and related items.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https://edge.media-server.com/mmc/p/qqvgtyoa/</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96"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132"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on investments in unconsolidated entities, net and (vi) interest income on promissory notes by and among PAA and certain Plains entities, and (vii) adjusted for certain selected items impacting comparability. Adjusted EBITDA attributable to PAA excludes the portion of Adjusted EBITDA that is attributable to noncontrolling interests.</w:t>
      </w:r>
    </w:p>
    <w:p>
      <w:pPr>
        <w:spacing w:after="0" w:line="96"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98"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144" w:lineRule="exact"/>
        <w:rPr>
          <w:sz w:val="20"/>
          <w:szCs w:val="20"/>
          <w:color w:val="auto"/>
        </w:rPr>
      </w:pPr>
    </w:p>
    <w:p>
      <w:pPr>
        <w:ind w:right="12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74" w:lineRule="exact"/>
        <w:rPr>
          <w:sz w:val="20"/>
          <w:szCs w:val="20"/>
          <w:color w:val="auto"/>
        </w:rPr>
      </w:pPr>
    </w:p>
    <w:p>
      <w:pPr>
        <w:ind w:right="6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1"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r>
      <w:tr>
        <w:trPr>
          <w:trHeight w:val="245"/>
        </w:trPr>
        <w:tc>
          <w:tcPr>
            <w:tcW w:w="38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0"/>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Gain on asset sales, net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r>
      <w:tr>
        <w:trPr>
          <w:trHeight w:val="245"/>
        </w:trPr>
        <w:tc>
          <w:tcPr>
            <w:tcW w:w="38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45"/>
        </w:trPr>
        <w:tc>
          <w:tcPr>
            <w:tcW w:w="38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88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income/(expense), net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5"/>
        </w:trPr>
        <w:tc>
          <w:tcPr>
            <w:tcW w:w="38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5"/>
        </w:trPr>
        <w:tc>
          <w:tcPr>
            <w:tcW w:w="38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0"/>
        </w:trPr>
        <w:tc>
          <w:tcPr>
            <w:tcW w:w="8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3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income allocated to common unitholders — Basic and Diluted</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2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r>
      <w:tr>
        <w:trPr>
          <w:trHeight w:val="20"/>
        </w:trPr>
        <w:tc>
          <w:tcPr>
            <w:tcW w:w="38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4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126" w:lineRule="exact"/>
        <w:rPr>
          <w:sz w:val="20"/>
          <w:szCs w:val="20"/>
          <w:color w:val="auto"/>
        </w:rPr>
      </w:pPr>
    </w:p>
    <w:p>
      <w:pPr>
        <w:ind w:left="320" w:right="10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PAA and certain Plains entities have issued promissory notes by and among such entities to facilitate financing. “Interest expense, net” and “Other income/(expense), net” each include $20 million for the three months ended March 31, 2025 related to interest on such related party promissory notes. These amounts offset and do not impact Net Income or Non-GAAP metrics such as Adjusted EBITDA, Implied DCF and Adjusted Free Cash Flow.</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assets (including cash and cash equivalents of $427 and $348, respectively)</w:t>
            </w:r>
          </w:p>
        </w:tc>
        <w:tc>
          <w:tcPr>
            <w:tcW w:w="19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40" w:type="dxa"/>
            <w:vAlign w:val="bottom"/>
          </w:tcPr>
          <w:p>
            <w:pPr>
              <w:spacing w:after="0"/>
              <w:rPr>
                <w:sz w:val="13"/>
                <w:szCs w:val="13"/>
                <w:color w:val="auto"/>
              </w:rPr>
            </w:pPr>
          </w:p>
        </w:tc>
        <w:tc>
          <w:tcPr>
            <w:tcW w:w="1060" w:type="dxa"/>
            <w:vAlign w:val="bottom"/>
          </w:tcPr>
          <w:p>
            <w:pPr>
              <w:jc w:val="center"/>
              <w:ind w:right="7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18,314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960" w:type="dxa"/>
            <w:vAlign w:val="bottom"/>
            <w:gridSpan w:val="3"/>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10"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0" w:type="dxa"/>
            <w:vAlign w:val="bottom"/>
          </w:tcPr>
          <w:p>
            <w:pPr>
              <w:spacing w:after="0"/>
              <w:rPr>
                <w:sz w:val="17"/>
                <w:szCs w:val="17"/>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and Diluted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0"/>
        </w:trPr>
        <w:tc>
          <w:tcPr>
            <w:tcW w:w="6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20"/>
        </w:trPr>
        <w:tc>
          <w:tcPr>
            <w:tcW w:w="60" w:type="dxa"/>
            <w:vAlign w:val="bottom"/>
          </w:tcPr>
          <w:p>
            <w:pPr>
              <w:spacing w:after="0"/>
              <w:rPr>
                <w:sz w:val="19"/>
                <w:szCs w:val="19"/>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60" w:type="dxa"/>
            <w:vAlign w:val="bottom"/>
          </w:tcPr>
          <w:p>
            <w:pPr>
              <w:spacing w:after="0"/>
              <w:rPr>
                <w:sz w:val="19"/>
                <w:szCs w:val="19"/>
                <w:color w:val="auto"/>
              </w:rPr>
            </w:pPr>
          </w:p>
        </w:tc>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0" w:type="dxa"/>
            <w:vAlign w:val="bottom"/>
          </w:tcPr>
          <w:p>
            <w:pPr>
              <w:spacing w:after="0"/>
              <w:rPr>
                <w:sz w:val="19"/>
                <w:szCs w:val="19"/>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0" w:type="dxa"/>
            <w:vAlign w:val="bottom"/>
          </w:tcPr>
          <w:p>
            <w:pPr>
              <w:spacing w:after="0"/>
              <w:rPr>
                <w:sz w:val="19"/>
                <w:szCs w:val="19"/>
                <w:color w:val="auto"/>
              </w:rPr>
            </w:pPr>
          </w:p>
        </w:tc>
        <w:tc>
          <w:tcPr>
            <w:tcW w:w="8760" w:type="dxa"/>
            <w:vAlign w:val="bottom"/>
            <w:gridSpan w:val="2"/>
          </w:tcPr>
          <w:p>
            <w:pPr>
              <w:ind w:left="16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(2)</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0" w:type="dxa"/>
            <w:vAlign w:val="bottom"/>
          </w:tcPr>
          <w:p>
            <w:pPr>
              <w:spacing w:after="0"/>
              <w:rPr>
                <w:sz w:val="19"/>
                <w:szCs w:val="19"/>
                <w:color w:val="auto"/>
              </w:rPr>
            </w:pPr>
          </w:p>
        </w:tc>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6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allocated to common unitholders</w:t>
            </w: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0"/>
        </w:trPr>
        <w:tc>
          <w:tcPr>
            <w:tcW w:w="6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1"/>
        </w:trPr>
        <w:tc>
          <w:tcPr>
            <w:tcW w:w="6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8760" w:type="dxa"/>
            <w:vAlign w:val="bottom"/>
            <w:gridSpan w:val="2"/>
          </w:tcPr>
          <w:p>
            <w:pPr>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45"/>
        </w:trPr>
        <w:tc>
          <w:tcPr>
            <w:tcW w:w="6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0"/>
        </w:trPr>
        <w:tc>
          <w:tcPr>
            <w:tcW w:w="6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7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r>
      <w:tr>
        <w:trPr>
          <w:trHeight w:val="20"/>
        </w:trPr>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1"/>
        </w:trPr>
        <w:tc>
          <w:tcPr>
            <w:tcW w:w="6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4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126" w:lineRule="exact"/>
        <w:rPr>
          <w:sz w:val="20"/>
          <w:szCs w:val="20"/>
          <w:color w:val="auto"/>
        </w:rPr>
      </w:pPr>
    </w:p>
    <w:p>
      <w:pPr>
        <w:ind w:left="320" w:right="6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20" w:hanging="317"/>
        <w:spacing w:after="0" w:line="237"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35" w:lineRule="exact"/>
        <w:rPr>
          <w:rFonts w:ascii="Times New Roman" w:cs="Times New Roman" w:eastAsia="Times New Roman" w:hAnsi="Times New Roman"/>
          <w:sz w:val="22"/>
          <w:szCs w:val="22"/>
          <w:color w:val="auto"/>
          <w:vertAlign w:val="superscript"/>
        </w:rPr>
      </w:pPr>
    </w:p>
    <w:p>
      <w:pPr>
        <w:ind w:left="320" w:right="52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 per common unit for each of the three months ended March 31, 2025 and 2024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right="40" w:hanging="317"/>
        <w:spacing w:after="0" w:line="241"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asset sales,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103"/>
        </w:trPr>
        <w:tc>
          <w:tcPr>
            <w:tcW w:w="3880" w:type="dxa"/>
            <w:vAlign w:val="bottom"/>
            <w:shd w:val="clear" w:color="auto" w:fill="CCEEFF"/>
          </w:tcPr>
          <w:p>
            <w:pPr>
              <w:spacing w:after="0"/>
              <w:rPr>
                <w:sz w:val="8"/>
                <w:szCs w:val="8"/>
                <w:color w:val="auto"/>
              </w:rPr>
            </w:pPr>
          </w:p>
        </w:tc>
        <w:tc>
          <w:tcPr>
            <w:tcW w:w="48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5" w:lineRule="exact"/>
        <w:rPr>
          <w:sz w:val="20"/>
          <w:szCs w:val="20"/>
          <w:color w:val="auto"/>
        </w:rPr>
      </w:pPr>
    </w:p>
    <w:p>
      <w:pPr>
        <w:jc w:val="both"/>
        <w:ind w:left="320" w:right="100" w:hanging="317"/>
        <w:spacing w:after="0" w:line="229" w:lineRule="auto"/>
        <w:tabs>
          <w:tab w:leader="none" w:pos="315"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PAA and certain Plains entities have issued promissory notes by and among such entities to facilitate financing. For the three months ended March 31, 2025, “Net cash 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spacing w:after="0" w:line="15" w:lineRule="exact"/>
        <w:rPr>
          <w:rFonts w:ascii="Times New Roman" w:cs="Times New Roman" w:eastAsia="Times New Roman" w:hAnsi="Times New Roman"/>
          <w:sz w:val="19"/>
          <w:szCs w:val="19"/>
          <w:color w:val="auto"/>
          <w:vertAlign w:val="superscript"/>
        </w:rPr>
      </w:pPr>
    </w:p>
    <w:p>
      <w:pPr>
        <w:ind w:left="300" w:hanging="297"/>
        <w:spacing w:after="0"/>
        <w:tabs>
          <w:tab w:leader="none" w:pos="3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2025 period includes a net cash outflow of $624 million for bolt-on acquisitions.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 xml:space="preserve">Net to PAA </w:t>
            </w:r>
            <w:r>
              <w:rPr>
                <w:rFonts w:ascii="Times New Roman" w:cs="Times New Roman" w:eastAsia="Times New Roman" w:hAnsi="Times New Roman"/>
                <w:sz w:val="8"/>
                <w:szCs w:val="8"/>
                <w:b w:val="1"/>
                <w:bCs w:val="1"/>
                <w:color w:val="auto"/>
                <w:w w:val="98"/>
              </w:rPr>
              <w:t>(1)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760" w:type="dxa"/>
            <w:vAlign w:val="bottom"/>
          </w:tcPr>
          <w:p>
            <w:pPr>
              <w:spacing w:after="0"/>
              <w:rPr>
                <w:sz w:val="15"/>
                <w:szCs w:val="15"/>
                <w:color w:val="auto"/>
              </w:rPr>
            </w:pPr>
          </w:p>
        </w:tc>
      </w:tr>
      <w:tr>
        <w:trPr>
          <w:trHeight w:val="23"/>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r>
      <w:tr>
        <w:trPr>
          <w:trHeight w:val="124"/>
        </w:trPr>
        <w:tc>
          <w:tcPr>
            <w:tcW w:w="3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4"/>
          </w:tcPr>
          <w:p>
            <w:pPr>
              <w:jc w:val="right"/>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40" w:type="dxa"/>
            <w:vAlign w:val="bottom"/>
            <w:gridSpan w:val="4"/>
          </w:tcPr>
          <w:p>
            <w:pPr>
              <w:jc w:val="center"/>
              <w:ind w:right="177"/>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88"/>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76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74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9"/>
                <w:szCs w:val="19"/>
                <w:color w:val="auto"/>
              </w:rPr>
            </w:pPr>
          </w:p>
        </w:tc>
        <w:tc>
          <w:tcPr>
            <w:tcW w:w="780" w:type="dxa"/>
            <w:vAlign w:val="bottom"/>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0"/>
        </w:trPr>
        <w:tc>
          <w:tcPr>
            <w:tcW w:w="6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3"/>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0"/>
        </w:trPr>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3"/>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202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0"/>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85"/>
              </w:rPr>
              <w:t>(1)</w:t>
            </w:r>
          </w:p>
        </w:tc>
        <w:tc>
          <w:tcPr>
            <w:tcW w:w="56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auto"/>
              </w:rPr>
              <w:t>Excludes expenditures attributable to noncontrolling interests.</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5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5680" w:type="dxa"/>
            <w:vAlign w:val="bottom"/>
          </w:tcPr>
          <w:p>
            <w:pPr>
              <w:ind w:left="5120"/>
              <w:spacing w:after="0"/>
              <w:rPr>
                <w:sz w:val="20"/>
                <w:szCs w:val="20"/>
                <w:color w:val="auto"/>
              </w:rPr>
            </w:pPr>
            <w:r>
              <w:rPr>
                <w:rFonts w:ascii="Times New Roman" w:cs="Times New Roman" w:eastAsia="Times New Roman" w:hAnsi="Times New Roman"/>
                <w:sz w:val="17"/>
                <w:szCs w:val="17"/>
                <w:color w:val="auto"/>
                <w:w w:val="98"/>
              </w:rPr>
              <w:t>- more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1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and ratio data)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Computation of Basic and Diluted Adjusted Net Income Per Common Unit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w:t>
      </w:r>
    </w:p>
    <w:p>
      <w:pPr>
        <w:spacing w:after="0" w:line="210"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20"/>
        </w:trPr>
        <w:tc>
          <w:tcPr>
            <w:tcW w:w="88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4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0"/>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88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88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(3)</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88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58"/>
        </w:trPr>
        <w:tc>
          <w:tcPr>
            <w:tcW w:w="3880" w:type="dxa"/>
            <w:vAlign w:val="bottom"/>
            <w:shd w:val="clear" w:color="auto" w:fill="CCEEFF"/>
          </w:tcPr>
          <w:p>
            <w:pPr>
              <w:spacing w:after="0"/>
              <w:rPr>
                <w:sz w:val="22"/>
                <w:szCs w:val="22"/>
                <w:color w:val="auto"/>
              </w:rPr>
            </w:pPr>
          </w:p>
        </w:tc>
        <w:tc>
          <w:tcPr>
            <w:tcW w:w="50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5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130" w:lineRule="exact"/>
        <w:rPr>
          <w:sz w:val="20"/>
          <w:szCs w:val="20"/>
          <w:color w:val="auto"/>
        </w:rPr>
      </w:pPr>
    </w:p>
    <w:p>
      <w:pPr>
        <w:ind w:left="320" w:right="80" w:hanging="317"/>
        <w:spacing w:after="0" w:line="246" w:lineRule="auto"/>
        <w:tabs>
          <w:tab w:leader="none" w:pos="30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table for additional information.</w:t>
      </w:r>
    </w:p>
    <w:p>
      <w:pPr>
        <w:spacing w:after="0" w:line="67" w:lineRule="exact"/>
        <w:rPr>
          <w:rFonts w:ascii="Times New Roman" w:cs="Times New Roman" w:eastAsia="Times New Roman" w:hAnsi="Times New Roman"/>
          <w:sz w:val="20"/>
          <w:szCs w:val="20"/>
          <w:color w:val="auto"/>
          <w:vertAlign w:val="superscript"/>
        </w:rPr>
      </w:pPr>
    </w:p>
    <w:p>
      <w:pPr>
        <w:ind w:left="320" w:right="200" w:hanging="317"/>
        <w:spacing w:after="0" w:line="217"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5"/>
          <w:szCs w:val="15"/>
          <w:color w:val="auto"/>
        </w:rPr>
        <w:t>e repurchased approximately 12.7 million Series A preferred units on January 31, 2025. The difference between the cash we paid for the repurchase of such units and their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carrying value on our balance sheet is considered a return to Series A preferred unitholders for the calculation of adjusted net income allocated to common unitholders.</w:t>
      </w:r>
    </w:p>
    <w:p>
      <w:pPr>
        <w:spacing w:after="0" w:line="32" w:lineRule="exact"/>
        <w:rPr>
          <w:rFonts w:ascii="Times New Roman" w:cs="Times New Roman" w:eastAsia="Times New Roman" w:hAnsi="Times New Roman"/>
          <w:sz w:val="20"/>
          <w:szCs w:val="20"/>
          <w:color w:val="auto"/>
          <w:vertAlign w:val="superscript"/>
        </w:rPr>
      </w:pPr>
    </w:p>
    <w:p>
      <w:pPr>
        <w:ind w:left="320" w:right="120" w:hanging="317"/>
        <w:spacing w:after="0" w:line="220" w:lineRule="auto"/>
        <w:tabs>
          <w:tab w:leader="none" w:pos="3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adjusted net income per common unit for each of the three months ended March 31, 2025 and 2024 as the effect was antidilutive.</w:t>
      </w:r>
    </w:p>
    <w:p>
      <w:pPr>
        <w:spacing w:after="0" w:line="46" w:lineRule="exact"/>
        <w:rPr>
          <w:rFonts w:ascii="Times New Roman" w:cs="Times New Roman" w:eastAsia="Times New Roman" w:hAnsi="Times New Roman"/>
          <w:sz w:val="20"/>
          <w:szCs w:val="20"/>
          <w:color w:val="auto"/>
          <w:vertAlign w:val="superscript"/>
        </w:rPr>
      </w:pPr>
    </w:p>
    <w:p>
      <w:pPr>
        <w:ind w:left="320" w:right="60" w:hanging="317"/>
        <w:spacing w:after="0" w:line="239" w:lineRule="auto"/>
        <w:tabs>
          <w:tab w:leader="none" w:pos="30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Adjusted Net Income Per Common Unit Reconciliation:</w:t>
      </w:r>
    </w:p>
    <w:p>
      <w:pPr>
        <w:spacing w:after="0" w:line="278"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common unit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r>
      <w:tr>
        <w:trPr>
          <w:trHeight w:val="220"/>
        </w:trPr>
        <w:tc>
          <w:tcPr>
            <w:tcW w:w="88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18"/>
              <w:spacing w:after="0"/>
              <w:rPr>
                <w:sz w:val="20"/>
                <w:szCs w:val="20"/>
                <w:color w:val="auto"/>
              </w:rPr>
            </w:pPr>
            <w:r>
              <w:rPr>
                <w:rFonts w:ascii="Times New Roman" w:cs="Times New Roman" w:eastAsia="Times New Roman" w:hAnsi="Times New Roman"/>
                <w:sz w:val="17"/>
                <w:szCs w:val="17"/>
                <w:color w:val="auto"/>
              </w:rPr>
              <w:t>(0.10)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87"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Items Impacting Comparability” and the “Computation of Basic and Diluted Adjusted Net Income Per Common Unit” tables for additional information.</w:t>
      </w:r>
    </w:p>
    <w:p>
      <w:pPr>
        <w:spacing w:after="0" w:line="157"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65"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8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20"/>
        </w:trPr>
        <w:tc>
          <w:tcPr>
            <w:tcW w:w="884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8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on asset sales,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8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884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20"/>
        </w:trPr>
        <w:tc>
          <w:tcPr>
            <w:tcW w:w="8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88"/>
        </w:trPr>
        <w:tc>
          <w:tcPr>
            <w:tcW w:w="8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2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20"/>
        </w:trPr>
        <w:tc>
          <w:tcPr>
            <w:tcW w:w="884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Maintenance capital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84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8840" w:type="dxa"/>
            <w:vAlign w:val="bottom"/>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8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220"/>
        </w:trPr>
        <w:tc>
          <w:tcPr>
            <w:tcW w:w="8840" w:type="dxa"/>
            <w:vAlign w:val="bottom"/>
            <w:shd w:val="clear" w:color="auto" w:fill="CCEEFF"/>
          </w:tcPr>
          <w:p>
            <w:pPr>
              <w:ind w:left="16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distributions paid </w:t>
            </w:r>
            <w:r>
              <w:rPr>
                <w:rFonts w:ascii="Times New Roman" w:cs="Times New Roman" w:eastAsia="Times New Roman" w:hAnsi="Times New Roman"/>
                <w:sz w:val="21"/>
                <w:szCs w:val="21"/>
                <w:color w:val="auto"/>
                <w:vertAlign w:val="superscript"/>
              </w:rPr>
              <w:t>(7)</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08"/>
        </w:trPr>
        <w:tc>
          <w:tcPr>
            <w:tcW w:w="88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r>
      <w:tr>
        <w:trPr>
          <w:trHeight w:val="22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r>
      <w:tr>
        <w:trPr>
          <w:trHeight w:val="142"/>
        </w:trPr>
        <w:tc>
          <w:tcPr>
            <w:tcW w:w="8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0"/>
        </w:trPr>
        <w:tc>
          <w:tcPr>
            <w:tcW w:w="8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(8)</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20"/>
        </w:trPr>
        <w:tc>
          <w:tcPr>
            <w:tcW w:w="884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(9)</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2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0.3175</w:t>
            </w:r>
          </w:p>
        </w:tc>
      </w:tr>
      <w:tr>
        <w:trPr>
          <w:trHeight w:val="220"/>
        </w:trPr>
        <w:tc>
          <w:tcPr>
            <w:tcW w:w="8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(7)</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0"/>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6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1.73x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2.11x</w:t>
            </w:r>
          </w:p>
        </w:tc>
      </w:tr>
      <w:tr>
        <w:trPr>
          <w:trHeight w:val="142"/>
        </w:trPr>
        <w:tc>
          <w:tcPr>
            <w:tcW w:w="8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24612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5"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5"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31"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31" w:lineRule="exact"/>
        <w:rPr>
          <w:rFonts w:ascii="Times New Roman" w:cs="Times New Roman" w:eastAsia="Times New Roman" w:hAnsi="Times New Roman"/>
          <w:sz w:val="16"/>
          <w:szCs w:val="16"/>
          <w:color w:val="auto"/>
          <w:vertAlign w:val="superscript"/>
        </w:rPr>
      </w:pPr>
    </w:p>
    <w:p>
      <w:pPr>
        <w:ind w:left="320" w:right="80" w:hanging="317"/>
        <w:spacing w:after="0" w:line="219" w:lineRule="auto"/>
        <w:tabs>
          <w:tab w:leader="none" w:pos="31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PAA and certain Plains entities.</w:t>
      </w:r>
    </w:p>
    <w:p>
      <w:pPr>
        <w:ind w:left="300" w:hanging="297"/>
        <w:spacing w:after="0" w:line="235" w:lineRule="auto"/>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4" w:lineRule="exact"/>
        <w:rPr>
          <w:rFonts w:ascii="Times New Roman" w:cs="Times New Roman" w:eastAsia="Times New Roman" w:hAnsi="Times New Roman"/>
          <w:sz w:val="16"/>
          <w:szCs w:val="16"/>
          <w:color w:val="auto"/>
          <w:vertAlign w:val="superscript"/>
        </w:rPr>
      </w:pPr>
    </w:p>
    <w:p>
      <w:pPr>
        <w:ind w:left="320" w:right="340" w:hanging="317"/>
        <w:spacing w:after="0" w:line="210" w:lineRule="auto"/>
        <w:tabs>
          <w:tab w:leader="none" w:pos="31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30" w:lineRule="exact"/>
        <w:rPr>
          <w:rFonts w:ascii="Times New Roman" w:cs="Times New Roman" w:eastAsia="Times New Roman" w:hAnsi="Times New Roman"/>
          <w:sz w:val="16"/>
          <w:szCs w:val="16"/>
          <w:color w:val="auto"/>
          <w:vertAlign w:val="superscript"/>
        </w:rPr>
      </w:pPr>
    </w:p>
    <w:p>
      <w:pPr>
        <w:ind w:left="300" w:hanging="297"/>
        <w:spacing w:after="0" w:line="195" w:lineRule="auto"/>
        <w:tabs>
          <w:tab w:leader="none" w:pos="3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31" w:lineRule="exact"/>
        <w:rPr>
          <w:rFonts w:ascii="Times New Roman" w:cs="Times New Roman" w:eastAsia="Times New Roman" w:hAnsi="Times New Roman"/>
          <w:sz w:val="16"/>
          <w:szCs w:val="16"/>
          <w:color w:val="auto"/>
          <w:vertAlign w:val="superscript"/>
        </w:rPr>
      </w:pPr>
    </w:p>
    <w:p>
      <w:pPr>
        <w:ind w:left="320" w:right="40" w:hanging="317"/>
        <w:spacing w:after="0" w:line="228" w:lineRule="auto"/>
        <w:tabs>
          <w:tab w:leader="none" w:pos="31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57"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65"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unit</w:t>
            </w: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r>
      <w:tr>
        <w:trPr>
          <w:trHeight w:val="220"/>
        </w:trPr>
        <w:tc>
          <w:tcPr>
            <w:tcW w:w="20" w:type="dxa"/>
            <w:vAlign w:val="bottom"/>
          </w:tcPr>
          <w:p>
            <w:pPr>
              <w:spacing w:after="0"/>
              <w:rPr>
                <w:sz w:val="19"/>
                <w:szCs w:val="19"/>
                <w:color w:val="auto"/>
              </w:rPr>
            </w:pPr>
          </w:p>
        </w:tc>
        <w:tc>
          <w:tcPr>
            <w:tcW w:w="866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0.38</w:t>
            </w:r>
          </w:p>
        </w:tc>
      </w:tr>
      <w:tr>
        <w:trPr>
          <w:trHeight w:val="238"/>
        </w:trPr>
        <w:tc>
          <w:tcPr>
            <w:tcW w:w="20" w:type="dxa"/>
            <w:vAlign w:val="bottom"/>
          </w:tcPr>
          <w:p>
            <w:pPr>
              <w:spacing w:after="0"/>
              <w:rPr>
                <w:sz w:val="20"/>
                <w:szCs w:val="20"/>
                <w:color w:val="auto"/>
              </w:rPr>
            </w:pPr>
          </w:p>
        </w:tc>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126" w:lineRule="exact"/>
        <w:rPr>
          <w:sz w:val="20"/>
          <w:szCs w:val="20"/>
          <w:color w:val="auto"/>
        </w:rPr>
      </w:pPr>
    </w:p>
    <w:p>
      <w:pPr>
        <w:ind w:left="320" w:hanging="317"/>
        <w:spacing w:after="0" w:line="23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three months ended March 31, 2025 and 2024 of 704 million and 701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180" w:hanging="317"/>
        <w:spacing w:after="0" w:line="22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for the three months ended March 31, 2025 and 2024 of 63 million and 71 million, respectively.</w:t>
      </w:r>
    </w:p>
    <w:p>
      <w:pPr>
        <w:spacing w:after="0" w:line="152"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65"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 Flow:</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78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 (6)</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(7)</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(8)</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78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7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(Excluding Changes in Assets &amp; Liabilities) </w:t>
            </w:r>
            <w:r>
              <w:rPr>
                <w:rFonts w:ascii="Times New Roman" w:cs="Times New Roman" w:eastAsia="Times New Roman" w:hAnsi="Times New Roman"/>
                <w:sz w:val="22"/>
                <w:szCs w:val="22"/>
                <w:color w:val="auto"/>
                <w:vertAlign w:val="superscript"/>
              </w:rPr>
              <w:t>(8)</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80" w:hanging="317"/>
        <w:spacing w:after="0" w:line="233" w:lineRule="auto"/>
        <w:tabs>
          <w:tab w:leader="none" w:pos="308"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7" w:lineRule="exact"/>
        <w:rPr>
          <w:rFonts w:ascii="Times New Roman" w:cs="Times New Roman" w:eastAsia="Times New Roman" w:hAnsi="Times New Roman"/>
          <w:sz w:val="19"/>
          <w:szCs w:val="19"/>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2025 period includes a net cash outflow of $624 million for bolt-on acquisitions.</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61" w:lineRule="exact"/>
        <w:rPr>
          <w:rFonts w:ascii="Times New Roman" w:cs="Times New Roman" w:eastAsia="Times New Roman" w:hAnsi="Times New Roman"/>
          <w:sz w:val="20"/>
          <w:szCs w:val="20"/>
          <w:color w:val="auto"/>
          <w:vertAlign w:val="superscript"/>
        </w:rPr>
      </w:pPr>
    </w:p>
    <w:p>
      <w:pPr>
        <w:ind w:left="320" w:right="60" w:hanging="317"/>
        <w:spacing w:after="0" w:line="219"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15"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48" w:lineRule="exact"/>
        <w:rPr>
          <w:rFonts w:ascii="Times New Roman" w:cs="Times New Roman" w:eastAsia="Times New Roman" w:hAnsi="Times New Roman"/>
          <w:sz w:val="20"/>
          <w:szCs w:val="20"/>
          <w:color w:val="auto"/>
          <w:vertAlign w:val="superscript"/>
        </w:rPr>
      </w:pPr>
    </w:p>
    <w:p>
      <w:pPr>
        <w:ind w:left="320" w:right="40" w:hanging="317"/>
        <w:spacing w:after="0" w:line="224"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61" w:lineRule="exact"/>
        <w:rPr>
          <w:rFonts w:ascii="Times New Roman" w:cs="Times New Roman" w:eastAsia="Times New Roman" w:hAnsi="Times New Roman"/>
          <w:sz w:val="20"/>
          <w:szCs w:val="20"/>
          <w:color w:val="auto"/>
          <w:vertAlign w:val="superscript"/>
        </w:rPr>
      </w:pPr>
    </w:p>
    <w:p>
      <w:pPr>
        <w:ind w:left="320" w:right="20" w:hanging="317"/>
        <w:spacing w:after="0" w:line="219" w:lineRule="auto"/>
        <w:tabs>
          <w:tab w:leader="none" w:pos="3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11" w:lineRule="exact"/>
        <w:rPr>
          <w:sz w:val="20"/>
          <w:szCs w:val="20"/>
          <w:color w:val="auto"/>
        </w:rPr>
      </w:pP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20" w:type="dxa"/>
            <w:vAlign w:val="bottom"/>
          </w:tcPr>
          <w:p>
            <w:pPr>
              <w:spacing w:after="0"/>
              <w:rPr>
                <w:sz w:val="17"/>
                <w:szCs w:val="17"/>
                <w:color w:val="auto"/>
              </w:rPr>
            </w:pPr>
          </w:p>
        </w:tc>
        <w:tc>
          <w:tcPr>
            <w:tcW w:w="880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8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(2)</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20"/>
        </w:trPr>
        <w:tc>
          <w:tcPr>
            <w:tcW w:w="20" w:type="dxa"/>
            <w:vAlign w:val="bottom"/>
          </w:tcPr>
          <w:p>
            <w:pPr>
              <w:spacing w:after="0"/>
              <w:rPr>
                <w:sz w:val="19"/>
                <w:szCs w:val="19"/>
                <w:color w:val="auto"/>
              </w:rPr>
            </w:pPr>
          </w:p>
        </w:tc>
        <w:tc>
          <w:tcPr>
            <w:tcW w:w="88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(3)</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0"/>
        </w:trPr>
        <w:tc>
          <w:tcPr>
            <w:tcW w:w="20" w:type="dxa"/>
            <w:vAlign w:val="bottom"/>
          </w:tcPr>
          <w:p>
            <w:pPr>
              <w:spacing w:after="0"/>
              <w:rPr>
                <w:sz w:val="19"/>
                <w:szCs w:val="19"/>
                <w:color w:val="auto"/>
              </w:rPr>
            </w:pPr>
          </w:p>
        </w:tc>
        <w:tc>
          <w:tcPr>
            <w:tcW w:w="88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(4)</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0"/>
        </w:trPr>
        <w:tc>
          <w:tcPr>
            <w:tcW w:w="20" w:type="dxa"/>
            <w:vAlign w:val="bottom"/>
          </w:tcPr>
          <w:p>
            <w:pPr>
              <w:spacing w:after="0"/>
              <w:rPr>
                <w:sz w:val="19"/>
                <w:szCs w:val="19"/>
                <w:color w:val="auto"/>
              </w:rPr>
            </w:pPr>
          </w:p>
        </w:tc>
        <w:tc>
          <w:tcPr>
            <w:tcW w:w="88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(5)</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20" w:type="dxa"/>
            <w:vAlign w:val="bottom"/>
          </w:tcPr>
          <w:p>
            <w:pPr>
              <w:spacing w:after="0"/>
              <w:rPr>
                <w:sz w:val="19"/>
                <w:szCs w:val="19"/>
                <w:color w:val="auto"/>
              </w:rPr>
            </w:pPr>
          </w:p>
        </w:tc>
        <w:tc>
          <w:tcPr>
            <w:tcW w:w="880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(6)</w:t>
            </w:r>
          </w:p>
        </w:tc>
        <w:tc>
          <w:tcPr>
            <w:tcW w:w="8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0"/>
        </w:trPr>
        <w:tc>
          <w:tcPr>
            <w:tcW w:w="20" w:type="dxa"/>
            <w:vAlign w:val="bottom"/>
          </w:tcPr>
          <w:p>
            <w:pPr>
              <w:spacing w:after="0"/>
              <w:rPr>
                <w:sz w:val="19"/>
                <w:szCs w:val="19"/>
                <w:color w:val="auto"/>
              </w:rPr>
            </w:pPr>
          </w:p>
        </w:tc>
        <w:tc>
          <w:tcPr>
            <w:tcW w:w="880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(7)</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20" w:type="dxa"/>
            <w:vAlign w:val="bottom"/>
          </w:tcPr>
          <w:p>
            <w:pPr>
              <w:spacing w:after="0"/>
              <w:rPr>
                <w:sz w:val="18"/>
                <w:szCs w:val="18"/>
                <w:color w:val="auto"/>
              </w:rPr>
            </w:pPr>
          </w:p>
        </w:tc>
        <w:tc>
          <w:tcPr>
            <w:tcW w:w="8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asset sales, net</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0" w:type="dxa"/>
            <w:vAlign w:val="bottom"/>
          </w:tcPr>
          <w:p>
            <w:pPr>
              <w:spacing w:after="0"/>
              <w:rPr>
                <w:sz w:val="19"/>
                <w:szCs w:val="19"/>
                <w:color w:val="auto"/>
              </w:rPr>
            </w:pPr>
          </w:p>
        </w:tc>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7"/>
        </w:trPr>
        <w:tc>
          <w:tcPr>
            <w:tcW w:w="20" w:type="dxa"/>
            <w:vAlign w:val="bottom"/>
          </w:tcPr>
          <w:p>
            <w:pPr>
              <w:spacing w:after="0"/>
              <w:rPr>
                <w:sz w:val="18"/>
                <w:szCs w:val="18"/>
                <w:color w:val="auto"/>
              </w:rPr>
            </w:pPr>
          </w:p>
        </w:tc>
        <w:tc>
          <w:tcPr>
            <w:tcW w:w="8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41"/>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80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78" w:lineRule="exact"/>
        <w:rPr>
          <w:sz w:val="20"/>
          <w:szCs w:val="20"/>
          <w:color w:val="auto"/>
        </w:rPr>
      </w:pPr>
    </w:p>
    <w:p>
      <w:pPr>
        <w:ind w:left="320" w:right="20" w:hanging="317"/>
        <w:spacing w:after="0" w:line="235" w:lineRule="auto"/>
        <w:tabs>
          <w:tab w:leader="none" w:pos="31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24" w:lineRule="exact"/>
        <w:rPr>
          <w:rFonts w:ascii="Times New Roman" w:cs="Times New Roman" w:eastAsia="Times New Roman" w:hAnsi="Times New Roman"/>
          <w:sz w:val="18"/>
          <w:szCs w:val="18"/>
          <w:color w:val="auto"/>
          <w:vertAlign w:val="superscript"/>
        </w:rPr>
      </w:pPr>
    </w:p>
    <w:p>
      <w:pPr>
        <w:ind w:left="320" w:right="100" w:hanging="317"/>
        <w:spacing w:after="0" w:line="247" w:lineRule="auto"/>
        <w:tabs>
          <w:tab w:leader="none" w:pos="31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7" w:lineRule="exact"/>
        <w:rPr>
          <w:rFonts w:ascii="Times New Roman" w:cs="Times New Roman" w:eastAsia="Times New Roman" w:hAnsi="Times New Roman"/>
          <w:sz w:val="18"/>
          <w:szCs w:val="18"/>
          <w:color w:val="auto"/>
          <w:vertAlign w:val="superscript"/>
        </w:rPr>
      </w:pPr>
    </w:p>
    <w:p>
      <w:pPr>
        <w:ind w:left="320" w:right="60" w:hanging="317"/>
        <w:spacing w:after="0" w:line="264" w:lineRule="auto"/>
        <w:tabs>
          <w:tab w:leader="none" w:pos="311"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Times New Roman" w:cs="Times New Roman" w:eastAsia="Times New Roman" w:hAnsi="Times New Roman"/>
          <w:sz w:val="9"/>
          <w:szCs w:val="9"/>
          <w:color w:val="auto"/>
        </w:rPr>
      </w:pPr>
    </w:p>
    <w:p>
      <w:pPr>
        <w:ind w:left="320" w:right="20" w:hanging="317"/>
        <w:spacing w:after="0" w:line="257" w:lineRule="auto"/>
        <w:tabs>
          <w:tab w:leader="none" w:pos="311"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1" w:lineRule="exact"/>
        <w:rPr>
          <w:rFonts w:ascii="Times New Roman" w:cs="Times New Roman" w:eastAsia="Times New Roman" w:hAnsi="Times New Roman"/>
          <w:sz w:val="9"/>
          <w:szCs w:val="9"/>
          <w:color w:val="auto"/>
        </w:rPr>
      </w:pPr>
    </w:p>
    <w:p>
      <w:pPr>
        <w:ind w:left="320" w:right="40" w:hanging="317"/>
        <w:spacing w:after="0" w:line="239" w:lineRule="auto"/>
        <w:tabs>
          <w:tab w:leader="none" w:pos="31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23" w:lineRule="exact"/>
        <w:rPr>
          <w:rFonts w:ascii="Times New Roman" w:cs="Times New Roman" w:eastAsia="Times New Roman" w:hAnsi="Times New Roman"/>
          <w:sz w:val="18"/>
          <w:szCs w:val="18"/>
          <w:color w:val="auto"/>
          <w:vertAlign w:val="superscript"/>
        </w:rPr>
      </w:pPr>
    </w:p>
    <w:p>
      <w:pPr>
        <w:ind w:left="320" w:right="140" w:hanging="317"/>
        <w:spacing w:after="0" w:line="235" w:lineRule="auto"/>
        <w:tabs>
          <w:tab w:leader="none" w:pos="311"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1"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Primarily related to acquisitions completed during the first quarter of 2025.</w:t>
      </w:r>
    </w:p>
    <w:p>
      <w:pPr>
        <w:spacing w:after="0" w:line="160" w:lineRule="exact"/>
        <w:rPr>
          <w:rFonts w:ascii="Times New Roman" w:cs="Times New Roman" w:eastAsia="Times New Roman" w:hAnsi="Times New Roman"/>
          <w:sz w:val="18"/>
          <w:szCs w:val="18"/>
          <w:color w:val="auto"/>
          <w:vertAlign w:val="superscript"/>
        </w:rPr>
      </w:pP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40" w:type="dxa"/>
            <w:vAlign w:val="bottom"/>
            <w:tcBorders>
              <w:bottom w:val="single" w:sz="8" w:color="auto"/>
            </w:tcBorders>
          </w:tcPr>
          <w:p>
            <w:pPr>
              <w:spacing w:after="0"/>
              <w:rPr>
                <w:sz w:val="16"/>
                <w:szCs w:val="16"/>
                <w:color w:val="auto"/>
              </w:rPr>
            </w:pP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c>
          <w:tcPr>
            <w:tcW w:w="2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42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w w:val="92"/>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580" w:hanging="317"/>
        <w:spacing w:after="0" w:line="230"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1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580" w:type="dxa"/>
            <w:vAlign w:val="bottom"/>
            <w:tcBorders>
              <w:bottom w:val="single" w:sz="8" w:color="CCEEFF"/>
            </w:tcBorders>
            <w:gridSpan w:val="2"/>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20" w:type="dxa"/>
            <w:vAlign w:val="bottom"/>
          </w:tcPr>
          <w:p>
            <w:pPr>
              <w:spacing w:after="0"/>
              <w:rPr>
                <w:sz w:val="17"/>
                <w:szCs w:val="17"/>
                <w:color w:val="auto"/>
              </w:rPr>
            </w:pPr>
          </w:p>
        </w:tc>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93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Crude oil pipeline tariff (by region)</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w:t>
            </w:r>
          </w:p>
        </w:tc>
      </w:tr>
      <w:tr>
        <w:trPr>
          <w:trHeight w:val="220"/>
        </w:trPr>
        <w:tc>
          <w:tcPr>
            <w:tcW w:w="20" w:type="dxa"/>
            <w:vAlign w:val="bottom"/>
          </w:tcPr>
          <w:p>
            <w:pPr>
              <w:spacing w:after="0"/>
              <w:rPr>
                <w:sz w:val="19"/>
                <w:szCs w:val="19"/>
                <w:color w:val="auto"/>
              </w:rPr>
            </w:pPr>
          </w:p>
        </w:tc>
        <w:tc>
          <w:tcPr>
            <w:tcW w:w="9360" w:type="dxa"/>
            <w:vAlign w:val="bottom"/>
            <w:gridSpan w:val="3"/>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20"/>
        </w:trPr>
        <w:tc>
          <w:tcPr>
            <w:tcW w:w="20" w:type="dxa"/>
            <w:vAlign w:val="bottom"/>
          </w:tcPr>
          <w:p>
            <w:pPr>
              <w:spacing w:after="0"/>
              <w:rPr>
                <w:sz w:val="19"/>
                <w:szCs w:val="19"/>
                <w:color w:val="auto"/>
              </w:rPr>
            </w:pPr>
          </w:p>
        </w:tc>
        <w:tc>
          <w:tcPr>
            <w:tcW w:w="9360" w:type="dxa"/>
            <w:vAlign w:val="bottom"/>
            <w:gridSpan w:val="3"/>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20"/>
        </w:trPr>
        <w:tc>
          <w:tcPr>
            <w:tcW w:w="20" w:type="dxa"/>
            <w:vAlign w:val="bottom"/>
          </w:tcPr>
          <w:p>
            <w:pPr>
              <w:spacing w:after="0"/>
              <w:rPr>
                <w:sz w:val="19"/>
                <w:szCs w:val="19"/>
                <w:color w:val="auto"/>
              </w:rPr>
            </w:pPr>
          </w:p>
        </w:tc>
        <w:tc>
          <w:tcPr>
            <w:tcW w:w="9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Western</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Canada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13"/>
        </w:trPr>
        <w:tc>
          <w:tcPr>
            <w:tcW w:w="20" w:type="dxa"/>
            <w:vAlign w:val="bottom"/>
          </w:tcPr>
          <w:p>
            <w:pPr>
              <w:spacing w:after="0"/>
              <w:rPr>
                <w:sz w:val="18"/>
                <w:szCs w:val="18"/>
                <w:color w:val="auto"/>
              </w:rPr>
            </w:pPr>
          </w:p>
        </w:tc>
        <w:tc>
          <w:tcPr>
            <w:tcW w:w="85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(2)</w:t>
            </w:r>
          </w:p>
        </w:tc>
        <w:tc>
          <w:tcPr>
            <w:tcW w:w="7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9,086</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8,600</w:t>
            </w:r>
          </w:p>
        </w:tc>
      </w:tr>
      <w:tr>
        <w:trPr>
          <w:trHeight w:val="245"/>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4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93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NGL Segment Volumes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NGL fractionation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20"/>
        </w:trPr>
        <w:tc>
          <w:tcPr>
            <w:tcW w:w="20" w:type="dxa"/>
            <w:vAlign w:val="bottom"/>
          </w:tcPr>
          <w:p>
            <w:pPr>
              <w:spacing w:after="0"/>
              <w:rPr>
                <w:sz w:val="19"/>
                <w:szCs w:val="19"/>
                <w:color w:val="auto"/>
              </w:rPr>
            </w:pPr>
          </w:p>
        </w:tc>
        <w:tc>
          <w:tcPr>
            <w:tcW w:w="93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NGL pipeline tariff</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0"/>
        </w:trPr>
        <w:tc>
          <w:tcPr>
            <w:tcW w:w="20" w:type="dxa"/>
            <w:vAlign w:val="bottom"/>
          </w:tcPr>
          <w:p>
            <w:pPr>
              <w:spacing w:after="0"/>
              <w:rPr>
                <w:sz w:val="19"/>
                <w:szCs w:val="19"/>
                <w:color w:val="auto"/>
              </w:rPr>
            </w:pPr>
          </w:p>
        </w:tc>
        <w:tc>
          <w:tcPr>
            <w:tcW w:w="9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Propane and butane sales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155"/>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6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8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2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0"/>
        </w:trPr>
        <w:tc>
          <w:tcPr>
            <w:tcW w:w="874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874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w:t>
            </w:r>
          </w:p>
        </w:tc>
      </w:tr>
      <w:tr>
        <w:trPr>
          <w:trHeight w:val="20"/>
        </w:trPr>
        <w:tc>
          <w:tcPr>
            <w:tcW w:w="3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4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126" w:lineRule="exact"/>
        <w:rPr>
          <w:sz w:val="20"/>
          <w:szCs w:val="20"/>
          <w:color w:val="auto"/>
        </w:rPr>
      </w:pPr>
    </w:p>
    <w:p>
      <w:pPr>
        <w:ind w:left="320" w:hanging="317"/>
        <w:spacing w:after="0" w:line="237"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income/(expense),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2024</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asset sales,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11,626</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58"/>
        </w:trPr>
        <w:tc>
          <w:tcPr>
            <w:tcW w:w="3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168"/>
        </w:trPr>
        <w:tc>
          <w:tcPr>
            <w:tcW w:w="33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investments in unconsolidated entities,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96"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r>
      <w:tr>
        <w:trPr>
          <w:trHeight w:val="258"/>
        </w:trPr>
        <w:tc>
          <w:tcPr>
            <w:tcW w:w="3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12,704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53"/>
        </w:trPr>
        <w:tc>
          <w:tcPr>
            <w:tcW w:w="3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27,059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8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 PER CLASS A SHARE </w:t>
      </w:r>
      <w:r>
        <w:rPr>
          <w:rFonts w:ascii="Times New Roman" w:cs="Times New Roman" w:eastAsia="Times New Roman" w:hAnsi="Times New Roman"/>
          <w:sz w:val="17"/>
          <w:szCs w:val="17"/>
          <w:color w:val="auto"/>
        </w:rPr>
        <w:t>(in millions, except per share data)</w:t>
      </w:r>
    </w:p>
    <w:p>
      <w:pPr>
        <w:spacing w:after="0" w:line="190" w:lineRule="exact"/>
        <w:rPr>
          <w:sz w:val="20"/>
          <w:szCs w:val="20"/>
          <w:color w:val="auto"/>
        </w:rPr>
      </w:pP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0"/>
        </w:trPr>
        <w:tc>
          <w:tcPr>
            <w:tcW w:w="8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74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45"/>
        </w:trPr>
        <w:tc>
          <w:tcPr>
            <w:tcW w:w="8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5"/>
        </w:trPr>
        <w:tc>
          <w:tcPr>
            <w:tcW w:w="8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740" w:type="dxa"/>
            <w:vAlign w:val="bottom"/>
            <w:tcBorders>
              <w:bottom w:val="single" w:sz="8" w:color="auto"/>
            </w:tcBorders>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302"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32" w:lineRule="exact"/>
        <w:rPr>
          <w:sz w:val="20"/>
          <w:szCs w:val="20"/>
          <w:color w:val="auto"/>
        </w:rPr>
      </w:pPr>
    </w:p>
    <w:p>
      <w:pPr>
        <w:ind w:left="620" w:right="160" w:hanging="307"/>
        <w:spacing w:after="0" w:line="250"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20" w:right="120" w:hanging="307"/>
        <w:spacing w:after="0" w:line="248"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123" w:lineRule="exact"/>
        <w:rPr>
          <w:rFonts w:ascii="Arial" w:cs="Arial" w:eastAsia="Arial" w:hAnsi="Arial"/>
          <w:sz w:val="21"/>
          <w:szCs w:val="21"/>
          <w:color w:val="auto"/>
        </w:rPr>
      </w:pPr>
    </w:p>
    <w:p>
      <w:pPr>
        <w:ind w:left="620" w:right="18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25" w:lineRule="exact"/>
        <w:rPr>
          <w:rFonts w:ascii="Arial" w:cs="Arial" w:eastAsia="Arial" w:hAnsi="Arial"/>
          <w:sz w:val="21"/>
          <w:szCs w:val="21"/>
          <w:color w:val="auto"/>
        </w:rPr>
      </w:pPr>
    </w:p>
    <w:p>
      <w:pPr>
        <w:ind w:left="620" w:right="100" w:hanging="307"/>
        <w:spacing w:after="0" w:line="242"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124" w:lineRule="exact"/>
        <w:rPr>
          <w:rFonts w:ascii="Arial" w:cs="Arial" w:eastAsia="Arial" w:hAnsi="Arial"/>
          <w:sz w:val="21"/>
          <w:szCs w:val="21"/>
          <w:color w:val="auto"/>
        </w:rPr>
      </w:pPr>
    </w:p>
    <w:p>
      <w:pPr>
        <w:ind w:left="620" w:hanging="307"/>
        <w:spacing w:after="0" w:line="236"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w:t>
      </w:r>
    </w:p>
    <w:p>
      <w:pPr>
        <w:spacing w:after="0" w:line="120"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63" w:lineRule="exact"/>
        <w:rPr>
          <w:sz w:val="20"/>
          <w:szCs w:val="20"/>
          <w:color w:val="auto"/>
        </w:rPr>
      </w:pPr>
    </w:p>
    <w:p>
      <w:pPr>
        <w:ind w:left="620" w:right="22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25" w:lineRule="exact"/>
        <w:rPr>
          <w:rFonts w:ascii="Arial" w:cs="Arial" w:eastAsia="Arial" w:hAnsi="Arial"/>
          <w:sz w:val="21"/>
          <w:szCs w:val="21"/>
          <w:color w:val="auto"/>
        </w:rPr>
      </w:pPr>
    </w:p>
    <w:p>
      <w:pPr>
        <w:ind w:left="620" w:right="34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125" w:lineRule="exact"/>
        <w:rPr>
          <w:rFonts w:ascii="Arial" w:cs="Arial" w:eastAsia="Arial" w:hAnsi="Arial"/>
          <w:sz w:val="21"/>
          <w:szCs w:val="21"/>
          <w:color w:val="auto"/>
        </w:rPr>
      </w:pPr>
    </w:p>
    <w:p>
      <w:pPr>
        <w:ind w:left="620" w:hanging="307"/>
        <w:spacing w:after="0" w:line="247"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118" w:lineRule="exact"/>
        <w:rPr>
          <w:rFonts w:ascii="Arial" w:cs="Arial" w:eastAsia="Arial" w:hAnsi="Arial"/>
          <w:sz w:val="21"/>
          <w:szCs w:val="21"/>
          <w:color w:val="auto"/>
        </w:rPr>
      </w:pPr>
    </w:p>
    <w:p>
      <w:pPr>
        <w:ind w:left="620" w:right="160" w:hanging="307"/>
        <w:spacing w:after="0" w:line="245"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123" w:lineRule="exact"/>
        <w:rPr>
          <w:rFonts w:ascii="Arial" w:cs="Arial" w:eastAsia="Arial" w:hAnsi="Arial"/>
          <w:sz w:val="21"/>
          <w:szCs w:val="21"/>
          <w:color w:val="auto"/>
        </w:rPr>
      </w:pPr>
    </w:p>
    <w:p>
      <w:pPr>
        <w:ind w:left="620" w:right="6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25" w:lineRule="exact"/>
        <w:rPr>
          <w:rFonts w:ascii="Arial" w:cs="Arial" w:eastAsia="Arial" w:hAnsi="Arial"/>
          <w:sz w:val="21"/>
          <w:szCs w:val="21"/>
          <w:color w:val="auto"/>
        </w:rPr>
      </w:pPr>
    </w:p>
    <w:p>
      <w:pPr>
        <w:ind w:left="620" w:hanging="307"/>
        <w:spacing w:after="0" w:line="245"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5"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38" w:lineRule="exact"/>
        <w:rPr>
          <w:rFonts w:ascii="Arial" w:cs="Arial" w:eastAsia="Arial" w:hAnsi="Arial"/>
          <w:sz w:val="21"/>
          <w:szCs w:val="21"/>
          <w:color w:val="auto"/>
        </w:rPr>
      </w:pPr>
    </w:p>
    <w:p>
      <w:pPr>
        <w:ind w:left="620" w:right="40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risk management activities;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shortages or cost increases of supplies, materials or labor;</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125" w:lineRule="exact"/>
        <w:rPr>
          <w:rFonts w:ascii="Arial" w:cs="Arial" w:eastAsia="Arial" w:hAnsi="Arial"/>
          <w:sz w:val="21"/>
          <w:szCs w:val="21"/>
          <w:color w:val="auto"/>
        </w:rPr>
      </w:pPr>
    </w:p>
    <w:p>
      <w:pPr>
        <w:jc w:val="both"/>
        <w:ind w:left="620" w:right="10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38" w:lineRule="exact"/>
        <w:rPr>
          <w:rFonts w:ascii="Arial" w:cs="Arial" w:eastAsia="Arial" w:hAnsi="Arial"/>
          <w:sz w:val="21"/>
          <w:szCs w:val="21"/>
          <w:color w:val="auto"/>
        </w:rPr>
      </w:pPr>
    </w:p>
    <w:p>
      <w:pPr>
        <w:ind w:left="620" w:right="8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125" w:lineRule="exact"/>
        <w:rPr>
          <w:rFonts w:ascii="Arial" w:cs="Arial" w:eastAsia="Arial" w:hAnsi="Arial"/>
          <w:sz w:val="21"/>
          <w:szCs w:val="21"/>
          <w:color w:val="auto"/>
        </w:rPr>
      </w:pPr>
    </w:p>
    <w:p>
      <w:pPr>
        <w:ind w:left="620" w:right="280" w:hanging="307"/>
        <w:spacing w:after="0" w:line="236"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45"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25" w:lineRule="exact"/>
        <w:rPr>
          <w:rFonts w:ascii="Arial" w:cs="Arial" w:eastAsia="Arial" w:hAnsi="Arial"/>
          <w:sz w:val="21"/>
          <w:szCs w:val="21"/>
          <w:color w:val="auto"/>
        </w:rPr>
      </w:pPr>
    </w:p>
    <w:p>
      <w:pPr>
        <w:ind w:left="620" w:right="660" w:hanging="307"/>
        <w:spacing w:after="0" w:line="247"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100"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under-utilization of our assets and facilities;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 or lack of availability, of insurance;</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25" w:lineRule="exact"/>
        <w:rPr>
          <w:rFonts w:ascii="Arial" w:cs="Arial" w:eastAsia="Arial" w:hAnsi="Arial"/>
          <w:sz w:val="21"/>
          <w:szCs w:val="21"/>
          <w:color w:val="auto"/>
        </w:rPr>
      </w:pPr>
    </w:p>
    <w:p>
      <w:pPr>
        <w:ind w:left="620" w:right="60" w:hanging="307"/>
        <w:spacing w:after="0" w:line="247"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lvl w:ilvl="1">
      <w:lvlJc w:val="left"/>
      <w:lvlText w:val="-"/>
      <w:numFmt w:val="bullet"/>
      <w:start w:val="1"/>
    </w:lvl>
  </w:abstractNum>
  <w:abstractNum w:abstractNumId="5">
    <w:nsid w:val="DED7263"/>
    <w:multiLevelType w:val="hybridMultilevel"/>
    <w:lvl w:ilvl="0">
      <w:lvlJc w:val="left"/>
      <w:lvlText w:val="(%1)"/>
      <w:numFmt w:val="decimal"/>
      <w:start w:val="1"/>
    </w:lvl>
    <w:lvl w:ilvl="1">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lvl w:ilvl="1">
      <w:lvlJc w:val="left"/>
      <w:lvlText w:val="-"/>
      <w:numFmt w:val="bullet"/>
      <w:start w:val="1"/>
    </w:lvl>
  </w:abstractNum>
  <w:abstractNum w:abstractNumId="10">
    <w:nsid w:val="4E6AFB66"/>
    <w:multiLevelType w:val="hybridMultilevel"/>
    <w:lvl w:ilvl="0">
      <w:lvlJc w:val="left"/>
      <w:lvlText w:val="(%1)"/>
      <w:numFmt w:val="decimal"/>
      <w:start w:val="1"/>
    </w:lvl>
    <w:lvl w:ilvl="1">
      <w:lvlJc w:val="left"/>
      <w:lvlText w:val="-"/>
      <w:numFmt w:val="bullet"/>
      <w:start w:val="1"/>
    </w:lvl>
  </w:abstractNum>
  <w:abstractNum w:abstractNumId="11">
    <w:nsid w:val="25E45D32"/>
    <w:multiLevelType w:val="hybridMultilevel"/>
    <w:lvl w:ilvl="0">
      <w:lvlJc w:val="left"/>
      <w:lvlText w:val="(%1)"/>
      <w:numFmt w:val="decimal"/>
      <w:start w:val="1"/>
    </w:lvl>
    <w:lvl w:ilvl="1">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
      <w:numFmt w:val="bullet"/>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2025-05-09T08:01:03Z</dcterms:created>
  <dcterms:modified xsi:type="dcterms:W3CDTF">2025-05-09T08:01:03Z</dcterms:modified>
</cp:coreProperties>
</file>