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ind w:left="8480"/>
        <w:spacing w:after="0"/>
        <w:rPr>
          <w:sz w:val="20"/>
          <w:szCs w:val="20"/>
          <w:color w:val="auto"/>
        </w:rPr>
      </w:pPr>
      <w:r>
        <w:rPr>
          <w:rFonts w:ascii="Arial" w:cs="Arial" w:eastAsia="Arial" w:hAnsi="Arial"/>
          <w:sz w:val="18"/>
          <w:szCs w:val="18"/>
          <w:color w:val="auto"/>
        </w:rPr>
        <w:t>Filed Pursuant to Rule 424(b)(7)</w:t>
      </w:r>
    </w:p>
    <w:p>
      <w:pPr>
        <w:spacing w:after="0" w:line="23" w:lineRule="exact"/>
        <w:rPr>
          <w:sz w:val="24"/>
          <w:szCs w:val="24"/>
          <w:color w:val="auto"/>
        </w:rPr>
      </w:pPr>
    </w:p>
    <w:p>
      <w:pPr>
        <w:ind w:left="8480"/>
        <w:spacing w:after="0"/>
        <w:rPr>
          <w:sz w:val="20"/>
          <w:szCs w:val="20"/>
          <w:color w:val="auto"/>
        </w:rPr>
      </w:pPr>
      <w:r>
        <w:rPr>
          <w:rFonts w:ascii="Arial" w:cs="Arial" w:eastAsia="Arial" w:hAnsi="Arial"/>
          <w:sz w:val="18"/>
          <w:szCs w:val="18"/>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3019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jc w:val="both"/>
        <w:ind w:right="360" w:firstLine="324"/>
        <w:spacing w:after="0" w:line="279" w:lineRule="auto"/>
        <w:rPr>
          <w:sz w:val="20"/>
          <w:szCs w:val="20"/>
          <w:color w:val="auto"/>
        </w:rPr>
      </w:pPr>
      <w:r>
        <w:rPr>
          <w:rFonts w:ascii="Arial" w:cs="Arial" w:eastAsia="Arial" w:hAnsi="Arial"/>
          <w:sz w:val="17"/>
          <w:szCs w:val="17"/>
          <w:color w:val="auto"/>
        </w:rPr>
        <w:t>This prospectus supplement updates and amends certain information contained in the prospectus dated December 10, 2014, as supplemented by the prospectus supplements dated December 31, 2014 and April 1, 2015 (together,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amendments or supplements thereto.</w:t>
      </w:r>
    </w:p>
    <w:p>
      <w:pPr>
        <w:spacing w:after="0" w:line="158" w:lineRule="exact"/>
        <w:rPr>
          <w:sz w:val="24"/>
          <w:szCs w:val="24"/>
          <w:color w:val="auto"/>
        </w:rPr>
      </w:pPr>
    </w:p>
    <w:p>
      <w:pPr>
        <w:ind w:right="180" w:firstLine="324"/>
        <w:spacing w:after="0" w:line="239" w:lineRule="auto"/>
        <w:rPr>
          <w:sz w:val="20"/>
          <w:szCs w:val="20"/>
          <w:color w:val="auto"/>
        </w:rPr>
      </w:pPr>
      <w:r>
        <w:rPr>
          <w:rFonts w:ascii="Arial" w:cs="Arial" w:eastAsia="Arial" w:hAnsi="Arial"/>
          <w:sz w:val="22"/>
          <w:szCs w:val="22"/>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90" w:lineRule="exact"/>
        <w:rPr>
          <w:sz w:val="24"/>
          <w:szCs w:val="24"/>
          <w:color w:val="auto"/>
        </w:rPr>
      </w:pPr>
    </w:p>
    <w:p>
      <w:pPr>
        <w:ind w:right="1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supplement is truthful or complete. Any representation to the contrary is a criminal offense.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July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firstLine="324"/>
        <w:spacing w:after="0" w:line="271" w:lineRule="auto"/>
        <w:rPr>
          <w:sz w:val="20"/>
          <w:szCs w:val="20"/>
          <w:color w:val="auto"/>
        </w:rPr>
      </w:pPr>
      <w:r>
        <w:rPr>
          <w:rFonts w:ascii="Arial" w:cs="Arial" w:eastAsia="Arial" w:hAnsi="Arial"/>
          <w:sz w:val="17"/>
          <w:szCs w:val="17"/>
          <w:color w:val="auto"/>
        </w:rPr>
        <w:t>On April 9, 2015, KA First Reserve XII, LLC (“KAFR”) transferred a total of (i) 29,156 Class B shares, AAP units and general partner units to Kayne Anderson Capital Advisors, L.P. (“KACALP”) and (ii) 20,966 Class B shares, AAP units and general partner units to FRCI, LLC. KAFR no longer beneficially owns any Class A shares. On June 2, 2015, KAFU Holdings, L.P. (“KAFU”) transferred a total of 34,175 Class B shares, AAP units and general partner units to KAFU Holdings (QP), L.P. (“KAFU QP”). On or about June 30, 2015, (i) KAFU exercised the Exchange Right with respect to 32,495 of its Class B shares, AAP units and general partner units and then distributed the resulting 32,495 Class A shares to certain of the selling shareholders listed below; and (ii) KAFU QP exercised the Exchange Right with respect to 489,149 of its Class B shares, AAP units and general partner units and then distributed the resulting 489,149 Class A shares to certain of the selling shareholders listed below. We are amending the Selling Shareholders table in the Prospectus to reflect these transfers and to include or update information with respect to the transferees of such interests.</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Percentage of</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Class A Shares</w:t>
            </w:r>
          </w:p>
        </w:tc>
        <w:tc>
          <w:tcPr>
            <w:tcW w:w="1500" w:type="dxa"/>
            <w:vAlign w:val="bottom"/>
            <w:gridSpan w:val="2"/>
            <w:vMerge w:val="continue"/>
          </w:tcPr>
          <w:p>
            <w:pPr>
              <w:spacing w:after="0"/>
              <w:rPr>
                <w:sz w:val="12"/>
                <w:szCs w:val="12"/>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Class A</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460" w:type="dxa"/>
            <w:vAlign w:val="bottom"/>
            <w:gridSpan w:val="2"/>
            <w:vMerge w:val="continue"/>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Owned Prior</w:t>
            </w:r>
          </w:p>
        </w:tc>
        <w:tc>
          <w:tcPr>
            <w:tcW w:w="14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Offered</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After</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the Offering</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 the Offering</w:t>
            </w: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Hereby</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Offering</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KAFU Holdings, L.P.(1)</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6,489,187</w:t>
            </w: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6,489,187</w:t>
            </w:r>
          </w:p>
        </w:tc>
        <w:tc>
          <w:tcPr>
            <w:tcW w:w="3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Richard S. Murad</w:t>
            </w: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18,541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18,541</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D. Lombardo Revocable Trust(2)</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9,669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Claddagh Fund Charities, Inc.(3)</w:t>
            </w: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4,285</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4,285</w:t>
            </w: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(QP), L.P.(4)</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86,689,828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86,689,828</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Michael B. Targoff CRUT(5)</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926,334(6)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835,434(6)</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90,900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David M. Weekley, Trustee of the Robert M. Weekley</w:t>
            </w: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Living Trust UDT dated March 11, 2013(7)</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81,170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81,170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NFS/FMTC LLC FBO Frank H. Countner Roth IRA</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51,026(8)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49,151(8)</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1,875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C. La Force JPMCC Master Defined</w:t>
            </w: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Contribution Profit Share Plan</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11,602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3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Millennium Trust Company LLC Cust. FBO John</w:t>
            </w: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Simmons IRA</w:t>
            </w: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2,650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2,650</w:t>
            </w:r>
          </w:p>
        </w:tc>
        <w:tc>
          <w:tcPr>
            <w:tcW w:w="3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Mary Beth Brundage Living Trust, Mary Beth</w:t>
            </w: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Brundage TTEE(9)</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3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Kayne Anderson Capital Advisors, L.P.(10)</w:t>
            </w: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594,949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594,949</w:t>
            </w: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3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49" w:right="239" w:bottom="0" w:gutter="0" w:footer="0" w:header="0"/>
        </w:sectPr>
      </w:pPr>
    </w:p>
    <w:bookmarkStart w:id="1" w:name="page2"/>
    <w:bookmarkEnd w:id="1"/>
    <w:p>
      <w:pPr>
        <w:spacing w:after="0"/>
        <w:tabs>
          <w:tab w:leader="none" w:pos="4900" w:val="left"/>
          <w:tab w:leader="none" w:pos="7000" w:val="left"/>
          <w:tab w:leader="none" w:pos="7880" w:val="left"/>
          <w:tab w:leader="none" w:pos="9740" w:val="left"/>
          <w:tab w:leader="none" w:pos="11120" w:val="left"/>
        </w:tabs>
        <w:rPr>
          <w:sz w:val="20"/>
          <w:szCs w:val="20"/>
          <w:color w:val="auto"/>
        </w:rPr>
      </w:pPr>
      <w:r>
        <w:rPr>
          <w:rFonts w:ascii="Arial" w:cs="Arial" w:eastAsia="Arial" w:hAnsi="Arial"/>
          <w:sz w:val="18"/>
          <w:szCs w:val="18"/>
          <w:color w:val="auto"/>
        </w:rPr>
        <w:t>FRCI, LLC(11)</w:t>
      </w:r>
      <w:r>
        <w:rPr>
          <w:sz w:val="20"/>
          <w:szCs w:val="20"/>
          <w:color w:val="auto"/>
        </w:rPr>
        <w:tab/>
      </w:r>
      <w:r>
        <w:rPr>
          <w:rFonts w:ascii="Arial" w:cs="Arial" w:eastAsia="Arial" w:hAnsi="Arial"/>
          <w:sz w:val="18"/>
          <w:szCs w:val="18"/>
          <w:color w:val="auto"/>
        </w:rPr>
        <w:t>445,466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445,466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right="440" w:hanging="332"/>
        <w:spacing w:after="0" w:line="286" w:lineRule="auto"/>
        <w:tabs>
          <w:tab w:leader="none" w:pos="347"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jc w:val="both"/>
        <w:ind w:left="340" w:right="200"/>
        <w:spacing w:after="0" w:line="259" w:lineRule="auto"/>
        <w:rPr>
          <w:rFonts w:ascii="Arial" w:cs="Arial" w:eastAsia="Arial" w:hAnsi="Arial"/>
          <w:sz w:val="17"/>
          <w:szCs w:val="17"/>
          <w:color w:val="auto"/>
        </w:rPr>
      </w:pPr>
      <w:r>
        <w:rPr>
          <w:rFonts w:ascii="Arial" w:cs="Arial" w:eastAsia="Arial" w:hAnsi="Arial"/>
          <w:sz w:val="18"/>
          <w:szCs w:val="18"/>
          <w:color w:val="auto"/>
        </w:rPr>
        <w:t>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86" w:lineRule="exact"/>
        <w:rPr>
          <w:rFonts w:ascii="Arial" w:cs="Arial" w:eastAsia="Arial" w:hAnsi="Arial"/>
          <w:sz w:val="17"/>
          <w:szCs w:val="17"/>
          <w:color w:val="auto"/>
        </w:rPr>
      </w:pPr>
    </w:p>
    <w:p>
      <w:pPr>
        <w:ind w:left="340" w:right="580" w:hanging="332"/>
        <w:spacing w:after="0" w:line="264"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Linda D. Lombardo, trustee of the selling shareholder, exercises sole voting and dispositive power over the Class A shares held by the selling shareholder. Ms. Lombardo disclaims beneficial ownership of any of our Class A shares held by the selling shareholder except to the extent of her pecuniary interest therein.</w:t>
      </w:r>
    </w:p>
    <w:p>
      <w:pPr>
        <w:spacing w:after="0" w:line="181" w:lineRule="exact"/>
        <w:rPr>
          <w:rFonts w:ascii="Arial" w:cs="Arial" w:eastAsia="Arial" w:hAnsi="Arial"/>
          <w:sz w:val="18"/>
          <w:szCs w:val="18"/>
          <w:color w:val="auto"/>
        </w:rPr>
      </w:pPr>
    </w:p>
    <w:p>
      <w:pPr>
        <w:ind w:left="340" w:hanging="332"/>
        <w:spacing w:after="0" w:line="264"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Christine McMahon, Executive Director of the selling shareholder, exercises sole voting and dispositive power over the Class A shares held by the selling shareholder. Ms. McMahon disclaims beneficial ownership of any of our Class A shares held by the selling shareholder except to the extent of her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440" w:hanging="332"/>
        <w:spacing w:after="0" w:line="286" w:lineRule="auto"/>
        <w:tabs>
          <w:tab w:leader="none" w:pos="347"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340" w:right="300"/>
        <w:spacing w:after="0" w:line="312" w:lineRule="auto"/>
        <w:rPr>
          <w:rFonts w:ascii="Arial" w:cs="Arial" w:eastAsia="Arial" w:hAnsi="Arial"/>
          <w:sz w:val="17"/>
          <w:szCs w:val="17"/>
          <w:color w:val="auto"/>
        </w:rPr>
      </w:pPr>
      <w:r>
        <w:rPr>
          <w:rFonts w:ascii="Arial" w:cs="Arial" w:eastAsia="Arial" w:hAnsi="Arial"/>
          <w:sz w:val="16"/>
          <w:szCs w:val="16"/>
          <w:color w:val="auto"/>
        </w:rPr>
        <w:t>Each of Robert Sinnott, portfolio manager of the selling shareholder, and Richard Kayne, controlling owner of the manager of the selling shareholder, KACALP,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Michael Targoff, the trustee of the selling shareholder, exercises sole voting and dispositive power over the Class A shares held by the selling shareholder. Mr. Targoff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340" w:right="60" w:hanging="332"/>
        <w:spacing w:after="0" w:line="342" w:lineRule="auto"/>
        <w:tabs>
          <w:tab w:leader="none" w:pos="34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selling shareholder received 342,643 Class A shares in the transfer from KAFU QP and 492,791 Class B shares, AAP units and general partner units in a prior transfer from KAFU, which were subsequently converted into 492,791 Class A shares; 90,900 Class A shares were previously owned.</w:t>
      </w:r>
    </w:p>
    <w:p>
      <w:pPr>
        <w:spacing w:after="0" w:line="123" w:lineRule="exact"/>
        <w:rPr>
          <w:rFonts w:ascii="Arial" w:cs="Arial" w:eastAsia="Arial" w:hAnsi="Arial"/>
          <w:sz w:val="16"/>
          <w:szCs w:val="16"/>
          <w:color w:val="auto"/>
        </w:rPr>
      </w:pPr>
    </w:p>
    <w:p>
      <w:pPr>
        <w:jc w:val="both"/>
        <w:ind w:left="340" w:right="72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David M. Weekley, the trustee of the selling shareholder, exercises sole voting and dispositive power over the Class A shares held by the selling shareholder. Mr. Weekley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 received 49,151 Class A shares in the transfer from KAFU QP; 1,875 Class A shares were previously owned.</w:t>
      </w:r>
    </w:p>
    <w:p>
      <w:pPr>
        <w:spacing w:after="0" w:line="225" w:lineRule="exact"/>
        <w:rPr>
          <w:rFonts w:ascii="Arial" w:cs="Arial" w:eastAsia="Arial" w:hAnsi="Arial"/>
          <w:sz w:val="18"/>
          <w:szCs w:val="18"/>
          <w:color w:val="auto"/>
        </w:rPr>
      </w:pPr>
    </w:p>
    <w:p>
      <w:pPr>
        <w:ind w:left="340" w:right="62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Mary Beth Brundage, trustee of the selling shareholder, exercises sole voting and dispositive power over the Class A shares held by the selling shareholder. Ms. Brundage disclaims beneficial ownership of any of our Class A shares held by the selling shareholder except to the extent of her pecuniary interest therein.</w:t>
      </w:r>
    </w:p>
    <w:p>
      <w:pPr>
        <w:spacing w:after="0" w:line="181" w:lineRule="exact"/>
        <w:rPr>
          <w:rFonts w:ascii="Arial" w:cs="Arial" w:eastAsia="Arial" w:hAnsi="Arial"/>
          <w:sz w:val="18"/>
          <w:szCs w:val="18"/>
          <w:color w:val="auto"/>
        </w:rPr>
      </w:pPr>
    </w:p>
    <w:p>
      <w:pPr>
        <w:ind w:left="340" w:right="460" w:hanging="332"/>
        <w:spacing w:after="0" w:line="286" w:lineRule="auto"/>
        <w:tabs>
          <w:tab w:leader="none" w:pos="343"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340" w:right="280"/>
        <w:spacing w:after="0" w:line="286" w:lineRule="auto"/>
        <w:rPr>
          <w:rFonts w:ascii="Arial" w:cs="Arial" w:eastAsia="Arial" w:hAnsi="Arial"/>
          <w:sz w:val="17"/>
          <w:szCs w:val="17"/>
          <w:color w:val="auto"/>
        </w:rPr>
      </w:pPr>
      <w:r>
        <w:rPr>
          <w:rFonts w:ascii="Arial" w:cs="Arial" w:eastAsia="Arial" w:hAnsi="Arial"/>
          <w:sz w:val="17"/>
          <w:szCs w:val="17"/>
          <w:color w:val="auto"/>
        </w:rPr>
        <w:t>Each of Robert Sinnott, Chief Executive Officer of the selling shareholder, and Richard Kayne, controlling owner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65" w:lineRule="exact"/>
        <w:rPr>
          <w:rFonts w:ascii="Arial" w:cs="Arial" w:eastAsia="Arial" w:hAnsi="Arial"/>
          <w:sz w:val="17"/>
          <w:szCs w:val="17"/>
          <w:color w:val="auto"/>
        </w:rPr>
      </w:pPr>
    </w:p>
    <w:p>
      <w:pPr>
        <w:ind w:left="340" w:right="100" w:hanging="332"/>
        <w:spacing w:after="0" w:line="264" w:lineRule="auto"/>
        <w:tabs>
          <w:tab w:leader="none" w:pos="336"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of John Charles Frey and Kevin McCarthy are Managing Members of the selling shareholder and exercise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2020-01-23T22:48:35Z</dcterms:created>
  <dcterms:modified xsi:type="dcterms:W3CDTF">2020-01-23T22:48:35Z</dcterms:modified>
</cp:coreProperties>
</file>