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03/17/2017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10"/>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0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0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256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100" w:type="dxa"/>
            <w:vAlign w:val="bottom"/>
            <w:gridSpan w:val="2"/>
            <w:vMerge w:val="restart"/>
          </w:tcPr>
          <w:p>
            <w:pPr>
              <w:jc w:val="right"/>
              <w:ind w:right="98"/>
              <w:spacing w:after="0"/>
              <w:rPr>
                <w:sz w:val="20"/>
                <w:szCs w:val="20"/>
                <w:color w:val="auto"/>
              </w:rPr>
            </w:pPr>
            <w:r>
              <w:rPr>
                <w:rFonts w:ascii="Arial" w:cs="Arial" w:eastAsia="Arial" w:hAnsi="Arial"/>
                <w:sz w:val="18"/>
                <w:szCs w:val="18"/>
                <w:color w:val="0000FF"/>
              </w:rPr>
              <w:t>03/17/2017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(1)(2)</w:t>
            </w:r>
          </w:p>
        </w:tc>
        <w:tc>
          <w:tcPr>
            <w:tcW w:w="1120" w:type="dxa"/>
            <w:vAlign w:val="bottom"/>
            <w:gridSpan w:val="2"/>
            <w:vMerge w:val="restart"/>
          </w:tcPr>
          <w:p>
            <w:pPr>
              <w:ind w:left="140"/>
              <w:spacing w:after="0"/>
              <w:rPr>
                <w:sz w:val="20"/>
                <w:szCs w:val="20"/>
                <w:color w:val="auto"/>
              </w:rPr>
            </w:pPr>
            <w:r>
              <w:rPr>
                <w:rFonts w:ascii="Arial" w:cs="Arial" w:eastAsia="Arial" w:hAnsi="Arial"/>
                <w:sz w:val="18"/>
                <w:szCs w:val="18"/>
                <w:color w:val="0000FF"/>
              </w:rPr>
              <w:t>1,463,953</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114"/>
              <w:spacing w:after="0"/>
              <w:rPr>
                <w:sz w:val="20"/>
                <w:szCs w:val="20"/>
                <w:color w:val="auto"/>
              </w:rPr>
            </w:pPr>
            <w:r>
              <w:rPr>
                <w:rFonts w:ascii="Arial" w:cs="Arial" w:eastAsia="Arial" w:hAnsi="Arial"/>
                <w:sz w:val="11"/>
                <w:szCs w:val="11"/>
                <w:color w:val="008000"/>
              </w:rPr>
              <w:t>(1)(2)</w:t>
            </w:r>
          </w:p>
        </w:tc>
        <w:tc>
          <w:tcPr>
            <w:tcW w:w="1260" w:type="dxa"/>
            <w:vAlign w:val="bottom"/>
            <w:gridSpan w:val="2"/>
            <w:vMerge w:val="restart"/>
          </w:tcPr>
          <w:p>
            <w:pPr>
              <w:ind w:left="180"/>
              <w:spacing w:after="0"/>
              <w:rPr>
                <w:sz w:val="20"/>
                <w:szCs w:val="20"/>
                <w:color w:val="auto"/>
              </w:rPr>
            </w:pPr>
            <w:r>
              <w:rPr>
                <w:rFonts w:ascii="Arial" w:cs="Arial" w:eastAsia="Arial" w:hAnsi="Arial"/>
                <w:sz w:val="18"/>
                <w:szCs w:val="18"/>
                <w:color w:val="0000FF"/>
              </w:rPr>
              <w:t>290,147,592</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40" w:type="dxa"/>
            <w:vAlign w:val="bottom"/>
            <w:gridSpan w:val="9"/>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7"/>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4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680" w:type="dxa"/>
            <w:vAlign w:val="bottom"/>
          </w:tcPr>
          <w:p>
            <w:pPr>
              <w:ind w:left="36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4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31"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March 17, 2017, an owner of AAP Class A units exercised Redemption Rights with respect to 1,463,953 AAP Class A units resulting in the cancellation of such AAP Class A units and the distribution of an equal number of PAA Common Units from AAP to the redeeming partner.</w:t>
      </w:r>
    </w:p>
    <w:p>
      <w:pPr>
        <w:spacing w:after="0" w:line="30" w:lineRule="exact"/>
        <w:rPr>
          <w:rFonts w:ascii="Arial" w:cs="Arial" w:eastAsia="Arial" w:hAnsi="Arial"/>
          <w:sz w:val="14"/>
          <w:szCs w:val="14"/>
          <w:color w:val="008000"/>
        </w:rPr>
      </w:pPr>
    </w:p>
    <w:p>
      <w:pPr>
        <w:ind w:left="20" w:right="16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03/20/2017</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2020-01-16T01:22:44Z</dcterms:created>
  <dcterms:modified xsi:type="dcterms:W3CDTF">2020-01-16T01:22:44Z</dcterms:modified>
</cp:coreProperties>
</file>