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424(b)(7)</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333-200596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December 10,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142875</wp:posOffset>
            </wp:positionV>
            <wp:extent cx="2830195" cy="7372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30195" cy="7372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402,447,679 Class A Shares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Representing Limited Partner Interests</w:t>
      </w:r>
    </w:p>
    <w:p>
      <w:pPr>
        <w:spacing w:after="0" w:line="211" w:lineRule="exact"/>
        <w:rPr>
          <w:sz w:val="24"/>
          <w:szCs w:val="24"/>
          <w:color w:val="auto"/>
        </w:rPr>
      </w:pPr>
    </w:p>
    <w:p>
      <w:pPr>
        <w:ind w:right="60" w:firstLine="324"/>
        <w:spacing w:after="0" w:line="257" w:lineRule="auto"/>
        <w:rPr>
          <w:sz w:val="20"/>
          <w:szCs w:val="20"/>
          <w:color w:val="auto"/>
        </w:rPr>
      </w:pPr>
      <w:r>
        <w:rPr>
          <w:rFonts w:ascii="Arial" w:cs="Arial" w:eastAsia="Arial" w:hAnsi="Arial"/>
          <w:sz w:val="18"/>
          <w:szCs w:val="18"/>
          <w:color w:val="auto"/>
        </w:rPr>
        <w:t>This prospectus supplement updates and amends certain information contained in the prospectus dated December 10, 2014, as supplemented by the prospectus supplements dated December 31, 2014, April 1, 2015, July 1, 2015, October 1, 2015, December 22, 2015 and January 4, 2016 (as supplemented, the “Prospectus”), covering the resale by selling shareholders of up to an aggregate of 402,447,679 Class A shares representing limited partner interests in us. This prospectus supplement is not complete without, and may not be utilized except in connection with, the Prospectus, including any additional amendments or supplements thereto.</w:t>
      </w:r>
    </w:p>
    <w:p>
      <w:pPr>
        <w:spacing w:after="0" w:line="175" w:lineRule="exact"/>
        <w:rPr>
          <w:sz w:val="24"/>
          <w:szCs w:val="24"/>
          <w:color w:val="auto"/>
        </w:rPr>
      </w:pPr>
    </w:p>
    <w:p>
      <w:pPr>
        <w:ind w:right="180" w:firstLine="324"/>
        <w:spacing w:after="0" w:line="239" w:lineRule="auto"/>
        <w:rPr>
          <w:sz w:val="20"/>
          <w:szCs w:val="20"/>
          <w:color w:val="auto"/>
        </w:rPr>
      </w:pPr>
      <w:r>
        <w:rPr>
          <w:rFonts w:ascii="Arial" w:cs="Arial" w:eastAsia="Arial" w:hAnsi="Arial"/>
          <w:sz w:val="22"/>
          <w:szCs w:val="22"/>
          <w:b w:val="1"/>
          <w:bCs w:val="1"/>
          <w:color w:val="auto"/>
        </w:rPr>
        <w:t>Limited partnerships are inherently different than corporations, and investing in our Class A shares involves a high degree of risk. You should carefully consider the risks relating to investing in our Class A shares and each of the other risk factors described under “Risk Factors” on page 2 of the prospectus dated December 10, 2014 before you make an investment in our Class A shares.</w:t>
      </w:r>
    </w:p>
    <w:p>
      <w:pPr>
        <w:spacing w:after="0" w:line="190" w:lineRule="exact"/>
        <w:rPr>
          <w:sz w:val="24"/>
          <w:szCs w:val="24"/>
          <w:color w:val="auto"/>
        </w:rPr>
      </w:pPr>
    </w:p>
    <w:p>
      <w:pPr>
        <w:ind w:right="420" w:firstLine="324"/>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 Class A shares or determined if this prospectus supplement is truthful or complete. Any representation to the contrary is a criminal offense.</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February 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4"/>
          <w:szCs w:val="24"/>
          <w:color w:val="auto"/>
        </w:rPr>
      </w:pPr>
    </w:p>
    <w:p>
      <w:pPr>
        <w:ind w:right="700" w:firstLine="324"/>
        <w:spacing w:after="0" w:line="277" w:lineRule="auto"/>
        <w:rPr>
          <w:sz w:val="20"/>
          <w:szCs w:val="20"/>
          <w:color w:val="auto"/>
        </w:rPr>
      </w:pPr>
      <w:r>
        <w:rPr>
          <w:rFonts w:ascii="Arial" w:cs="Arial" w:eastAsia="Arial" w:hAnsi="Arial"/>
          <w:sz w:val="18"/>
          <w:szCs w:val="18"/>
          <w:color w:val="auto"/>
        </w:rPr>
        <w:t>This prospectus supplement is being filed to amend and supplement the information that appears under the caption “Selling Shareholders” in the Prospectus. Capitalized terms that are not defined in this prospectus supplement are defined in the Prospectus.</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4"/>
          <w:szCs w:val="24"/>
          <w:color w:val="auto"/>
        </w:rPr>
      </w:pPr>
    </w:p>
    <w:p>
      <w:pPr>
        <w:ind w:right="140" w:firstLine="324"/>
        <w:spacing w:after="0" w:line="297" w:lineRule="auto"/>
        <w:rPr>
          <w:sz w:val="20"/>
          <w:szCs w:val="20"/>
          <w:color w:val="auto"/>
        </w:rPr>
      </w:pPr>
      <w:r>
        <w:rPr>
          <w:rFonts w:ascii="Arial" w:cs="Arial" w:eastAsia="Arial" w:hAnsi="Arial"/>
          <w:sz w:val="16"/>
          <w:szCs w:val="16"/>
          <w:color w:val="auto"/>
        </w:rPr>
        <w:t>On or about January 29, 2016, (i) KAFU Holdings, L.P. (“KAFU”) exercised the Exchange Right with respect to 1,524,204 of its Class B shares, AAP units and general partner units and then distributed the resulting 1,524,204 Class A shares to certain of the selling shareholders listed below and (ii) KAFU Holdings (QP), L.P. (“KAFU QP”) exercised the Exchange Right with respect to 1,614,226 of its Class B shares, AAP units and general partner units and then distributed the resulting 1,614,226 Class A shares to certain of the selling shareholders listed below. We are amending the Selling Shareholders table in the Prospectus to reflect these transfers and to include or update information with respect to the transferees of such interests.</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Percentage of</w:t>
            </w: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Class A Shares</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Class A Shares</w:t>
            </w:r>
          </w:p>
        </w:tc>
        <w:tc>
          <w:tcPr>
            <w:tcW w:w="1560" w:type="dxa"/>
            <w:vAlign w:val="bottom"/>
            <w:gridSpan w:val="2"/>
            <w:vMerge w:val="continue"/>
          </w:tcPr>
          <w:p>
            <w:pPr>
              <w:spacing w:after="0"/>
              <w:rPr>
                <w:sz w:val="12"/>
                <w:szCs w:val="12"/>
                <w:color w:val="auto"/>
              </w:rPr>
            </w:pPr>
          </w:p>
        </w:tc>
        <w:tc>
          <w:tcPr>
            <w:tcW w:w="1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Class A Shares</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5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Class A Shares</w:t>
            </w:r>
          </w:p>
        </w:tc>
        <w:tc>
          <w:tcPr>
            <w:tcW w:w="1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to be</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to be</w:t>
            </w:r>
          </w:p>
        </w:tc>
        <w:tc>
          <w:tcPr>
            <w:tcW w:w="0" w:type="dxa"/>
            <w:vAlign w:val="bottom"/>
          </w:tcPr>
          <w:p>
            <w:pPr>
              <w:spacing w:after="0"/>
              <w:rPr>
                <w:sz w:val="1"/>
                <w:szCs w:val="1"/>
                <w:color w:val="auto"/>
              </w:rPr>
            </w:pPr>
          </w:p>
        </w:tc>
      </w:tr>
      <w:tr>
        <w:trPr>
          <w:trHeight w:val="149"/>
        </w:trPr>
        <w:tc>
          <w:tcPr>
            <w:tcW w:w="3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82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Class A Shares</w:t>
            </w: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3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9"/>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Selling Shareholders</w:t>
            </w:r>
          </w:p>
        </w:tc>
        <w:tc>
          <w:tcPr>
            <w:tcW w:w="17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Owned Prior to</w:t>
            </w: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Owned Prior to</w:t>
            </w:r>
          </w:p>
        </w:tc>
        <w:tc>
          <w:tcPr>
            <w:tcW w:w="1820" w:type="dxa"/>
            <w:vAlign w:val="bottom"/>
            <w:gridSpan w:val="2"/>
            <w:vMerge w:val="continue"/>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13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Owned After</w:t>
            </w:r>
          </w:p>
        </w:tc>
        <w:tc>
          <w:tcPr>
            <w:tcW w:w="0" w:type="dxa"/>
            <w:vAlign w:val="bottom"/>
          </w:tcPr>
          <w:p>
            <w:pPr>
              <w:spacing w:after="0"/>
              <w:rPr>
                <w:sz w:val="1"/>
                <w:szCs w:val="1"/>
                <w:color w:val="auto"/>
              </w:rPr>
            </w:pPr>
          </w:p>
        </w:tc>
      </w:tr>
      <w:tr>
        <w:trPr>
          <w:trHeight w:val="171"/>
        </w:trPr>
        <w:tc>
          <w:tcPr>
            <w:tcW w:w="3460" w:type="dxa"/>
            <w:vAlign w:val="bottom"/>
            <w:gridSpan w:val="2"/>
            <w:vMerge w:val="continue"/>
          </w:tcPr>
          <w:p>
            <w:pPr>
              <w:spacing w:after="0"/>
              <w:rPr>
                <w:sz w:val="14"/>
                <w:szCs w:val="14"/>
                <w:color w:val="auto"/>
              </w:rPr>
            </w:pPr>
          </w:p>
        </w:tc>
        <w:tc>
          <w:tcPr>
            <w:tcW w:w="17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the Offering</w:t>
            </w: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the Offering</w:t>
            </w:r>
          </w:p>
        </w:tc>
        <w:tc>
          <w:tcPr>
            <w:tcW w:w="18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Offered Hereby</w:t>
            </w: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Offering</w:t>
            </w:r>
          </w:p>
        </w:tc>
        <w:tc>
          <w:tcPr>
            <w:tcW w:w="13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r>
        <w:trPr>
          <w:trHeight w:val="210"/>
        </w:trPr>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KAFU Holdings, L.P.(1)</w:t>
            </w:r>
          </w:p>
        </w:tc>
        <w:tc>
          <w:tcPr>
            <w:tcW w:w="3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4,686,974</w:t>
            </w:r>
          </w:p>
        </w:tc>
        <w:tc>
          <w:tcPr>
            <w:tcW w:w="4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4,686,974</w:t>
            </w:r>
          </w:p>
        </w:tc>
        <w:tc>
          <w:tcPr>
            <w:tcW w:w="4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460" w:type="dxa"/>
            <w:vAlign w:val="bottom"/>
            <w:gridSpan w:val="2"/>
          </w:tcPr>
          <w:p>
            <w:pPr>
              <w:spacing w:after="0" w:line="201" w:lineRule="exact"/>
              <w:rPr>
                <w:sz w:val="20"/>
                <w:szCs w:val="20"/>
                <w:color w:val="auto"/>
              </w:rPr>
            </w:pPr>
            <w:r>
              <w:rPr>
                <w:rFonts w:ascii="Arial" w:cs="Arial" w:eastAsia="Arial" w:hAnsi="Arial"/>
                <w:sz w:val="18"/>
                <w:szCs w:val="18"/>
                <w:color w:val="auto"/>
              </w:rPr>
              <w:t>Buena Vista Three Investment</w:t>
            </w: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ind w:left="180"/>
              <w:spacing w:after="0"/>
              <w:rPr>
                <w:sz w:val="20"/>
                <w:szCs w:val="20"/>
                <w:color w:val="auto"/>
              </w:rPr>
            </w:pPr>
            <w:r>
              <w:rPr>
                <w:rFonts w:ascii="Arial" w:cs="Arial" w:eastAsia="Arial" w:hAnsi="Arial"/>
                <w:sz w:val="18"/>
                <w:szCs w:val="18"/>
                <w:color w:val="auto"/>
              </w:rPr>
              <w:t>Corporation(2)</w:t>
            </w:r>
          </w:p>
        </w:tc>
        <w:tc>
          <w:tcPr>
            <w:tcW w:w="1700" w:type="dxa"/>
            <w:vAlign w:val="bottom"/>
            <w:gridSpan w:val="2"/>
          </w:tcPr>
          <w:p>
            <w:pPr>
              <w:jc w:val="right"/>
              <w:ind w:right="240"/>
              <w:spacing w:after="0"/>
              <w:rPr>
                <w:sz w:val="20"/>
                <w:szCs w:val="20"/>
                <w:color w:val="auto"/>
              </w:rPr>
            </w:pPr>
            <w:r>
              <w:rPr>
                <w:rFonts w:ascii="Arial" w:cs="Arial" w:eastAsia="Arial" w:hAnsi="Arial"/>
                <w:sz w:val="18"/>
                <w:szCs w:val="18"/>
                <w:color w:val="auto"/>
              </w:rPr>
              <w:t>1,263,033(3)</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240"/>
              <w:spacing w:after="0"/>
              <w:rPr>
                <w:sz w:val="20"/>
                <w:szCs w:val="20"/>
                <w:color w:val="auto"/>
              </w:rPr>
            </w:pPr>
            <w:r>
              <w:rPr>
                <w:rFonts w:ascii="Arial" w:cs="Arial" w:eastAsia="Arial" w:hAnsi="Arial"/>
                <w:sz w:val="18"/>
                <w:szCs w:val="18"/>
                <w:color w:val="auto"/>
              </w:rPr>
              <w:t>1,247,316(3)</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15,717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Lakeside Enterprises, L.P.(4)</w:t>
            </w:r>
          </w:p>
        </w:tc>
        <w:tc>
          <w:tcPr>
            <w:tcW w:w="17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249,463</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249,463</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60" w:type="dxa"/>
            <w:vAlign w:val="bottom"/>
            <w:gridSpan w:val="2"/>
          </w:tcPr>
          <w:p>
            <w:pPr>
              <w:spacing w:after="0" w:line="201" w:lineRule="exact"/>
              <w:rPr>
                <w:sz w:val="20"/>
                <w:szCs w:val="20"/>
                <w:color w:val="auto"/>
              </w:rPr>
            </w:pPr>
            <w:r>
              <w:rPr>
                <w:rFonts w:ascii="Arial" w:cs="Arial" w:eastAsia="Arial" w:hAnsi="Arial"/>
                <w:sz w:val="18"/>
                <w:szCs w:val="18"/>
                <w:color w:val="auto"/>
              </w:rPr>
              <w:t>William Scott Robertson &amp; Karen Toskos</w:t>
            </w: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ind w:left="180"/>
              <w:spacing w:after="0"/>
              <w:rPr>
                <w:sz w:val="20"/>
                <w:szCs w:val="20"/>
                <w:color w:val="auto"/>
              </w:rPr>
            </w:pPr>
            <w:r>
              <w:rPr>
                <w:rFonts w:ascii="Arial" w:cs="Arial" w:eastAsia="Arial" w:hAnsi="Arial"/>
                <w:sz w:val="18"/>
                <w:szCs w:val="18"/>
                <w:color w:val="auto"/>
              </w:rPr>
              <w:t>Robertson JTWROS</w:t>
            </w:r>
          </w:p>
        </w:tc>
        <w:tc>
          <w:tcPr>
            <w:tcW w:w="1700" w:type="dxa"/>
            <w:vAlign w:val="bottom"/>
            <w:gridSpan w:val="2"/>
          </w:tcPr>
          <w:p>
            <w:pPr>
              <w:jc w:val="right"/>
              <w:ind w:right="460"/>
              <w:spacing w:after="0"/>
              <w:rPr>
                <w:sz w:val="20"/>
                <w:szCs w:val="20"/>
                <w:color w:val="auto"/>
              </w:rPr>
            </w:pPr>
            <w:r>
              <w:rPr>
                <w:rFonts w:ascii="Arial" w:cs="Arial" w:eastAsia="Arial" w:hAnsi="Arial"/>
                <w:sz w:val="18"/>
                <w:szCs w:val="18"/>
                <w:color w:val="auto"/>
              </w:rPr>
              <w:t>19,386</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440"/>
              <w:spacing w:after="0"/>
              <w:rPr>
                <w:sz w:val="20"/>
                <w:szCs w:val="20"/>
                <w:color w:val="auto"/>
              </w:rPr>
            </w:pPr>
            <w:r>
              <w:rPr>
                <w:rFonts w:ascii="Arial" w:cs="Arial" w:eastAsia="Arial" w:hAnsi="Arial"/>
                <w:sz w:val="18"/>
                <w:szCs w:val="18"/>
                <w:color w:val="auto"/>
              </w:rPr>
              <w:t>19,386</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Katharine Hall</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10,299(5)</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6,031(5)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4,268</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David Martin Hall</w:t>
            </w:r>
          </w:p>
        </w:tc>
        <w:tc>
          <w:tcPr>
            <w:tcW w:w="1700" w:type="dxa"/>
            <w:vAlign w:val="bottom"/>
            <w:gridSpan w:val="2"/>
          </w:tcPr>
          <w:p>
            <w:pPr>
              <w:jc w:val="right"/>
              <w:ind w:right="460"/>
              <w:spacing w:after="0"/>
              <w:rPr>
                <w:sz w:val="20"/>
                <w:szCs w:val="20"/>
                <w:color w:val="auto"/>
              </w:rPr>
            </w:pPr>
            <w:r>
              <w:rPr>
                <w:rFonts w:ascii="Arial" w:cs="Arial" w:eastAsia="Arial" w:hAnsi="Arial"/>
                <w:sz w:val="18"/>
                <w:szCs w:val="18"/>
                <w:color w:val="auto"/>
              </w:rPr>
              <w:t>2,008</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440"/>
              <w:spacing w:after="0"/>
              <w:rPr>
                <w:sz w:val="20"/>
                <w:szCs w:val="20"/>
                <w:color w:val="auto"/>
              </w:rPr>
            </w:pPr>
            <w:r>
              <w:rPr>
                <w:rFonts w:ascii="Arial" w:cs="Arial" w:eastAsia="Arial" w:hAnsi="Arial"/>
                <w:sz w:val="18"/>
                <w:szCs w:val="18"/>
                <w:color w:val="auto"/>
              </w:rPr>
              <w:t>2,008</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KAFU Holdings (QP), L.P.(6)</w:t>
            </w:r>
          </w:p>
        </w:tc>
        <w:tc>
          <w:tcPr>
            <w:tcW w:w="17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83,621,611</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13.5%</w:t>
            </w:r>
          </w:p>
        </w:tc>
        <w:tc>
          <w:tcPr>
            <w:tcW w:w="1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83,621,611</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460" w:type="dxa"/>
            <w:vAlign w:val="bottom"/>
            <w:gridSpan w:val="2"/>
          </w:tcPr>
          <w:p>
            <w:pPr>
              <w:spacing w:after="0" w:line="201" w:lineRule="exact"/>
              <w:rPr>
                <w:sz w:val="20"/>
                <w:szCs w:val="20"/>
                <w:color w:val="auto"/>
              </w:rPr>
            </w:pPr>
            <w:r>
              <w:rPr>
                <w:rFonts w:ascii="Arial" w:cs="Arial" w:eastAsia="Arial" w:hAnsi="Arial"/>
                <w:sz w:val="18"/>
                <w:szCs w:val="18"/>
                <w:color w:val="auto"/>
              </w:rPr>
              <w:t>Dan Sandel Trust dtd 2/8/89 Dan S.</w:t>
            </w:r>
          </w:p>
        </w:tc>
        <w:tc>
          <w:tcPr>
            <w:tcW w:w="1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gridSpan w:val="2"/>
          </w:tcPr>
          <w:p>
            <w:pPr>
              <w:ind w:left="180"/>
              <w:spacing w:after="0"/>
              <w:rPr>
                <w:sz w:val="20"/>
                <w:szCs w:val="20"/>
                <w:color w:val="auto"/>
              </w:rPr>
            </w:pPr>
            <w:r>
              <w:rPr>
                <w:rFonts w:ascii="Arial" w:cs="Arial" w:eastAsia="Arial" w:hAnsi="Arial"/>
                <w:sz w:val="18"/>
                <w:szCs w:val="18"/>
                <w:color w:val="auto"/>
              </w:rPr>
              <w:t>Sandel, TTEE(7)</w:t>
            </w:r>
          </w:p>
        </w:tc>
        <w:tc>
          <w:tcPr>
            <w:tcW w:w="1700" w:type="dxa"/>
            <w:vAlign w:val="bottom"/>
            <w:gridSpan w:val="2"/>
          </w:tcPr>
          <w:p>
            <w:pPr>
              <w:jc w:val="right"/>
              <w:ind w:right="460"/>
              <w:spacing w:after="0"/>
              <w:rPr>
                <w:sz w:val="20"/>
                <w:szCs w:val="20"/>
                <w:color w:val="auto"/>
              </w:rPr>
            </w:pPr>
            <w:r>
              <w:rPr>
                <w:rFonts w:ascii="Arial" w:cs="Arial" w:eastAsia="Arial" w:hAnsi="Arial"/>
                <w:sz w:val="18"/>
                <w:szCs w:val="18"/>
                <w:color w:val="auto"/>
              </w:rPr>
              <w:t>587,239</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440"/>
              <w:spacing w:after="0"/>
              <w:rPr>
                <w:sz w:val="20"/>
                <w:szCs w:val="20"/>
                <w:color w:val="auto"/>
              </w:rPr>
            </w:pPr>
            <w:r>
              <w:rPr>
                <w:rFonts w:ascii="Arial" w:cs="Arial" w:eastAsia="Arial" w:hAnsi="Arial"/>
                <w:sz w:val="18"/>
                <w:szCs w:val="18"/>
                <w:color w:val="auto"/>
              </w:rPr>
              <w:t>587,239</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Shladovsky</w:t>
            </w:r>
          </w:p>
        </w:tc>
        <w:tc>
          <w:tcPr>
            <w:tcW w:w="1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371,015(8)</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366,515(8)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John C. Frey &amp; Kristi V. Frey JTWROS</w:t>
            </w:r>
          </w:p>
        </w:tc>
        <w:tc>
          <w:tcPr>
            <w:tcW w:w="1700" w:type="dxa"/>
            <w:vAlign w:val="bottom"/>
            <w:gridSpan w:val="2"/>
          </w:tcPr>
          <w:p>
            <w:pPr>
              <w:jc w:val="right"/>
              <w:ind w:right="460"/>
              <w:spacing w:after="0"/>
              <w:rPr>
                <w:sz w:val="20"/>
                <w:szCs w:val="20"/>
                <w:color w:val="auto"/>
              </w:rPr>
            </w:pPr>
            <w:r>
              <w:rPr>
                <w:rFonts w:ascii="Arial" w:cs="Arial" w:eastAsia="Arial" w:hAnsi="Arial"/>
                <w:sz w:val="18"/>
                <w:szCs w:val="18"/>
                <w:color w:val="auto"/>
              </w:rPr>
              <w:t>285,494</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440"/>
              <w:spacing w:after="0"/>
              <w:rPr>
                <w:sz w:val="20"/>
                <w:szCs w:val="20"/>
                <w:color w:val="auto"/>
              </w:rPr>
            </w:pPr>
            <w:r>
              <w:rPr>
                <w:rFonts w:ascii="Arial" w:cs="Arial" w:eastAsia="Arial" w:hAnsi="Arial"/>
                <w:sz w:val="18"/>
                <w:szCs w:val="18"/>
                <w:color w:val="auto"/>
              </w:rPr>
              <w:t>285,494</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Stephen N. Smith</w:t>
            </w:r>
          </w:p>
        </w:tc>
        <w:tc>
          <w:tcPr>
            <w:tcW w:w="17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123,998</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123,998</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Terrence Jerome Quinn</w:t>
            </w:r>
          </w:p>
        </w:tc>
        <w:tc>
          <w:tcPr>
            <w:tcW w:w="1700" w:type="dxa"/>
            <w:vAlign w:val="bottom"/>
            <w:gridSpan w:val="2"/>
          </w:tcPr>
          <w:p>
            <w:pPr>
              <w:jc w:val="right"/>
              <w:ind w:right="460"/>
              <w:spacing w:after="0"/>
              <w:rPr>
                <w:sz w:val="20"/>
                <w:szCs w:val="20"/>
                <w:color w:val="auto"/>
              </w:rPr>
            </w:pPr>
            <w:r>
              <w:rPr>
                <w:rFonts w:ascii="Arial" w:cs="Arial" w:eastAsia="Arial" w:hAnsi="Arial"/>
                <w:sz w:val="18"/>
                <w:szCs w:val="18"/>
                <w:color w:val="auto"/>
              </w:rPr>
              <w:t>105,868</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440"/>
              <w:spacing w:after="0"/>
              <w:rPr>
                <w:sz w:val="20"/>
                <w:szCs w:val="20"/>
                <w:color w:val="auto"/>
              </w:rPr>
            </w:pPr>
            <w:r>
              <w:rPr>
                <w:rFonts w:ascii="Arial" w:cs="Arial" w:eastAsia="Arial" w:hAnsi="Arial"/>
                <w:sz w:val="18"/>
                <w:szCs w:val="18"/>
                <w:color w:val="auto"/>
              </w:rPr>
              <w:t>105,868</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Marilynn Moscrip Garcia</w:t>
            </w:r>
          </w:p>
        </w:tc>
        <w:tc>
          <w:tcPr>
            <w:tcW w:w="17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54,645</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54,645</w:t>
            </w:r>
          </w:p>
        </w:tc>
        <w:tc>
          <w:tcPr>
            <w:tcW w:w="1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Paul Blank</w:t>
            </w:r>
          </w:p>
        </w:tc>
        <w:tc>
          <w:tcPr>
            <w:tcW w:w="1700" w:type="dxa"/>
            <w:vAlign w:val="bottom"/>
            <w:gridSpan w:val="2"/>
          </w:tcPr>
          <w:p>
            <w:pPr>
              <w:jc w:val="right"/>
              <w:ind w:right="460"/>
              <w:spacing w:after="0"/>
              <w:rPr>
                <w:sz w:val="20"/>
                <w:szCs w:val="20"/>
                <w:color w:val="auto"/>
              </w:rPr>
            </w:pPr>
            <w:r>
              <w:rPr>
                <w:rFonts w:ascii="Arial" w:cs="Arial" w:eastAsia="Arial" w:hAnsi="Arial"/>
                <w:sz w:val="18"/>
                <w:szCs w:val="18"/>
                <w:color w:val="auto"/>
              </w:rPr>
              <w:t>25,628</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440"/>
              <w:spacing w:after="0"/>
              <w:rPr>
                <w:sz w:val="20"/>
                <w:szCs w:val="20"/>
                <w:color w:val="auto"/>
              </w:rPr>
            </w:pPr>
            <w:r>
              <w:rPr>
                <w:rFonts w:ascii="Arial" w:cs="Arial" w:eastAsia="Arial" w:hAnsi="Arial"/>
                <w:sz w:val="18"/>
                <w:szCs w:val="18"/>
                <w:color w:val="auto"/>
              </w:rPr>
              <w:t>25,628</w:t>
            </w:r>
          </w:p>
        </w:tc>
        <w:tc>
          <w:tcPr>
            <w:tcW w:w="1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Ara G. Ghazarian and Linda Day</w:t>
            </w: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28,181(10)</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25,019(10)</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w:t>
            </w:r>
          </w:p>
        </w:tc>
        <w:tc>
          <w:tcPr>
            <w:tcW w:w="2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83"/>
        </w:trPr>
        <w:tc>
          <w:tcPr>
            <w:tcW w:w="31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38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24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45"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Ghazarian, Trustees of the Ghazarian</w:t>
            </w:r>
          </w:p>
        </w:tc>
        <w:tc>
          <w:tcPr>
            <w:tcW w:w="14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Living Trust u/t/d May 9, 2013(9)</w:t>
            </w:r>
          </w:p>
        </w:tc>
        <w:tc>
          <w:tcPr>
            <w:tcW w:w="146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3680" w:type="dxa"/>
            <w:vAlign w:val="bottom"/>
          </w:tcPr>
          <w:p>
            <w:pPr>
              <w:spacing w:after="0" w:line="201" w:lineRule="exact"/>
              <w:rPr>
                <w:sz w:val="20"/>
                <w:szCs w:val="20"/>
                <w:color w:val="auto"/>
              </w:rPr>
            </w:pPr>
            <w:r>
              <w:rPr>
                <w:rFonts w:ascii="Arial" w:cs="Arial" w:eastAsia="Arial" w:hAnsi="Arial"/>
                <w:sz w:val="18"/>
                <w:szCs w:val="18"/>
                <w:color w:val="auto"/>
              </w:rPr>
              <w:t>Paul Stapleton and Noot Stapleton, TTEES</w:t>
            </w:r>
          </w:p>
        </w:tc>
        <w:tc>
          <w:tcPr>
            <w:tcW w:w="14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3680" w:type="dxa"/>
            <w:vAlign w:val="bottom"/>
          </w:tcPr>
          <w:p>
            <w:pPr>
              <w:ind w:left="180"/>
              <w:spacing w:after="0"/>
              <w:rPr>
                <w:sz w:val="20"/>
                <w:szCs w:val="20"/>
                <w:color w:val="auto"/>
              </w:rPr>
            </w:pPr>
            <w:r>
              <w:rPr>
                <w:rFonts w:ascii="Arial" w:cs="Arial" w:eastAsia="Arial" w:hAnsi="Arial"/>
                <w:sz w:val="18"/>
                <w:szCs w:val="18"/>
                <w:color w:val="auto"/>
              </w:rPr>
              <w:t>Stapleton Family 2010 Trust dtd</w:t>
            </w:r>
          </w:p>
        </w:tc>
        <w:tc>
          <w:tcPr>
            <w:tcW w:w="14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680" w:type="dxa"/>
            <w:vAlign w:val="bottom"/>
          </w:tcPr>
          <w:p>
            <w:pPr>
              <w:ind w:left="180"/>
              <w:spacing w:after="0"/>
              <w:rPr>
                <w:sz w:val="20"/>
                <w:szCs w:val="20"/>
                <w:color w:val="auto"/>
              </w:rPr>
            </w:pPr>
            <w:r>
              <w:rPr>
                <w:rFonts w:ascii="Arial" w:cs="Arial" w:eastAsia="Arial" w:hAnsi="Arial"/>
                <w:sz w:val="18"/>
                <w:szCs w:val="18"/>
                <w:color w:val="auto"/>
              </w:rPr>
              <w:t>5/1/2010(11)</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14,750</w:t>
            </w:r>
          </w:p>
        </w:tc>
        <w:tc>
          <w:tcPr>
            <w:tcW w:w="18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670"/>
              <w:spacing w:after="0"/>
              <w:rPr>
                <w:sz w:val="20"/>
                <w:szCs w:val="20"/>
                <w:color w:val="auto"/>
              </w:rPr>
            </w:pPr>
            <w:r>
              <w:rPr>
                <w:rFonts w:ascii="Arial" w:cs="Arial" w:eastAsia="Arial" w:hAnsi="Arial"/>
                <w:sz w:val="18"/>
                <w:szCs w:val="18"/>
                <w:color w:val="auto"/>
              </w:rPr>
              <w:t>14,750</w:t>
            </w:r>
          </w:p>
        </w:tc>
        <w:tc>
          <w:tcPr>
            <w:tcW w:w="1600" w:type="dxa"/>
            <w:vAlign w:val="bottom"/>
          </w:tcPr>
          <w:p>
            <w:pPr>
              <w:ind w:left="740"/>
              <w:spacing w:after="0"/>
              <w:rPr>
                <w:sz w:val="20"/>
                <w:szCs w:val="20"/>
                <w:color w:val="auto"/>
              </w:rPr>
            </w:pPr>
            <w:r>
              <w:rPr>
                <w:rFonts w:ascii="Arial" w:cs="Arial" w:eastAsia="Arial" w:hAnsi="Arial"/>
                <w:sz w:val="18"/>
                <w:szCs w:val="18"/>
                <w:color w:val="auto"/>
              </w:rPr>
              <w:t>—</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Woody Creek Investment LP(12)</w:t>
            </w:r>
          </w:p>
        </w:tc>
        <w:tc>
          <w:tcPr>
            <w:tcW w:w="14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13,095</w:t>
            </w:r>
          </w:p>
        </w:tc>
        <w:tc>
          <w:tcPr>
            <w:tcW w:w="18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13,095</w:t>
            </w:r>
          </w:p>
        </w:tc>
        <w:tc>
          <w:tcPr>
            <w:tcW w:w="16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02"/>
        </w:trPr>
        <w:tc>
          <w:tcPr>
            <w:tcW w:w="3680" w:type="dxa"/>
            <w:vAlign w:val="bottom"/>
          </w:tcPr>
          <w:p>
            <w:pPr>
              <w:spacing w:after="0" w:line="201" w:lineRule="exact"/>
              <w:rPr>
                <w:sz w:val="20"/>
                <w:szCs w:val="20"/>
                <w:color w:val="auto"/>
              </w:rPr>
            </w:pPr>
            <w:r>
              <w:rPr>
                <w:rFonts w:ascii="Arial" w:cs="Arial" w:eastAsia="Arial" w:hAnsi="Arial"/>
                <w:sz w:val="18"/>
                <w:szCs w:val="18"/>
                <w:color w:val="auto"/>
              </w:rPr>
              <w:t>Stifel Nicolaus Custodian for Karen T.</w:t>
            </w:r>
          </w:p>
        </w:tc>
        <w:tc>
          <w:tcPr>
            <w:tcW w:w="14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3680" w:type="dxa"/>
            <w:vAlign w:val="bottom"/>
          </w:tcPr>
          <w:p>
            <w:pPr>
              <w:ind w:left="180"/>
              <w:spacing w:after="0"/>
              <w:rPr>
                <w:sz w:val="20"/>
                <w:szCs w:val="20"/>
                <w:color w:val="auto"/>
              </w:rPr>
            </w:pPr>
            <w:r>
              <w:rPr>
                <w:rFonts w:ascii="Arial" w:cs="Arial" w:eastAsia="Arial" w:hAnsi="Arial"/>
                <w:sz w:val="18"/>
                <w:szCs w:val="18"/>
                <w:color w:val="auto"/>
              </w:rPr>
              <w:t>Robertson IRA</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3,609</w:t>
            </w:r>
          </w:p>
        </w:tc>
        <w:tc>
          <w:tcPr>
            <w:tcW w:w="18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670"/>
              <w:spacing w:after="0"/>
              <w:rPr>
                <w:sz w:val="20"/>
                <w:szCs w:val="20"/>
                <w:color w:val="auto"/>
              </w:rPr>
            </w:pPr>
            <w:r>
              <w:rPr>
                <w:rFonts w:ascii="Arial" w:cs="Arial" w:eastAsia="Arial" w:hAnsi="Arial"/>
                <w:sz w:val="18"/>
                <w:szCs w:val="18"/>
                <w:color w:val="auto"/>
              </w:rPr>
              <w:t>3,609</w:t>
            </w:r>
          </w:p>
        </w:tc>
        <w:tc>
          <w:tcPr>
            <w:tcW w:w="1600" w:type="dxa"/>
            <w:vAlign w:val="bottom"/>
          </w:tcPr>
          <w:p>
            <w:pPr>
              <w:ind w:left="740"/>
              <w:spacing w:after="0"/>
              <w:rPr>
                <w:sz w:val="20"/>
                <w:szCs w:val="20"/>
                <w:color w:val="auto"/>
              </w:rPr>
            </w:pPr>
            <w:r>
              <w:rPr>
                <w:rFonts w:ascii="Arial" w:cs="Arial" w:eastAsia="Arial" w:hAnsi="Arial"/>
                <w:sz w:val="18"/>
                <w:szCs w:val="18"/>
                <w:color w:val="auto"/>
              </w:rPr>
              <w:t>—</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02"/>
        </w:trPr>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Pensco Trust Company FBO Asha Garfield</w:t>
            </w:r>
          </w:p>
        </w:tc>
        <w:tc>
          <w:tcPr>
            <w:tcW w:w="14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IRA R/O</w:t>
            </w:r>
          </w:p>
        </w:tc>
        <w:tc>
          <w:tcPr>
            <w:tcW w:w="14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2,495</w:t>
            </w:r>
          </w:p>
        </w:tc>
        <w:tc>
          <w:tcPr>
            <w:tcW w:w="18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2,495</w:t>
            </w:r>
          </w:p>
        </w:tc>
        <w:tc>
          <w:tcPr>
            <w:tcW w:w="16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02"/>
        </w:trPr>
        <w:tc>
          <w:tcPr>
            <w:tcW w:w="3680" w:type="dxa"/>
            <w:vAlign w:val="bottom"/>
          </w:tcPr>
          <w:p>
            <w:pPr>
              <w:spacing w:after="0" w:line="201" w:lineRule="exact"/>
              <w:rPr>
                <w:sz w:val="20"/>
                <w:szCs w:val="20"/>
                <w:color w:val="auto"/>
              </w:rPr>
            </w:pPr>
            <w:r>
              <w:rPr>
                <w:rFonts w:ascii="Arial" w:cs="Arial" w:eastAsia="Arial" w:hAnsi="Arial"/>
                <w:sz w:val="18"/>
                <w:szCs w:val="18"/>
                <w:color w:val="auto"/>
              </w:rPr>
              <w:t>Harry H. Hallowell &amp; Lynne M. Hallowell</w:t>
            </w:r>
          </w:p>
        </w:tc>
        <w:tc>
          <w:tcPr>
            <w:tcW w:w="14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3680" w:type="dxa"/>
            <w:vAlign w:val="bottom"/>
          </w:tcPr>
          <w:p>
            <w:pPr>
              <w:ind w:left="180"/>
              <w:spacing w:after="0"/>
              <w:rPr>
                <w:sz w:val="20"/>
                <w:szCs w:val="20"/>
                <w:color w:val="auto"/>
              </w:rPr>
            </w:pPr>
            <w:r>
              <w:rPr>
                <w:rFonts w:ascii="Arial" w:cs="Arial" w:eastAsia="Arial" w:hAnsi="Arial"/>
                <w:sz w:val="18"/>
                <w:szCs w:val="18"/>
                <w:color w:val="auto"/>
              </w:rPr>
              <w:t>- JTWROS</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2,357</w:t>
            </w:r>
          </w:p>
        </w:tc>
        <w:tc>
          <w:tcPr>
            <w:tcW w:w="18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670"/>
              <w:spacing w:after="0"/>
              <w:rPr>
                <w:sz w:val="20"/>
                <w:szCs w:val="20"/>
                <w:color w:val="auto"/>
              </w:rPr>
            </w:pPr>
            <w:r>
              <w:rPr>
                <w:rFonts w:ascii="Arial" w:cs="Arial" w:eastAsia="Arial" w:hAnsi="Arial"/>
                <w:sz w:val="18"/>
                <w:szCs w:val="18"/>
                <w:color w:val="auto"/>
              </w:rPr>
              <w:t>2,357</w:t>
            </w:r>
          </w:p>
        </w:tc>
        <w:tc>
          <w:tcPr>
            <w:tcW w:w="1600" w:type="dxa"/>
            <w:vAlign w:val="bottom"/>
          </w:tcPr>
          <w:p>
            <w:pPr>
              <w:ind w:left="740"/>
              <w:spacing w:after="0"/>
              <w:rPr>
                <w:sz w:val="20"/>
                <w:szCs w:val="20"/>
                <w:color w:val="auto"/>
              </w:rPr>
            </w:pPr>
            <w:r>
              <w:rPr>
                <w:rFonts w:ascii="Arial" w:cs="Arial" w:eastAsia="Arial" w:hAnsi="Arial"/>
                <w:sz w:val="18"/>
                <w:szCs w:val="18"/>
                <w:color w:val="auto"/>
              </w:rPr>
              <w:t>—</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02"/>
        </w:trPr>
        <w:tc>
          <w:tcPr>
            <w:tcW w:w="3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Stifel Nicolaus Custodian for W. Scott</w:t>
            </w:r>
          </w:p>
        </w:tc>
        <w:tc>
          <w:tcPr>
            <w:tcW w:w="146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3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Robertson IRA</w:t>
            </w:r>
          </w:p>
        </w:tc>
        <w:tc>
          <w:tcPr>
            <w:tcW w:w="14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2,120</w:t>
            </w:r>
          </w:p>
        </w:tc>
        <w:tc>
          <w:tcPr>
            <w:tcW w:w="188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2,120</w:t>
            </w:r>
          </w:p>
        </w:tc>
        <w:tc>
          <w:tcPr>
            <w:tcW w:w="16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230"/>
        </w:trPr>
        <w:tc>
          <w:tcPr>
            <w:tcW w:w="3680" w:type="dxa"/>
            <w:vAlign w:val="bottom"/>
          </w:tcPr>
          <w:p>
            <w:pPr>
              <w:spacing w:after="0"/>
              <w:rPr>
                <w:sz w:val="20"/>
                <w:szCs w:val="20"/>
                <w:color w:val="auto"/>
              </w:rPr>
            </w:pPr>
            <w:r>
              <w:rPr>
                <w:rFonts w:ascii="Arial" w:cs="Arial" w:eastAsia="Arial" w:hAnsi="Arial"/>
                <w:sz w:val="18"/>
                <w:szCs w:val="18"/>
                <w:color w:val="auto"/>
              </w:rPr>
              <w:t>David Andre Verbance, Jr.(13)</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1,394</w:t>
            </w:r>
          </w:p>
        </w:tc>
        <w:tc>
          <w:tcPr>
            <w:tcW w:w="18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670"/>
              <w:spacing w:after="0"/>
              <w:rPr>
                <w:sz w:val="20"/>
                <w:szCs w:val="20"/>
                <w:color w:val="auto"/>
              </w:rPr>
            </w:pPr>
            <w:r>
              <w:rPr>
                <w:rFonts w:ascii="Arial" w:cs="Arial" w:eastAsia="Arial" w:hAnsi="Arial"/>
                <w:sz w:val="18"/>
                <w:szCs w:val="18"/>
                <w:color w:val="auto"/>
              </w:rPr>
              <w:t>1,394</w:t>
            </w:r>
          </w:p>
        </w:tc>
        <w:tc>
          <w:tcPr>
            <w:tcW w:w="1600" w:type="dxa"/>
            <w:vAlign w:val="bottom"/>
          </w:tcPr>
          <w:p>
            <w:pPr>
              <w:ind w:left="740"/>
              <w:spacing w:after="0"/>
              <w:rPr>
                <w:sz w:val="20"/>
                <w:szCs w:val="20"/>
                <w:color w:val="auto"/>
              </w:rPr>
            </w:pPr>
            <w:r>
              <w:rPr>
                <w:rFonts w:ascii="Arial" w:cs="Arial" w:eastAsia="Arial" w:hAnsi="Arial"/>
                <w:sz w:val="18"/>
                <w:szCs w:val="18"/>
                <w:color w:val="auto"/>
              </w:rPr>
              <w:t>—</w:t>
            </w:r>
          </w:p>
        </w:tc>
        <w:tc>
          <w:tcPr>
            <w:tcW w:w="960" w:type="dxa"/>
            <w:vAlign w:val="bottom"/>
          </w:tcPr>
          <w:p>
            <w:pPr>
              <w:ind w:left="6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r>
        <w:trPr>
          <w:trHeight w:val="418"/>
        </w:trPr>
        <w:tc>
          <w:tcPr>
            <w:tcW w:w="36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80" w:type="dxa"/>
            <w:vAlign w:val="bottom"/>
          </w:tcPr>
          <w:p>
            <w:pPr>
              <w:jc w:val="right"/>
              <w:ind w:right="1090"/>
              <w:spacing w:after="0"/>
              <w:rPr>
                <w:sz w:val="20"/>
                <w:szCs w:val="20"/>
                <w:color w:val="auto"/>
              </w:rPr>
            </w:pPr>
            <w:r>
              <w:rPr>
                <w:rFonts w:ascii="Arial" w:cs="Arial" w:eastAsia="Arial" w:hAnsi="Arial"/>
                <w:sz w:val="18"/>
                <w:szCs w:val="18"/>
                <w:color w:val="auto"/>
              </w:rPr>
              <w:t>S-2</w:t>
            </w:r>
          </w:p>
        </w:tc>
        <w:tc>
          <w:tcPr>
            <w:tcW w:w="18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8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1880" w:type="dxa"/>
            <w:vAlign w:val="bottom"/>
            <w:tcBorders>
              <w:bottom w:val="single" w:sz="8" w:color="808080"/>
            </w:tcBorders>
          </w:tcPr>
          <w:p>
            <w:pPr>
              <w:spacing w:after="0"/>
              <w:rPr>
                <w:sz w:val="11"/>
                <w:szCs w:val="11"/>
                <w:color w:val="auto"/>
              </w:rPr>
            </w:pPr>
          </w:p>
        </w:tc>
        <w:tc>
          <w:tcPr>
            <w:tcW w:w="1840" w:type="dxa"/>
            <w:vAlign w:val="bottom"/>
            <w:tcBorders>
              <w:bottom w:val="single" w:sz="8" w:color="808080"/>
            </w:tcBorders>
          </w:tcPr>
          <w:p>
            <w:pPr>
              <w:spacing w:after="0"/>
              <w:rPr>
                <w:sz w:val="11"/>
                <w:szCs w:val="11"/>
                <w:color w:val="auto"/>
              </w:rPr>
            </w:pPr>
          </w:p>
        </w:tc>
        <w:tc>
          <w:tcPr>
            <w:tcW w:w="160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426720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80" w:right="240" w:hanging="572"/>
        <w:spacing w:after="0" w:line="265" w:lineRule="auto"/>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Representatives of the selling shareholder have advised us that the selling shareholder is an affiliate of a U.S. registered broker-dealer; however, the selling shareholder acquired the Class A shares in the ordinary course of business and, at the time of the acquisition, had no agreements or understandings, directly or indirectly, with any party to distribute the Class A shares held by the selling shareholder.</w:t>
      </w:r>
    </w:p>
    <w:p>
      <w:pPr>
        <w:ind w:left="580" w:right="160"/>
        <w:spacing w:after="0" w:line="281" w:lineRule="auto"/>
        <w:rPr>
          <w:rFonts w:ascii="Arial" w:cs="Arial" w:eastAsia="Arial" w:hAnsi="Arial"/>
          <w:sz w:val="17"/>
          <w:szCs w:val="17"/>
          <w:color w:val="auto"/>
        </w:rPr>
      </w:pPr>
      <w:r>
        <w:rPr>
          <w:rFonts w:ascii="Arial" w:cs="Arial" w:eastAsia="Arial" w:hAnsi="Arial"/>
          <w:sz w:val="16"/>
          <w:szCs w:val="16"/>
          <w:color w:val="auto"/>
        </w:rPr>
        <w:t>Kayne Anderson Capital Advisors, L.P. (“KACALP”) serves as the manager of the selling shareholder. Richard A. Kayne is the controlling owner of KACALP, and Robert Sinnott is the portfolio manager of the selling shareholder. Therefore each of Messrs. Kayne and Sinnott may be deemed to exercise shared voting and dispositive power over the Class A shares held by the selling shareholder. Each of Messrs. Kayne and Sinnott disclaims beneficial ownership of any of our Class A shares held by the selling shareholder except to the extent of his pecuniary interest therein.</w:t>
      </w:r>
    </w:p>
    <w:p>
      <w:pPr>
        <w:spacing w:after="0" w:line="2" w:lineRule="exact"/>
        <w:rPr>
          <w:rFonts w:ascii="Arial" w:cs="Arial" w:eastAsia="Arial" w:hAnsi="Arial"/>
          <w:sz w:val="17"/>
          <w:szCs w:val="17"/>
          <w:color w:val="auto"/>
        </w:rPr>
      </w:pPr>
    </w:p>
    <w:p>
      <w:pPr>
        <w:ind w:left="580" w:right="40" w:hanging="572"/>
        <w:spacing w:after="0" w:line="250"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Kenneth H. Iscol, President of the selling shareholder, exercises sole voting and dispositive power over the Class A shares held by the selling shareholder. Mr. Iscol disclaims beneficial ownership of any of our Class A shares held by the selling shareholder except to the extent of his pecuniary interest therein.</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selling shareholder received 1,247,316 Class A shares in the transfer from KAFU; 15,717 Class A shares were previously owned.</w:t>
      </w:r>
    </w:p>
    <w:p>
      <w:pPr>
        <w:spacing w:after="0" w:line="9" w:lineRule="exact"/>
        <w:rPr>
          <w:rFonts w:ascii="Arial" w:cs="Arial" w:eastAsia="Arial" w:hAnsi="Arial"/>
          <w:sz w:val="18"/>
          <w:szCs w:val="18"/>
          <w:color w:val="auto"/>
        </w:rPr>
      </w:pPr>
    </w:p>
    <w:p>
      <w:pPr>
        <w:ind w:left="580" w:right="340" w:hanging="572"/>
        <w:spacing w:after="0" w:line="250"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Jill Tate Higgins, general partner of the selling shareholder, exercises sole voting and dispositive power over the Class A shares held by the selling shareholder. Ms. Higgins disclaims beneficial ownership of any of our Class A shares held by the selling shareholder except to the extent of her pecuniary interest therein.</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selling shareholder received 6,031 Class A shares in the transfer from KAFU; 4,268 Class A shares were previously owned.</w:t>
      </w:r>
    </w:p>
    <w:p>
      <w:pPr>
        <w:spacing w:after="0" w:line="9" w:lineRule="exact"/>
        <w:rPr>
          <w:rFonts w:ascii="Arial" w:cs="Arial" w:eastAsia="Arial" w:hAnsi="Arial"/>
          <w:sz w:val="18"/>
          <w:szCs w:val="18"/>
          <w:color w:val="auto"/>
        </w:rPr>
      </w:pPr>
    </w:p>
    <w:p>
      <w:pPr>
        <w:ind w:left="580" w:right="240" w:hanging="572"/>
        <w:spacing w:after="0" w:line="265" w:lineRule="auto"/>
        <w:tabs>
          <w:tab w:leader="none" w:pos="580" w:val="left"/>
        </w:tabs>
        <w:numPr>
          <w:ilvl w:val="0"/>
          <w:numId w:val="2"/>
        </w:numPr>
        <w:rPr>
          <w:rFonts w:ascii="Arial" w:cs="Arial" w:eastAsia="Arial" w:hAnsi="Arial"/>
          <w:sz w:val="17"/>
          <w:szCs w:val="17"/>
          <w:color w:val="auto"/>
        </w:rPr>
      </w:pPr>
      <w:r>
        <w:rPr>
          <w:rFonts w:ascii="Arial" w:cs="Arial" w:eastAsia="Arial" w:hAnsi="Arial"/>
          <w:sz w:val="17"/>
          <w:szCs w:val="17"/>
          <w:color w:val="auto"/>
        </w:rPr>
        <w:t>Representatives of the selling shareholder have advised us that the selling shareholder is an affiliate of a U.S. registered broker-dealer; however, the selling shareholder acquired the Class A shares in the ordinary course of business and, at the time of the acquisition, had no agreements or understandings, directly or indirectly, with any party to distribute the Class A shares held by the selling shareholder.</w:t>
      </w:r>
    </w:p>
    <w:p>
      <w:pPr>
        <w:ind w:left="580" w:right="80"/>
        <w:spacing w:after="0" w:line="281" w:lineRule="auto"/>
        <w:rPr>
          <w:rFonts w:ascii="Arial" w:cs="Arial" w:eastAsia="Arial" w:hAnsi="Arial"/>
          <w:sz w:val="17"/>
          <w:szCs w:val="17"/>
          <w:color w:val="auto"/>
        </w:rPr>
      </w:pPr>
      <w:r>
        <w:rPr>
          <w:rFonts w:ascii="Arial" w:cs="Arial" w:eastAsia="Arial" w:hAnsi="Arial"/>
          <w:sz w:val="16"/>
          <w:szCs w:val="16"/>
          <w:color w:val="auto"/>
        </w:rPr>
        <w:t>Each of Robert Sinnott, portfolio manager of the selling shareholder, and Richard Kayne, controlling owner of the manager of the selling shareholder, KACALP, exercises sole voting and dispositive power over the Class A shares held by the selling shareholder. Each of the foregoing individuals disclaims beneficial ownership of any of our Class A shares held by the selling shareholder except to the extent of his pecuniary interest therein.</w:t>
      </w:r>
    </w:p>
    <w:p>
      <w:pPr>
        <w:spacing w:after="0" w:line="2" w:lineRule="exact"/>
        <w:rPr>
          <w:rFonts w:ascii="Arial" w:cs="Arial" w:eastAsia="Arial" w:hAnsi="Arial"/>
          <w:sz w:val="17"/>
          <w:szCs w:val="17"/>
          <w:color w:val="auto"/>
        </w:rPr>
      </w:pPr>
    </w:p>
    <w:p>
      <w:pPr>
        <w:ind w:left="580" w:right="240" w:hanging="572"/>
        <w:spacing w:after="0" w:line="250"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Dan Sandel, trustee of the selling shareholder, exercise sole voting and dispositive power over the Class A shares held by the selling shareholder. Mr. Sandel disclaims beneficial ownership of any of our Class A shares held by the selling shareholder except to the extent of his pecuniary interest therein.</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selling shareholder received 366,515 Class A shares in the transfer from KAFU QP; 4,500 Class A shares were previously owned.</w:t>
      </w:r>
    </w:p>
    <w:p>
      <w:pPr>
        <w:spacing w:after="0" w:line="9" w:lineRule="exact"/>
        <w:rPr>
          <w:rFonts w:ascii="Arial" w:cs="Arial" w:eastAsia="Arial" w:hAnsi="Arial"/>
          <w:sz w:val="18"/>
          <w:szCs w:val="18"/>
          <w:color w:val="auto"/>
        </w:rPr>
      </w:pPr>
    </w:p>
    <w:p>
      <w:pPr>
        <w:ind w:left="580" w:right="320" w:hanging="572"/>
        <w:spacing w:after="0" w:line="250"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Ara G. Ghazarian and Linda Day Ghazarian, trustees of the selling shareholder, exercise sole voting and dispositive power over the Class A shares held by the selling shareholder. Each of the foregoing individuals disclaims beneficial ownership of any of our Class A shares held by the selling shareholder except to the extent of his or her pecuniary interest therein.</w:t>
      </w:r>
    </w:p>
    <w:p>
      <w:pPr>
        <w:spacing w:after="0" w:line="1" w:lineRule="exact"/>
        <w:rPr>
          <w:rFonts w:ascii="Arial" w:cs="Arial" w:eastAsia="Arial" w:hAnsi="Arial"/>
          <w:sz w:val="18"/>
          <w:szCs w:val="18"/>
          <w:color w:val="auto"/>
        </w:rPr>
      </w:pPr>
    </w:p>
    <w:p>
      <w:pPr>
        <w:ind w:left="580" w:hanging="572"/>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selling shareholder received 25,019 Class A shares in the transfer from KAFU QP; 3,162 Class A shares were previously owned.</w:t>
      </w:r>
    </w:p>
    <w:p>
      <w:pPr>
        <w:spacing w:after="0" w:line="9" w:lineRule="exact"/>
        <w:rPr>
          <w:rFonts w:ascii="Arial" w:cs="Arial" w:eastAsia="Arial" w:hAnsi="Arial"/>
          <w:sz w:val="18"/>
          <w:szCs w:val="18"/>
          <w:color w:val="auto"/>
        </w:rPr>
      </w:pPr>
    </w:p>
    <w:p>
      <w:pPr>
        <w:ind w:left="580" w:right="180" w:hanging="572"/>
        <w:spacing w:after="0" w:line="250"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Paul Stapleton and Noot Stapleton, trustees of the selling shareholder, exercise sole voting and dispositive power over the Class A shares held by the selling shareholder. Each of the foregoing individuals disclaims beneficial ownership of any of our Class A shares held by the selling shareholder except to the extent of his or her pecuniary interest therein.</w:t>
      </w:r>
    </w:p>
    <w:p>
      <w:pPr>
        <w:spacing w:after="0" w:line="1" w:lineRule="exact"/>
        <w:rPr>
          <w:rFonts w:ascii="Arial" w:cs="Arial" w:eastAsia="Arial" w:hAnsi="Arial"/>
          <w:sz w:val="18"/>
          <w:szCs w:val="18"/>
          <w:color w:val="auto"/>
        </w:rPr>
      </w:pPr>
    </w:p>
    <w:p>
      <w:pPr>
        <w:ind w:left="580" w:right="520" w:hanging="572"/>
        <w:spacing w:after="0" w:line="250"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Jennifer Crossett, manager of the selling shareholder, exercises sole voting and dispositive power over the Class A shares held by the selling shareholder. Ms. Crossett disclaims beneficial ownership of any of our Class A shares held by the selling shareholder except to the extent of her pecuniary interest therein.</w:t>
      </w:r>
    </w:p>
    <w:p>
      <w:pPr>
        <w:spacing w:after="0" w:line="1" w:lineRule="exact"/>
        <w:rPr>
          <w:rFonts w:ascii="Arial" w:cs="Arial" w:eastAsia="Arial" w:hAnsi="Arial"/>
          <w:sz w:val="18"/>
          <w:szCs w:val="18"/>
          <w:color w:val="auto"/>
        </w:rPr>
      </w:pPr>
    </w:p>
    <w:p>
      <w:pPr>
        <w:ind w:left="580" w:right="40" w:hanging="572"/>
        <w:spacing w:after="0" w:line="255" w:lineRule="auto"/>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selling shareholder has advised us that he is an affiliate of a U.S. registered broker-dealer; however, the selling shareholder acquired the Class A shares in the ordinary course of business and, at the time of the acquisition, had no agreements or understandings, directly or indirectly, with any party to distribute the Class A shares held by the selling shareholder.</w:t>
      </w:r>
    </w:p>
    <w:p>
      <w:pPr>
        <w:spacing w:after="0" w:line="19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60"/>
      </w:cols>
      <w:pgMar w:left="240" w:top="134"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2020-01-19T11:40:53Z</dcterms:created>
  <dcterms:modified xsi:type="dcterms:W3CDTF">2020-01-19T11:40:53Z</dcterms:modified>
</cp:coreProperties>
</file>