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October 5, 2021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Plains All American Pipeline, L.P.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83" w:right="339" w:bottom="1440" w:gutter="0" w:footer="0" w:header="0"/>
        </w:sectPr>
      </w:pPr>
    </w:p>
    <w:p>
      <w:pPr>
        <w:spacing w:after="0" w:line="205"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280" w:space="720"/>
            <w:col w:w="2460"/>
          </w:cols>
          <w:pgMar w:left="320" w:top="783" w:right="339" w:bottom="1440" w:gutter="0" w:footer="0" w:header="0"/>
          <w:type w:val="continuous"/>
        </w:sectPr>
      </w:pPr>
    </w:p>
    <w:p>
      <w:pPr>
        <w:spacing w:after="0" w:line="7"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83"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right="440" w:firstLine="648"/>
        <w:spacing w:after="0" w:line="291" w:lineRule="auto"/>
        <w:rPr>
          <w:sz w:val="20"/>
          <w:szCs w:val="20"/>
          <w:color w:val="auto"/>
        </w:rPr>
      </w:pPr>
      <w:r>
        <w:rPr>
          <w:rFonts w:ascii="Arial" w:cs="Arial" w:eastAsia="Arial" w:hAnsi="Arial"/>
          <w:sz w:val="16"/>
          <w:szCs w:val="16"/>
          <w:color w:val="auto"/>
        </w:rPr>
        <w:t>On October 5, 2021, pursuant to the terms of an Agreement and Plan of Merger dated as of July 12, 2021 (the “Merger Agreement”) between subsidiaries of Plains All American Pipeline, L.P. (“PAA” or the “Registrant”), a wholly-owned subsidiary of Plains GP Holdings, L.P. (“PAGP”), and</w:t>
      </w:r>
    </w:p>
    <w:p>
      <w:pPr>
        <w:ind w:right="240"/>
        <w:spacing w:after="0" w:line="227" w:lineRule="auto"/>
        <w:rPr>
          <w:sz w:val="20"/>
          <w:szCs w:val="20"/>
          <w:color w:val="auto"/>
        </w:rPr>
      </w:pPr>
      <w:r>
        <w:rPr>
          <w:rFonts w:ascii="Arial" w:cs="Arial" w:eastAsia="Arial" w:hAnsi="Arial"/>
          <w:sz w:val="18"/>
          <w:szCs w:val="18"/>
          <w:color w:val="auto"/>
        </w:rPr>
        <w:t>Oryx Midstream Holdings LLC (together with certain affiliates, “Oryx”), a portfolio company of Stonepeak Infrastructure Partners (“Stonepeak”)</w:t>
      </w:r>
      <w:r>
        <w:rPr>
          <w:rFonts w:ascii="Arial" w:cs="Arial" w:eastAsia="Arial" w:hAnsi="Arial"/>
          <w:sz w:val="29"/>
          <w:szCs w:val="29"/>
          <w:color w:val="auto"/>
          <w:vertAlign w:val="superscript"/>
        </w:rPr>
        <w:t>1</w:t>
      </w:r>
      <w:r>
        <w:rPr>
          <w:rFonts w:ascii="Arial" w:cs="Arial" w:eastAsia="Arial" w:hAnsi="Arial"/>
          <w:sz w:val="18"/>
          <w:szCs w:val="18"/>
          <w:color w:val="auto"/>
        </w:rPr>
        <w:t>, PAA and Oryx completed the merger, in a cashless transaction, of their respective Permian Basin assets, operations and commercial activities into a newly formed strategic joint venture, Plains Oryx Permian Basin LLC (the “Joint Venture”). The Joint Venture is owned 65% by PAA and 35% by Oryx; PAA will serve as operator of the Joint Venture.</w:t>
      </w:r>
    </w:p>
    <w:p>
      <w:pPr>
        <w:spacing w:after="0" w:line="203"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Joint Venture includes all of Oryx’s Permian Basin assets and, with the exception of PAA’s long-haul pipeline systems and certain of its intra-basin terminal assets, the vast majority of PAA’s assets located within the Permian Basin. Specifically, the Oryx assets comprising a part of the Joint Venture include approximately 1,600 miles of pipeline and related operational storage capacity, in addition to long-term acreage dedication and marketing agreements covering approximately 1.3 million acres. The PAA assets comprising a part of the Joint Venture include approximately 3,900 miles of pipeline and related operational storage capacity, long-term acreage dedication and marketing agreements covering approximately 2.8 million acres, and supply and facilities dedications. On a combined basis, the Joint Venture assets will include approximately 5,500 miles of pipeline representing approximately 6.8 million barrels per day of pipeline system multi-segment capacity, approximately 4.1 million dedicated system acres, including supply and facilities dedications, and direct downstream connections to all major intra-basin and downstream markets.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formation of the Joint Venture, PAA and Oryx executed an LLC agreement, the key terms of which are as follows:</w:t>
      </w:r>
    </w:p>
    <w:p>
      <w:pPr>
        <w:spacing w:after="0" w:line="225" w:lineRule="exact"/>
        <w:rPr>
          <w:sz w:val="20"/>
          <w:szCs w:val="20"/>
          <w:color w:val="auto"/>
        </w:rPr>
      </w:pPr>
    </w:p>
    <w:p>
      <w:pPr>
        <w:ind w:left="1960" w:right="60" w:hanging="332"/>
        <w:spacing w:after="0" w:line="275" w:lineRule="auto"/>
        <w:tabs>
          <w:tab w:leader="none" w:pos="196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Ownership and Governance</w:t>
      </w:r>
      <w:r>
        <w:rPr>
          <w:rFonts w:ascii="Arial" w:cs="Arial" w:eastAsia="Arial" w:hAnsi="Arial"/>
          <w:sz w:val="17"/>
          <w:szCs w:val="17"/>
          <w:color w:val="auto"/>
        </w:rPr>
        <w:t>. Subject to the tiered modified sharing arrangement described below, the Joint Venture is owned 65% by PAA and 35% by Oryx. The Joint Venture is managed by a five-member Board including three PAA representatives and two Oryx representatives. PAA serves as operator of the Joint Venture, and a joint operating committee that includes representatives from PAA and Oryx will provide oversight on material Joint Venture operating and commercial decisions. The Joint Venture will be consolidated into PAA’s financial statements.</w:t>
      </w:r>
    </w:p>
    <w:p>
      <w:pPr>
        <w:spacing w:after="0" w:line="176" w:lineRule="exact"/>
        <w:rPr>
          <w:rFonts w:ascii="Arial" w:cs="Arial" w:eastAsia="Arial" w:hAnsi="Arial"/>
          <w:sz w:val="17"/>
          <w:szCs w:val="17"/>
          <w:color w:val="auto"/>
        </w:rPr>
      </w:pPr>
    </w:p>
    <w:p>
      <w:pPr>
        <w:ind w:left="1960" w:right="200" w:hanging="332"/>
        <w:spacing w:after="0" w:line="263"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Quarterly distributions of available cash (cash on hand at end of quarter less reserves) from the Joint Venture to PAA and Oryx are subject to a tiered modified sharing arrangement (“MSA”) for up to 10 years. Under the MSA, distributions will be allocated as follows:</w:t>
      </w:r>
    </w:p>
    <w:p>
      <w:pPr>
        <w:spacing w:after="0" w:line="180"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Tier</w:t>
            </w:r>
          </w:p>
        </w:tc>
        <w:tc>
          <w:tcPr>
            <w:tcW w:w="260" w:type="dxa"/>
            <w:vAlign w:val="bottom"/>
            <w:vMerge w:val="restart"/>
          </w:tcPr>
          <w:p>
            <w:pPr>
              <w:spacing w:after="0"/>
              <w:rPr>
                <w:sz w:val="20"/>
                <w:szCs w:val="20"/>
                <w:color w:val="auto"/>
              </w:rPr>
            </w:pPr>
          </w:p>
        </w:tc>
        <w:tc>
          <w:tcPr>
            <w:tcW w:w="5440" w:type="dxa"/>
            <w:vAlign w:val="bottom"/>
            <w:vMerge w:val="restart"/>
          </w:tcPr>
          <w:p>
            <w:pPr>
              <w:ind w:left="1620"/>
              <w:spacing w:after="0"/>
              <w:rPr>
                <w:sz w:val="20"/>
                <w:szCs w:val="20"/>
                <w:color w:val="auto"/>
              </w:rPr>
            </w:pPr>
            <w:r>
              <w:rPr>
                <w:rFonts w:ascii="Arial" w:cs="Arial" w:eastAsia="Arial" w:hAnsi="Arial"/>
                <w:sz w:val="18"/>
                <w:szCs w:val="18"/>
                <w:b w:val="1"/>
                <w:bCs w:val="1"/>
                <w:color w:val="auto"/>
              </w:rPr>
              <w:t>Available Cash (Annualized)</w:t>
            </w:r>
          </w:p>
        </w:tc>
        <w:tc>
          <w:tcPr>
            <w:tcW w:w="180" w:type="dxa"/>
            <w:vAlign w:val="bottom"/>
            <w:vMerge w:val="restart"/>
          </w:tcPr>
          <w:p>
            <w:pPr>
              <w:spacing w:after="0"/>
              <w:rPr>
                <w:sz w:val="20"/>
                <w:szCs w:val="20"/>
                <w:color w:val="auto"/>
              </w:rPr>
            </w:pPr>
          </w:p>
        </w:tc>
        <w:tc>
          <w:tcPr>
            <w:tcW w:w="252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9"/>
              </w:rPr>
              <w:t>Distribution Percentages</w:t>
            </w:r>
          </w:p>
        </w:tc>
        <w:tc>
          <w:tcPr>
            <w:tcW w:w="0" w:type="dxa"/>
            <w:vAlign w:val="bottom"/>
          </w:tcPr>
          <w:p>
            <w:pPr>
              <w:spacing w:after="0"/>
              <w:rPr>
                <w:sz w:val="1"/>
                <w:szCs w:val="1"/>
                <w:color w:val="auto"/>
              </w:rPr>
            </w:pPr>
          </w:p>
        </w:tc>
      </w:tr>
      <w:tr>
        <w:trPr>
          <w:trHeight w:val="210"/>
        </w:trPr>
        <w:tc>
          <w:tcPr>
            <w:tcW w:w="9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CCEEFF"/>
            </w:tcBorders>
            <w:vMerge w:val="continue"/>
          </w:tcPr>
          <w:p>
            <w:pPr>
              <w:spacing w:after="0"/>
              <w:rPr>
                <w:sz w:val="18"/>
                <w:szCs w:val="18"/>
                <w:color w:val="auto"/>
              </w:rPr>
            </w:pPr>
          </w:p>
        </w:tc>
        <w:tc>
          <w:tcPr>
            <w:tcW w:w="54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0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PAA</w:t>
            </w:r>
          </w:p>
        </w:tc>
        <w:tc>
          <w:tcPr>
            <w:tcW w:w="34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Oryx</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6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Up to $300mm</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8"/>
                <w:szCs w:val="18"/>
                <w:color w:val="auto"/>
              </w:rPr>
            </w:pPr>
          </w:p>
        </w:tc>
        <w:tc>
          <w:tcPr>
            <w:tcW w:w="56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$300mm - $428mm</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6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$428mm - $815mm</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20"/>
                <w:szCs w:val="20"/>
                <w:color w:val="auto"/>
              </w:rPr>
            </w:pPr>
          </w:p>
        </w:tc>
        <w:tc>
          <w:tcPr>
            <w:tcW w:w="56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$815mm and above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Upon termination of the MSA, quarterly distributions of available cash will be paid 65% to PAA and 35% to Oryx.</w:t>
      </w:r>
    </w:p>
    <w:p>
      <w:pPr>
        <w:spacing w:after="0" w:line="225" w:lineRule="exact"/>
        <w:rPr>
          <w:sz w:val="20"/>
          <w:szCs w:val="20"/>
          <w:color w:val="auto"/>
        </w:rPr>
      </w:pPr>
    </w:p>
    <w:p>
      <w:pPr>
        <w:ind w:left="1960" w:right="80" w:hanging="332"/>
        <w:spacing w:after="0" w:line="263"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Area of Mutual Interest</w:t>
      </w:r>
      <w:r>
        <w:rPr>
          <w:rFonts w:ascii="Arial" w:cs="Arial" w:eastAsia="Arial" w:hAnsi="Arial"/>
          <w:sz w:val="18"/>
          <w:szCs w:val="18"/>
          <w:color w:val="auto"/>
        </w:rPr>
        <w:t>. Joint Venture members and their affiliates (other than Stonepeak and its non-Oryx portfolio companies) will be restricted from developing, acquiring or owning any assets related to gathering and marketing crude oil and condensate in the Permian Basin, subject to certain exceptions.</w:t>
      </w:r>
    </w:p>
    <w:p>
      <w:pPr>
        <w:spacing w:after="0" w:line="183" w:lineRule="exact"/>
        <w:rPr>
          <w:rFonts w:ascii="Arial" w:cs="Arial" w:eastAsia="Arial" w:hAnsi="Arial"/>
          <w:sz w:val="18"/>
          <w:szCs w:val="18"/>
          <w:color w:val="auto"/>
        </w:rPr>
      </w:pPr>
    </w:p>
    <w:p>
      <w:pPr>
        <w:ind w:left="1960" w:right="320" w:hanging="332"/>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Future Downstream Projects</w:t>
      </w:r>
      <w:r>
        <w:rPr>
          <w:rFonts w:ascii="Arial" w:cs="Arial" w:eastAsia="Arial" w:hAnsi="Arial"/>
          <w:sz w:val="18"/>
          <w:szCs w:val="18"/>
          <w:color w:val="auto"/>
        </w:rPr>
        <w:t>. For a period of seven years after closing, the Joint Venture will have certain limited investment rights with respect to material downstream projects pursued by either member.</w:t>
      </w:r>
    </w:p>
    <w:p>
      <w:pPr>
        <w:spacing w:after="0" w:line="170" w:lineRule="exact"/>
        <w:rPr>
          <w:rFonts w:ascii="Arial" w:cs="Arial" w:eastAsia="Arial" w:hAnsi="Arial"/>
          <w:sz w:val="18"/>
          <w:szCs w:val="18"/>
          <w:color w:val="auto"/>
        </w:rPr>
      </w:pPr>
    </w:p>
    <w:p>
      <w:pPr>
        <w:ind w:left="1960" w:right="100" w:hanging="332"/>
        <w:spacing w:after="0" w:line="296"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Transfer of Interests and Related Provisions</w:t>
      </w:r>
      <w:r>
        <w:rPr>
          <w:rFonts w:ascii="Arial" w:cs="Arial" w:eastAsia="Arial" w:hAnsi="Arial"/>
          <w:sz w:val="16"/>
          <w:szCs w:val="16"/>
          <w:color w:val="auto"/>
        </w:rPr>
        <w:t>. In general, each Joint Venture member will be free to transfer all, but not less than all, of its respective interest in the Joint Venture; however, under certain circumstances and subject to certain limitations, (1) if Oryx desires to transfer its interest, is subject to a permitted foreclosure by certain lenders or is anticipated to be the subject of a change of control, PAA will have the right to make an offer and negotiate to acquire Oryx’s interest, and (2) if PAA desires to transfer its interest or undergoes a change of control, Oryx will have certain tag-along rights.</w:t>
      </w:r>
    </w:p>
    <w:p>
      <w:pPr>
        <w:spacing w:after="0" w:line="161" w:lineRule="exact"/>
        <w:rPr>
          <w:sz w:val="20"/>
          <w:szCs w:val="20"/>
          <w:color w:val="auto"/>
        </w:rPr>
      </w:pPr>
    </w:p>
    <w:p>
      <w:pPr>
        <w:ind w:right="320" w:firstLine="583"/>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The foregoing description of the Merger Agreement and LLC Agreement is qualified in its entirety by reference to such Merger Agreement and Exhibit C-1 thereto, copies of which are incorporated herein by reference to </w:t>
      </w:r>
      <w:hyperlink r:id="rId13">
        <w:r>
          <w:rPr>
            <w:rFonts w:ascii="Arial" w:cs="Arial" w:eastAsia="Arial" w:hAnsi="Arial"/>
            <w:sz w:val="16"/>
            <w:szCs w:val="16"/>
            <w:u w:val="single" w:color="auto"/>
            <w:color w:val="0000EE"/>
          </w:rPr>
          <w:t>Exhibit 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PAA’s Current Report on Form 8-K filed on July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9" w:lineRule="exact"/>
        <w:rPr>
          <w:sz w:val="20"/>
          <w:szCs w:val="20"/>
          <w:color w:val="auto"/>
        </w:rPr>
      </w:pPr>
    </w:p>
    <w:p>
      <w:pPr>
        <w:ind w:right="420" w:firstLine="8"/>
        <w:spacing w:after="0" w:line="207" w:lineRule="auto"/>
        <w:tabs>
          <w:tab w:leader="none" w:pos="112"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Affiliates of Stonepeak own approximately 8.9% of PAA’s outstanding Series A Preferred Units, which equates to less than 1% of PAA’s outstanding common units and common unit equivalents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31" w:right="319" w:bottom="1440" w:gutter="0" w:footer="0" w:header="0"/>
        </w:sectPr>
      </w:pPr>
    </w:p>
    <w:bookmarkStart w:id="2" w:name="page3"/>
    <w:bookmarkEnd w:id="2"/>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October 5, 2021, PAA and PAGP issued a press release announcing closing of the transaction described under Item 2.01 above. A copy of the press release is furnished as Exhibit 99.1 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of Business Acquired.</w:t>
      </w:r>
    </w:p>
    <w:p>
      <w:pPr>
        <w:spacing w:after="0" w:line="229" w:lineRule="exact"/>
        <w:rPr>
          <w:rFonts w:ascii="Arial" w:cs="Arial" w:eastAsia="Arial" w:hAnsi="Arial"/>
          <w:sz w:val="18"/>
          <w:szCs w:val="18"/>
          <w:b w:val="1"/>
          <w:bCs w:val="1"/>
          <w:color w:val="auto"/>
        </w:rPr>
      </w:pPr>
    </w:p>
    <w:p>
      <w:pPr>
        <w:ind w:left="98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Financial statements of the acquired business are not included in this Form 8-K report. Such financial statements will be filed within 71 calendar days after the date of filing of this Form 8-K report.</w:t>
      </w:r>
    </w:p>
    <w:p>
      <w:pPr>
        <w:spacing w:after="0" w:line="166" w:lineRule="exact"/>
        <w:rPr>
          <w:rFonts w:ascii="Arial" w:cs="Arial" w:eastAsia="Arial" w:hAnsi="Arial"/>
          <w:sz w:val="18"/>
          <w:szCs w:val="18"/>
          <w:b w:val="1"/>
          <w:bCs w:val="1"/>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Financial Information.</w:t>
      </w:r>
    </w:p>
    <w:p>
      <w:pPr>
        <w:spacing w:after="0" w:line="229"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 forma financial information relative to the acquired business is not included in this Form 8-K report. Such pro forma financial information will be filed within 71 calendar days after the date of filing of this Form 8-K report.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p>
      <w:pPr>
        <w:ind w:left="1100"/>
        <w:spacing w:after="0"/>
        <w:tabs>
          <w:tab w:leader="none" w:pos="208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-127635</wp:posOffset>
            </wp:positionV>
            <wp:extent cx="6412230" cy="127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6412230" cy="1276985"/>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Arial" w:cs="Arial" w:eastAsia="Arial" w:hAnsi="Arial"/>
          <w:sz w:val="18"/>
          <w:szCs w:val="18"/>
          <w:b w:val="1"/>
          <w:bCs w:val="1"/>
          <w:u w:val="single" w:color="auto"/>
          <w:color w:val="auto"/>
        </w:rPr>
        <w:t>Number</w:t>
      </w:r>
    </w:p>
    <w:p>
      <w:pPr>
        <w:spacing w:after="0" w:line="9" w:lineRule="exact"/>
        <w:rPr>
          <w:sz w:val="20"/>
          <w:szCs w:val="20"/>
          <w:color w:val="auto"/>
        </w:rPr>
      </w:pPr>
    </w:p>
    <w:p>
      <w:pPr>
        <w:ind w:left="2100" w:right="240" w:hanging="660"/>
        <w:spacing w:after="0" w:line="253" w:lineRule="auto"/>
        <w:tabs>
          <w:tab w:leader="none" w:pos="2080" w:val="left"/>
        </w:tabs>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2.1</w:t>
        </w:r>
      </w:hyperlink>
      <w:r>
        <w:rPr>
          <w:rFonts w:ascii="Arial" w:cs="Arial" w:eastAsia="Arial" w:hAnsi="Arial"/>
          <w:sz w:val="18"/>
          <w:szCs w:val="18"/>
          <w:u w:val="single" w:color="auto"/>
          <w:color w:val="0000EE"/>
        </w:rPr>
        <w:tab/>
      </w:r>
      <w:hyperlink r:id="rId13">
        <w:r>
          <w:rPr>
            <w:rFonts w:ascii="Arial" w:cs="Arial" w:eastAsia="Arial" w:hAnsi="Arial"/>
            <w:sz w:val="18"/>
            <w:szCs w:val="18"/>
            <w:u w:val="single" w:color="auto"/>
            <w:color w:val="0000EE"/>
          </w:rPr>
          <w:t>Agreement and Plan of Merger dated as of July 12, 2021 by and among Plains Pipeline, L.P., Plains Marketing, L.P., Oryx</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Midstream Holdings LLC, Middle Cadence Holdings LLC, POP HoldCo LLC, Oryx Wink Oil Marketing LLC, Oryx</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Permian Oil Marketing LLC, Plains Oryx Permian Basin LLC, Plains Oryx Permian Basin Marketing LLC and Plains Oryx</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Permian Basin Pipeline LLC (incorporated by reference to Exhibit 2.1 to PAA’s Current Report on Form 8-K filed on July</w:t>
        </w:r>
      </w:hyperlink>
      <w:r>
        <w:rPr>
          <w:rFonts w:ascii="Arial" w:cs="Arial" w:eastAsia="Arial" w:hAnsi="Arial"/>
          <w:sz w:val="18"/>
          <w:szCs w:val="18"/>
          <w:u w:val="single" w:color="auto"/>
          <w:color w:val="0000EE"/>
        </w:rPr>
        <w:t xml:space="preserve"> </w:t>
      </w:r>
      <w:hyperlink r:id="rId13">
        <w:r>
          <w:rPr>
            <w:rFonts w:ascii="Arial" w:cs="Arial" w:eastAsia="Arial" w:hAnsi="Arial"/>
            <w:sz w:val="18"/>
            <w:szCs w:val="18"/>
            <w:u w:val="single" w:color="auto"/>
            <w:color w:val="0000EE"/>
          </w:rPr>
          <w:t>13, 2021).</w:t>
        </w:r>
      </w:hyperlink>
    </w:p>
    <w:p>
      <w:pPr>
        <w:spacing w:after="0" w:line="3" w:lineRule="exact"/>
        <w:rPr>
          <w:rFonts w:ascii="Arial" w:cs="Arial" w:eastAsia="Arial" w:hAnsi="Arial"/>
          <w:sz w:val="18"/>
          <w:szCs w:val="18"/>
          <w:u w:val="single" w:color="auto"/>
          <w:color w:val="0000EE"/>
        </w:rPr>
      </w:pPr>
    </w:p>
    <w:p>
      <w:pPr>
        <w:ind w:left="1380"/>
        <w:spacing w:after="0"/>
        <w:tabs>
          <w:tab w:leader="none" w:pos="208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October 5, 2021.</w:t>
        </w:r>
      </w:hyperlink>
    </w:p>
    <w:p>
      <w:pPr>
        <w:spacing w:after="0" w:line="23" w:lineRule="exact"/>
        <w:rPr>
          <w:sz w:val="20"/>
          <w:szCs w:val="20"/>
          <w:color w:val="auto"/>
        </w:rPr>
      </w:pPr>
    </w:p>
    <w:p>
      <w:pPr>
        <w:ind w:left="1400"/>
        <w:spacing w:after="0"/>
        <w:tabs>
          <w:tab w:leader="none" w:pos="2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20" w:val="left"/>
          <w:tab w:leader="none" w:pos="6080" w:val="left"/>
        </w:tabs>
        <w:rPr>
          <w:sz w:val="20"/>
          <w:szCs w:val="20"/>
          <w:color w:val="auto"/>
        </w:rPr>
      </w:pPr>
      <w:r>
        <w:rPr>
          <w:rFonts w:ascii="Arial" w:cs="Arial" w:eastAsia="Arial" w:hAnsi="Arial"/>
          <w:sz w:val="18"/>
          <w:szCs w:val="18"/>
          <w:color w:val="auto"/>
        </w:rPr>
        <w:t>Date: October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Richard McGee</w:t>
      </w:r>
    </w:p>
    <w:p>
      <w:pPr>
        <w:spacing w:after="0" w:line="23"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165100</wp:posOffset>
            </wp:positionV>
            <wp:extent cx="4337685" cy="883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433768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All American and Oryx Midstream Complete Formation of Permian Basin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Venture</w:t>
      </w:r>
    </w:p>
    <w:p>
      <w:pPr>
        <w:spacing w:after="0" w:line="288"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HOUSTON &amp; MIDLAND, TX </w:t>
      </w:r>
      <w:r>
        <w:rPr>
          <w:rFonts w:ascii="Arial" w:cs="Arial" w:eastAsia="Arial" w:hAnsi="Arial"/>
          <w:sz w:val="17"/>
          <w:szCs w:val="17"/>
          <w:color w:val="auto"/>
        </w:rPr>
        <w:t>– October 5, 2021 – Plains All American (Nasdaq:</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PAA</w:t>
      </w:r>
      <w:r>
        <w:rPr>
          <w:rFonts w:ascii="Arial" w:cs="Arial" w:eastAsia="Arial" w:hAnsi="Arial"/>
          <w:sz w:val="17"/>
          <w:szCs w:val="17"/>
          <w:b w:val="1"/>
          <w:bCs w:val="1"/>
          <w:color w:val="auto"/>
        </w:rPr>
        <w:t xml:space="preserve"> </w:t>
      </w:r>
      <w:r>
        <w:rPr>
          <w:rFonts w:ascii="Arial" w:cs="Arial" w:eastAsia="Arial" w:hAnsi="Arial"/>
          <w:sz w:val="17"/>
          <w:szCs w:val="17"/>
          <w:color w:val="auto"/>
        </w:rPr>
        <w:t>&amp;</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PAGP</w:t>
      </w:r>
      <w:r>
        <w:rPr>
          <w:rFonts w:ascii="Arial" w:cs="Arial" w:eastAsia="Arial" w:hAnsi="Arial"/>
          <w:sz w:val="17"/>
          <w:szCs w:val="17"/>
          <w:color w:val="auto"/>
        </w:rPr>
        <w:t>) (“Plains”) and Oryx Midstream Holdings LLC</w:t>
      </w:r>
      <w:r>
        <w:rPr>
          <w:rFonts w:ascii="Arial" w:cs="Arial" w:eastAsia="Arial" w:hAnsi="Arial"/>
          <w:sz w:val="17"/>
          <w:szCs w:val="17"/>
          <w:b w:val="1"/>
          <w:bCs w:val="1"/>
          <w:color w:val="auto"/>
        </w:rPr>
        <w:t xml:space="preserve"> </w:t>
      </w:r>
      <w:r>
        <w:rPr>
          <w:rFonts w:ascii="Arial" w:cs="Arial" w:eastAsia="Arial" w:hAnsi="Arial"/>
          <w:sz w:val="17"/>
          <w:szCs w:val="17"/>
          <w:color w:val="auto"/>
        </w:rPr>
        <w:t>(“Oryx”), a portfolio company of Stonepeak Infrastructure Partners, today announced that they have successfully completed the formation of their Permian Basin strategic joint venture. Plains Oryx Permian Basin LLC (the “JV”) includes all of Oryx’s Permian assets and, with the exception of Plains’ long-haul pipeline systems and certain of its intra-basin terminal assets, the vast majority of Plains’ assets located within the Permian Basin.</w:t>
      </w:r>
    </w:p>
    <w:p>
      <w:pPr>
        <w:spacing w:after="0" w:line="169"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“This is a significant milestone that positions Plains, Oryx and the JV to create significant value for our customers, partners, and investors,” said Willie Chiang, Chairman and CEO of Plains All American. “The Plains and Oryx teams have developed a robust integration strategy that prioritizes a seamless transition for customers and positions the JV to capture opportunities as the Permian continues to grow.”</w:t>
      </w:r>
    </w:p>
    <w:p>
      <w:pPr>
        <w:spacing w:after="0" w:line="16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“Today marks an important step for the Plains Oryx Permian Basin joint venture and we are excited to continue our close partnership with the Plains team as we collectively move ahead with integration planning and execution,” said Brett Wiggs, Chief Executive Officer of Oryx. “We are confident that this joint venture will provide significant and mutual benefits to all involved by increasing connectivity, enhancing reliability, and strengthening efficiencies across the Permian Basin. We look forward to continuing to work with the Plains team to grow and strengthen the joint venture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Plains Oryx Permian JV Overview: Strategic Alignment, Multiple Benefits</w:t>
      </w:r>
    </w:p>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combination of two leading Permian franchises, provides JV customers enhanced flexibility, optionality and connectivity</w:t>
      </w:r>
    </w:p>
    <w:p>
      <w:pPr>
        <w:spacing w:after="0" w:line="252" w:lineRule="exact"/>
        <w:rPr>
          <w:rFonts w:ascii="Arial" w:cs="Arial" w:eastAsia="Arial" w:hAnsi="Arial"/>
          <w:sz w:val="18"/>
          <w:szCs w:val="18"/>
          <w:color w:val="auto"/>
        </w:rPr>
      </w:pPr>
    </w:p>
    <w:p>
      <w:pPr>
        <w:ind w:left="340" w:right="8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Highly complementary assets, capabilities, and long-term business models, with direct downstream connections to all major intra-basin and downstream markets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Enhances shipper diversification, economies of scale and long-term Free Cash Flow</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&gt;4 million dedicated system acres, high-return multi-decade drilling inventory, ~7-year average remaining contract tenor</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Cashless transaction, debt-free entity, durable JV structure that is owned 65% PAA / 35% Oryx (governance consistent with ownership interests)</w:t>
      </w:r>
    </w:p>
    <w:p>
      <w:pPr>
        <w:spacing w:after="0" w:line="263" w:lineRule="exact"/>
        <w:rPr>
          <w:rFonts w:ascii="Arial" w:cs="Arial" w:eastAsia="Arial" w:hAnsi="Arial"/>
          <w:sz w:val="17"/>
          <w:szCs w:val="17"/>
          <w:color w:val="auto"/>
        </w:rPr>
      </w:pPr>
    </w:p>
    <w:p>
      <w:pPr>
        <w:ind w:left="340" w:right="2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Near-term Free Cash Flow accretive to Plains and Oryx, expecting +/- $50MM of run-rate near-term synergies to be captured within 12 months and $100MM+ long-term, plus upside potential available related to expected Permian production growth and integration opportunities</w:t>
      </w:r>
    </w:p>
    <w:p>
      <w:pPr>
        <w:spacing w:after="0" w:line="173"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Plains serves as operator of the JV, and going forward, the JV’s results will be consolidated into Plains’ reported results and financial statements</w:t>
      </w:r>
    </w:p>
    <w:p>
      <w:pPr>
        <w:spacing w:after="0" w:line="263" w:lineRule="exact"/>
        <w:rPr>
          <w:rFonts w:ascii="Arial" w:cs="Arial" w:eastAsia="Arial" w:hAnsi="Arial"/>
          <w:sz w:val="17"/>
          <w:szCs w:val="17"/>
          <w:color w:val="auto"/>
        </w:rPr>
      </w:pPr>
    </w:p>
    <w:p>
      <w:pPr>
        <w:ind w:left="340" w:right="3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Joint Operating Committee that includes representatives from Plains and Oryx will provide oversight on material JV operating and commercial decisions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Multiple opportunities to drive operating efficiencies; supports reducing environmental footprint, GHG emissions and overall costs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primarily for crude oil and natural gas liquids ("NGL").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 w:name="page7"/>
    <w:bookmarkEnd w:id="6"/>
    <w:p>
      <w:pPr>
        <w:ind w:right="40"/>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PAA and PAGP are headquartered in Houston, Texas. For more information, please visit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Oryx</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Midland-based Oryx is a leading private midstream company. In October 2021, Oryx merged its assets, operations, and commercial activities in the Permian Basin into a newly formed joint venture with Plains All American, Plains Oryx Permian Basin. Through its role on the partnership’s joint operating committee and board, Oryx provides critical oversight on material joint venture operating and commercial decisions. Through its interest in Plains Oryx Permian Basin, Oryx remains dedicated to providing producers with solutions and flexibility through a full suite of midstream services. For more information, please visit </w:t>
      </w:r>
      <w:r>
        <w:rPr>
          <w:rFonts w:ascii="Arial" w:cs="Arial" w:eastAsia="Arial" w:hAnsi="Arial"/>
          <w:sz w:val="18"/>
          <w:szCs w:val="18"/>
          <w:u w:val="single" w:color="auto"/>
          <w:color w:val="auto"/>
        </w:rPr>
        <w:t>www.oryxmidstream.com.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market constraints, third-party constraints, legal constraints (including governmental orders or guidance), or other factors; increased costs; industry, market and economic conditions; adverse operational developments; and other factors and uncertainties as discussed in PAA's and PAGP's filings with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Leone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Oryx Midstream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Meredith Howard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Redbird Communications</w:t>
      </w:r>
    </w:p>
    <w:p>
      <w:pPr>
        <w:spacing w:after="0" w:line="9" w:lineRule="exact"/>
        <w:rPr>
          <w:sz w:val="20"/>
          <w:szCs w:val="20"/>
          <w:color w:val="auto"/>
        </w:rPr>
      </w:pPr>
    </w:p>
    <w:p>
      <w:pPr>
        <w:ind w:right="9300" w:firstLine="8"/>
        <w:spacing w:after="0" w:line="323"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737-4478 meredith@redbirdpr.com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34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2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3" Type="http://schemas.openxmlformats.org/officeDocument/2006/relationships/hyperlink" Target="http://www.sec.gov/Archives/edgar/data/1070423/000110465921091443/tm2121935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2021-10-05T15:59:48Z</dcterms:created>
  <dcterms:modified xsi:type="dcterms:W3CDTF">2021-10-05T15:59:48Z</dcterms:modified>
</cp:coreProperties>
</file>