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gif" ContentType="image/gif"/>
  <Override PartName="/word/media/image1.jpeg" ContentType="image/jpeg"/>
  <Override PartName="/word/comments.xml" ContentType="application/vnd.openxmlformats-officedocument.wordprocessingml.comment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09-20514_18k.htm"/>
      <w:bookmarkStart w:id="1" w:name="ksa0920514_18k"/>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 SECURITIES AND EXCHANGE</w:t>
        <w:br/>
        <w:t>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w:t>
      </w:r>
    </w:p>
    <w:p>
      <w:pPr>
        <w:pStyle w:val="TextBody"/>
        <w:spacing w:before="0" w:after="0"/>
        <w:ind w:left="0" w:right="0" w:hanging="0"/>
        <w:jc w:val="center"/>
        <w:rPr>
          <w:rFonts w:ascii="Times New Roman" w:hAnsi="Times New Roman"/>
          <w:b/>
          <w:sz w:val="20"/>
        </w:rPr>
      </w:pPr>
      <w:r>
        <w:rPr>
          <w:rFonts w:ascii="Times New Roman" w:hAnsi="Times New Roman"/>
          <w:b/>
          <w:sz w:val="20"/>
        </w:rPr>
        <w:t>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Date of Report (Date of earliest event reported)August 5, 2009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2"/>
        <w:gridCol w:w="9793"/>
      </w:tblGrid>
      <w:tr>
        <w:trPr/>
        <w:tc>
          <w:tcPr>
            <w:tcW w:w="412" w:type="dxa"/>
            <w:tcBorders/>
            <w:shd w:fill="auto" w:val="clear"/>
          </w:tcPr>
          <w:p>
            <w:pPr>
              <w:pStyle w:val="TableContents"/>
              <w:spacing w:before="0" w:after="0"/>
              <w:ind w:left="0" w:right="0" w:hanging="0"/>
              <w:rPr>
                <w:rFonts w:ascii="Wingdings" w:hAnsi="Wingdings"/>
                <w:sz w:val="17"/>
              </w:rPr>
            </w:pPr>
            <w:r>
              <w:rPr>
                <w:rFonts w:ascii="Wingdings" w:hAnsi="Wingdings"/>
                <w:sz w:val="17"/>
              </w:rPr>
              <w:t>o</w:t>
            </w:r>
          </w:p>
        </w:tc>
        <w:tc>
          <w:tcPr>
            <w:tcW w:w="97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Written communications pursuant to Rule 425 under the Securities Act (17 CFR 230.425)</w:t>
            </w:r>
          </w:p>
        </w:tc>
      </w:tr>
      <w:tr>
        <w:trPr/>
        <w:tc>
          <w:tcPr>
            <w:tcW w:w="412" w:type="dxa"/>
            <w:tcBorders/>
            <w:shd w:fill="auto" w:val="clear"/>
          </w:tcPr>
          <w:p>
            <w:pPr>
              <w:pStyle w:val="TableContents"/>
              <w:spacing w:before="0" w:after="0"/>
              <w:ind w:left="0" w:right="0" w:hanging="0"/>
              <w:rPr/>
            </w:pPr>
            <w:r>
              <w:rPr/>
              <w:t> </w:t>
            </w:r>
          </w:p>
        </w:tc>
        <w:tc>
          <w:tcPr>
            <w:tcW w:w="9793" w:type="dxa"/>
            <w:tcBorders/>
            <w:shd w:fill="auto" w:val="clear"/>
            <w:vAlign w:val="bottom"/>
          </w:tcPr>
          <w:p>
            <w:pPr>
              <w:pStyle w:val="TableContents"/>
              <w:spacing w:before="0" w:after="0"/>
              <w:ind w:left="0" w:right="0" w:hanging="0"/>
              <w:rPr/>
            </w:pPr>
            <w:r>
              <w:rPr/>
              <w:t> </w:t>
            </w:r>
          </w:p>
        </w:tc>
      </w:tr>
      <w:tr>
        <w:trPr/>
        <w:tc>
          <w:tcPr>
            <w:tcW w:w="412" w:type="dxa"/>
            <w:tcBorders/>
            <w:shd w:fill="auto" w:val="clear"/>
          </w:tcPr>
          <w:p>
            <w:pPr>
              <w:pStyle w:val="TableContents"/>
              <w:spacing w:before="0" w:after="0"/>
              <w:ind w:left="0" w:right="0" w:hanging="0"/>
              <w:rPr>
                <w:rFonts w:ascii="Wingdings" w:hAnsi="Wingdings"/>
                <w:sz w:val="17"/>
              </w:rPr>
            </w:pPr>
            <w:r>
              <w:rPr>
                <w:rFonts w:ascii="Wingdings" w:hAnsi="Wingdings"/>
                <w:sz w:val="17"/>
              </w:rPr>
              <w:t>o</w:t>
            </w:r>
          </w:p>
        </w:tc>
        <w:tc>
          <w:tcPr>
            <w:tcW w:w="97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Soliciting material pursuant to Rule 14a-12 under the Exchange Act (17 CFR 240.14a-12)</w:t>
            </w:r>
          </w:p>
        </w:tc>
      </w:tr>
      <w:tr>
        <w:trPr/>
        <w:tc>
          <w:tcPr>
            <w:tcW w:w="412" w:type="dxa"/>
            <w:tcBorders/>
            <w:shd w:fill="auto" w:val="clear"/>
          </w:tcPr>
          <w:p>
            <w:pPr>
              <w:pStyle w:val="TableContents"/>
              <w:spacing w:before="0" w:after="0"/>
              <w:ind w:left="0" w:right="0" w:hanging="0"/>
              <w:rPr/>
            </w:pPr>
            <w:r>
              <w:rPr/>
              <w:t> </w:t>
            </w:r>
          </w:p>
        </w:tc>
        <w:tc>
          <w:tcPr>
            <w:tcW w:w="9793" w:type="dxa"/>
            <w:tcBorders/>
            <w:shd w:fill="auto" w:val="clear"/>
            <w:vAlign w:val="bottom"/>
          </w:tcPr>
          <w:p>
            <w:pPr>
              <w:pStyle w:val="TableContents"/>
              <w:spacing w:before="0" w:after="0"/>
              <w:ind w:left="0" w:right="0" w:hanging="0"/>
              <w:rPr/>
            </w:pPr>
            <w:r>
              <w:rPr/>
              <w:t> </w:t>
            </w:r>
          </w:p>
        </w:tc>
      </w:tr>
      <w:tr>
        <w:trPr/>
        <w:tc>
          <w:tcPr>
            <w:tcW w:w="412" w:type="dxa"/>
            <w:tcBorders/>
            <w:shd w:fill="auto" w:val="clear"/>
          </w:tcPr>
          <w:p>
            <w:pPr>
              <w:pStyle w:val="TableContents"/>
              <w:spacing w:before="0" w:after="0"/>
              <w:ind w:left="0" w:right="0" w:hanging="0"/>
              <w:rPr>
                <w:rFonts w:ascii="Wingdings" w:hAnsi="Wingdings"/>
                <w:sz w:val="17"/>
              </w:rPr>
            </w:pPr>
            <w:r>
              <w:rPr>
                <w:rFonts w:ascii="Wingdings" w:hAnsi="Wingdings"/>
                <w:sz w:val="17"/>
              </w:rPr>
              <w:t>o</w:t>
            </w:r>
          </w:p>
        </w:tc>
        <w:tc>
          <w:tcPr>
            <w:tcW w:w="97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Pre-commencement communications pursuant to Rule 14d-2(b) under the Exchange Act (17 CFR 240.14d-2(b))</w:t>
            </w:r>
          </w:p>
        </w:tc>
      </w:tr>
      <w:tr>
        <w:trPr/>
        <w:tc>
          <w:tcPr>
            <w:tcW w:w="412" w:type="dxa"/>
            <w:tcBorders/>
            <w:shd w:fill="auto" w:val="clear"/>
          </w:tcPr>
          <w:p>
            <w:pPr>
              <w:pStyle w:val="TableContents"/>
              <w:spacing w:before="0" w:after="0"/>
              <w:ind w:left="0" w:right="0" w:hanging="0"/>
              <w:rPr/>
            </w:pPr>
            <w:r>
              <w:rPr/>
              <w:t> </w:t>
            </w:r>
          </w:p>
        </w:tc>
        <w:tc>
          <w:tcPr>
            <w:tcW w:w="9793" w:type="dxa"/>
            <w:tcBorders/>
            <w:shd w:fill="auto" w:val="clear"/>
            <w:vAlign w:val="bottom"/>
          </w:tcPr>
          <w:p>
            <w:pPr>
              <w:pStyle w:val="TableContents"/>
              <w:spacing w:before="0" w:after="0"/>
              <w:ind w:left="0" w:right="0" w:hanging="0"/>
              <w:rPr/>
            </w:pPr>
            <w:r>
              <w:rPr/>
              <w:t> </w:t>
            </w:r>
          </w:p>
        </w:tc>
      </w:tr>
      <w:tr>
        <w:trPr/>
        <w:tc>
          <w:tcPr>
            <w:tcW w:w="412" w:type="dxa"/>
            <w:tcBorders/>
            <w:shd w:fill="auto" w:val="clear"/>
          </w:tcPr>
          <w:p>
            <w:pPr>
              <w:pStyle w:val="TableContents"/>
              <w:spacing w:before="0" w:after="0"/>
              <w:ind w:left="0" w:right="0" w:hanging="0"/>
              <w:rPr>
                <w:rFonts w:ascii="Wingdings" w:hAnsi="Wingdings"/>
                <w:sz w:val="17"/>
              </w:rPr>
            </w:pPr>
            <w:r>
              <w:rPr>
                <w:rFonts w:ascii="Wingdings" w:hAnsi="Wingdings"/>
                <w:sz w:val="17"/>
              </w:rPr>
              <w:t>o</w:t>
            </w:r>
          </w:p>
        </w:tc>
        <w:tc>
          <w:tcPr>
            <w:tcW w:w="97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Pre-commencement communications pursuant to Rule 13e-4(c) under the Exchange Act (17 CFR 240.13e-4(c))</w:t>
            </w:r>
          </w:p>
        </w:tc>
      </w:tr>
    </w:tbl>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9.01. 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Exhibit 99.1  Press Release dated August 5, 2009.</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2.02 and Item 7.01.  Results of Operations and Financial Condition;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(the Partnership) today issued a press release reporting its second-quarter 2009 results.  We are furnishing the press release, attached as Exhibit 99.1, pursuant to Item 2.02 and Item 7.01 of Form 8-K.  Pursuant to Item 7.01 we are providing detailed guidance for financial performance for third-and fourth-quarter calendar 2009, and updating our previous guidance for financial performance for the full calendar year of 2009 (which supersedes guidance pertaining to 2009 contained in our Form 8-K furnished on May 6, 2009).  In accordance with General Instruction B.2. of Form 8-K, the information presented herein under this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Disclosure of Third and Fourth Quarter 2009 Guidance; Update of Full Year 2009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EBIT and EBITDA (each as defined below in Note 1 to the Operating and Financial Guidance table) are non-GAAP financial measures. Net income and cash flows from operating activities are the most directly comparable GAAP measures to EBIT and EBITDA. In Note 10 below, we reconcile EBITDA and EBIT to net income for the 2009 guidance periods presented. It is, however, impractical to reconcile EBIT and EBITDA to cash flows from operating activities for a forecasted period. We encourage you to visit our website at </w:t>
      </w:r>
      <w:r>
        <w:rPr>
          <w:rFonts w:ascii="Times New Roman" w:hAnsi="Times New Roman"/>
          <w:i/>
          <w:sz w:val="17"/>
        </w:rPr>
        <w:t>www.paalp.com</w:t>
      </w:r>
      <w:r>
        <w:rPr>
          <w:rFonts w:ascii="Times New Roman" w:hAnsi="Times New Roman"/>
          <w:sz w:val="17"/>
        </w:rPr>
        <w:t xml:space="preserve"> (in particular the section entitled Non-GAAP Reconciliation), which presents a historical reconciliation of certain commonly used non-GAAP financial measures, including EBIT and EBITDA. We present EBIT and EBITDA because we believe they provide additional information with respect to both the performance of our fundamental business activities and our ability to meet our future debt service, capital expenditures and working capital requirements. We also believe that debt holders commonly use EBITDA to analyze partnership performance. In addition, we have highlighted the impact of our equity compensation plans, inventory valuation adjustments net of gains and losses from related derivative activities, gains and losses from other derivative activities, and foreign currency revaluations on Segment Profit, EBITDA, Net Income and Net Income per Basic and Diluted Limited Partner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guidance for the three months ending September 30 and December 31, 2009 and the twelve months ending December 31, 2009 is based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LPG sales) and acquisition synergies. Our assumptions and future performance, however, are both subject to a wide range of business risks and uncertainties, so we can provide no assurance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August 4, 2009. We undertake no obligation to publicly update or revise any forward-looking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Operating and Financial Guidance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857"/>
        <w:gridCol w:w="213"/>
        <w:gridCol w:w="116"/>
        <w:gridCol w:w="558"/>
        <w:gridCol w:w="215"/>
        <w:gridCol w:w="115"/>
        <w:gridCol w:w="556"/>
        <w:gridCol w:w="215"/>
        <w:gridCol w:w="115"/>
        <w:gridCol w:w="556"/>
        <w:gridCol w:w="214"/>
        <w:gridCol w:w="115"/>
        <w:gridCol w:w="556"/>
        <w:gridCol w:w="215"/>
        <w:gridCol w:w="115"/>
        <w:gridCol w:w="556"/>
        <w:gridCol w:w="215"/>
        <w:gridCol w:w="115"/>
        <w:gridCol w:w="566"/>
        <w:gridCol w:w="215"/>
        <w:gridCol w:w="114"/>
        <w:gridCol w:w="566"/>
        <w:gridCol w:w="127"/>
      </w:tblGrid>
      <w:tr>
        <w:trPr/>
        <w:tc>
          <w:tcPr>
            <w:tcW w:w="385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6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215" w:type="dxa"/>
            <w:tcBorders/>
            <w:shd w:fill="auto" w:val="clear"/>
            <w:vAlign w:val="bottom"/>
          </w:tcPr>
          <w:p>
            <w:pPr>
              <w:pStyle w:val="TableContents"/>
              <w:spacing w:before="0" w:after="0"/>
              <w:ind w:left="0" w:right="0" w:hanging="0"/>
              <w:jc w:val="center"/>
              <w:rPr/>
            </w:pPr>
            <w:r>
              <w:rPr/>
              <w:t> </w:t>
            </w:r>
          </w:p>
        </w:tc>
        <w:tc>
          <w:tcPr>
            <w:tcW w:w="5119"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Guidance </w:t>
            </w:r>
            <w:r>
              <w:rPr>
                <w:b/>
                <w:sz w:val="8"/>
              </w:rPr>
              <w:t>(1)</w:t>
            </w:r>
          </w:p>
        </w:tc>
        <w:tc>
          <w:tcPr>
            <w:tcW w:w="127" w:type="dxa"/>
            <w:tcBorders/>
            <w:shd w:fill="auto" w:val="clear"/>
            <w:vAlign w:val="bottom"/>
          </w:tcPr>
          <w:p>
            <w:pPr>
              <w:pStyle w:val="TableContents"/>
              <w:spacing w:before="0" w:after="0"/>
              <w:ind w:left="0" w:right="0" w:hanging="0"/>
              <w:jc w:val="center"/>
              <w:rPr/>
            </w:pPr>
            <w:r>
              <w:rPr/>
              <w:t> </w:t>
            </w:r>
          </w:p>
        </w:tc>
      </w:tr>
      <w:tr>
        <w:trPr/>
        <w:tc>
          <w:tcPr>
            <w:tcW w:w="385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67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w:t>
            </w:r>
          </w:p>
        </w:tc>
        <w:tc>
          <w:tcPr>
            <w:tcW w:w="215" w:type="dxa"/>
            <w:tcBorders/>
            <w:shd w:fill="auto" w:val="clear"/>
            <w:vAlign w:val="bottom"/>
          </w:tcPr>
          <w:p>
            <w:pPr>
              <w:pStyle w:val="TableContents"/>
              <w:spacing w:before="0" w:after="0"/>
              <w:ind w:left="0" w:right="0" w:hanging="0"/>
              <w:jc w:val="center"/>
              <w:rPr/>
            </w:pPr>
            <w:r>
              <w:rPr/>
              <w:t> </w:t>
            </w:r>
          </w:p>
        </w:tc>
        <w:tc>
          <w:tcPr>
            <w:tcW w:w="155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14" w:type="dxa"/>
            <w:tcBorders/>
            <w:shd w:fill="auto" w:val="clear"/>
            <w:vAlign w:val="bottom"/>
          </w:tcPr>
          <w:p>
            <w:pPr>
              <w:pStyle w:val="TableContents"/>
              <w:spacing w:before="0" w:after="0"/>
              <w:ind w:left="0" w:right="0" w:hanging="0"/>
              <w:jc w:val="center"/>
              <w:rPr/>
            </w:pPr>
            <w:r>
              <w:rPr/>
              <w:t> </w:t>
            </w:r>
          </w:p>
        </w:tc>
        <w:tc>
          <w:tcPr>
            <w:tcW w:w="1557"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15" w:type="dxa"/>
            <w:tcBorders/>
            <w:shd w:fill="auto" w:val="clear"/>
            <w:vAlign w:val="bottom"/>
          </w:tcPr>
          <w:p>
            <w:pPr>
              <w:pStyle w:val="TableContents"/>
              <w:spacing w:before="0" w:after="0"/>
              <w:ind w:left="0" w:right="0" w:hanging="0"/>
              <w:jc w:val="center"/>
              <w:rPr/>
            </w:pPr>
            <w:r>
              <w:rPr/>
              <w:t> </w:t>
            </w:r>
          </w:p>
        </w:tc>
        <w:tc>
          <w:tcPr>
            <w:tcW w:w="1576"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27" w:type="dxa"/>
            <w:tcBorders/>
            <w:shd w:fill="auto" w:val="clear"/>
            <w:vAlign w:val="bottom"/>
          </w:tcPr>
          <w:p>
            <w:pPr>
              <w:pStyle w:val="TableContents"/>
              <w:spacing w:before="0" w:after="0"/>
              <w:ind w:left="0" w:right="0" w:hanging="0"/>
              <w:jc w:val="center"/>
              <w:rPr/>
            </w:pPr>
            <w:r>
              <w:rPr/>
              <w:t> </w:t>
            </w:r>
          </w:p>
        </w:tc>
      </w:tr>
      <w:tr>
        <w:trPr/>
        <w:tc>
          <w:tcPr>
            <w:tcW w:w="385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67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15" w:type="dxa"/>
            <w:tcBorders/>
            <w:shd w:fill="auto" w:val="clear"/>
            <w:vAlign w:val="bottom"/>
          </w:tcPr>
          <w:p>
            <w:pPr>
              <w:pStyle w:val="TableContents"/>
              <w:spacing w:before="0" w:after="0"/>
              <w:ind w:left="0" w:right="0" w:hanging="0"/>
              <w:jc w:val="center"/>
              <w:rPr/>
            </w:pPr>
            <w:r>
              <w:rPr/>
              <w:t> </w:t>
            </w:r>
          </w:p>
        </w:tc>
        <w:tc>
          <w:tcPr>
            <w:tcW w:w="155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2009</w:t>
            </w:r>
          </w:p>
        </w:tc>
        <w:tc>
          <w:tcPr>
            <w:tcW w:w="214" w:type="dxa"/>
            <w:tcBorders/>
            <w:shd w:fill="auto" w:val="clear"/>
            <w:vAlign w:val="bottom"/>
          </w:tcPr>
          <w:p>
            <w:pPr>
              <w:pStyle w:val="TableContents"/>
              <w:spacing w:before="0" w:after="0"/>
              <w:ind w:left="0" w:right="0" w:hanging="0"/>
              <w:jc w:val="center"/>
              <w:rPr/>
            </w:pPr>
            <w:r>
              <w:rPr/>
              <w:t> </w:t>
            </w:r>
          </w:p>
        </w:tc>
        <w:tc>
          <w:tcPr>
            <w:tcW w:w="155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215" w:type="dxa"/>
            <w:tcBorders/>
            <w:shd w:fill="auto" w:val="clear"/>
            <w:vAlign w:val="bottom"/>
          </w:tcPr>
          <w:p>
            <w:pPr>
              <w:pStyle w:val="TableContents"/>
              <w:spacing w:before="0" w:after="0"/>
              <w:ind w:left="0" w:right="0" w:hanging="0"/>
              <w:jc w:val="center"/>
              <w:rPr/>
            </w:pPr>
            <w:r>
              <w:rPr/>
              <w:t> </w:t>
            </w:r>
          </w:p>
        </w:tc>
        <w:tc>
          <w:tcPr>
            <w:tcW w:w="157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127" w:type="dxa"/>
            <w:tcBorders/>
            <w:shd w:fill="auto" w:val="clear"/>
            <w:vAlign w:val="bottom"/>
          </w:tcPr>
          <w:p>
            <w:pPr>
              <w:pStyle w:val="TableContents"/>
              <w:spacing w:before="0" w:after="0"/>
              <w:ind w:left="0" w:right="0" w:hanging="0"/>
              <w:jc w:val="center"/>
              <w:rPr/>
            </w:pPr>
            <w:r>
              <w:rPr/>
              <w:t> </w:t>
            </w:r>
          </w:p>
        </w:tc>
      </w:tr>
      <w:tr>
        <w:trPr/>
        <w:tc>
          <w:tcPr>
            <w:tcW w:w="385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6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6/30/2009</w:t>
            </w:r>
          </w:p>
        </w:tc>
        <w:tc>
          <w:tcPr>
            <w:tcW w:w="215" w:type="dxa"/>
            <w:tcBorders/>
            <w:shd w:fill="auto" w:val="clear"/>
            <w:vAlign w:val="bottom"/>
          </w:tcPr>
          <w:p>
            <w:pPr>
              <w:pStyle w:val="TableContents"/>
              <w:spacing w:before="0" w:after="0"/>
              <w:ind w:left="0" w:right="0" w:hanging="0"/>
              <w:jc w:val="center"/>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5" w:type="dxa"/>
            <w:tcBorders/>
            <w:shd w:fill="auto" w:val="clear"/>
            <w:vAlign w:val="bottom"/>
          </w:tcPr>
          <w:p>
            <w:pPr>
              <w:pStyle w:val="TableContents"/>
              <w:spacing w:before="0" w:after="0"/>
              <w:ind w:left="0" w:right="0" w:hanging="0"/>
              <w:jc w:val="center"/>
              <w:rPr/>
            </w:pPr>
            <w:r>
              <w:rPr/>
              <w:t> </w:t>
            </w:r>
          </w:p>
        </w:tc>
        <w:tc>
          <w:tcPr>
            <w:tcW w:w="67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14" w:type="dxa"/>
            <w:tcBorders/>
            <w:shd w:fill="auto" w:val="clear"/>
            <w:vAlign w:val="bottom"/>
          </w:tcPr>
          <w:p>
            <w:pPr>
              <w:pStyle w:val="TableContents"/>
              <w:spacing w:before="0" w:after="0"/>
              <w:ind w:left="0" w:right="0" w:hanging="0"/>
              <w:jc w:val="center"/>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5" w:type="dxa"/>
            <w:tcBorders/>
            <w:shd w:fill="auto" w:val="clear"/>
            <w:vAlign w:val="bottom"/>
          </w:tcPr>
          <w:p>
            <w:pPr>
              <w:pStyle w:val="TableContents"/>
              <w:spacing w:before="0" w:after="0"/>
              <w:ind w:left="0" w:right="0" w:hanging="0"/>
              <w:jc w:val="center"/>
              <w:rPr/>
            </w:pPr>
            <w:r>
              <w:rPr/>
              <w:t> </w:t>
            </w:r>
          </w:p>
        </w:tc>
        <w:tc>
          <w:tcPr>
            <w:tcW w:w="67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15" w:type="dxa"/>
            <w:tcBorders/>
            <w:shd w:fill="auto" w:val="clear"/>
            <w:vAlign w:val="bottom"/>
          </w:tcPr>
          <w:p>
            <w:pPr>
              <w:pStyle w:val="TableContents"/>
              <w:spacing w:before="0" w:after="0"/>
              <w:ind w:left="0" w:right="0" w:hanging="0"/>
              <w:jc w:val="center"/>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5" w:type="dxa"/>
            <w:tcBorders/>
            <w:shd w:fill="auto" w:val="clear"/>
            <w:vAlign w:val="bottom"/>
          </w:tcPr>
          <w:p>
            <w:pPr>
              <w:pStyle w:val="TableContents"/>
              <w:spacing w:before="0" w:after="0"/>
              <w:ind w:left="0" w:right="0" w:hanging="0"/>
              <w:jc w:val="center"/>
              <w:rPr/>
            </w:pPr>
            <w:r>
              <w:rPr/>
              <w:t> </w:t>
            </w:r>
          </w:p>
        </w:tc>
        <w:tc>
          <w:tcPr>
            <w:tcW w:w="68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27" w:type="dxa"/>
            <w:tcBorders/>
            <w:shd w:fill="auto" w:val="clear"/>
            <w:vAlign w:val="bottom"/>
          </w:tcPr>
          <w:p>
            <w:pPr>
              <w:pStyle w:val="TableContents"/>
              <w:spacing w:before="0" w:after="0"/>
              <w:ind w:left="0" w:right="0" w:hanging="0"/>
              <w:jc w:val="center"/>
              <w:rPr/>
            </w:pPr>
            <w:r>
              <w:rPr/>
              <w:t> </w:t>
            </w:r>
          </w:p>
        </w:tc>
      </w:tr>
      <w:tr>
        <w:trPr/>
        <w:tc>
          <w:tcPr>
            <w:tcW w:w="385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Segment Profit</w:t>
            </w:r>
          </w:p>
        </w:tc>
        <w:tc>
          <w:tcPr>
            <w:tcW w:w="213" w:type="dxa"/>
            <w:tcBorders/>
            <w:shd w:fill="CCEEFF" w:val="clear"/>
            <w:vAlign w:val="bottom"/>
          </w:tcPr>
          <w:p>
            <w:pPr>
              <w:pStyle w:val="TableContents"/>
              <w:spacing w:before="0" w:after="0"/>
              <w:ind w:left="0" w:right="0" w:hanging="0"/>
              <w:rPr/>
            </w:pPr>
            <w:r>
              <w:rPr/>
              <w:t> </w:t>
            </w:r>
          </w:p>
        </w:tc>
        <w:tc>
          <w:tcPr>
            <w:tcW w:w="674"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80"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38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from unconsolidated entities)</w:t>
            </w:r>
          </w:p>
        </w:tc>
        <w:tc>
          <w:tcPr>
            <w:tcW w:w="213"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974</w:t>
            </w:r>
          </w:p>
        </w:tc>
        <w:tc>
          <w:tcPr>
            <w:tcW w:w="215"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215"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w:t>
            </w:r>
          </w:p>
        </w:tc>
        <w:tc>
          <w:tcPr>
            <w:tcW w:w="214"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444</w:t>
            </w:r>
          </w:p>
        </w:tc>
        <w:tc>
          <w:tcPr>
            <w:tcW w:w="215"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w:t>
            </w:r>
          </w:p>
        </w:tc>
        <w:tc>
          <w:tcPr>
            <w:tcW w:w="215"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1,836</w:t>
            </w:r>
          </w:p>
        </w:tc>
        <w:tc>
          <w:tcPr>
            <w:tcW w:w="215"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1,873</w:t>
            </w:r>
          </w:p>
        </w:tc>
        <w:tc>
          <w:tcPr>
            <w:tcW w:w="127" w:type="dxa"/>
            <w:tcBorders/>
            <w:shd w:fill="auto" w:val="clear"/>
            <w:vAlign w:val="bottom"/>
          </w:tcPr>
          <w:p>
            <w:pPr>
              <w:pStyle w:val="TableContents"/>
              <w:spacing w:before="0" w:after="0"/>
              <w:ind w:left="0" w:right="0" w:hanging="0"/>
              <w:rPr/>
            </w:pPr>
            <w:r>
              <w:rPr/>
              <w:t> </w:t>
            </w:r>
          </w:p>
        </w:tc>
      </w:tr>
      <w:tr>
        <w:trPr/>
        <w:tc>
          <w:tcPr>
            <w:tcW w:w="38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3" w:type="dxa"/>
            <w:tcBorders/>
            <w:shd w:fill="CCEEFF" w:val="clear"/>
            <w:vAlign w:val="bottom"/>
          </w:tcPr>
          <w:p>
            <w:pPr>
              <w:pStyle w:val="TableContents"/>
              <w:spacing w:before="0" w:after="0"/>
              <w:ind w:left="0" w:right="0" w:hanging="0"/>
              <w:rPr/>
            </w:pPr>
            <w:r>
              <w:rPr/>
              <w:t> </w:t>
            </w:r>
          </w:p>
        </w:tc>
        <w:tc>
          <w:tcPr>
            <w:tcW w:w="6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(640</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General and administrative expenses </w:t>
            </w:r>
          </w:p>
        </w:tc>
        <w:tc>
          <w:tcPr>
            <w:tcW w:w="213" w:type="dxa"/>
            <w:tcBorders/>
            <w:shd w:fill="auto" w:val="clear"/>
            <w:vAlign w:val="bottom"/>
          </w:tcPr>
          <w:p>
            <w:pPr>
              <w:pStyle w:val="TableContents"/>
              <w:spacing w:before="0" w:after="0"/>
              <w:ind w:left="0" w:right="0" w:hanging="0"/>
              <w:rPr/>
            </w:pPr>
            <w:r>
              <w:rPr/>
              <w:t> </w:t>
            </w:r>
          </w:p>
        </w:tc>
        <w:tc>
          <w:tcPr>
            <w:tcW w:w="6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57"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6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562</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228</w:t>
            </w:r>
          </w:p>
        </w:tc>
        <w:tc>
          <w:tcPr>
            <w:tcW w:w="214"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215"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999</w:t>
            </w:r>
          </w:p>
        </w:tc>
        <w:tc>
          <w:tcPr>
            <w:tcW w:w="215" w:type="dxa"/>
            <w:tcBorders/>
            <w:shd w:fill="CCEEFF" w:val="clear"/>
            <w:vAlign w:val="bottom"/>
          </w:tcPr>
          <w:p>
            <w:pPr>
              <w:pStyle w:val="TableContents"/>
              <w:spacing w:before="0" w:after="0"/>
              <w:ind w:left="0" w:right="0" w:hanging="0"/>
              <w:rPr/>
            </w:pPr>
            <w:r>
              <w:rPr/>
              <w:t> </w:t>
            </w:r>
          </w:p>
        </w:tc>
        <w:tc>
          <w:tcPr>
            <w:tcW w:w="6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1,049</w:t>
            </w:r>
          </w:p>
        </w:tc>
        <w:tc>
          <w:tcPr>
            <w:tcW w:w="127" w:type="dxa"/>
            <w:tcBorders/>
            <w:shd w:fill="CCEEFF" w:val="clear"/>
            <w:vAlign w:val="bottom"/>
          </w:tcPr>
          <w:p>
            <w:pPr>
              <w:pStyle w:val="TableContents"/>
              <w:spacing w:before="0" w:after="0"/>
              <w:ind w:left="0" w:right="0" w:hanging="0"/>
              <w:rPr/>
            </w:pPr>
            <w:r>
              <w:rPr/>
              <w:t> </w:t>
            </w:r>
          </w:p>
        </w:tc>
      </w:tr>
      <w:tr>
        <w:trPr/>
        <w:tc>
          <w:tcPr>
            <w:tcW w:w="38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expense </w:t>
            </w:r>
          </w:p>
        </w:tc>
        <w:tc>
          <w:tcPr>
            <w:tcW w:w="213"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net </w:t>
            </w:r>
          </w:p>
        </w:tc>
        <w:tc>
          <w:tcPr>
            <w:tcW w:w="213" w:type="dxa"/>
            <w:tcBorders/>
            <w:shd w:fill="CCEEFF" w:val="clear"/>
            <w:vAlign w:val="bottom"/>
          </w:tcPr>
          <w:p>
            <w:pPr>
              <w:pStyle w:val="TableContents"/>
              <w:spacing w:before="0" w:after="0"/>
              <w:ind w:left="0" w:right="0" w:hanging="0"/>
              <w:rPr/>
            </w:pPr>
            <w:r>
              <w:rPr/>
              <w:t> </w:t>
            </w:r>
          </w:p>
        </w:tc>
        <w:tc>
          <w:tcPr>
            <w:tcW w:w="6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Income tax benifit / (expense) </w:t>
            </w:r>
          </w:p>
        </w:tc>
        <w:tc>
          <w:tcPr>
            <w:tcW w:w="213"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income (expense), net </w:t>
            </w:r>
          </w:p>
        </w:tc>
        <w:tc>
          <w:tcPr>
            <w:tcW w:w="213" w:type="dxa"/>
            <w:tcBorders/>
            <w:shd w:fill="CCEEFF" w:val="clear"/>
            <w:vAlign w:val="bottom"/>
          </w:tcPr>
          <w:p>
            <w:pPr>
              <w:pStyle w:val="TableContents"/>
              <w:spacing w:before="0" w:after="0"/>
              <w:ind w:left="0" w:right="0" w:hanging="0"/>
              <w:rPr/>
            </w:pPr>
            <w:r>
              <w:rPr/>
              <w:t> </w:t>
            </w:r>
          </w:p>
        </w:tc>
        <w:tc>
          <w:tcPr>
            <w:tcW w:w="6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5" w:type="dxa"/>
            <w:tcBorders/>
            <w:shd w:fill="CCEEFF" w:val="clear"/>
            <w:vAlign w:val="bottom"/>
          </w:tcPr>
          <w:p>
            <w:pPr>
              <w:pStyle w:val="TableContents"/>
              <w:spacing w:before="0" w:after="0"/>
              <w:ind w:left="0" w:right="0" w:hanging="0"/>
              <w:rPr/>
            </w:pPr>
            <w:r>
              <w:rPr/>
              <w:t> </w:t>
            </w:r>
          </w:p>
        </w:tc>
        <w:tc>
          <w:tcPr>
            <w:tcW w:w="6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7" w:type="dxa"/>
            <w:tcBorders/>
            <w:shd w:fill="CCEEFF" w:val="clear"/>
            <w:vAlign w:val="bottom"/>
          </w:tcPr>
          <w:p>
            <w:pPr>
              <w:pStyle w:val="TableContents"/>
              <w:spacing w:before="0" w:after="0"/>
              <w:ind w:left="0" w:right="0" w:hanging="0"/>
              <w:rPr/>
            </w:pPr>
            <w:r>
              <w:rPr/>
              <w:t> </w:t>
            </w:r>
          </w:p>
        </w:tc>
      </w:tr>
      <w:tr>
        <w:trPr/>
        <w:tc>
          <w:tcPr>
            <w:tcW w:w="385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Net Income </w:t>
            </w:r>
          </w:p>
        </w:tc>
        <w:tc>
          <w:tcPr>
            <w:tcW w:w="213"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5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347</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82</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111</w:t>
            </w:r>
          </w:p>
        </w:tc>
        <w:tc>
          <w:tcPr>
            <w:tcW w:w="214"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112</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141</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6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541</w:t>
            </w:r>
          </w:p>
        </w:tc>
        <w:tc>
          <w:tcPr>
            <w:tcW w:w="215"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6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599</w:t>
            </w:r>
          </w:p>
        </w:tc>
        <w:tc>
          <w:tcPr>
            <w:tcW w:w="127" w:type="dxa"/>
            <w:tcBorders/>
            <w:shd w:fill="auto" w:val="clear"/>
            <w:vAlign w:val="bottom"/>
          </w:tcPr>
          <w:p>
            <w:pPr>
              <w:pStyle w:val="TableContents"/>
              <w:spacing w:before="0" w:after="0"/>
              <w:ind w:left="0" w:right="0" w:hanging="0"/>
              <w:rPr/>
            </w:pPr>
            <w:r>
              <w:rPr/>
              <w:t> </w:t>
            </w:r>
          </w:p>
        </w:tc>
      </w:tr>
      <w:tr>
        <w:trPr/>
        <w:tc>
          <w:tcPr>
            <w:tcW w:w="3857"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674"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80"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38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to Limited Partners </w:t>
            </w:r>
          </w:p>
        </w:tc>
        <w:tc>
          <w:tcPr>
            <w:tcW w:w="213"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w:t>
            </w:r>
          </w:p>
        </w:tc>
        <w:tc>
          <w:tcPr>
            <w:tcW w:w="215"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15"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14"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15"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15"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405</w:t>
            </w:r>
          </w:p>
        </w:tc>
        <w:tc>
          <w:tcPr>
            <w:tcW w:w="215"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w:t>
            </w:r>
          </w:p>
        </w:tc>
        <w:tc>
          <w:tcPr>
            <w:tcW w:w="127" w:type="dxa"/>
            <w:tcBorders/>
            <w:shd w:fill="auto" w:val="clear"/>
            <w:vAlign w:val="bottom"/>
          </w:tcPr>
          <w:p>
            <w:pPr>
              <w:pStyle w:val="TableContents"/>
              <w:spacing w:before="0" w:after="0"/>
              <w:ind w:left="0" w:right="0" w:hanging="0"/>
              <w:rPr/>
            </w:pPr>
            <w:r>
              <w:rPr/>
              <w:t> </w:t>
            </w:r>
          </w:p>
        </w:tc>
      </w:tr>
      <w:tr>
        <w:trPr/>
        <w:tc>
          <w:tcPr>
            <w:tcW w:w="38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13" w:type="dxa"/>
            <w:tcBorders/>
            <w:shd w:fill="CCEEFF" w:val="clear"/>
            <w:vAlign w:val="bottom"/>
          </w:tcPr>
          <w:p>
            <w:pPr>
              <w:pStyle w:val="TableContents"/>
              <w:spacing w:before="0" w:after="0"/>
              <w:ind w:left="0" w:right="0" w:hanging="0"/>
              <w:rPr/>
            </w:pPr>
            <w:r>
              <w:rPr/>
              <w:t> </w:t>
            </w:r>
          </w:p>
        </w:tc>
        <w:tc>
          <w:tcPr>
            <w:tcW w:w="674"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80"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38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Weighted Average Units Outstanding </w:t>
            </w:r>
          </w:p>
        </w:tc>
        <w:tc>
          <w:tcPr>
            <w:tcW w:w="213"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14"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15"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15" w:type="dxa"/>
            <w:tcBorders/>
            <w:shd w:fill="auto" w:val="clear"/>
            <w:vAlign w:val="bottom"/>
          </w:tcPr>
          <w:p>
            <w:pPr>
              <w:pStyle w:val="TableContents"/>
              <w:spacing w:before="0" w:after="0"/>
              <w:ind w:left="0" w:right="0" w:hanging="0"/>
              <w:rPr/>
            </w:pPr>
            <w:r>
              <w:rPr/>
              <w:t> </w:t>
            </w:r>
          </w:p>
        </w:tc>
        <w:tc>
          <w:tcPr>
            <w:tcW w:w="6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27" w:type="dxa"/>
            <w:tcBorders/>
            <w:shd w:fill="auto" w:val="clear"/>
            <w:vAlign w:val="bottom"/>
          </w:tcPr>
          <w:p>
            <w:pPr>
              <w:pStyle w:val="TableContents"/>
              <w:spacing w:before="0" w:after="0"/>
              <w:ind w:left="0" w:right="0" w:hanging="0"/>
              <w:rPr/>
            </w:pPr>
            <w:r>
              <w:rPr/>
              <w:t> </w:t>
            </w:r>
          </w:p>
        </w:tc>
      </w:tr>
      <w:tr>
        <w:trPr/>
        <w:tc>
          <w:tcPr>
            <w:tcW w:w="38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Per Unit </w:t>
            </w:r>
          </w:p>
        </w:tc>
        <w:tc>
          <w:tcPr>
            <w:tcW w:w="213"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15"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0.36</w:t>
            </w:r>
          </w:p>
        </w:tc>
        <w:tc>
          <w:tcPr>
            <w:tcW w:w="215"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214"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215"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215"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215"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127" w:type="dxa"/>
            <w:tcBorders/>
            <w:shd w:fill="CCEEFF" w:val="clear"/>
            <w:vAlign w:val="bottom"/>
          </w:tcPr>
          <w:p>
            <w:pPr>
              <w:pStyle w:val="TableContents"/>
              <w:spacing w:before="0" w:after="0"/>
              <w:ind w:left="0" w:right="0" w:hanging="0"/>
              <w:rPr/>
            </w:pPr>
            <w:r>
              <w:rPr/>
              <w:t> </w:t>
            </w:r>
          </w:p>
        </w:tc>
      </w:tr>
      <w:tr>
        <w:trPr/>
        <w:tc>
          <w:tcPr>
            <w:tcW w:w="385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8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38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13" w:type="dxa"/>
            <w:tcBorders/>
            <w:shd w:fill="CCEEFF" w:val="clear"/>
            <w:vAlign w:val="bottom"/>
          </w:tcPr>
          <w:p>
            <w:pPr>
              <w:pStyle w:val="TableContents"/>
              <w:spacing w:before="0" w:after="0"/>
              <w:ind w:left="0" w:right="0" w:hanging="0"/>
              <w:rPr/>
            </w:pPr>
            <w:r>
              <w:rPr/>
              <w:t> </w:t>
            </w:r>
          </w:p>
        </w:tc>
        <w:tc>
          <w:tcPr>
            <w:tcW w:w="674"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80"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38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Weighted Average Units Outstanding </w:t>
            </w:r>
          </w:p>
        </w:tc>
        <w:tc>
          <w:tcPr>
            <w:tcW w:w="213"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4"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5"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15" w:type="dxa"/>
            <w:tcBorders/>
            <w:shd w:fill="auto" w:val="clear"/>
            <w:vAlign w:val="bottom"/>
          </w:tcPr>
          <w:p>
            <w:pPr>
              <w:pStyle w:val="TableContents"/>
              <w:spacing w:before="0" w:after="0"/>
              <w:ind w:left="0" w:right="0" w:hanging="0"/>
              <w:rPr/>
            </w:pPr>
            <w:r>
              <w:rPr/>
              <w:t> </w:t>
            </w:r>
          </w:p>
        </w:tc>
        <w:tc>
          <w:tcPr>
            <w:tcW w:w="6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27" w:type="dxa"/>
            <w:tcBorders/>
            <w:shd w:fill="auto" w:val="clear"/>
            <w:vAlign w:val="bottom"/>
          </w:tcPr>
          <w:p>
            <w:pPr>
              <w:pStyle w:val="TableContents"/>
              <w:spacing w:before="0" w:after="0"/>
              <w:ind w:left="0" w:right="0" w:hanging="0"/>
              <w:rPr/>
            </w:pPr>
            <w:r>
              <w:rPr/>
              <w:t> </w:t>
            </w:r>
          </w:p>
        </w:tc>
      </w:tr>
      <w:tr>
        <w:trPr/>
        <w:tc>
          <w:tcPr>
            <w:tcW w:w="38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Per Unit </w:t>
            </w:r>
          </w:p>
        </w:tc>
        <w:tc>
          <w:tcPr>
            <w:tcW w:w="213"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215"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0.36</w:t>
            </w:r>
          </w:p>
        </w:tc>
        <w:tc>
          <w:tcPr>
            <w:tcW w:w="215"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214"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215"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215"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215"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w:t>
            </w:r>
          </w:p>
        </w:tc>
        <w:tc>
          <w:tcPr>
            <w:tcW w:w="127" w:type="dxa"/>
            <w:tcBorders/>
            <w:shd w:fill="CCEEFF" w:val="clear"/>
            <w:vAlign w:val="bottom"/>
          </w:tcPr>
          <w:p>
            <w:pPr>
              <w:pStyle w:val="TableContents"/>
              <w:spacing w:before="0" w:after="0"/>
              <w:ind w:left="0" w:right="0" w:hanging="0"/>
              <w:rPr/>
            </w:pPr>
            <w:r>
              <w:rPr/>
              <w:t> </w:t>
            </w:r>
          </w:p>
        </w:tc>
      </w:tr>
      <w:tr>
        <w:trPr/>
        <w:tc>
          <w:tcPr>
            <w:tcW w:w="385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8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385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EBIT </w:t>
            </w:r>
          </w:p>
        </w:tc>
        <w:tc>
          <w:tcPr>
            <w:tcW w:w="213"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453</w:t>
            </w:r>
          </w:p>
        </w:tc>
        <w:tc>
          <w:tcPr>
            <w:tcW w:w="21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144</w:t>
            </w:r>
          </w:p>
        </w:tc>
        <w:tc>
          <w:tcPr>
            <w:tcW w:w="21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171</w:t>
            </w:r>
          </w:p>
        </w:tc>
        <w:tc>
          <w:tcPr>
            <w:tcW w:w="214"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174</w:t>
            </w:r>
          </w:p>
        </w:tc>
        <w:tc>
          <w:tcPr>
            <w:tcW w:w="21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201</w:t>
            </w:r>
          </w:p>
        </w:tc>
        <w:tc>
          <w:tcPr>
            <w:tcW w:w="21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771</w:t>
            </w:r>
          </w:p>
        </w:tc>
        <w:tc>
          <w:tcPr>
            <w:tcW w:w="215"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825</w:t>
            </w:r>
          </w:p>
        </w:tc>
        <w:tc>
          <w:tcPr>
            <w:tcW w:w="127" w:type="dxa"/>
            <w:tcBorders/>
            <w:shd w:fill="CCEEFF" w:val="clear"/>
            <w:vAlign w:val="bottom"/>
          </w:tcPr>
          <w:p>
            <w:pPr>
              <w:pStyle w:val="TableContents"/>
              <w:spacing w:before="0" w:after="0"/>
              <w:ind w:left="0" w:right="0" w:hanging="0"/>
              <w:rPr/>
            </w:pPr>
            <w:r>
              <w:rPr/>
              <w:t> </w:t>
            </w:r>
          </w:p>
        </w:tc>
      </w:tr>
      <w:tr>
        <w:trPr/>
        <w:tc>
          <w:tcPr>
            <w:tcW w:w="385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EBITDA </w:t>
            </w:r>
          </w:p>
        </w:tc>
        <w:tc>
          <w:tcPr>
            <w:tcW w:w="213"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5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567</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5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203</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5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228</w:t>
            </w:r>
          </w:p>
        </w:tc>
        <w:tc>
          <w:tcPr>
            <w:tcW w:w="214"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5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234</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5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259</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1,004</w:t>
            </w:r>
          </w:p>
        </w:tc>
        <w:tc>
          <w:tcPr>
            <w:tcW w:w="215"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1,054</w:t>
            </w:r>
          </w:p>
        </w:tc>
        <w:tc>
          <w:tcPr>
            <w:tcW w:w="127" w:type="dxa"/>
            <w:tcBorders/>
            <w:shd w:fill="auto" w:val="clear"/>
            <w:vAlign w:val="bottom"/>
          </w:tcPr>
          <w:p>
            <w:pPr>
              <w:pStyle w:val="TableContents"/>
              <w:spacing w:before="0" w:after="0"/>
              <w:ind w:left="0" w:right="0" w:hanging="0"/>
              <w:rPr/>
            </w:pPr>
            <w:r>
              <w:rPr/>
              <w:t> </w:t>
            </w:r>
          </w:p>
        </w:tc>
      </w:tr>
      <w:tr>
        <w:trPr/>
        <w:tc>
          <w:tcPr>
            <w:tcW w:w="385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21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2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385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w:t>
            </w:r>
          </w:p>
        </w:tc>
        <w:tc>
          <w:tcPr>
            <w:tcW w:w="213"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80" w:type="dxa"/>
            <w:gridSpan w:val="2"/>
            <w:tcBorders/>
            <w:shd w:fill="auto" w:val="clear"/>
            <w:vAlign w:val="bottom"/>
          </w:tcPr>
          <w:p>
            <w:pPr>
              <w:pStyle w:val="TableContents"/>
              <w:spacing w:before="0" w:after="0"/>
              <w:ind w:left="0" w:right="0" w:hanging="0"/>
              <w:jc w:val="right"/>
              <w:rPr/>
            </w:pPr>
            <w:r>
              <w:rPr/>
              <w:t> </w:t>
            </w:r>
          </w:p>
        </w:tc>
        <w:tc>
          <w:tcPr>
            <w:tcW w:w="12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5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Equity compensation charge </w:t>
            </w:r>
          </w:p>
        </w:tc>
        <w:tc>
          <w:tcPr>
            <w:tcW w:w="213"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2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5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Inventory valuation adjustments net of gains and losses from related derivative activities </w:t>
            </w:r>
          </w:p>
        </w:tc>
        <w:tc>
          <w:tcPr>
            <w:tcW w:w="213"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5" w:type="dxa"/>
            <w:tcBorders/>
            <w:shd w:fill="auto" w:val="clear"/>
            <w:vAlign w:val="bottom"/>
          </w:tcPr>
          <w:p>
            <w:pPr>
              <w:pStyle w:val="TableContents"/>
              <w:spacing w:before="0" w:after="0"/>
              <w:ind w:left="0" w:right="0" w:hanging="0"/>
              <w:rPr/>
            </w:pPr>
            <w:r>
              <w:rPr/>
              <w:t> </w:t>
            </w:r>
          </w:p>
        </w:tc>
        <w:tc>
          <w:tcPr>
            <w:tcW w:w="6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2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5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Gains / (losses) from other derivative activities </w:t>
            </w:r>
          </w:p>
        </w:tc>
        <w:tc>
          <w:tcPr>
            <w:tcW w:w="213" w:type="dxa"/>
            <w:tcBorders/>
            <w:shd w:fill="CCEEFF" w:val="clear"/>
            <w:vAlign w:val="bottom"/>
          </w:tcPr>
          <w:p>
            <w:pPr>
              <w:pStyle w:val="TableContents"/>
              <w:spacing w:before="0" w:after="0"/>
              <w:ind w:left="0" w:right="0" w:hanging="0"/>
              <w:rPr/>
            </w:pPr>
            <w:r>
              <w:rPr/>
              <w:t> </w:t>
            </w:r>
          </w:p>
        </w:tc>
        <w:tc>
          <w:tcPr>
            <w:tcW w:w="6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5" w:type="dxa"/>
            <w:tcBorders/>
            <w:shd w:fill="CCEEFF" w:val="clear"/>
            <w:vAlign w:val="bottom"/>
          </w:tcPr>
          <w:p>
            <w:pPr>
              <w:pStyle w:val="TableContents"/>
              <w:spacing w:before="0" w:after="0"/>
              <w:ind w:left="0" w:right="0" w:hanging="0"/>
              <w:rPr/>
            </w:pPr>
            <w:r>
              <w:rPr/>
              <w:t> </w:t>
            </w:r>
          </w:p>
        </w:tc>
        <w:tc>
          <w:tcPr>
            <w:tcW w:w="6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2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85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gain on foreign currency revaluation </w:t>
            </w:r>
          </w:p>
        </w:tc>
        <w:tc>
          <w:tcPr>
            <w:tcW w:w="213" w:type="dxa"/>
            <w:tcBorders/>
            <w:shd w:fill="auto" w:val="clear"/>
            <w:vAlign w:val="bottom"/>
          </w:tcPr>
          <w:p>
            <w:pPr>
              <w:pStyle w:val="TableContents"/>
              <w:spacing w:before="0" w:after="0"/>
              <w:ind w:left="0" w:right="0" w:hanging="0"/>
              <w:rPr/>
            </w:pPr>
            <w:r>
              <w:rPr/>
              <w:t> </w:t>
            </w:r>
          </w:p>
        </w:tc>
        <w:tc>
          <w:tcPr>
            <w:tcW w:w="6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5" w:type="dxa"/>
            <w:tcBorders/>
            <w:shd w:fill="auto" w:val="clear"/>
            <w:vAlign w:val="bottom"/>
          </w:tcPr>
          <w:p>
            <w:pPr>
              <w:pStyle w:val="TableContents"/>
              <w:spacing w:before="0" w:after="0"/>
              <w:ind w:left="0" w:right="0" w:hanging="0"/>
              <w:rPr/>
            </w:pPr>
            <w:r>
              <w:rPr/>
              <w:t> </w:t>
            </w:r>
          </w:p>
        </w:tc>
        <w:tc>
          <w:tcPr>
            <w:tcW w:w="6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57" w:type="dxa"/>
            <w:tcBorders>
              <w:left w:val="single" w:sz="8" w:space="0" w:color="000000"/>
            </w:tcBorders>
            <w:shd w:fill="CCEEFF" w:val="clear"/>
            <w:tcMar>
              <w:left w:w="28" w:type="dxa"/>
            </w:tcM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15"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2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857"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213"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27"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r>
        <w:trPr/>
        <w:tc>
          <w:tcPr>
            <w:tcW w:w="385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21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2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385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Excluding Selected Items Impacting Comparability</w:t>
            </w:r>
          </w:p>
        </w:tc>
        <w:tc>
          <w:tcPr>
            <w:tcW w:w="213"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680" w:type="dxa"/>
            <w:gridSpan w:val="2"/>
            <w:tcBorders/>
            <w:shd w:fill="auto" w:val="clear"/>
            <w:vAlign w:val="bottom"/>
          </w:tcPr>
          <w:p>
            <w:pPr>
              <w:pStyle w:val="TableContents"/>
              <w:spacing w:before="0" w:after="0"/>
              <w:ind w:left="0" w:right="0" w:hanging="0"/>
              <w:jc w:val="right"/>
              <w:rPr/>
            </w:pPr>
            <w:r>
              <w:rPr/>
              <w:t> </w:t>
            </w:r>
          </w:p>
        </w:tc>
        <w:tc>
          <w:tcPr>
            <w:tcW w:w="12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5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Segment Profit</w:t>
            </w:r>
          </w:p>
        </w:tc>
        <w:tc>
          <w:tcPr>
            <w:tcW w:w="213" w:type="dxa"/>
            <w:tcBorders/>
            <w:shd w:fill="CCEEFF" w:val="clear"/>
            <w:vAlign w:val="bottom"/>
          </w:tcPr>
          <w:p>
            <w:pPr>
              <w:pStyle w:val="TableContents"/>
              <w:spacing w:before="0" w:after="0"/>
              <w:ind w:left="0" w:right="0" w:hanging="0"/>
              <w:rPr/>
            </w:pPr>
            <w:r>
              <w:rPr/>
              <w:t> </w:t>
            </w:r>
          </w:p>
        </w:tc>
        <w:tc>
          <w:tcPr>
            <w:tcW w:w="674"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680" w:type="dxa"/>
            <w:gridSpan w:val="2"/>
            <w:tcBorders/>
            <w:shd w:fill="CCEEFF" w:val="clear"/>
            <w:vAlign w:val="bottom"/>
          </w:tcPr>
          <w:p>
            <w:pPr>
              <w:pStyle w:val="TableContents"/>
              <w:spacing w:before="0" w:after="0"/>
              <w:ind w:left="0" w:right="0" w:hanging="0"/>
              <w:jc w:val="right"/>
              <w:rPr/>
            </w:pPr>
            <w:r>
              <w:rPr/>
              <w:t> </w:t>
            </w:r>
          </w:p>
        </w:tc>
        <w:tc>
          <w:tcPr>
            <w:tcW w:w="12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85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Transportation </w:t>
            </w:r>
          </w:p>
        </w:tc>
        <w:tc>
          <w:tcPr>
            <w:tcW w:w="213"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239</w:t>
            </w:r>
          </w:p>
        </w:tc>
        <w:tc>
          <w:tcPr>
            <w:tcW w:w="215"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15"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4"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5"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15"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490</w:t>
            </w:r>
          </w:p>
        </w:tc>
        <w:tc>
          <w:tcPr>
            <w:tcW w:w="215"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12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5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w:t>
            </w:r>
          </w:p>
        </w:tc>
        <w:tc>
          <w:tcPr>
            <w:tcW w:w="213" w:type="dxa"/>
            <w:tcBorders/>
            <w:shd w:fill="CCEEFF" w:val="clear"/>
            <w:vAlign w:val="bottom"/>
          </w:tcPr>
          <w:p>
            <w:pPr>
              <w:pStyle w:val="TableContents"/>
              <w:spacing w:before="0" w:after="0"/>
              <w:ind w:left="0" w:right="0" w:hanging="0"/>
              <w:rPr/>
            </w:pPr>
            <w:r>
              <w:rPr/>
              <w:t> </w:t>
            </w:r>
          </w:p>
        </w:tc>
        <w:tc>
          <w:tcPr>
            <w:tcW w:w="6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4"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5"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215" w:type="dxa"/>
            <w:tcBorders/>
            <w:shd w:fill="CCEEFF" w:val="clear"/>
            <w:vAlign w:val="bottom"/>
          </w:tcPr>
          <w:p>
            <w:pPr>
              <w:pStyle w:val="TableContents"/>
              <w:spacing w:before="0" w:after="0"/>
              <w:ind w:left="0" w:right="0" w:hanging="0"/>
              <w:rPr/>
            </w:pPr>
            <w:r>
              <w:rPr/>
              <w:t> </w:t>
            </w:r>
          </w:p>
        </w:tc>
        <w:tc>
          <w:tcPr>
            <w:tcW w:w="6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12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85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Marketing </w:t>
            </w:r>
          </w:p>
        </w:tc>
        <w:tc>
          <w:tcPr>
            <w:tcW w:w="213"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4"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5"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15" w:type="dxa"/>
            <w:tcBorders/>
            <w:shd w:fill="auto" w:val="clear"/>
            <w:vAlign w:val="bottom"/>
          </w:tcPr>
          <w:p>
            <w:pPr>
              <w:pStyle w:val="TableContents"/>
              <w:spacing w:before="0" w:after="0"/>
              <w:ind w:left="0" w:right="0" w:hanging="0"/>
              <w:rPr/>
            </w:pPr>
            <w:r>
              <w:rPr/>
              <w:t> </w:t>
            </w:r>
          </w:p>
        </w:tc>
        <w:tc>
          <w:tcPr>
            <w:tcW w:w="6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12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5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Income (Expense), net </w:t>
            </w:r>
          </w:p>
        </w:tc>
        <w:tc>
          <w:tcPr>
            <w:tcW w:w="213" w:type="dxa"/>
            <w:tcBorders/>
            <w:shd w:fill="CCEEFF" w:val="clear"/>
            <w:vAlign w:val="bottom"/>
          </w:tcPr>
          <w:p>
            <w:pPr>
              <w:pStyle w:val="TableContents"/>
              <w:spacing w:before="0" w:after="0"/>
              <w:ind w:left="0" w:right="0" w:hanging="0"/>
              <w:rPr/>
            </w:pPr>
            <w:r>
              <w:rPr/>
              <w:t> </w:t>
            </w:r>
          </w:p>
        </w:tc>
        <w:tc>
          <w:tcPr>
            <w:tcW w:w="6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5" w:type="dxa"/>
            <w:tcBorders/>
            <w:shd w:fill="CCEEFF" w:val="clear"/>
            <w:vAlign w:val="bottom"/>
          </w:tcPr>
          <w:p>
            <w:pPr>
              <w:pStyle w:val="TableContents"/>
              <w:spacing w:before="0" w:after="0"/>
              <w:ind w:left="0" w:right="0" w:hanging="0"/>
              <w:rPr/>
            </w:pPr>
            <w:r>
              <w:rPr/>
              <w:t> </w:t>
            </w:r>
          </w:p>
        </w:tc>
        <w:tc>
          <w:tcPr>
            <w:tcW w:w="6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85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EBITDA </w:t>
            </w:r>
          </w:p>
        </w:tc>
        <w:tc>
          <w:tcPr>
            <w:tcW w:w="213"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512</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14"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962</w:t>
            </w:r>
          </w:p>
        </w:tc>
        <w:tc>
          <w:tcPr>
            <w:tcW w:w="215"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1,012</w:t>
            </w:r>
          </w:p>
        </w:tc>
        <w:tc>
          <w:tcPr>
            <w:tcW w:w="12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5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Net Income </w:t>
            </w:r>
          </w:p>
        </w:tc>
        <w:tc>
          <w:tcPr>
            <w:tcW w:w="213"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1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14"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1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499</w:t>
            </w:r>
          </w:p>
        </w:tc>
        <w:tc>
          <w:tcPr>
            <w:tcW w:w="215"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12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85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Basic Net Income per Limited Partner Unit </w:t>
            </w:r>
          </w:p>
        </w:tc>
        <w:tc>
          <w:tcPr>
            <w:tcW w:w="213"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0.41</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0.63</w:t>
            </w:r>
          </w:p>
        </w:tc>
        <w:tc>
          <w:tcPr>
            <w:tcW w:w="214"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0.62</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0.84</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w:t>
            </w:r>
          </w:p>
        </w:tc>
        <w:tc>
          <w:tcPr>
            <w:tcW w:w="215"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3.24</w:t>
            </w:r>
          </w:p>
        </w:tc>
        <w:tc>
          <w:tcPr>
            <w:tcW w:w="12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5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Diluted Net Income per Limited Partner Unit </w:t>
            </w:r>
          </w:p>
        </w:tc>
        <w:tc>
          <w:tcPr>
            <w:tcW w:w="213"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1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0.41</w:t>
            </w:r>
          </w:p>
        </w:tc>
        <w:tc>
          <w:tcPr>
            <w:tcW w:w="21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0.63</w:t>
            </w:r>
          </w:p>
        </w:tc>
        <w:tc>
          <w:tcPr>
            <w:tcW w:w="214"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0.62</w:t>
            </w:r>
          </w:p>
        </w:tc>
        <w:tc>
          <w:tcPr>
            <w:tcW w:w="21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0.83</w:t>
            </w:r>
          </w:p>
        </w:tc>
        <w:tc>
          <w:tcPr>
            <w:tcW w:w="21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215"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12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857"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213"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16"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558" w:type="dxa"/>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556" w:type="dxa"/>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556" w:type="dxa"/>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556" w:type="dxa"/>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556" w:type="dxa"/>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566" w:type="dxa"/>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1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566" w:type="dxa"/>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27"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4950" w:type="pct"/>
        <w:jc w:val="left"/>
        <w:tblInd w:w="0" w:type="dxa"/>
        <w:tblCellMar>
          <w:top w:w="0" w:type="dxa"/>
          <w:left w:w="0" w:type="dxa"/>
          <w:bottom w:w="0" w:type="dxa"/>
          <w:right w:w="0" w:type="dxa"/>
        </w:tblCellMar>
      </w:tblPr>
      <w:tblGrid>
        <w:gridCol w:w="343"/>
        <w:gridCol w:w="9759"/>
      </w:tblGrid>
      <w:tr>
        <w:trPr/>
        <w:tc>
          <w:tcPr>
            <w:tcW w:w="343"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7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projected average foreign exchange rate was based on actual rates for July 2009 and $1.15 CAD to $1 USD for the remainder of 2009. The rate as of August 4, 2009 was $1.07 CAD to $1 USD. A $0.10 change in the foreign exchange rate will impact forecasted EBITDA by approximately $6 million.</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Notes and Significant Assumptions: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i/>
          <w:sz w:val="17"/>
        </w:rPr>
        <w:t>Definitions.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370"/>
        <w:gridCol w:w="7835"/>
      </w:tblGrid>
      <w:tr>
        <w:trPr/>
        <w:tc>
          <w:tcPr>
            <w:tcW w:w="23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23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23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as applicable) less field operating costs and segment general and administrative expenses</w:t>
            </w:r>
          </w:p>
        </w:tc>
      </w:tr>
      <w:tr>
        <w:trPr/>
        <w:tc>
          <w:tcPr>
            <w:tcW w:w="23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Bbls/d</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23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23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23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Liquefied petroleum gas and other natural gas-related petroleum products (primarily propane and butane)</w:t>
            </w:r>
          </w:p>
        </w:tc>
      </w:tr>
      <w:tr>
        <w:trPr/>
        <w:tc>
          <w:tcPr>
            <w:tcW w:w="23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r>
        <w:trPr/>
        <w:tc>
          <w:tcPr>
            <w:tcW w:w="23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 (GP)</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the context requires, general partner refers to any or all of (i) PAA GP LLC, the owner of our 2% general partner interest, (ii) Plains AAP, L.P., the sole member of PAA GP LLC and owner of our incentive distribution rights and (iii) Plains All American GP LLC, the general partner of Plains AAP, L.P.</w:t>
            </w:r>
          </w:p>
        </w:tc>
      </w:tr>
      <w:tr>
        <w:trPr/>
        <w:tc>
          <w:tcPr>
            <w:tcW w:w="23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 B units</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 B units of Plains AAP, L.P.</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i/>
          <w:sz w:val="17"/>
        </w:rPr>
        <w:t>Business Segments</w:t>
      </w:r>
      <w:r>
        <w:rPr>
          <w:rFonts w:ascii="Times New Roman" w:hAnsi="Times New Roman"/>
          <w:sz w:val="17"/>
        </w:rPr>
        <w:t>.  We manage our operations through three operating segments: (i) Transportation, (ii) Facilities and (iii) Marketing. The following is a brief explanation of the operating activities for each segment as well as key metrics.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Transportation.</w:t>
      </w:r>
      <w:r>
        <w:rPr>
          <w:rFonts w:ascii="Times New Roman" w:hAnsi="Times New Roman"/>
        </w:rPr>
        <w:t xml:space="preserve">   </w:t>
      </w:r>
      <w:r>
        <w:rPr>
          <w:rFonts w:ascii="Times New Roman" w:hAnsi="Times New Roman"/>
          <w:sz w:val="17"/>
        </w:rPr>
        <w:t>Our transportation segment operations generally consist of fee-based activities associated with transporting crude oil and refined products on pipelines, gathering systems, trucks and barges. We generate revenue through a combination of tariffs, third-party leases of pipeline capacity and transportation fees. We also include in this segment our equity earnings from our investment in the Butte and Frontier pipeline systems and Settoon Towing, in which we own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 volume estimates are based on historical trends, anticipated future operating performance and completion of internal growth projects. Volumes are influenced by maintenance schedules at refineries, production declines, weather and other natural disasters including hurricanes, changes in the quantity of inventory held in tanks, and other external factors beyond our control. Segment profit is forecast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total pipeline volumes and highlights major systems that are significant either in total volumes transported or in contribution to total transportation segment profit.</w:t>
      </w:r>
    </w:p>
    <w:p>
      <w:pPr>
        <w:pStyle w:val="TextBody"/>
        <w:spacing w:before="0" w:after="0"/>
        <w:ind w:left="0" w:right="0" w:hanging="0"/>
        <w:rPr/>
      </w:pPr>
      <w:r>
        <w:rPr/>
        <w:t> </w:t>
      </w:r>
    </w:p>
    <w:tbl>
      <w:tblPr>
        <w:tblW w:w="4500" w:type="pct"/>
        <w:jc w:val="left"/>
        <w:tblInd w:w="0" w:type="dxa"/>
        <w:tblCellMar>
          <w:top w:w="0" w:type="dxa"/>
          <w:left w:w="0" w:type="dxa"/>
          <w:bottom w:w="0" w:type="dxa"/>
          <w:right w:w="0" w:type="dxa"/>
        </w:tblCellMar>
      </w:tblPr>
      <w:tblGrid>
        <w:gridCol w:w="3537"/>
        <w:gridCol w:w="176"/>
        <w:gridCol w:w="160"/>
        <w:gridCol w:w="857"/>
        <w:gridCol w:w="176"/>
        <w:gridCol w:w="216"/>
        <w:gridCol w:w="1039"/>
        <w:gridCol w:w="212"/>
        <w:gridCol w:w="216"/>
        <w:gridCol w:w="1006"/>
        <w:gridCol w:w="212"/>
        <w:gridCol w:w="230"/>
        <w:gridCol w:w="993"/>
        <w:gridCol w:w="154"/>
      </w:tblGrid>
      <w:tr>
        <w:trPr/>
        <w:tc>
          <w:tcPr>
            <w:tcW w:w="3537"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101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76" w:type="dxa"/>
            <w:tcBorders/>
            <w:shd w:fill="auto" w:val="clear"/>
            <w:vAlign w:val="bottom"/>
          </w:tcPr>
          <w:p>
            <w:pPr>
              <w:pStyle w:val="TableContents"/>
              <w:spacing w:before="0" w:after="0"/>
              <w:ind w:left="0" w:right="0" w:hanging="0"/>
              <w:jc w:val="center"/>
              <w:rPr/>
            </w:pPr>
            <w:r>
              <w:rPr/>
              <w:t> </w:t>
            </w:r>
          </w:p>
        </w:tc>
        <w:tc>
          <w:tcPr>
            <w:tcW w:w="412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 Guidance</w:t>
            </w:r>
          </w:p>
        </w:tc>
        <w:tc>
          <w:tcPr>
            <w:tcW w:w="154" w:type="dxa"/>
            <w:tcBorders/>
            <w:shd w:fill="auto" w:val="clear"/>
            <w:vAlign w:val="bottom"/>
          </w:tcPr>
          <w:p>
            <w:pPr>
              <w:pStyle w:val="TableContents"/>
              <w:spacing w:before="0" w:after="0"/>
              <w:ind w:left="0" w:right="0" w:hanging="0"/>
              <w:jc w:val="center"/>
              <w:rPr/>
            </w:pPr>
            <w:r>
              <w:rPr/>
              <w:t> </w:t>
            </w:r>
          </w:p>
        </w:tc>
      </w:tr>
      <w:tr>
        <w:trPr/>
        <w:tc>
          <w:tcPr>
            <w:tcW w:w="3537"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101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76" w:type="dxa"/>
            <w:tcBorders/>
            <w:shd w:fill="auto" w:val="clear"/>
            <w:vAlign w:val="bottom"/>
          </w:tcPr>
          <w:p>
            <w:pPr>
              <w:pStyle w:val="TableContents"/>
              <w:spacing w:before="0" w:after="0"/>
              <w:ind w:left="0" w:right="0" w:hanging="0"/>
              <w:jc w:val="center"/>
              <w:rPr/>
            </w:pPr>
            <w:r>
              <w:rPr/>
              <w:t> </w:t>
            </w:r>
          </w:p>
        </w:tc>
        <w:tc>
          <w:tcPr>
            <w:tcW w:w="125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54" w:type="dxa"/>
            <w:tcBorders/>
            <w:shd w:fill="auto" w:val="clear"/>
            <w:vAlign w:val="bottom"/>
          </w:tcPr>
          <w:p>
            <w:pPr>
              <w:pStyle w:val="TableContents"/>
              <w:spacing w:before="0" w:after="0"/>
              <w:ind w:left="0" w:right="0" w:hanging="0"/>
              <w:jc w:val="center"/>
              <w:rPr/>
            </w:pPr>
            <w:r>
              <w:rPr/>
              <w:t> </w:t>
            </w:r>
          </w:p>
        </w:tc>
      </w:tr>
      <w:tr>
        <w:trPr/>
        <w:tc>
          <w:tcPr>
            <w:tcW w:w="3537"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101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76" w:type="dxa"/>
            <w:tcBorders/>
            <w:shd w:fill="auto" w:val="clear"/>
            <w:vAlign w:val="bottom"/>
          </w:tcPr>
          <w:p>
            <w:pPr>
              <w:pStyle w:val="TableContents"/>
              <w:spacing w:before="0" w:after="0"/>
              <w:ind w:left="0" w:right="0" w:hanging="0"/>
              <w:jc w:val="center"/>
              <w:rPr/>
            </w:pPr>
            <w:r>
              <w:rPr/>
              <w:t> </w:t>
            </w:r>
          </w:p>
        </w:tc>
        <w:tc>
          <w:tcPr>
            <w:tcW w:w="125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2" w:type="dxa"/>
            <w:tcBorders/>
            <w:shd w:fill="auto" w:val="clear"/>
            <w:vAlign w:val="bottom"/>
          </w:tcPr>
          <w:p>
            <w:pPr>
              <w:pStyle w:val="TableContents"/>
              <w:spacing w:before="0" w:after="0"/>
              <w:ind w:left="0" w:right="0" w:hanging="0"/>
              <w:jc w:val="center"/>
              <w:rPr/>
            </w:pPr>
            <w:r>
              <w:rPr/>
              <w:t> </w:t>
            </w:r>
          </w:p>
        </w:tc>
        <w:tc>
          <w:tcPr>
            <w:tcW w:w="122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2" w:type="dxa"/>
            <w:tcBorders/>
            <w:shd w:fill="auto" w:val="clear"/>
            <w:vAlign w:val="bottom"/>
          </w:tcPr>
          <w:p>
            <w:pPr>
              <w:pStyle w:val="TableContents"/>
              <w:spacing w:before="0" w:after="0"/>
              <w:ind w:left="0" w:right="0" w:hanging="0"/>
              <w:jc w:val="center"/>
              <w:rPr/>
            </w:pPr>
            <w:r>
              <w:rPr/>
              <w:t> </w:t>
            </w:r>
          </w:p>
        </w:tc>
        <w:tc>
          <w:tcPr>
            <w:tcW w:w="122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54" w:type="dxa"/>
            <w:tcBorders/>
            <w:shd w:fill="auto" w:val="clear"/>
            <w:vAlign w:val="bottom"/>
          </w:tcPr>
          <w:p>
            <w:pPr>
              <w:pStyle w:val="TableContents"/>
              <w:spacing w:before="0" w:after="0"/>
              <w:ind w:left="0" w:right="0" w:hanging="0"/>
              <w:jc w:val="center"/>
              <w:rPr/>
            </w:pPr>
            <w:r>
              <w:rPr/>
              <w:t> </w:t>
            </w:r>
          </w:p>
        </w:tc>
      </w:tr>
      <w:tr>
        <w:trPr/>
        <w:tc>
          <w:tcPr>
            <w:tcW w:w="3537"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10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76" w:type="dxa"/>
            <w:tcBorders/>
            <w:shd w:fill="auto" w:val="clear"/>
            <w:vAlign w:val="bottom"/>
          </w:tcPr>
          <w:p>
            <w:pPr>
              <w:pStyle w:val="TableContents"/>
              <w:spacing w:before="0" w:after="0"/>
              <w:ind w:left="0" w:right="0" w:hanging="0"/>
              <w:jc w:val="center"/>
              <w:rPr/>
            </w:pPr>
            <w:r>
              <w:rPr/>
              <w:t> </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2" w:type="dxa"/>
            <w:tcBorders/>
            <w:shd w:fill="auto" w:val="clear"/>
            <w:vAlign w:val="bottom"/>
          </w:tcPr>
          <w:p>
            <w:pPr>
              <w:pStyle w:val="TableContents"/>
              <w:spacing w:before="0" w:after="0"/>
              <w:ind w:left="0" w:right="0" w:hanging="0"/>
              <w:jc w:val="center"/>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2" w:type="dxa"/>
            <w:tcBorders/>
            <w:shd w:fill="auto" w:val="clear"/>
            <w:vAlign w:val="bottom"/>
          </w:tcPr>
          <w:p>
            <w:pPr>
              <w:pStyle w:val="TableContents"/>
              <w:spacing w:before="0" w:after="0"/>
              <w:ind w:left="0" w:right="0" w:hanging="0"/>
              <w:jc w:val="center"/>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54" w:type="dxa"/>
            <w:tcBorders/>
            <w:shd w:fill="auto" w:val="clear"/>
            <w:vAlign w:val="bottom"/>
          </w:tcPr>
          <w:p>
            <w:pPr>
              <w:pStyle w:val="TableContents"/>
              <w:spacing w:before="0" w:after="0"/>
              <w:ind w:left="0" w:right="0" w:hanging="0"/>
              <w:jc w:val="center"/>
              <w:rPr/>
            </w:pPr>
            <w:r>
              <w:rPr/>
              <w:t> </w:t>
            </w:r>
          </w:p>
        </w:tc>
      </w:tr>
      <w:tr>
        <w:trPr/>
        <w:tc>
          <w:tcPr>
            <w:tcW w:w="35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Average Daily Volumes (000 Bbls/d)</w:t>
            </w:r>
          </w:p>
        </w:tc>
        <w:tc>
          <w:tcPr>
            <w:tcW w:w="176" w:type="dxa"/>
            <w:tcBorders/>
            <w:shd w:fill="CCEEFF" w:val="clear"/>
            <w:vAlign w:val="bottom"/>
          </w:tcPr>
          <w:p>
            <w:pPr>
              <w:pStyle w:val="TableContents"/>
              <w:spacing w:before="0" w:after="0"/>
              <w:ind w:left="0" w:right="0" w:hanging="0"/>
              <w:rPr/>
            </w:pPr>
            <w:r>
              <w:rPr/>
              <w:t> </w:t>
            </w:r>
          </w:p>
        </w:tc>
        <w:tc>
          <w:tcPr>
            <w:tcW w:w="1017" w:type="dxa"/>
            <w:gridSpan w:val="2"/>
            <w:tcBorders/>
            <w:shd w:fill="CCEEFF" w:val="clear"/>
            <w:vAlign w:val="bottom"/>
          </w:tcPr>
          <w:p>
            <w:pPr>
              <w:pStyle w:val="TableContents"/>
              <w:spacing w:before="0" w:after="0"/>
              <w:ind w:left="0" w:right="0" w:hanging="0"/>
              <w:jc w:val="right"/>
              <w:rPr/>
            </w:pPr>
            <w:r>
              <w:rPr/>
              <w:t> </w:t>
            </w:r>
          </w:p>
        </w:tc>
        <w:tc>
          <w:tcPr>
            <w:tcW w:w="176"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pPr>
            <w:r>
              <w:rPr/>
              <w:t> </w:t>
            </w:r>
          </w:p>
        </w:tc>
        <w:tc>
          <w:tcPr>
            <w:tcW w:w="154" w:type="dxa"/>
            <w:tcBorders/>
            <w:shd w:fill="CCEEFF" w:val="clear"/>
            <w:vAlign w:val="bottom"/>
          </w:tcPr>
          <w:p>
            <w:pPr>
              <w:pStyle w:val="TableContents"/>
              <w:spacing w:before="0" w:after="0"/>
              <w:ind w:left="0" w:right="0" w:hanging="0"/>
              <w:rPr/>
            </w:pPr>
            <w:r>
              <w:rPr/>
              <w:t> </w:t>
            </w:r>
          </w:p>
        </w:tc>
      </w:tr>
      <w:tr>
        <w:trPr/>
        <w:tc>
          <w:tcPr>
            <w:tcW w:w="35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176" w:type="dxa"/>
            <w:tcBorders/>
            <w:shd w:fill="auto" w:val="clear"/>
            <w:vAlign w:val="bottom"/>
          </w:tcPr>
          <w:p>
            <w:pPr>
              <w:pStyle w:val="TableContents"/>
              <w:spacing w:before="0" w:after="0"/>
              <w:ind w:left="0" w:right="0" w:hanging="0"/>
              <w:rPr/>
            </w:pPr>
            <w:r>
              <w:rPr/>
              <w:t> </w:t>
            </w:r>
          </w:p>
        </w:tc>
        <w:tc>
          <w:tcPr>
            <w:tcW w:w="10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76"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12"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12"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54" w:type="dxa"/>
            <w:tcBorders/>
            <w:shd w:fill="auto" w:val="clear"/>
            <w:vAlign w:val="bottom"/>
          </w:tcPr>
          <w:p>
            <w:pPr>
              <w:pStyle w:val="TableContents"/>
              <w:spacing w:before="0" w:after="0"/>
              <w:ind w:left="0" w:right="0" w:hanging="0"/>
              <w:rPr/>
            </w:pPr>
            <w:r>
              <w:rPr/>
              <w:t> </w:t>
            </w:r>
          </w:p>
        </w:tc>
      </w:tr>
      <w:tr>
        <w:trPr/>
        <w:tc>
          <w:tcPr>
            <w:tcW w:w="35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176" w:type="dxa"/>
            <w:tcBorders/>
            <w:shd w:fill="CCEEFF" w:val="clear"/>
            <w:vAlign w:val="bottom"/>
          </w:tcPr>
          <w:p>
            <w:pPr>
              <w:pStyle w:val="TableContents"/>
              <w:spacing w:before="0" w:after="0"/>
              <w:ind w:left="0" w:right="0" w:hanging="0"/>
              <w:rPr/>
            </w:pPr>
            <w:r>
              <w:rPr/>
              <w:t> </w:t>
            </w:r>
          </w:p>
        </w:tc>
        <w:tc>
          <w:tcPr>
            <w:tcW w:w="10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417</w:t>
            </w:r>
          </w:p>
        </w:tc>
        <w:tc>
          <w:tcPr>
            <w:tcW w:w="176"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12"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212"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398</w:t>
            </w:r>
          </w:p>
        </w:tc>
        <w:tc>
          <w:tcPr>
            <w:tcW w:w="154" w:type="dxa"/>
            <w:tcBorders/>
            <w:shd w:fill="CCEEFF" w:val="clear"/>
            <w:vAlign w:val="bottom"/>
          </w:tcPr>
          <w:p>
            <w:pPr>
              <w:pStyle w:val="TableContents"/>
              <w:spacing w:before="0" w:after="0"/>
              <w:ind w:left="0" w:right="0" w:hanging="0"/>
              <w:rPr/>
            </w:pPr>
            <w:r>
              <w:rPr/>
              <w:t> </w:t>
            </w:r>
          </w:p>
        </w:tc>
      </w:tr>
      <w:tr>
        <w:trPr/>
        <w:tc>
          <w:tcPr>
            <w:tcW w:w="35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176" w:type="dxa"/>
            <w:tcBorders/>
            <w:shd w:fill="auto" w:val="clear"/>
            <w:vAlign w:val="bottom"/>
          </w:tcPr>
          <w:p>
            <w:pPr>
              <w:pStyle w:val="TableContents"/>
              <w:spacing w:before="0" w:after="0"/>
              <w:ind w:left="0" w:right="0" w:hanging="0"/>
              <w:rPr/>
            </w:pPr>
            <w:r>
              <w:rPr/>
              <w:t> </w:t>
            </w:r>
          </w:p>
        </w:tc>
        <w:tc>
          <w:tcPr>
            <w:tcW w:w="10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176"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12"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12"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154" w:type="dxa"/>
            <w:tcBorders/>
            <w:shd w:fill="auto" w:val="clear"/>
            <w:vAlign w:val="bottom"/>
          </w:tcPr>
          <w:p>
            <w:pPr>
              <w:pStyle w:val="TableContents"/>
              <w:spacing w:before="0" w:after="0"/>
              <w:ind w:left="0" w:right="0" w:hanging="0"/>
              <w:rPr/>
            </w:pPr>
            <w:r>
              <w:rPr/>
              <w:t> </w:t>
            </w:r>
          </w:p>
        </w:tc>
      </w:tr>
      <w:tr>
        <w:trPr/>
        <w:tc>
          <w:tcPr>
            <w:tcW w:w="35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 / 2000</w:t>
            </w:r>
          </w:p>
        </w:tc>
        <w:tc>
          <w:tcPr>
            <w:tcW w:w="176" w:type="dxa"/>
            <w:tcBorders/>
            <w:shd w:fill="CCEEFF" w:val="clear"/>
            <w:vAlign w:val="bottom"/>
          </w:tcPr>
          <w:p>
            <w:pPr>
              <w:pStyle w:val="TableContents"/>
              <w:spacing w:before="0" w:after="0"/>
              <w:ind w:left="0" w:right="0" w:hanging="0"/>
              <w:rPr/>
            </w:pPr>
            <w:r>
              <w:rPr/>
              <w:t> </w:t>
            </w:r>
          </w:p>
        </w:tc>
        <w:tc>
          <w:tcPr>
            <w:tcW w:w="10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76"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12"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2"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54" w:type="dxa"/>
            <w:tcBorders/>
            <w:shd w:fill="CCEEFF" w:val="clear"/>
            <w:vAlign w:val="bottom"/>
          </w:tcPr>
          <w:p>
            <w:pPr>
              <w:pStyle w:val="TableContents"/>
              <w:spacing w:before="0" w:after="0"/>
              <w:ind w:left="0" w:right="0" w:hanging="0"/>
              <w:rPr/>
            </w:pPr>
            <w:r>
              <w:rPr/>
              <w:t> </w:t>
            </w:r>
          </w:p>
        </w:tc>
      </w:tr>
      <w:tr>
        <w:trPr/>
        <w:tc>
          <w:tcPr>
            <w:tcW w:w="3537" w:type="dxa"/>
            <w:tcBorders/>
            <w:shd w:fill="auto" w:val="clear"/>
            <w:vAlign w:val="bottom"/>
          </w:tcPr>
          <w:p>
            <w:pPr>
              <w:pStyle w:val="TableContents"/>
              <w:spacing w:before="0" w:after="0"/>
              <w:ind w:left="0" w:right="0" w:hanging="0"/>
              <w:rPr/>
            </w:pPr>
            <w:r>
              <w:rPr>
                <w:rFonts w:ascii="Times New Roman" w:hAnsi="Times New Roman"/>
                <w:sz w:val="17"/>
              </w:rPr>
              <w:t xml:space="preserve">Salt Lake City Area Systems </w:t>
            </w:r>
            <w:r>
              <w:rPr>
                <w:sz w:val="11"/>
              </w:rPr>
              <w:t>(1)</w:t>
            </w:r>
          </w:p>
        </w:tc>
        <w:tc>
          <w:tcPr>
            <w:tcW w:w="176" w:type="dxa"/>
            <w:tcBorders/>
            <w:shd w:fill="auto" w:val="clear"/>
            <w:vAlign w:val="bottom"/>
          </w:tcPr>
          <w:p>
            <w:pPr>
              <w:pStyle w:val="TableContents"/>
              <w:spacing w:before="0" w:after="0"/>
              <w:ind w:left="0" w:right="0" w:hanging="0"/>
              <w:rPr/>
            </w:pPr>
            <w:r>
              <w:rPr/>
              <w:t> </w:t>
            </w:r>
          </w:p>
        </w:tc>
        <w:tc>
          <w:tcPr>
            <w:tcW w:w="10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76"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12"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12"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54" w:type="dxa"/>
            <w:tcBorders/>
            <w:shd w:fill="auto" w:val="clear"/>
            <w:vAlign w:val="bottom"/>
          </w:tcPr>
          <w:p>
            <w:pPr>
              <w:pStyle w:val="TableContents"/>
              <w:spacing w:before="0" w:after="0"/>
              <w:ind w:left="0" w:right="0" w:hanging="0"/>
              <w:rPr/>
            </w:pPr>
            <w:r>
              <w:rPr/>
              <w:t> </w:t>
            </w:r>
          </w:p>
        </w:tc>
      </w:tr>
      <w:tr>
        <w:trPr/>
        <w:tc>
          <w:tcPr>
            <w:tcW w:w="3537" w:type="dxa"/>
            <w:tcBorders/>
            <w:shd w:fill="CCEEFF" w:val="clear"/>
            <w:vAlign w:val="bottom"/>
          </w:tcPr>
          <w:p>
            <w:pPr>
              <w:pStyle w:val="TableContents"/>
              <w:spacing w:before="0" w:after="0"/>
              <w:ind w:left="0" w:right="0" w:hanging="0"/>
              <w:rPr/>
            </w:pPr>
            <w:r>
              <w:rPr>
                <w:rFonts w:ascii="Times New Roman" w:hAnsi="Times New Roman"/>
                <w:sz w:val="17"/>
              </w:rPr>
              <w:t xml:space="preserve">West Texas / New Mexico Area Systems </w:t>
            </w:r>
            <w:r>
              <w:rPr>
                <w:sz w:val="11"/>
              </w:rPr>
              <w:t>(1)</w:t>
            </w:r>
          </w:p>
        </w:tc>
        <w:tc>
          <w:tcPr>
            <w:tcW w:w="176" w:type="dxa"/>
            <w:tcBorders/>
            <w:shd w:fill="CCEEFF" w:val="clear"/>
            <w:vAlign w:val="bottom"/>
          </w:tcPr>
          <w:p>
            <w:pPr>
              <w:pStyle w:val="TableContents"/>
              <w:spacing w:before="0" w:after="0"/>
              <w:ind w:left="0" w:right="0" w:hanging="0"/>
              <w:rPr/>
            </w:pPr>
            <w:r>
              <w:rPr/>
              <w:t> </w:t>
            </w:r>
          </w:p>
        </w:tc>
        <w:tc>
          <w:tcPr>
            <w:tcW w:w="10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384</w:t>
            </w:r>
          </w:p>
        </w:tc>
        <w:tc>
          <w:tcPr>
            <w:tcW w:w="176"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212"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212"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w:t>
            </w:r>
          </w:p>
        </w:tc>
        <w:tc>
          <w:tcPr>
            <w:tcW w:w="154" w:type="dxa"/>
            <w:tcBorders/>
            <w:shd w:fill="CCEEFF" w:val="clear"/>
            <w:vAlign w:val="bottom"/>
          </w:tcPr>
          <w:p>
            <w:pPr>
              <w:pStyle w:val="TableContents"/>
              <w:spacing w:before="0" w:after="0"/>
              <w:ind w:left="0" w:right="0" w:hanging="0"/>
              <w:rPr/>
            </w:pPr>
            <w:r>
              <w:rPr/>
              <w:t> </w:t>
            </w:r>
          </w:p>
        </w:tc>
      </w:tr>
      <w:tr>
        <w:trPr/>
        <w:tc>
          <w:tcPr>
            <w:tcW w:w="35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176" w:type="dxa"/>
            <w:tcBorders/>
            <w:shd w:fill="auto" w:val="clear"/>
            <w:vAlign w:val="bottom"/>
          </w:tcPr>
          <w:p>
            <w:pPr>
              <w:pStyle w:val="TableContents"/>
              <w:spacing w:before="0" w:after="0"/>
              <w:ind w:left="0" w:right="0" w:hanging="0"/>
              <w:rPr/>
            </w:pPr>
            <w:r>
              <w:rPr/>
              <w:t> </w:t>
            </w:r>
          </w:p>
        </w:tc>
        <w:tc>
          <w:tcPr>
            <w:tcW w:w="10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w:t>
            </w:r>
          </w:p>
        </w:tc>
        <w:tc>
          <w:tcPr>
            <w:tcW w:w="176"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12"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12"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154" w:type="dxa"/>
            <w:tcBorders/>
            <w:shd w:fill="auto" w:val="clear"/>
            <w:vAlign w:val="bottom"/>
          </w:tcPr>
          <w:p>
            <w:pPr>
              <w:pStyle w:val="TableContents"/>
              <w:spacing w:before="0" w:after="0"/>
              <w:ind w:left="0" w:right="0" w:hanging="0"/>
              <w:rPr/>
            </w:pPr>
            <w:r>
              <w:rPr/>
              <w:t> </w:t>
            </w:r>
          </w:p>
        </w:tc>
      </w:tr>
      <w:tr>
        <w:trPr/>
        <w:tc>
          <w:tcPr>
            <w:tcW w:w="35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176" w:type="dxa"/>
            <w:tcBorders/>
            <w:shd w:fill="CCEEFF" w:val="clear"/>
            <w:vAlign w:val="bottom"/>
          </w:tcPr>
          <w:p>
            <w:pPr>
              <w:pStyle w:val="TableContents"/>
              <w:spacing w:before="0" w:after="0"/>
              <w:ind w:left="0" w:right="0" w:hanging="0"/>
              <w:rPr/>
            </w:pPr>
            <w:r>
              <w:rPr/>
              <w:t> </w:t>
            </w:r>
          </w:p>
        </w:tc>
        <w:tc>
          <w:tcPr>
            <w:tcW w:w="10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76"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2"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2"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54" w:type="dxa"/>
            <w:tcBorders/>
            <w:shd w:fill="CCEEFF" w:val="clear"/>
            <w:vAlign w:val="bottom"/>
          </w:tcPr>
          <w:p>
            <w:pPr>
              <w:pStyle w:val="TableContents"/>
              <w:spacing w:before="0" w:after="0"/>
              <w:ind w:left="0" w:right="0" w:hanging="0"/>
              <w:rPr/>
            </w:pPr>
            <w:r>
              <w:rPr/>
              <w:t> </w:t>
            </w:r>
          </w:p>
        </w:tc>
      </w:tr>
      <w:tr>
        <w:trPr/>
        <w:tc>
          <w:tcPr>
            <w:tcW w:w="35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176" w:type="dxa"/>
            <w:tcBorders/>
            <w:shd w:fill="auto" w:val="clear"/>
            <w:vAlign w:val="bottom"/>
          </w:tcPr>
          <w:p>
            <w:pPr>
              <w:pStyle w:val="TableContents"/>
              <w:spacing w:before="0" w:after="0"/>
              <w:ind w:left="0" w:right="0" w:hanging="0"/>
              <w:rPr/>
            </w:pPr>
            <w:r>
              <w:rPr/>
              <w:t> </w:t>
            </w:r>
          </w:p>
        </w:tc>
        <w:tc>
          <w:tcPr>
            <w:tcW w:w="10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76"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2"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2"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54" w:type="dxa"/>
            <w:tcBorders/>
            <w:shd w:fill="auto" w:val="clear"/>
            <w:vAlign w:val="bottom"/>
          </w:tcPr>
          <w:p>
            <w:pPr>
              <w:pStyle w:val="TableContents"/>
              <w:spacing w:before="0" w:after="0"/>
              <w:ind w:left="0" w:right="0" w:hanging="0"/>
              <w:rPr/>
            </w:pPr>
            <w:r>
              <w:rPr/>
              <w:t> </w:t>
            </w:r>
          </w:p>
        </w:tc>
      </w:tr>
      <w:tr>
        <w:trPr/>
        <w:tc>
          <w:tcPr>
            <w:tcW w:w="35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176" w:type="dxa"/>
            <w:tcBorders/>
            <w:shd w:fill="CCEEFF" w:val="clear"/>
            <w:vAlign w:val="bottom"/>
          </w:tcPr>
          <w:p>
            <w:pPr>
              <w:pStyle w:val="TableContents"/>
              <w:spacing w:before="0" w:after="0"/>
              <w:ind w:left="0" w:right="0" w:hanging="0"/>
              <w:rPr/>
            </w:pPr>
            <w:r>
              <w:rPr/>
              <w:t> </w:t>
            </w:r>
          </w:p>
        </w:tc>
        <w:tc>
          <w:tcPr>
            <w:tcW w:w="10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76"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2"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2"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54" w:type="dxa"/>
            <w:tcBorders/>
            <w:shd w:fill="CCEEFF" w:val="clear"/>
            <w:vAlign w:val="bottom"/>
          </w:tcPr>
          <w:p>
            <w:pPr>
              <w:pStyle w:val="TableContents"/>
              <w:spacing w:before="0" w:after="0"/>
              <w:ind w:left="0" w:right="0" w:hanging="0"/>
              <w:rPr/>
            </w:pPr>
            <w:r>
              <w:rPr/>
              <w:t> </w:t>
            </w:r>
          </w:p>
        </w:tc>
      </w:tr>
      <w:tr>
        <w:trPr/>
        <w:tc>
          <w:tcPr>
            <w:tcW w:w="35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76" w:type="dxa"/>
            <w:tcBorders/>
            <w:shd w:fill="auto" w:val="clear"/>
            <w:vAlign w:val="bottom"/>
          </w:tcPr>
          <w:p>
            <w:pPr>
              <w:pStyle w:val="TableContents"/>
              <w:spacing w:before="0" w:after="0"/>
              <w:ind w:left="0" w:right="0" w:hanging="0"/>
              <w:rPr/>
            </w:pPr>
            <w:r>
              <w:rPr/>
              <w:t> </w:t>
            </w:r>
          </w:p>
        </w:tc>
        <w:tc>
          <w:tcPr>
            <w:tcW w:w="10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1,201</w:t>
            </w:r>
          </w:p>
        </w:tc>
        <w:tc>
          <w:tcPr>
            <w:tcW w:w="176" w:type="dxa"/>
            <w:tcBorders/>
            <w:shd w:fill="auto" w:val="clear"/>
            <w:vAlign w:val="bottom"/>
          </w:tcPr>
          <w:p>
            <w:pPr>
              <w:pStyle w:val="TableContents"/>
              <w:spacing w:before="0" w:after="0"/>
              <w:ind w:left="0" w:right="0" w:hanging="0"/>
              <w:rPr/>
            </w:pPr>
            <w:r>
              <w:rPr/>
              <w:t> </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1,283</w:t>
            </w:r>
          </w:p>
        </w:tc>
        <w:tc>
          <w:tcPr>
            <w:tcW w:w="212" w:type="dxa"/>
            <w:tcBorders/>
            <w:shd w:fill="auto"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1,263</w:t>
            </w:r>
          </w:p>
        </w:tc>
        <w:tc>
          <w:tcPr>
            <w:tcW w:w="212" w:type="dxa"/>
            <w:tcBorders/>
            <w:shd w:fill="auto"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1,237</w:t>
            </w:r>
          </w:p>
        </w:tc>
        <w:tc>
          <w:tcPr>
            <w:tcW w:w="154" w:type="dxa"/>
            <w:tcBorders/>
            <w:shd w:fill="auto" w:val="clear"/>
            <w:vAlign w:val="bottom"/>
          </w:tcPr>
          <w:p>
            <w:pPr>
              <w:pStyle w:val="TableContents"/>
              <w:spacing w:before="0" w:after="0"/>
              <w:ind w:left="0" w:right="0" w:hanging="0"/>
              <w:rPr/>
            </w:pPr>
            <w:r>
              <w:rPr/>
              <w:t> </w:t>
            </w:r>
          </w:p>
        </w:tc>
      </w:tr>
      <w:tr>
        <w:trPr/>
        <w:tc>
          <w:tcPr>
            <w:tcW w:w="3537" w:type="dxa"/>
            <w:tcBorders/>
            <w:shd w:fill="CCEEFF" w:val="clear"/>
            <w:vAlign w:val="bottom"/>
          </w:tcPr>
          <w:p>
            <w:pPr>
              <w:pStyle w:val="TableContents"/>
              <w:spacing w:before="0" w:after="0"/>
              <w:ind w:left="0" w:right="0" w:hanging="0"/>
              <w:rPr/>
            </w:pPr>
            <w:r>
              <w:rPr/>
              <w:t> </w:t>
            </w:r>
          </w:p>
        </w:tc>
        <w:tc>
          <w:tcPr>
            <w:tcW w:w="176" w:type="dxa"/>
            <w:tcBorders/>
            <w:shd w:fill="CCEEFF" w:val="clear"/>
            <w:vAlign w:val="bottom"/>
          </w:tcPr>
          <w:p>
            <w:pPr>
              <w:pStyle w:val="TableContents"/>
              <w:spacing w:before="0" w:after="0"/>
              <w:ind w:left="0" w:right="0" w:hanging="0"/>
              <w:rPr/>
            </w:pPr>
            <w:r>
              <w:rPr/>
              <w:t> </w:t>
            </w:r>
          </w:p>
        </w:tc>
        <w:tc>
          <w:tcPr>
            <w:tcW w:w="10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2,901</w:t>
            </w:r>
          </w:p>
        </w:tc>
        <w:tc>
          <w:tcPr>
            <w:tcW w:w="176"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2,995</w:t>
            </w:r>
          </w:p>
        </w:tc>
        <w:tc>
          <w:tcPr>
            <w:tcW w:w="212"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2,930</w:t>
            </w:r>
          </w:p>
        </w:tc>
        <w:tc>
          <w:tcPr>
            <w:tcW w:w="212"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2,932</w:t>
            </w:r>
          </w:p>
        </w:tc>
        <w:tc>
          <w:tcPr>
            <w:tcW w:w="154" w:type="dxa"/>
            <w:tcBorders/>
            <w:shd w:fill="CCEEFF" w:val="clear"/>
            <w:vAlign w:val="bottom"/>
          </w:tcPr>
          <w:p>
            <w:pPr>
              <w:pStyle w:val="TableContents"/>
              <w:spacing w:before="0" w:after="0"/>
              <w:ind w:left="0" w:right="0" w:hanging="0"/>
              <w:rPr/>
            </w:pPr>
            <w:r>
              <w:rPr/>
              <w:t> </w:t>
            </w:r>
          </w:p>
        </w:tc>
      </w:tr>
      <w:tr>
        <w:trPr/>
        <w:tc>
          <w:tcPr>
            <w:tcW w:w="35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176" w:type="dxa"/>
            <w:tcBorders/>
            <w:shd w:fill="auto" w:val="clear"/>
            <w:vAlign w:val="bottom"/>
          </w:tcPr>
          <w:p>
            <w:pPr>
              <w:pStyle w:val="TableContents"/>
              <w:spacing w:before="0" w:after="0"/>
              <w:ind w:left="0" w:right="0" w:hanging="0"/>
              <w:rPr/>
            </w:pPr>
            <w:r>
              <w:rPr/>
              <w:t> </w:t>
            </w:r>
          </w:p>
        </w:tc>
        <w:tc>
          <w:tcPr>
            <w:tcW w:w="10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76" w:type="dxa"/>
            <w:tcBorders/>
            <w:shd w:fill="auto" w:val="clear"/>
            <w:vAlign w:val="bottom"/>
          </w:tcPr>
          <w:p>
            <w:pPr>
              <w:pStyle w:val="TableContents"/>
              <w:spacing w:before="0" w:after="0"/>
              <w:ind w:left="0" w:right="0" w:hanging="0"/>
              <w:rPr/>
            </w:pPr>
            <w:r>
              <w:rPr/>
              <w:t> </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12" w:type="dxa"/>
            <w:tcBorders/>
            <w:shd w:fill="auto"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12" w:type="dxa"/>
            <w:tcBorders/>
            <w:shd w:fill="auto"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54" w:type="dxa"/>
            <w:tcBorders/>
            <w:shd w:fill="auto" w:val="clear"/>
            <w:vAlign w:val="bottom"/>
          </w:tcPr>
          <w:p>
            <w:pPr>
              <w:pStyle w:val="TableContents"/>
              <w:spacing w:before="0" w:after="0"/>
              <w:ind w:left="0" w:right="0" w:hanging="0"/>
              <w:rPr/>
            </w:pPr>
            <w:r>
              <w:rPr/>
              <w:t> </w:t>
            </w:r>
          </w:p>
        </w:tc>
      </w:tr>
      <w:tr>
        <w:trPr/>
        <w:tc>
          <w:tcPr>
            <w:tcW w:w="3537" w:type="dxa"/>
            <w:tcBorders/>
            <w:shd w:fill="CCEEFF" w:val="clear"/>
            <w:vAlign w:val="bottom"/>
          </w:tcPr>
          <w:p>
            <w:pPr>
              <w:pStyle w:val="TableContents"/>
              <w:spacing w:before="0" w:after="0"/>
              <w:ind w:left="0" w:right="0" w:hanging="0"/>
              <w:rPr/>
            </w:pPr>
            <w:r>
              <w:rPr/>
              <w:t> </w:t>
            </w:r>
          </w:p>
        </w:tc>
        <w:tc>
          <w:tcPr>
            <w:tcW w:w="176" w:type="dxa"/>
            <w:tcBorders/>
            <w:shd w:fill="CCEEFF" w:val="clear"/>
            <w:vAlign w:val="bottom"/>
          </w:tcPr>
          <w:p>
            <w:pPr>
              <w:pStyle w:val="TableContents"/>
              <w:spacing w:before="0" w:after="0"/>
              <w:ind w:left="0" w:right="0" w:hanging="0"/>
              <w:rPr/>
            </w:pPr>
            <w:r>
              <w:rPr/>
              <w:t> </w:t>
            </w:r>
          </w:p>
        </w:tc>
        <w:tc>
          <w:tcPr>
            <w:tcW w:w="10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2,987</w:t>
            </w:r>
          </w:p>
        </w:tc>
        <w:tc>
          <w:tcPr>
            <w:tcW w:w="176" w:type="dxa"/>
            <w:tcBorders/>
            <w:shd w:fill="CCEEFF" w:val="clear"/>
            <w:vAlign w:val="bottom"/>
          </w:tcPr>
          <w:p>
            <w:pPr>
              <w:pStyle w:val="TableContents"/>
              <w:spacing w:before="0" w:after="0"/>
              <w:ind w:left="0" w:right="0" w:hanging="0"/>
              <w:rPr/>
            </w:pPr>
            <w:r>
              <w:rPr/>
              <w:t> </w:t>
            </w:r>
          </w:p>
        </w:tc>
        <w:tc>
          <w:tcPr>
            <w:tcW w:w="12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3,080</w:t>
            </w:r>
          </w:p>
        </w:tc>
        <w:tc>
          <w:tcPr>
            <w:tcW w:w="212" w:type="dxa"/>
            <w:tcBorders/>
            <w:shd w:fill="CCEEFF" w:val="clear"/>
            <w:vAlign w:val="bottom"/>
          </w:tcPr>
          <w:p>
            <w:pPr>
              <w:pStyle w:val="TableContents"/>
              <w:spacing w:before="0" w:after="0"/>
              <w:ind w:left="0" w:right="0" w:hanging="0"/>
              <w:rPr/>
            </w:pPr>
            <w:r>
              <w:rPr/>
              <w:t> </w:t>
            </w:r>
          </w:p>
        </w:tc>
        <w:tc>
          <w:tcPr>
            <w:tcW w:w="12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3,025</w:t>
            </w:r>
          </w:p>
        </w:tc>
        <w:tc>
          <w:tcPr>
            <w:tcW w:w="212" w:type="dxa"/>
            <w:tcBorders/>
            <w:shd w:fill="CCEEFF"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3,020</w:t>
            </w:r>
          </w:p>
        </w:tc>
        <w:tc>
          <w:tcPr>
            <w:tcW w:w="154" w:type="dxa"/>
            <w:tcBorders/>
            <w:shd w:fill="CCEEFF" w:val="clear"/>
            <w:vAlign w:val="bottom"/>
          </w:tcPr>
          <w:p>
            <w:pPr>
              <w:pStyle w:val="TableContents"/>
              <w:spacing w:before="0" w:after="0"/>
              <w:ind w:left="0" w:right="0" w:hanging="0"/>
              <w:rPr/>
            </w:pPr>
            <w:r>
              <w:rPr/>
              <w:t> </w:t>
            </w:r>
          </w:p>
        </w:tc>
      </w:tr>
      <w:tr>
        <w:trPr/>
        <w:tc>
          <w:tcPr>
            <w:tcW w:w="35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76" w:type="dxa"/>
            <w:tcBorders/>
            <w:shd w:fill="auto" w:val="clear"/>
            <w:vAlign w:val="bottom"/>
          </w:tcPr>
          <w:p>
            <w:pPr>
              <w:pStyle w:val="TableContents"/>
              <w:spacing w:before="0" w:after="0"/>
              <w:ind w:left="0" w:right="0" w:hanging="0"/>
              <w:rPr/>
            </w:pPr>
            <w:r>
              <w:rPr/>
              <w:t> </w:t>
            </w:r>
          </w:p>
        </w:tc>
        <w:tc>
          <w:tcPr>
            <w:tcW w:w="1017" w:type="dxa"/>
            <w:gridSpan w:val="2"/>
            <w:tcBorders/>
            <w:shd w:fill="auto" w:val="clear"/>
            <w:vAlign w:val="bottom"/>
          </w:tcPr>
          <w:p>
            <w:pPr>
              <w:pStyle w:val="TableContents"/>
              <w:spacing w:before="0" w:after="0"/>
              <w:ind w:left="0" w:right="0" w:hanging="0"/>
              <w:jc w:val="right"/>
              <w:rPr/>
            </w:pPr>
            <w:r>
              <w:rPr/>
              <w:t> </w:t>
            </w:r>
          </w:p>
        </w:tc>
        <w:tc>
          <w:tcPr>
            <w:tcW w:w="176"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222"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pPr>
            <w:r>
              <w:rPr/>
              <w:t> </w:t>
            </w:r>
          </w:p>
        </w:tc>
        <w:tc>
          <w:tcPr>
            <w:tcW w:w="154" w:type="dxa"/>
            <w:tcBorders/>
            <w:shd w:fill="auto" w:val="clear"/>
            <w:vAlign w:val="bottom"/>
          </w:tcPr>
          <w:p>
            <w:pPr>
              <w:pStyle w:val="TableContents"/>
              <w:spacing w:before="0" w:after="0"/>
              <w:ind w:left="0" w:right="0" w:hanging="0"/>
              <w:rPr/>
            </w:pPr>
            <w:r>
              <w:rPr/>
              <w:t> </w:t>
            </w:r>
          </w:p>
        </w:tc>
      </w:tr>
      <w:tr>
        <w:trPr/>
        <w:tc>
          <w:tcPr>
            <w:tcW w:w="35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Excluding Selected Items Impacting Comparability</w:t>
            </w:r>
          </w:p>
        </w:tc>
        <w:tc>
          <w:tcPr>
            <w:tcW w:w="176" w:type="dxa"/>
            <w:tcBorders/>
            <w:shd w:fill="CCEEFF" w:val="clear"/>
            <w:vAlign w:val="bottom"/>
          </w:tcPr>
          <w:p>
            <w:pPr>
              <w:pStyle w:val="TableContents"/>
              <w:spacing w:before="0" w:after="0"/>
              <w:ind w:left="0" w:right="0" w:hanging="0"/>
              <w:rPr/>
            </w:pPr>
            <w:r>
              <w:rPr/>
              <w:t> </w:t>
            </w:r>
          </w:p>
        </w:tc>
        <w:tc>
          <w:tcPr>
            <w:tcW w:w="16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0.44</w:t>
            </w:r>
          </w:p>
        </w:tc>
        <w:tc>
          <w:tcPr>
            <w:tcW w:w="176" w:type="dxa"/>
            <w:tcBorders/>
            <w:shd w:fill="CCEEFF" w:val="clear"/>
            <w:vAlign w:val="bottom"/>
          </w:tcPr>
          <w:p>
            <w:pPr>
              <w:pStyle w:val="TableContents"/>
              <w:spacing w:before="0" w:after="0"/>
              <w:ind w:left="0" w:right="0" w:hanging="0"/>
              <w:rPr/>
            </w:pPr>
            <w:r>
              <w:rPr/>
              <w:t> </w:t>
            </w:r>
          </w:p>
        </w:tc>
        <w:tc>
          <w:tcPr>
            <w:tcW w:w="2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0.45</w:t>
            </w:r>
          </w:p>
        </w:tc>
        <w:tc>
          <w:tcPr>
            <w:tcW w:w="212"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0.47</w:t>
            </w:r>
          </w:p>
        </w:tc>
        <w:tc>
          <w:tcPr>
            <w:tcW w:w="212"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0.45</w:t>
            </w:r>
          </w:p>
        </w:tc>
        <w:tc>
          <w:tcPr>
            <w:tcW w:w="154"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53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The aggregate of multiple systems in the respective areas.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Facilities</w:t>
      </w:r>
      <w:r>
        <w:rPr>
          <w:rFonts w:ascii="Times New Roman" w:hAnsi="Times New Roman"/>
          <w:sz w:val="17"/>
        </w:rPr>
        <w:t>.  Our facilities segment operations generally consist of fee-based activities associated with providing storage, terminalling and throughput services for crude oil, refined products, LPG and natural gas, as well as LPG fractionation and isomerization services. We generate revenue through a combination of month-to-month and multi-year leases and processing arrangements. This segment also includes our equity earnings from our 50% investment in PAA/Vulcan Gas Storage, LLC, which owns and operates approximately 40 Bcf of underground natural gas storage capacity and is constructing an additional 10 Bcf of salt dome storage capacity at its Pine Prairie facility.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Segment profit is forecast using the volume assumptions in the table below, priced at forecasted rates, less estimated field operating costs and G&amp;A expenses. Field operating costs do not include depreciation.</w:t>
      </w:r>
    </w:p>
    <w:p>
      <w:pPr>
        <w:pStyle w:val="TextBody"/>
        <w:spacing w:before="0" w:after="0"/>
        <w:ind w:left="0" w:right="0" w:hanging="0"/>
        <w:rPr/>
      </w:pPr>
      <w:r>
        <w:rPr/>
        <w:t> </w:t>
      </w:r>
    </w:p>
    <w:tbl>
      <w:tblPr>
        <w:tblW w:w="4500" w:type="pct"/>
        <w:jc w:val="left"/>
        <w:tblInd w:w="0" w:type="dxa"/>
        <w:tblCellMar>
          <w:top w:w="0" w:type="dxa"/>
          <w:left w:w="0" w:type="dxa"/>
          <w:bottom w:w="0" w:type="dxa"/>
          <w:right w:w="0" w:type="dxa"/>
        </w:tblCellMar>
      </w:tblPr>
      <w:tblGrid>
        <w:gridCol w:w="3502"/>
        <w:gridCol w:w="175"/>
        <w:gridCol w:w="160"/>
        <w:gridCol w:w="850"/>
        <w:gridCol w:w="175"/>
        <w:gridCol w:w="216"/>
        <w:gridCol w:w="1033"/>
        <w:gridCol w:w="211"/>
        <w:gridCol w:w="216"/>
        <w:gridCol w:w="1000"/>
        <w:gridCol w:w="211"/>
        <w:gridCol w:w="230"/>
        <w:gridCol w:w="987"/>
        <w:gridCol w:w="218"/>
      </w:tblGrid>
      <w:tr>
        <w:trPr/>
        <w:tc>
          <w:tcPr>
            <w:tcW w:w="3502"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0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75" w:type="dxa"/>
            <w:tcBorders/>
            <w:shd w:fill="auto" w:val="clear"/>
            <w:vAlign w:val="bottom"/>
          </w:tcPr>
          <w:p>
            <w:pPr>
              <w:pStyle w:val="TableContents"/>
              <w:spacing w:before="0" w:after="0"/>
              <w:ind w:left="0" w:right="0" w:hanging="0"/>
              <w:jc w:val="center"/>
              <w:rPr/>
            </w:pPr>
            <w:r>
              <w:rPr/>
              <w:t> </w:t>
            </w:r>
          </w:p>
        </w:tc>
        <w:tc>
          <w:tcPr>
            <w:tcW w:w="410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 Guidance</w:t>
            </w:r>
          </w:p>
        </w:tc>
        <w:tc>
          <w:tcPr>
            <w:tcW w:w="218" w:type="dxa"/>
            <w:tcBorders/>
            <w:shd w:fill="auto" w:val="clear"/>
            <w:vAlign w:val="bottom"/>
          </w:tcPr>
          <w:p>
            <w:pPr>
              <w:pStyle w:val="TableContents"/>
              <w:spacing w:before="0" w:after="0"/>
              <w:ind w:left="0" w:right="0" w:hanging="0"/>
              <w:jc w:val="center"/>
              <w:rPr/>
            </w:pPr>
            <w:r>
              <w:rPr/>
              <w:t> </w:t>
            </w:r>
          </w:p>
        </w:tc>
      </w:tr>
      <w:tr>
        <w:trPr/>
        <w:tc>
          <w:tcPr>
            <w:tcW w:w="3502"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01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75" w:type="dxa"/>
            <w:tcBorders/>
            <w:shd w:fill="auto" w:val="clear"/>
            <w:vAlign w:val="bottom"/>
          </w:tcPr>
          <w:p>
            <w:pPr>
              <w:pStyle w:val="TableContents"/>
              <w:spacing w:before="0" w:after="0"/>
              <w:ind w:left="0" w:right="0" w:hanging="0"/>
              <w:jc w:val="center"/>
              <w:rPr/>
            </w:pPr>
            <w:r>
              <w:rPr/>
              <w:t> </w:t>
            </w:r>
          </w:p>
        </w:tc>
        <w:tc>
          <w:tcPr>
            <w:tcW w:w="124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1" w:type="dxa"/>
            <w:tcBorders/>
            <w:shd w:fill="auto" w:val="clear"/>
            <w:vAlign w:val="bottom"/>
          </w:tcPr>
          <w:p>
            <w:pPr>
              <w:pStyle w:val="TableContents"/>
              <w:spacing w:before="0" w:after="0"/>
              <w:ind w:left="0" w:right="0" w:hanging="0"/>
              <w:jc w:val="center"/>
              <w:rPr/>
            </w:pPr>
            <w:r>
              <w:rPr/>
              <w:t> </w:t>
            </w:r>
          </w:p>
        </w:tc>
        <w:tc>
          <w:tcPr>
            <w:tcW w:w="121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1" w:type="dxa"/>
            <w:tcBorders/>
            <w:shd w:fill="auto" w:val="clear"/>
            <w:vAlign w:val="bottom"/>
          </w:tcPr>
          <w:p>
            <w:pPr>
              <w:pStyle w:val="TableContents"/>
              <w:spacing w:before="0" w:after="0"/>
              <w:ind w:left="0" w:right="0" w:hanging="0"/>
              <w:jc w:val="center"/>
              <w:rPr/>
            </w:pPr>
            <w:r>
              <w:rPr/>
              <w:t> </w:t>
            </w:r>
          </w:p>
        </w:tc>
        <w:tc>
          <w:tcPr>
            <w:tcW w:w="121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18" w:type="dxa"/>
            <w:tcBorders/>
            <w:shd w:fill="auto" w:val="clear"/>
            <w:vAlign w:val="bottom"/>
          </w:tcPr>
          <w:p>
            <w:pPr>
              <w:pStyle w:val="TableContents"/>
              <w:spacing w:before="0" w:after="0"/>
              <w:ind w:left="0" w:right="0" w:hanging="0"/>
              <w:jc w:val="center"/>
              <w:rPr/>
            </w:pPr>
            <w:r>
              <w:rPr/>
              <w:t> </w:t>
            </w:r>
          </w:p>
        </w:tc>
      </w:tr>
      <w:tr>
        <w:trPr/>
        <w:tc>
          <w:tcPr>
            <w:tcW w:w="3502"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01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75" w:type="dxa"/>
            <w:tcBorders/>
            <w:shd w:fill="auto" w:val="clear"/>
            <w:vAlign w:val="bottom"/>
          </w:tcPr>
          <w:p>
            <w:pPr>
              <w:pStyle w:val="TableContents"/>
              <w:spacing w:before="0" w:after="0"/>
              <w:ind w:left="0" w:right="0" w:hanging="0"/>
              <w:jc w:val="center"/>
              <w:rPr/>
            </w:pPr>
            <w:r>
              <w:rPr/>
              <w:t> </w:t>
            </w:r>
          </w:p>
        </w:tc>
        <w:tc>
          <w:tcPr>
            <w:tcW w:w="124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1" w:type="dxa"/>
            <w:tcBorders/>
            <w:shd w:fill="auto" w:val="clear"/>
            <w:vAlign w:val="bottom"/>
          </w:tcPr>
          <w:p>
            <w:pPr>
              <w:pStyle w:val="TableContents"/>
              <w:spacing w:before="0" w:after="0"/>
              <w:ind w:left="0" w:right="0" w:hanging="0"/>
              <w:jc w:val="center"/>
              <w:rPr/>
            </w:pPr>
            <w:r>
              <w:rPr/>
              <w:t> </w:t>
            </w:r>
          </w:p>
        </w:tc>
        <w:tc>
          <w:tcPr>
            <w:tcW w:w="121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1" w:type="dxa"/>
            <w:tcBorders/>
            <w:shd w:fill="auto" w:val="clear"/>
            <w:vAlign w:val="bottom"/>
          </w:tcPr>
          <w:p>
            <w:pPr>
              <w:pStyle w:val="TableContents"/>
              <w:spacing w:before="0" w:after="0"/>
              <w:ind w:left="0" w:right="0" w:hanging="0"/>
              <w:jc w:val="center"/>
              <w:rPr/>
            </w:pPr>
            <w:r>
              <w:rPr/>
              <w:t> </w:t>
            </w:r>
          </w:p>
        </w:tc>
        <w:tc>
          <w:tcPr>
            <w:tcW w:w="121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8" w:type="dxa"/>
            <w:tcBorders/>
            <w:shd w:fill="auto" w:val="clear"/>
            <w:vAlign w:val="bottom"/>
          </w:tcPr>
          <w:p>
            <w:pPr>
              <w:pStyle w:val="TableContents"/>
              <w:spacing w:before="0" w:after="0"/>
              <w:ind w:left="0" w:right="0" w:hanging="0"/>
              <w:jc w:val="center"/>
              <w:rPr/>
            </w:pPr>
            <w:r>
              <w:rPr/>
              <w:t> </w:t>
            </w:r>
          </w:p>
        </w:tc>
      </w:tr>
      <w:tr>
        <w:trPr/>
        <w:tc>
          <w:tcPr>
            <w:tcW w:w="3502"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0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75" w:type="dxa"/>
            <w:tcBorders/>
            <w:shd w:fill="auto" w:val="clear"/>
            <w:vAlign w:val="bottom"/>
          </w:tcPr>
          <w:p>
            <w:pPr>
              <w:pStyle w:val="TableContents"/>
              <w:spacing w:before="0" w:after="0"/>
              <w:ind w:left="0" w:right="0" w:hanging="0"/>
              <w:jc w:val="center"/>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1" w:type="dxa"/>
            <w:tcBorders/>
            <w:shd w:fill="auto" w:val="clear"/>
            <w:vAlign w:val="bottom"/>
          </w:tcPr>
          <w:p>
            <w:pPr>
              <w:pStyle w:val="TableContents"/>
              <w:spacing w:before="0" w:after="0"/>
              <w:ind w:left="0" w:right="0" w:hanging="0"/>
              <w:jc w:val="center"/>
              <w:rPr/>
            </w:pPr>
            <w:r>
              <w:rPr/>
              <w:t> </w:t>
            </w:r>
          </w:p>
        </w:tc>
        <w:tc>
          <w:tcPr>
            <w:tcW w:w="12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1" w:type="dxa"/>
            <w:tcBorders/>
            <w:shd w:fill="auto" w:val="clear"/>
            <w:vAlign w:val="bottom"/>
          </w:tcPr>
          <w:p>
            <w:pPr>
              <w:pStyle w:val="TableContents"/>
              <w:spacing w:before="0" w:after="0"/>
              <w:ind w:left="0" w:right="0" w:hanging="0"/>
              <w:jc w:val="center"/>
              <w:rPr/>
            </w:pPr>
            <w:r>
              <w:rPr/>
              <w:t> </w:t>
            </w:r>
          </w:p>
        </w:tc>
        <w:tc>
          <w:tcPr>
            <w:tcW w:w="12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8" w:type="dxa"/>
            <w:tcBorders/>
            <w:shd w:fill="auto" w:val="clear"/>
            <w:vAlign w:val="bottom"/>
          </w:tcPr>
          <w:p>
            <w:pPr>
              <w:pStyle w:val="TableContents"/>
              <w:spacing w:before="0" w:after="0"/>
              <w:ind w:left="0" w:right="0" w:hanging="0"/>
              <w:jc w:val="center"/>
              <w:rPr/>
            </w:pPr>
            <w:r>
              <w:rPr/>
              <w:t> </w:t>
            </w:r>
          </w:p>
        </w:tc>
      </w:tr>
      <w:tr>
        <w:trPr/>
        <w:tc>
          <w:tcPr>
            <w:tcW w:w="35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Data</w:t>
            </w:r>
          </w:p>
        </w:tc>
        <w:tc>
          <w:tcPr>
            <w:tcW w:w="175"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pPr>
            <w:r>
              <w:rPr/>
              <w:t> </w:t>
            </w:r>
          </w:p>
        </w:tc>
        <w:tc>
          <w:tcPr>
            <w:tcW w:w="175"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217"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r>
      <w:tr>
        <w:trPr/>
        <w:tc>
          <w:tcPr>
            <w:tcW w:w="3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LPG storage (MMBbls/Mo.)</w:t>
            </w:r>
          </w:p>
        </w:tc>
        <w:tc>
          <w:tcPr>
            <w:tcW w:w="175" w:type="dxa"/>
            <w:tcBorders/>
            <w:shd w:fill="auto" w:val="clear"/>
            <w:vAlign w:val="bottom"/>
          </w:tcPr>
          <w:p>
            <w:pPr>
              <w:pStyle w:val="TableContents"/>
              <w:spacing w:before="0" w:after="0"/>
              <w:ind w:left="0" w:right="0" w:hanging="0"/>
              <w:rPr/>
            </w:pPr>
            <w:r>
              <w:rPr/>
              <w:t> </w:t>
            </w:r>
          </w:p>
        </w:tc>
        <w:tc>
          <w:tcPr>
            <w:tcW w:w="101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75" w:type="dxa"/>
            <w:tcBorders/>
            <w:shd w:fill="auto" w:val="clear"/>
            <w:vAlign w:val="bottom"/>
          </w:tcPr>
          <w:p>
            <w:pPr>
              <w:pStyle w:val="TableContents"/>
              <w:spacing w:before="0" w:after="0"/>
              <w:ind w:left="0" w:right="0" w:hanging="0"/>
              <w:rPr/>
            </w:pPr>
            <w:r>
              <w:rPr/>
              <w:t> </w:t>
            </w:r>
          </w:p>
        </w:tc>
        <w:tc>
          <w:tcPr>
            <w:tcW w:w="124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1" w:type="dxa"/>
            <w:tcBorders/>
            <w:shd w:fill="auto" w:val="clear"/>
            <w:vAlign w:val="bottom"/>
          </w:tcPr>
          <w:p>
            <w:pPr>
              <w:pStyle w:val="TableContents"/>
              <w:spacing w:before="0" w:after="0"/>
              <w:ind w:left="0" w:right="0" w:hanging="0"/>
              <w:rPr/>
            </w:pPr>
            <w:r>
              <w:rPr/>
              <w:t> </w:t>
            </w:r>
          </w:p>
        </w:tc>
        <w:tc>
          <w:tcPr>
            <w:tcW w:w="121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1" w:type="dxa"/>
            <w:tcBorders/>
            <w:shd w:fill="auto" w:val="clear"/>
            <w:vAlign w:val="bottom"/>
          </w:tcPr>
          <w:p>
            <w:pPr>
              <w:pStyle w:val="TableContents"/>
              <w:spacing w:before="0" w:after="0"/>
              <w:ind w:left="0" w:right="0" w:hanging="0"/>
              <w:rPr/>
            </w:pPr>
            <w:r>
              <w:rPr/>
              <w:t> </w:t>
            </w:r>
          </w:p>
        </w:tc>
        <w:tc>
          <w:tcPr>
            <w:tcW w:w="121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8" w:type="dxa"/>
            <w:tcBorders/>
            <w:shd w:fill="auto" w:val="clear"/>
            <w:vAlign w:val="bottom"/>
          </w:tcPr>
          <w:p>
            <w:pPr>
              <w:pStyle w:val="TableContents"/>
              <w:spacing w:before="0" w:after="0"/>
              <w:ind w:left="0" w:right="0" w:hanging="0"/>
              <w:rPr/>
            </w:pPr>
            <w:r>
              <w:rPr/>
              <w:t> </w:t>
            </w:r>
          </w:p>
        </w:tc>
      </w:tr>
      <w:tr>
        <w:trPr/>
        <w:tc>
          <w:tcPr>
            <w:tcW w:w="35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(Bcf/Mo.)</w:t>
            </w:r>
          </w:p>
        </w:tc>
        <w:tc>
          <w:tcPr>
            <w:tcW w:w="175" w:type="dxa"/>
            <w:tcBorders/>
            <w:shd w:fill="CCEEFF" w:val="clear"/>
            <w:vAlign w:val="bottom"/>
          </w:tcPr>
          <w:p>
            <w:pPr>
              <w:pStyle w:val="TableContents"/>
              <w:spacing w:before="0" w:after="0"/>
              <w:ind w:left="0" w:right="0" w:hanging="0"/>
              <w:rPr/>
            </w:pPr>
            <w:r>
              <w:rPr/>
              <w:t> </w:t>
            </w:r>
          </w:p>
        </w:tc>
        <w:tc>
          <w:tcPr>
            <w:tcW w:w="101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75" w:type="dxa"/>
            <w:tcBorders/>
            <w:shd w:fill="CCEEFF" w:val="clear"/>
            <w:vAlign w:val="bottom"/>
          </w:tcPr>
          <w:p>
            <w:pPr>
              <w:pStyle w:val="TableContents"/>
              <w:spacing w:before="0" w:after="0"/>
              <w:ind w:left="0" w:right="0" w:hanging="0"/>
              <w:rPr/>
            </w:pPr>
            <w:r>
              <w:rPr/>
              <w:t> </w:t>
            </w:r>
          </w:p>
        </w:tc>
        <w:tc>
          <w:tcPr>
            <w:tcW w:w="124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1" w:type="dxa"/>
            <w:tcBorders/>
            <w:shd w:fill="CCEEFF" w:val="clear"/>
            <w:vAlign w:val="bottom"/>
          </w:tcPr>
          <w:p>
            <w:pPr>
              <w:pStyle w:val="TableContents"/>
              <w:spacing w:before="0" w:after="0"/>
              <w:ind w:left="0" w:right="0" w:hanging="0"/>
              <w:rPr/>
            </w:pPr>
            <w:r>
              <w:rPr/>
              <w:t> </w:t>
            </w:r>
          </w:p>
        </w:tc>
        <w:tc>
          <w:tcPr>
            <w:tcW w:w="121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1" w:type="dxa"/>
            <w:tcBorders/>
            <w:shd w:fill="CCEEFF" w:val="clear"/>
            <w:vAlign w:val="bottom"/>
          </w:tcPr>
          <w:p>
            <w:pPr>
              <w:pStyle w:val="TableContents"/>
              <w:spacing w:before="0" w:after="0"/>
              <w:ind w:left="0" w:right="0" w:hanging="0"/>
              <w:rPr/>
            </w:pPr>
            <w:r>
              <w:rPr/>
              <w:t> </w:t>
            </w:r>
          </w:p>
        </w:tc>
        <w:tc>
          <w:tcPr>
            <w:tcW w:w="121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8" w:type="dxa"/>
            <w:tcBorders/>
            <w:shd w:fill="CCEEFF" w:val="clear"/>
            <w:vAlign w:val="bottom"/>
          </w:tcPr>
          <w:p>
            <w:pPr>
              <w:pStyle w:val="TableContents"/>
              <w:spacing w:before="0" w:after="0"/>
              <w:ind w:left="0" w:right="0" w:hanging="0"/>
              <w:rPr/>
            </w:pPr>
            <w:r>
              <w:rPr/>
              <w:t> </w:t>
            </w:r>
          </w:p>
        </w:tc>
      </w:tr>
      <w:tr>
        <w:trPr/>
        <w:tc>
          <w:tcPr>
            <w:tcW w:w="3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Processing (MBbl/d)</w:t>
            </w:r>
          </w:p>
        </w:tc>
        <w:tc>
          <w:tcPr>
            <w:tcW w:w="175" w:type="dxa"/>
            <w:tcBorders/>
            <w:shd w:fill="auto" w:val="clear"/>
            <w:vAlign w:val="bottom"/>
          </w:tcPr>
          <w:p>
            <w:pPr>
              <w:pStyle w:val="TableContents"/>
              <w:spacing w:before="0" w:after="0"/>
              <w:ind w:left="0" w:right="0" w:hanging="0"/>
              <w:rPr/>
            </w:pPr>
            <w:r>
              <w:rPr/>
              <w:t> </w:t>
            </w:r>
          </w:p>
        </w:tc>
        <w:tc>
          <w:tcPr>
            <w:tcW w:w="101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75" w:type="dxa"/>
            <w:tcBorders/>
            <w:shd w:fill="auto" w:val="clear"/>
            <w:vAlign w:val="bottom"/>
          </w:tcPr>
          <w:p>
            <w:pPr>
              <w:pStyle w:val="TableContents"/>
              <w:spacing w:before="0" w:after="0"/>
              <w:ind w:left="0" w:right="0" w:hanging="0"/>
              <w:rPr/>
            </w:pPr>
            <w:r>
              <w:rPr/>
              <w:t> </w:t>
            </w:r>
          </w:p>
        </w:tc>
        <w:tc>
          <w:tcPr>
            <w:tcW w:w="124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1" w:type="dxa"/>
            <w:tcBorders/>
            <w:shd w:fill="auto" w:val="clear"/>
            <w:vAlign w:val="bottom"/>
          </w:tcPr>
          <w:p>
            <w:pPr>
              <w:pStyle w:val="TableContents"/>
              <w:spacing w:before="0" w:after="0"/>
              <w:ind w:left="0" w:right="0" w:hanging="0"/>
              <w:rPr/>
            </w:pPr>
            <w:r>
              <w:rPr/>
              <w:t> </w:t>
            </w:r>
          </w:p>
        </w:tc>
        <w:tc>
          <w:tcPr>
            <w:tcW w:w="121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1" w:type="dxa"/>
            <w:tcBorders/>
            <w:shd w:fill="auto" w:val="clear"/>
            <w:vAlign w:val="bottom"/>
          </w:tcPr>
          <w:p>
            <w:pPr>
              <w:pStyle w:val="TableContents"/>
              <w:spacing w:before="0" w:after="0"/>
              <w:ind w:left="0" w:right="0" w:hanging="0"/>
              <w:rPr/>
            </w:pPr>
            <w:r>
              <w:rPr/>
              <w:t> </w:t>
            </w:r>
          </w:p>
        </w:tc>
        <w:tc>
          <w:tcPr>
            <w:tcW w:w="121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8" w:type="dxa"/>
            <w:tcBorders/>
            <w:shd w:fill="auto" w:val="clear"/>
            <w:vAlign w:val="bottom"/>
          </w:tcPr>
          <w:p>
            <w:pPr>
              <w:pStyle w:val="TableContents"/>
              <w:spacing w:before="0" w:after="0"/>
              <w:ind w:left="0" w:right="0" w:hanging="0"/>
              <w:rPr/>
            </w:pPr>
            <w:r>
              <w:rPr/>
              <w:t> </w:t>
            </w:r>
          </w:p>
        </w:tc>
      </w:tr>
      <w:tr>
        <w:trPr/>
        <w:tc>
          <w:tcPr>
            <w:tcW w:w="3502" w:type="dxa"/>
            <w:tcBorders/>
            <w:shd w:fill="CCEEFF" w:val="clear"/>
            <w:vAlign w:val="bottom"/>
          </w:tcPr>
          <w:p>
            <w:pPr>
              <w:pStyle w:val="TableContents"/>
              <w:spacing w:before="0" w:after="0"/>
              <w:ind w:left="0" w:right="0" w:hanging="0"/>
              <w:rPr/>
            </w:pPr>
            <w:r>
              <w:rPr>
                <w:rFonts w:ascii="Times New Roman" w:hAnsi="Times New Roman"/>
                <w:sz w:val="17"/>
              </w:rPr>
              <w:t xml:space="preserve">Facilities Activities Total </w:t>
            </w:r>
            <w:r>
              <w:rPr>
                <w:sz w:val="11"/>
              </w:rPr>
              <w:t>(1)</w:t>
            </w:r>
          </w:p>
        </w:tc>
        <w:tc>
          <w:tcPr>
            <w:tcW w:w="175"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pPr>
            <w:r>
              <w:rPr/>
              <w:t> </w:t>
            </w:r>
          </w:p>
        </w:tc>
        <w:tc>
          <w:tcPr>
            <w:tcW w:w="175"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217"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r>
      <w:tr>
        <w:trPr/>
        <w:tc>
          <w:tcPr>
            <w:tcW w:w="3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Avg. Capacity (MMBbls/Mo.)</w:t>
            </w:r>
          </w:p>
        </w:tc>
        <w:tc>
          <w:tcPr>
            <w:tcW w:w="175" w:type="dxa"/>
            <w:tcBorders/>
            <w:shd w:fill="auto" w:val="clear"/>
            <w:vAlign w:val="bottom"/>
          </w:tcPr>
          <w:p>
            <w:pPr>
              <w:pStyle w:val="TableContents"/>
              <w:spacing w:before="0" w:after="0"/>
              <w:ind w:left="0" w:right="0" w:hanging="0"/>
              <w:rPr/>
            </w:pPr>
            <w:r>
              <w:rPr/>
              <w:t> </w:t>
            </w:r>
          </w:p>
        </w:tc>
        <w:tc>
          <w:tcPr>
            <w:tcW w:w="101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75" w:type="dxa"/>
            <w:tcBorders/>
            <w:shd w:fill="auto" w:val="clear"/>
            <w:vAlign w:val="bottom"/>
          </w:tcPr>
          <w:p>
            <w:pPr>
              <w:pStyle w:val="TableContents"/>
              <w:spacing w:before="0" w:after="0"/>
              <w:ind w:left="0" w:right="0" w:hanging="0"/>
              <w:rPr/>
            </w:pPr>
            <w:r>
              <w:rPr/>
              <w:t> </w:t>
            </w:r>
          </w:p>
        </w:tc>
        <w:tc>
          <w:tcPr>
            <w:tcW w:w="124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1" w:type="dxa"/>
            <w:tcBorders/>
            <w:shd w:fill="auto" w:val="clear"/>
            <w:vAlign w:val="bottom"/>
          </w:tcPr>
          <w:p>
            <w:pPr>
              <w:pStyle w:val="TableContents"/>
              <w:spacing w:before="0" w:after="0"/>
              <w:ind w:left="0" w:right="0" w:hanging="0"/>
              <w:rPr/>
            </w:pPr>
            <w:r>
              <w:rPr/>
              <w:t> </w:t>
            </w:r>
          </w:p>
        </w:tc>
        <w:tc>
          <w:tcPr>
            <w:tcW w:w="121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1" w:type="dxa"/>
            <w:tcBorders/>
            <w:shd w:fill="auto" w:val="clear"/>
            <w:vAlign w:val="bottom"/>
          </w:tcPr>
          <w:p>
            <w:pPr>
              <w:pStyle w:val="TableContents"/>
              <w:spacing w:before="0" w:after="0"/>
              <w:ind w:left="0" w:right="0" w:hanging="0"/>
              <w:rPr/>
            </w:pPr>
            <w:r>
              <w:rPr/>
              <w:t> </w:t>
            </w:r>
          </w:p>
        </w:tc>
        <w:tc>
          <w:tcPr>
            <w:tcW w:w="121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8" w:type="dxa"/>
            <w:tcBorders/>
            <w:shd w:fill="auto" w:val="clear"/>
            <w:vAlign w:val="bottom"/>
          </w:tcPr>
          <w:p>
            <w:pPr>
              <w:pStyle w:val="TableContents"/>
              <w:spacing w:before="0" w:after="0"/>
              <w:ind w:left="0" w:right="0" w:hanging="0"/>
              <w:rPr/>
            </w:pPr>
            <w:r>
              <w:rPr/>
              <w:t> </w:t>
            </w:r>
          </w:p>
        </w:tc>
      </w:tr>
      <w:tr>
        <w:trPr/>
        <w:tc>
          <w:tcPr>
            <w:tcW w:w="3502"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pPr>
            <w:r>
              <w:rPr/>
              <w:t> </w:t>
            </w:r>
          </w:p>
        </w:tc>
        <w:tc>
          <w:tcPr>
            <w:tcW w:w="175"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217"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r>
      <w:tr>
        <w:trPr/>
        <w:tc>
          <w:tcPr>
            <w:tcW w:w="3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75" w:type="dxa"/>
            <w:tcBorders/>
            <w:shd w:fill="auto" w:val="clear"/>
            <w:vAlign w:val="bottom"/>
          </w:tcPr>
          <w:p>
            <w:pPr>
              <w:pStyle w:val="TableContents"/>
              <w:spacing w:before="0" w:after="0"/>
              <w:ind w:left="0" w:right="0" w:hanging="0"/>
              <w:rPr/>
            </w:pPr>
            <w:r>
              <w:rPr/>
              <w:t> </w:t>
            </w:r>
          </w:p>
        </w:tc>
        <w:tc>
          <w:tcPr>
            <w:tcW w:w="1010" w:type="dxa"/>
            <w:gridSpan w:val="2"/>
            <w:tcBorders/>
            <w:shd w:fill="auto" w:val="clear"/>
            <w:vAlign w:val="bottom"/>
          </w:tcPr>
          <w:p>
            <w:pPr>
              <w:pStyle w:val="TableContents"/>
              <w:spacing w:before="0" w:after="0"/>
              <w:ind w:left="0" w:right="0" w:hanging="0"/>
              <w:jc w:val="right"/>
              <w:rPr/>
            </w:pPr>
            <w:r>
              <w:rPr/>
              <w:t> </w:t>
            </w:r>
          </w:p>
        </w:tc>
        <w:tc>
          <w:tcPr>
            <w:tcW w:w="175"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217"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r>
      <w:tr>
        <w:trPr/>
        <w:tc>
          <w:tcPr>
            <w:tcW w:w="35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Excluding Selected Items Impacting Comparability</w:t>
            </w:r>
          </w:p>
        </w:tc>
        <w:tc>
          <w:tcPr>
            <w:tcW w:w="175" w:type="dxa"/>
            <w:tcBorders/>
            <w:shd w:fill="CCEEFF" w:val="clear"/>
            <w:vAlign w:val="bottom"/>
          </w:tcPr>
          <w:p>
            <w:pPr>
              <w:pStyle w:val="TableContents"/>
              <w:spacing w:before="0" w:after="0"/>
              <w:ind w:left="0" w:right="0" w:hanging="0"/>
              <w:rPr/>
            </w:pPr>
            <w:r>
              <w:rPr/>
              <w:t> </w:t>
            </w:r>
          </w:p>
        </w:tc>
        <w:tc>
          <w:tcPr>
            <w:tcW w:w="16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0.29</w:t>
            </w:r>
          </w:p>
        </w:tc>
        <w:tc>
          <w:tcPr>
            <w:tcW w:w="175" w:type="dxa"/>
            <w:tcBorders/>
            <w:shd w:fill="CCEEFF" w:val="clear"/>
            <w:vAlign w:val="bottom"/>
          </w:tcPr>
          <w:p>
            <w:pPr>
              <w:pStyle w:val="TableContents"/>
              <w:spacing w:before="0" w:after="0"/>
              <w:ind w:left="0" w:right="0" w:hanging="0"/>
              <w:rPr/>
            </w:pPr>
            <w:r>
              <w:rPr/>
              <w:t> </w:t>
            </w:r>
          </w:p>
        </w:tc>
        <w:tc>
          <w:tcPr>
            <w:tcW w:w="2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0.30</w:t>
            </w:r>
          </w:p>
        </w:tc>
        <w:tc>
          <w:tcPr>
            <w:tcW w:w="21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0.31</w:t>
            </w:r>
          </w:p>
        </w:tc>
        <w:tc>
          <w:tcPr>
            <w:tcW w:w="21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0.29</w:t>
            </w:r>
          </w:p>
        </w:tc>
        <w:tc>
          <w:tcPr>
            <w:tcW w:w="218"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502"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Calculated as the sum of: (i) crude oil, refined products and LPG storage capacity; (ii) natural gas storage capacity divided by 6 to account for the 6:1 mcf of gas to barrel of crude oil ratio; and (iii) LPG processing volumes multiplied by the number of days in the period and divided by the number of months in the period.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Marketing</w:t>
      </w:r>
      <w:r>
        <w:rPr>
          <w:rFonts w:ascii="Times New Roman" w:hAnsi="Times New Roman"/>
          <w:sz w:val="17"/>
        </w:rPr>
        <w:t>.  Our marketing segment operations generally consist of the following merchant activities: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442"/>
        <w:gridCol w:w="8763"/>
      </w:tblGrid>
      <w:tr>
        <w:trPr/>
        <w:tc>
          <w:tcPr>
            <w:tcW w:w="144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87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the purchase of U.S. and Canadian crude oil at the wellhead and the bulk purchase of crude oil at pipeline and terminal facilities, as well as the purchase of foreign cargoes at their load port and various other locations in transit;</w:t>
            </w:r>
          </w:p>
        </w:tc>
      </w:tr>
      <w:tr>
        <w:trPr/>
        <w:tc>
          <w:tcPr>
            <w:tcW w:w="1442" w:type="dxa"/>
            <w:tcBorders/>
            <w:shd w:fill="auto" w:val="clear"/>
          </w:tcPr>
          <w:p>
            <w:pPr>
              <w:pStyle w:val="TableContents"/>
              <w:spacing w:before="0" w:after="0"/>
              <w:ind w:left="0" w:right="0" w:hanging="0"/>
              <w:rPr/>
            </w:pPr>
            <w:r>
              <w:rPr/>
              <w:t> </w:t>
            </w:r>
          </w:p>
        </w:tc>
        <w:tc>
          <w:tcPr>
            <w:tcW w:w="8763" w:type="dxa"/>
            <w:tcBorders/>
            <w:shd w:fill="auto" w:val="clear"/>
            <w:vAlign w:val="bottom"/>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87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the storage of inventory during contango market conditions and the seasonal storage of LPG;</w:t>
            </w:r>
          </w:p>
        </w:tc>
      </w:tr>
      <w:tr>
        <w:trPr/>
        <w:tc>
          <w:tcPr>
            <w:tcW w:w="1442" w:type="dxa"/>
            <w:tcBorders/>
            <w:shd w:fill="auto" w:val="clear"/>
          </w:tcPr>
          <w:p>
            <w:pPr>
              <w:pStyle w:val="TableContents"/>
              <w:spacing w:before="0" w:after="0"/>
              <w:ind w:left="0" w:right="0" w:hanging="0"/>
              <w:rPr/>
            </w:pPr>
            <w:r>
              <w:rPr/>
              <w:t> </w:t>
            </w:r>
          </w:p>
        </w:tc>
        <w:tc>
          <w:tcPr>
            <w:tcW w:w="8763" w:type="dxa"/>
            <w:tcBorders/>
            <w:shd w:fill="auto" w:val="clear"/>
            <w:vAlign w:val="bottom"/>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87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the purchase of refined products and LPG from producers, refiners and other marketers;</w:t>
            </w:r>
          </w:p>
        </w:tc>
      </w:tr>
      <w:tr>
        <w:trPr/>
        <w:tc>
          <w:tcPr>
            <w:tcW w:w="1442" w:type="dxa"/>
            <w:tcBorders/>
            <w:shd w:fill="auto" w:val="clear"/>
          </w:tcPr>
          <w:p>
            <w:pPr>
              <w:pStyle w:val="TableContents"/>
              <w:spacing w:before="0" w:after="0"/>
              <w:ind w:left="0" w:right="0" w:hanging="0"/>
              <w:rPr/>
            </w:pPr>
            <w:r>
              <w:rPr/>
              <w:t> </w:t>
            </w:r>
          </w:p>
        </w:tc>
        <w:tc>
          <w:tcPr>
            <w:tcW w:w="8763" w:type="dxa"/>
            <w:tcBorders/>
            <w:shd w:fill="auto" w:val="clear"/>
            <w:vAlign w:val="bottom"/>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87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the resale or exchange of crude oil, refined products and LPG at various points along the distribution chain to refiners or other resellers to maximize profits; and</w:t>
            </w:r>
          </w:p>
        </w:tc>
      </w:tr>
      <w:tr>
        <w:trPr/>
        <w:tc>
          <w:tcPr>
            <w:tcW w:w="1442" w:type="dxa"/>
            <w:tcBorders/>
            <w:shd w:fill="auto" w:val="clear"/>
          </w:tcPr>
          <w:p>
            <w:pPr>
              <w:pStyle w:val="TableContents"/>
              <w:spacing w:before="0" w:after="0"/>
              <w:ind w:left="0" w:right="0" w:hanging="0"/>
              <w:rPr/>
            </w:pPr>
            <w:r>
              <w:rPr/>
              <w:t> </w:t>
            </w:r>
          </w:p>
        </w:tc>
        <w:tc>
          <w:tcPr>
            <w:tcW w:w="8763" w:type="dxa"/>
            <w:tcBorders/>
            <w:shd w:fill="auto" w:val="clear"/>
            <w:vAlign w:val="bottom"/>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87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the transportation of crude oil, refined products and LPG on trucks, barges, railcars, pipelines and ocean-going vessels to our terminals and third-party terminals.</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level of profit in the marketing segment is influenced by overall market structure and the degree of volatility in the crude oil market as well as variable operating expenses. Forecasted operating results for the remainder of 2009 reflect the current market structure and seasonal, weather-related variations in LPG sales. Variations in weather, market structure or volatility could cause actual results to differ materially from forecasted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forecast segment profit using the volume assumptions stated below, as well as estimates of unit margins, field operating costs, G&amp;A expenses and carrying costs for contango inventory, based on current and anticipated market conditions.  Field operating costs do not include depreciation. Realized unit margins for any given lease-gathered barrel could vary significantly based on a variety of factors including location, quality and contract structure.  Accordingly, the projected segment profit per barrel can vary significantly even if aggregate volumes are in line with the forecasted levels.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3729"/>
        <w:gridCol w:w="182"/>
        <w:gridCol w:w="162"/>
        <w:gridCol w:w="881"/>
        <w:gridCol w:w="182"/>
        <w:gridCol w:w="216"/>
        <w:gridCol w:w="1060"/>
        <w:gridCol w:w="217"/>
        <w:gridCol w:w="216"/>
        <w:gridCol w:w="1028"/>
        <w:gridCol w:w="217"/>
        <w:gridCol w:w="230"/>
        <w:gridCol w:w="1015"/>
        <w:gridCol w:w="155"/>
      </w:tblGrid>
      <w:tr>
        <w:trPr/>
        <w:tc>
          <w:tcPr>
            <w:tcW w:w="3729"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04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82" w:type="dxa"/>
            <w:tcBorders/>
            <w:shd w:fill="auto" w:val="clear"/>
            <w:vAlign w:val="bottom"/>
          </w:tcPr>
          <w:p>
            <w:pPr>
              <w:pStyle w:val="TableContents"/>
              <w:spacing w:before="0" w:after="0"/>
              <w:ind w:left="0" w:right="0" w:hanging="0"/>
              <w:jc w:val="center"/>
              <w:rPr/>
            </w:pPr>
            <w:r>
              <w:rPr/>
              <w:t> </w:t>
            </w:r>
          </w:p>
        </w:tc>
        <w:tc>
          <w:tcPr>
            <w:tcW w:w="4199"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 Guidance</w:t>
            </w:r>
          </w:p>
        </w:tc>
        <w:tc>
          <w:tcPr>
            <w:tcW w:w="155" w:type="dxa"/>
            <w:tcBorders/>
            <w:shd w:fill="auto" w:val="clear"/>
            <w:vAlign w:val="bottom"/>
          </w:tcPr>
          <w:p>
            <w:pPr>
              <w:pStyle w:val="TableContents"/>
              <w:spacing w:before="0" w:after="0"/>
              <w:ind w:left="0" w:right="0" w:hanging="0"/>
              <w:jc w:val="center"/>
              <w:rPr/>
            </w:pPr>
            <w:r>
              <w:rPr/>
              <w:t> </w:t>
            </w:r>
          </w:p>
        </w:tc>
      </w:tr>
      <w:tr>
        <w:trPr/>
        <w:tc>
          <w:tcPr>
            <w:tcW w:w="3729"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04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82" w:type="dxa"/>
            <w:tcBorders/>
            <w:shd w:fill="auto" w:val="clear"/>
            <w:vAlign w:val="bottom"/>
          </w:tcPr>
          <w:p>
            <w:pPr>
              <w:pStyle w:val="TableContents"/>
              <w:spacing w:before="0" w:after="0"/>
              <w:ind w:left="0" w:right="0" w:hanging="0"/>
              <w:jc w:val="center"/>
              <w:rPr/>
            </w:pPr>
            <w:r>
              <w:rPr/>
              <w:t> </w:t>
            </w:r>
          </w:p>
        </w:tc>
        <w:tc>
          <w:tcPr>
            <w:tcW w:w="127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4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4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55" w:type="dxa"/>
            <w:tcBorders/>
            <w:shd w:fill="auto" w:val="clear"/>
            <w:vAlign w:val="bottom"/>
          </w:tcPr>
          <w:p>
            <w:pPr>
              <w:pStyle w:val="TableContents"/>
              <w:spacing w:before="0" w:after="0"/>
              <w:ind w:left="0" w:right="0" w:hanging="0"/>
              <w:jc w:val="center"/>
              <w:rPr/>
            </w:pPr>
            <w:r>
              <w:rPr/>
              <w:t> </w:t>
            </w:r>
          </w:p>
        </w:tc>
      </w:tr>
      <w:tr>
        <w:trPr/>
        <w:tc>
          <w:tcPr>
            <w:tcW w:w="3729"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04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82" w:type="dxa"/>
            <w:tcBorders/>
            <w:shd w:fill="auto" w:val="clear"/>
            <w:vAlign w:val="bottom"/>
          </w:tcPr>
          <w:p>
            <w:pPr>
              <w:pStyle w:val="TableContents"/>
              <w:spacing w:before="0" w:after="0"/>
              <w:ind w:left="0" w:right="0" w:hanging="0"/>
              <w:jc w:val="center"/>
              <w:rPr/>
            </w:pPr>
            <w:r>
              <w:rPr/>
              <w:t> </w:t>
            </w:r>
          </w:p>
        </w:tc>
        <w:tc>
          <w:tcPr>
            <w:tcW w:w="127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7" w:type="dxa"/>
            <w:tcBorders/>
            <w:shd w:fill="auto" w:val="clear"/>
            <w:vAlign w:val="bottom"/>
          </w:tcPr>
          <w:p>
            <w:pPr>
              <w:pStyle w:val="TableContents"/>
              <w:spacing w:before="0" w:after="0"/>
              <w:ind w:left="0" w:right="0" w:hanging="0"/>
              <w:jc w:val="center"/>
              <w:rPr/>
            </w:pPr>
            <w:r>
              <w:rPr/>
              <w:t> </w:t>
            </w:r>
          </w:p>
        </w:tc>
        <w:tc>
          <w:tcPr>
            <w:tcW w:w="124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7" w:type="dxa"/>
            <w:tcBorders/>
            <w:shd w:fill="auto" w:val="clear"/>
            <w:vAlign w:val="bottom"/>
          </w:tcPr>
          <w:p>
            <w:pPr>
              <w:pStyle w:val="TableContents"/>
              <w:spacing w:before="0" w:after="0"/>
              <w:ind w:left="0" w:right="0" w:hanging="0"/>
              <w:jc w:val="center"/>
              <w:rPr/>
            </w:pPr>
            <w:r>
              <w:rPr/>
              <w:t> </w:t>
            </w:r>
          </w:p>
        </w:tc>
        <w:tc>
          <w:tcPr>
            <w:tcW w:w="124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55" w:type="dxa"/>
            <w:tcBorders/>
            <w:shd w:fill="auto" w:val="clear"/>
            <w:vAlign w:val="bottom"/>
          </w:tcPr>
          <w:p>
            <w:pPr>
              <w:pStyle w:val="TableContents"/>
              <w:spacing w:before="0" w:after="0"/>
              <w:ind w:left="0" w:right="0" w:hanging="0"/>
              <w:jc w:val="center"/>
              <w:rPr/>
            </w:pPr>
            <w:r>
              <w:rPr/>
              <w:t> </w:t>
            </w:r>
          </w:p>
        </w:tc>
      </w:tr>
      <w:tr>
        <w:trPr/>
        <w:tc>
          <w:tcPr>
            <w:tcW w:w="3729"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04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82" w:type="dxa"/>
            <w:tcBorders/>
            <w:shd w:fill="auto" w:val="clear"/>
            <w:vAlign w:val="bottom"/>
          </w:tcPr>
          <w:p>
            <w:pPr>
              <w:pStyle w:val="TableContents"/>
              <w:spacing w:before="0" w:after="0"/>
              <w:ind w:left="0" w:right="0" w:hanging="0"/>
              <w:jc w:val="center"/>
              <w:rPr/>
            </w:pPr>
            <w:r>
              <w:rPr/>
              <w:t> </w:t>
            </w:r>
          </w:p>
        </w:tc>
        <w:tc>
          <w:tcPr>
            <w:tcW w:w="12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7" w:type="dxa"/>
            <w:tcBorders/>
            <w:shd w:fill="auto" w:val="clear"/>
            <w:vAlign w:val="bottom"/>
          </w:tcPr>
          <w:p>
            <w:pPr>
              <w:pStyle w:val="TableContents"/>
              <w:spacing w:before="0" w:after="0"/>
              <w:ind w:left="0" w:right="0" w:hanging="0"/>
              <w:jc w:val="center"/>
              <w:rPr/>
            </w:pPr>
            <w:r>
              <w:rPr/>
              <w:t> </w:t>
            </w:r>
          </w:p>
        </w:tc>
        <w:tc>
          <w:tcPr>
            <w:tcW w:w="12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7" w:type="dxa"/>
            <w:tcBorders/>
            <w:shd w:fill="auto" w:val="clear"/>
            <w:vAlign w:val="bottom"/>
          </w:tcPr>
          <w:p>
            <w:pPr>
              <w:pStyle w:val="TableContents"/>
              <w:spacing w:before="0" w:after="0"/>
              <w:ind w:left="0" w:right="0" w:hanging="0"/>
              <w:jc w:val="center"/>
              <w:rPr/>
            </w:pPr>
            <w:r>
              <w:rPr/>
              <w:t> </w:t>
            </w:r>
          </w:p>
        </w:tc>
        <w:tc>
          <w:tcPr>
            <w:tcW w:w="124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55" w:type="dxa"/>
            <w:tcBorders/>
            <w:shd w:fill="auto" w:val="clear"/>
            <w:vAlign w:val="bottom"/>
          </w:tcPr>
          <w:p>
            <w:pPr>
              <w:pStyle w:val="TableContents"/>
              <w:spacing w:before="0" w:after="0"/>
              <w:ind w:left="0" w:right="0" w:hanging="0"/>
              <w:jc w:val="center"/>
              <w:rPr/>
            </w:pPr>
            <w:r>
              <w:rPr/>
              <w:t> </w:t>
            </w:r>
          </w:p>
        </w:tc>
      </w:tr>
      <w:tr>
        <w:trPr/>
        <w:tc>
          <w:tcPr>
            <w:tcW w:w="37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Average Daily Volumes (MBbl/d)</w:t>
            </w:r>
          </w:p>
        </w:tc>
        <w:tc>
          <w:tcPr>
            <w:tcW w:w="182" w:type="dxa"/>
            <w:tcBorders/>
            <w:shd w:fill="CCEEFF" w:val="clear"/>
            <w:vAlign w:val="bottom"/>
          </w:tcPr>
          <w:p>
            <w:pPr>
              <w:pStyle w:val="TableContents"/>
              <w:spacing w:before="0" w:after="0"/>
              <w:ind w:left="0" w:right="0" w:hanging="0"/>
              <w:rPr/>
            </w:pPr>
            <w:r>
              <w:rPr/>
              <w:t> </w:t>
            </w:r>
          </w:p>
        </w:tc>
        <w:tc>
          <w:tcPr>
            <w:tcW w:w="1043"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244"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pPr>
            <w:r>
              <w:rPr/>
              <w:t> </w:t>
            </w:r>
          </w:p>
        </w:tc>
        <w:tc>
          <w:tcPr>
            <w:tcW w:w="155" w:type="dxa"/>
            <w:tcBorders/>
            <w:shd w:fill="CCEEFF" w:val="clear"/>
            <w:vAlign w:val="bottom"/>
          </w:tcPr>
          <w:p>
            <w:pPr>
              <w:pStyle w:val="TableContents"/>
              <w:spacing w:before="0" w:after="0"/>
              <w:ind w:left="0" w:right="0" w:hanging="0"/>
              <w:rPr/>
            </w:pPr>
            <w:r>
              <w:rPr/>
              <w:t> </w:t>
            </w:r>
          </w:p>
        </w:tc>
      </w:tr>
      <w:tr>
        <w:trPr/>
        <w:tc>
          <w:tcPr>
            <w:tcW w:w="37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w:t>
            </w:r>
          </w:p>
        </w:tc>
        <w:tc>
          <w:tcPr>
            <w:tcW w:w="182" w:type="dxa"/>
            <w:tcBorders/>
            <w:shd w:fill="auto" w:val="clear"/>
            <w:vAlign w:val="bottom"/>
          </w:tcPr>
          <w:p>
            <w:pPr>
              <w:pStyle w:val="TableContents"/>
              <w:spacing w:before="0" w:after="0"/>
              <w:ind w:left="0" w:right="0" w:hanging="0"/>
              <w:rPr/>
            </w:pPr>
            <w:r>
              <w:rPr/>
              <w:t> </w:t>
            </w:r>
          </w:p>
        </w:tc>
        <w:tc>
          <w:tcPr>
            <w:tcW w:w="10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627</w:t>
            </w:r>
          </w:p>
        </w:tc>
        <w:tc>
          <w:tcPr>
            <w:tcW w:w="182"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615</w:t>
            </w:r>
          </w:p>
        </w:tc>
        <w:tc>
          <w:tcPr>
            <w:tcW w:w="217" w:type="dxa"/>
            <w:tcBorders/>
            <w:shd w:fill="auto" w:val="clear"/>
            <w:vAlign w:val="bottom"/>
          </w:tcPr>
          <w:p>
            <w:pPr>
              <w:pStyle w:val="TableContents"/>
              <w:spacing w:before="0" w:after="0"/>
              <w:ind w:left="0" w:right="0" w:hanging="0"/>
              <w:rPr/>
            </w:pPr>
            <w:r>
              <w:rPr/>
              <w:t> </w:t>
            </w:r>
          </w:p>
        </w:tc>
        <w:tc>
          <w:tcPr>
            <w:tcW w:w="12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610</w:t>
            </w:r>
          </w:p>
        </w:tc>
        <w:tc>
          <w:tcPr>
            <w:tcW w:w="217"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620</w:t>
            </w:r>
          </w:p>
        </w:tc>
        <w:tc>
          <w:tcPr>
            <w:tcW w:w="155" w:type="dxa"/>
            <w:tcBorders/>
            <w:shd w:fill="auto" w:val="clear"/>
            <w:vAlign w:val="bottom"/>
          </w:tcPr>
          <w:p>
            <w:pPr>
              <w:pStyle w:val="TableContents"/>
              <w:spacing w:before="0" w:after="0"/>
              <w:ind w:left="0" w:right="0" w:hanging="0"/>
              <w:rPr/>
            </w:pPr>
            <w:r>
              <w:rPr/>
              <w:t> </w:t>
            </w:r>
          </w:p>
        </w:tc>
      </w:tr>
      <w:tr>
        <w:trPr/>
        <w:tc>
          <w:tcPr>
            <w:tcW w:w="37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LPG Sales </w:t>
            </w:r>
          </w:p>
        </w:tc>
        <w:tc>
          <w:tcPr>
            <w:tcW w:w="182" w:type="dxa"/>
            <w:tcBorders/>
            <w:shd w:fill="CCEEFF" w:val="clear"/>
            <w:vAlign w:val="bottom"/>
          </w:tcPr>
          <w:p>
            <w:pPr>
              <w:pStyle w:val="TableContents"/>
              <w:spacing w:before="0" w:after="0"/>
              <w:ind w:left="0" w:right="0" w:hanging="0"/>
              <w:rPr/>
            </w:pPr>
            <w:r>
              <w:rPr/>
              <w:t> </w:t>
            </w:r>
          </w:p>
        </w:tc>
        <w:tc>
          <w:tcPr>
            <w:tcW w:w="10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82"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17" w:type="dxa"/>
            <w:tcBorders/>
            <w:shd w:fill="CCEEFF" w:val="clear"/>
            <w:vAlign w:val="bottom"/>
          </w:tcPr>
          <w:p>
            <w:pPr>
              <w:pStyle w:val="TableContents"/>
              <w:spacing w:before="0" w:after="0"/>
              <w:ind w:left="0" w:right="0" w:hanging="0"/>
              <w:rPr/>
            </w:pPr>
            <w:r>
              <w:rPr/>
              <w:t> </w:t>
            </w:r>
          </w:p>
        </w:tc>
        <w:tc>
          <w:tcPr>
            <w:tcW w:w="12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7"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155" w:type="dxa"/>
            <w:tcBorders/>
            <w:shd w:fill="CCEEFF" w:val="clear"/>
            <w:vAlign w:val="bottom"/>
          </w:tcPr>
          <w:p>
            <w:pPr>
              <w:pStyle w:val="TableContents"/>
              <w:spacing w:before="0" w:after="0"/>
              <w:ind w:left="0" w:right="0" w:hanging="0"/>
              <w:rPr/>
            </w:pPr>
            <w:r>
              <w:rPr/>
              <w:t> </w:t>
            </w:r>
          </w:p>
        </w:tc>
      </w:tr>
      <w:tr>
        <w:trPr/>
        <w:tc>
          <w:tcPr>
            <w:tcW w:w="37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Refined Products </w:t>
            </w:r>
          </w:p>
        </w:tc>
        <w:tc>
          <w:tcPr>
            <w:tcW w:w="182" w:type="dxa"/>
            <w:tcBorders/>
            <w:shd w:fill="auto" w:val="clear"/>
            <w:vAlign w:val="bottom"/>
          </w:tcPr>
          <w:p>
            <w:pPr>
              <w:pStyle w:val="TableContents"/>
              <w:spacing w:before="0" w:after="0"/>
              <w:ind w:left="0" w:right="0" w:hanging="0"/>
              <w:rPr/>
            </w:pPr>
            <w:r>
              <w:rPr/>
              <w:t> </w:t>
            </w:r>
          </w:p>
        </w:tc>
        <w:tc>
          <w:tcPr>
            <w:tcW w:w="10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82"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7" w:type="dxa"/>
            <w:tcBorders/>
            <w:shd w:fill="auto" w:val="clear"/>
            <w:vAlign w:val="bottom"/>
          </w:tcPr>
          <w:p>
            <w:pPr>
              <w:pStyle w:val="TableContents"/>
              <w:spacing w:before="0" w:after="0"/>
              <w:ind w:left="0" w:right="0" w:hanging="0"/>
              <w:rPr/>
            </w:pPr>
            <w:r>
              <w:rPr/>
              <w:t> </w:t>
            </w:r>
          </w:p>
        </w:tc>
        <w:tc>
          <w:tcPr>
            <w:tcW w:w="12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7"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55" w:type="dxa"/>
            <w:tcBorders/>
            <w:shd w:fill="auto" w:val="clear"/>
            <w:vAlign w:val="bottom"/>
          </w:tcPr>
          <w:p>
            <w:pPr>
              <w:pStyle w:val="TableContents"/>
              <w:spacing w:before="0" w:after="0"/>
              <w:ind w:left="0" w:right="0" w:hanging="0"/>
              <w:rPr/>
            </w:pPr>
            <w:r>
              <w:rPr/>
              <w:t> </w:t>
            </w:r>
          </w:p>
        </w:tc>
      </w:tr>
      <w:tr>
        <w:trPr/>
        <w:tc>
          <w:tcPr>
            <w:tcW w:w="37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Waterborne foreign crude imported </w:t>
            </w:r>
          </w:p>
        </w:tc>
        <w:tc>
          <w:tcPr>
            <w:tcW w:w="182" w:type="dxa"/>
            <w:tcBorders/>
            <w:shd w:fill="CCEEFF" w:val="clear"/>
            <w:vAlign w:val="bottom"/>
          </w:tcPr>
          <w:p>
            <w:pPr>
              <w:pStyle w:val="TableContents"/>
              <w:spacing w:before="0" w:after="0"/>
              <w:ind w:left="0" w:right="0" w:hanging="0"/>
              <w:rPr/>
            </w:pPr>
            <w:r>
              <w:rPr/>
              <w:t> </w:t>
            </w:r>
          </w:p>
        </w:tc>
        <w:tc>
          <w:tcPr>
            <w:tcW w:w="104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82" w:type="dxa"/>
            <w:tcBorders/>
            <w:shd w:fill="CCEEFF" w:val="clear"/>
            <w:vAlign w:val="bottom"/>
          </w:tcPr>
          <w:p>
            <w:pPr>
              <w:pStyle w:val="TableContents"/>
              <w:spacing w:before="0" w:after="0"/>
              <w:ind w:left="0" w:right="0" w:hanging="0"/>
              <w:rPr/>
            </w:pPr>
            <w:r>
              <w:rPr/>
              <w:t> </w:t>
            </w:r>
          </w:p>
        </w:tc>
        <w:tc>
          <w:tcPr>
            <w:tcW w:w="12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17" w:type="dxa"/>
            <w:tcBorders/>
            <w:shd w:fill="CCEEFF" w:val="clear"/>
            <w:vAlign w:val="bottom"/>
          </w:tcPr>
          <w:p>
            <w:pPr>
              <w:pStyle w:val="TableContents"/>
              <w:spacing w:before="0" w:after="0"/>
              <w:ind w:left="0" w:right="0" w:hanging="0"/>
              <w:rPr/>
            </w:pPr>
            <w:r>
              <w:rPr/>
              <w:t> </w:t>
            </w:r>
          </w:p>
        </w:tc>
        <w:tc>
          <w:tcPr>
            <w:tcW w:w="12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7" w:type="dxa"/>
            <w:tcBorders/>
            <w:shd w:fill="CCEEFF"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55" w:type="dxa"/>
            <w:tcBorders/>
            <w:shd w:fill="CCEEFF" w:val="clear"/>
            <w:vAlign w:val="bottom"/>
          </w:tcPr>
          <w:p>
            <w:pPr>
              <w:pStyle w:val="TableContents"/>
              <w:spacing w:before="0" w:after="0"/>
              <w:ind w:left="0" w:right="0" w:hanging="0"/>
              <w:rPr/>
            </w:pPr>
            <w:r>
              <w:rPr/>
              <w:t> </w:t>
            </w:r>
          </w:p>
        </w:tc>
      </w:tr>
      <w:tr>
        <w:trPr/>
        <w:tc>
          <w:tcPr>
            <w:tcW w:w="3729"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rPr/>
            </w:pPr>
            <w:r>
              <w:rPr/>
              <w:t> </w:t>
            </w:r>
          </w:p>
        </w:tc>
        <w:tc>
          <w:tcPr>
            <w:tcW w:w="104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822</w:t>
            </w:r>
          </w:p>
        </w:tc>
        <w:tc>
          <w:tcPr>
            <w:tcW w:w="182" w:type="dxa"/>
            <w:tcBorders/>
            <w:shd w:fill="auto" w:val="clear"/>
            <w:vAlign w:val="bottom"/>
          </w:tcPr>
          <w:p>
            <w:pPr>
              <w:pStyle w:val="TableContents"/>
              <w:spacing w:before="0" w:after="0"/>
              <w:ind w:left="0" w:right="0" w:hanging="0"/>
              <w:rPr/>
            </w:pPr>
            <w:r>
              <w:rPr/>
              <w:t> </w:t>
            </w:r>
          </w:p>
        </w:tc>
        <w:tc>
          <w:tcPr>
            <w:tcW w:w="127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765</w:t>
            </w:r>
          </w:p>
        </w:tc>
        <w:tc>
          <w:tcPr>
            <w:tcW w:w="217" w:type="dxa"/>
            <w:tcBorders/>
            <w:shd w:fill="auto" w:val="clear"/>
            <w:vAlign w:val="bottom"/>
          </w:tcPr>
          <w:p>
            <w:pPr>
              <w:pStyle w:val="TableContents"/>
              <w:spacing w:before="0" w:after="0"/>
              <w:ind w:left="0" w:right="0" w:hanging="0"/>
              <w:rPr/>
            </w:pPr>
            <w:r>
              <w:rPr/>
              <w:t> </w:t>
            </w:r>
          </w:p>
        </w:tc>
        <w:tc>
          <w:tcPr>
            <w:tcW w:w="124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855</w:t>
            </w:r>
          </w:p>
        </w:tc>
        <w:tc>
          <w:tcPr>
            <w:tcW w:w="217" w:type="dxa"/>
            <w:tcBorders/>
            <w:shd w:fill="auto" w:val="clear"/>
            <w:vAlign w:val="bottom"/>
          </w:tcPr>
          <w:p>
            <w:pPr>
              <w:pStyle w:val="TableContents"/>
              <w:spacing w:before="0" w:after="0"/>
              <w:ind w:left="0" w:right="0" w:hanging="0"/>
              <w:rPr/>
            </w:pPr>
            <w:r>
              <w:rPr/>
              <w:t> </w:t>
            </w:r>
          </w:p>
        </w:tc>
        <w:tc>
          <w:tcPr>
            <w:tcW w:w="124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816</w:t>
            </w:r>
          </w:p>
        </w:tc>
        <w:tc>
          <w:tcPr>
            <w:tcW w:w="155" w:type="dxa"/>
            <w:tcBorders/>
            <w:shd w:fill="auto" w:val="clear"/>
            <w:vAlign w:val="bottom"/>
          </w:tcPr>
          <w:p>
            <w:pPr>
              <w:pStyle w:val="TableContents"/>
              <w:spacing w:before="0" w:after="0"/>
              <w:ind w:left="0" w:right="0" w:hanging="0"/>
              <w:rPr/>
            </w:pPr>
            <w:r>
              <w:rPr/>
              <w:t> </w:t>
            </w:r>
          </w:p>
        </w:tc>
      </w:tr>
      <w:tr>
        <w:trPr/>
        <w:tc>
          <w:tcPr>
            <w:tcW w:w="3729"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pPr>
            <w:r>
              <w:rPr/>
              <w:t> </w:t>
            </w:r>
          </w:p>
        </w:tc>
        <w:tc>
          <w:tcPr>
            <w:tcW w:w="1043"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244"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pPr>
            <w:r>
              <w:rPr/>
              <w:t> </w:t>
            </w:r>
          </w:p>
        </w:tc>
        <w:tc>
          <w:tcPr>
            <w:tcW w:w="155" w:type="dxa"/>
            <w:tcBorders/>
            <w:shd w:fill="CCEEFF" w:val="clear"/>
            <w:vAlign w:val="bottom"/>
          </w:tcPr>
          <w:p>
            <w:pPr>
              <w:pStyle w:val="TableContents"/>
              <w:spacing w:before="0" w:after="0"/>
              <w:ind w:left="0" w:right="0" w:hanging="0"/>
              <w:rPr/>
            </w:pPr>
            <w:r>
              <w:rPr/>
              <w:t> </w:t>
            </w:r>
          </w:p>
        </w:tc>
      </w:tr>
      <w:tr>
        <w:trPr/>
        <w:tc>
          <w:tcPr>
            <w:tcW w:w="37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82" w:type="dxa"/>
            <w:tcBorders/>
            <w:shd w:fill="auto" w:val="clear"/>
            <w:vAlign w:val="bottom"/>
          </w:tcPr>
          <w:p>
            <w:pPr>
              <w:pStyle w:val="TableContents"/>
              <w:spacing w:before="0" w:after="0"/>
              <w:ind w:left="0" w:right="0" w:hanging="0"/>
              <w:rPr/>
            </w:pPr>
            <w:r>
              <w:rPr/>
              <w:t> </w:t>
            </w:r>
          </w:p>
        </w:tc>
        <w:tc>
          <w:tcPr>
            <w:tcW w:w="1043"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244"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pPr>
            <w:r>
              <w:rPr/>
              <w:t> </w:t>
            </w:r>
          </w:p>
        </w:tc>
        <w:tc>
          <w:tcPr>
            <w:tcW w:w="155" w:type="dxa"/>
            <w:tcBorders/>
            <w:shd w:fill="auto" w:val="clear"/>
            <w:vAlign w:val="bottom"/>
          </w:tcPr>
          <w:p>
            <w:pPr>
              <w:pStyle w:val="TableContents"/>
              <w:spacing w:before="0" w:after="0"/>
              <w:ind w:left="0" w:right="0" w:hanging="0"/>
              <w:rPr/>
            </w:pPr>
            <w:r>
              <w:rPr/>
              <w:t> </w:t>
            </w:r>
          </w:p>
        </w:tc>
      </w:tr>
      <w:tr>
        <w:trPr/>
        <w:tc>
          <w:tcPr>
            <w:tcW w:w="37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Excluding Selected Items Impacting Comparability</w:t>
            </w:r>
          </w:p>
        </w:tc>
        <w:tc>
          <w:tcPr>
            <w:tcW w:w="182" w:type="dxa"/>
            <w:tcBorders/>
            <w:shd w:fill="CCEEFF" w:val="clear"/>
            <w:vAlign w:val="bottom"/>
          </w:tcPr>
          <w:p>
            <w:pPr>
              <w:pStyle w:val="TableContents"/>
              <w:spacing w:before="0" w:after="0"/>
              <w:ind w:left="0" w:right="0" w:hanging="0"/>
              <w:rPr/>
            </w:pPr>
            <w:r>
              <w:rPr/>
              <w:t> </w:t>
            </w:r>
          </w:p>
        </w:tc>
        <w:tc>
          <w:tcPr>
            <w:tcW w:w="1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82" w:type="dxa"/>
            <w:tcBorders/>
            <w:shd w:fill="CCEEFF" w:val="clear"/>
            <w:vAlign w:val="bottom"/>
          </w:tcPr>
          <w:p>
            <w:pPr>
              <w:pStyle w:val="TableContents"/>
              <w:spacing w:before="0" w:after="0"/>
              <w:ind w:left="0" w:right="0" w:hanging="0"/>
              <w:rPr/>
            </w:pPr>
            <w:r>
              <w:rPr/>
              <w:t> </w:t>
            </w:r>
          </w:p>
        </w:tc>
        <w:tc>
          <w:tcPr>
            <w:tcW w:w="2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0.60</w:t>
            </w:r>
          </w:p>
        </w:tc>
        <w:tc>
          <w:tcPr>
            <w:tcW w:w="217"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0.85</w:t>
            </w:r>
          </w:p>
        </w:tc>
        <w:tc>
          <w:tcPr>
            <w:tcW w:w="217"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0.92</w:t>
            </w:r>
          </w:p>
        </w:tc>
        <w:tc>
          <w:tcPr>
            <w:tcW w:w="15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372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4250" w:type="pct"/>
        <w:jc w:val="left"/>
        <w:tblInd w:w="0" w:type="dxa"/>
        <w:tblCellMar>
          <w:top w:w="0" w:type="dxa"/>
          <w:left w:w="0" w:type="dxa"/>
          <w:bottom w:w="0" w:type="dxa"/>
          <w:right w:w="0" w:type="dxa"/>
        </w:tblCellMar>
      </w:tblPr>
      <w:tblGrid>
        <w:gridCol w:w="524"/>
        <w:gridCol w:w="8150"/>
      </w:tblGrid>
      <w:tr>
        <w:trPr/>
        <w:tc>
          <w:tcPr>
            <w:tcW w:w="524"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81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Mid-point of guidance.</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i/>
          <w:sz w:val="17"/>
        </w:rPr>
        <w:t>Depreciation and Amortization.</w:t>
      </w:r>
      <w:r>
        <w:rPr>
          <w:rFonts w:ascii="Times New Roman" w:hAnsi="Times New Roman"/>
        </w:rPr>
        <w:t xml:space="preserve"> </w:t>
      </w:r>
      <w:r>
        <w:rPr>
          <w:rFonts w:ascii="Times New Roman" w:hAnsi="Times New Roman"/>
          <w:sz w:val="17"/>
        </w:rPr>
        <w:t>We forecast depreciation and amortization based on our existing depreciable assets, forecasted capital expenditures and projected in-service dates. Depreciation is computed using the straight-line method over estimated useful lives, which range from 3 years (for office furniture and equipment) to 40 years (for certain pipelines, crude oil terminals and facilities). Depreciation may vary during any one period due to gains and losses on intermittent sales of assets, asset retirement obligations, or asset impairments.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i/>
          <w:sz w:val="17"/>
        </w:rPr>
        <w:t>Selected Items Impacting Comparability.</w:t>
      </w:r>
      <w:r>
        <w:rPr>
          <w:rFonts w:ascii="Times New Roman" w:hAnsi="Times New Roman"/>
        </w:rPr>
        <w:t xml:space="preserve">   </w:t>
      </w:r>
      <w:r>
        <w:rPr>
          <w:rFonts w:ascii="Times New Roman" w:hAnsi="Times New Roman"/>
          <w:sz w:val="17"/>
        </w:rPr>
        <w:t>Our operating results are impacted by items that affect comparability between reporting periods, such as the equity compensation benefit or charge associated with our long-term incentive programs.  In addition, our actual results will reflect certain mark-to-market items such as gains and losses related to derivative activities, gains and losses from unrealized foreign currency transactions, and inventory revaluation adjustments.  Our adjusted results exclude these selected items impacting comparability until such time as the underlying and offsetting physical transaction settles.  Although the economics of these transactions as a whole are embedded in our guidance presented here, our selected items impacting comparability do not reflect these items as there is no accurate way to forecast the timing and magnitude of their ultimate effect.  The timing of when these items will impact our results is primarily dependent on the timing of the purchase or sale of the underlying inventory, which is dependent on market variables and other factors.  The magnitude of these items depends on market prices and exchange rates at a point in time.  Accordingly, our actual results could differ materially from our projections.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i/>
          <w:sz w:val="17"/>
        </w:rPr>
        <w:t>Acquisitions and Other Capital Expenditures.</w:t>
      </w:r>
      <w:r>
        <w:rPr>
          <w:rFonts w:ascii="Times New Roman" w:hAnsi="Times New Roman"/>
        </w:rPr>
        <w:t xml:space="preserve">   </w:t>
      </w:r>
      <w:r>
        <w:rPr>
          <w:rFonts w:ascii="Times New Roman" w:hAnsi="Times New Roman"/>
          <w:sz w:val="17"/>
        </w:rPr>
        <w:t>Although acquisitions constitute a key element of our growth strategy, the forecasted results and associated estimates do not include any forecasts for acquisitions to which we may commit after the date hereof. We forecast capital expenditures during calendar 2009 to be approximately $370 million for expansion projects with an additional $85 to $95 million for maintenance capital projects. During the first six months of 2009, we spent $158 million and $44 million, respectively, for expansion and maintenance capital projects.  Following are some of the more notable projects and forecasted expenditures for the year:</w:t>
      </w:r>
    </w:p>
    <w:p>
      <w:pPr>
        <w:pStyle w:val="TextBody"/>
        <w:spacing w:before="0" w:after="0"/>
        <w:ind w:left="0" w:right="0" w:hanging="0"/>
        <w:rPr/>
      </w:pPr>
      <w:r>
        <w:rPr/>
        <w:t> </w:t>
      </w:r>
    </w:p>
    <w:tbl>
      <w:tblPr>
        <w:tblW w:w="3900" w:type="pct"/>
        <w:jc w:val="left"/>
        <w:tblInd w:w="0" w:type="dxa"/>
        <w:tblCellMar>
          <w:top w:w="0" w:type="dxa"/>
          <w:left w:w="0" w:type="dxa"/>
          <w:bottom w:w="0" w:type="dxa"/>
          <w:right w:w="0" w:type="dxa"/>
        </w:tblCellMar>
      </w:tblPr>
      <w:tblGrid>
        <w:gridCol w:w="5745"/>
        <w:gridCol w:w="310"/>
        <w:gridCol w:w="228"/>
        <w:gridCol w:w="1562"/>
        <w:gridCol w:w="114"/>
      </w:tblGrid>
      <w:tr>
        <w:trPr/>
        <w:tc>
          <w:tcPr>
            <w:tcW w:w="5745" w:type="dxa"/>
            <w:tcBorders/>
            <w:shd w:fill="auto" w:val="clear"/>
            <w:vAlign w:val="bottom"/>
          </w:tcPr>
          <w:p>
            <w:pPr>
              <w:pStyle w:val="TableContents"/>
              <w:spacing w:before="0" w:after="0"/>
              <w:ind w:left="0" w:right="0" w:hanging="0"/>
              <w:rPr/>
            </w:pPr>
            <w:r>
              <w:rPr/>
              <w:t> </w:t>
            </w:r>
          </w:p>
        </w:tc>
        <w:tc>
          <w:tcPr>
            <w:tcW w:w="310" w:type="dxa"/>
            <w:tcBorders/>
            <w:shd w:fill="auto" w:val="clear"/>
            <w:vAlign w:val="bottom"/>
          </w:tcPr>
          <w:p>
            <w:pPr>
              <w:pStyle w:val="TableContents"/>
              <w:spacing w:before="0" w:after="0"/>
              <w:ind w:left="0" w:right="0" w:hanging="0"/>
              <w:jc w:val="center"/>
              <w:rPr/>
            </w:pPr>
            <w:r>
              <w:rPr/>
              <w:t> </w:t>
            </w:r>
          </w:p>
        </w:tc>
        <w:tc>
          <w:tcPr>
            <w:tcW w:w="17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Calendar 2009</w:t>
            </w:r>
          </w:p>
        </w:tc>
        <w:tc>
          <w:tcPr>
            <w:tcW w:w="114" w:type="dxa"/>
            <w:tcBorders/>
            <w:shd w:fill="auto" w:val="clear"/>
            <w:vAlign w:val="bottom"/>
          </w:tcPr>
          <w:p>
            <w:pPr>
              <w:pStyle w:val="TableContents"/>
              <w:spacing w:before="0" w:after="0"/>
              <w:ind w:left="0" w:right="0" w:hanging="0"/>
              <w:jc w:val="center"/>
              <w:rPr/>
            </w:pPr>
            <w:r>
              <w:rPr/>
              <w:t> </w:t>
            </w:r>
          </w:p>
        </w:tc>
      </w:tr>
      <w:tr>
        <w:trPr/>
        <w:tc>
          <w:tcPr>
            <w:tcW w:w="5745" w:type="dxa"/>
            <w:tcBorders/>
            <w:shd w:fill="auto" w:val="clear"/>
            <w:vAlign w:val="bottom"/>
          </w:tcPr>
          <w:p>
            <w:pPr>
              <w:pStyle w:val="TableContents"/>
              <w:spacing w:before="0" w:after="0"/>
              <w:ind w:left="0" w:right="0" w:hanging="0"/>
              <w:rPr/>
            </w:pPr>
            <w:r>
              <w:rPr/>
              <w:t> </w:t>
            </w:r>
          </w:p>
        </w:tc>
        <w:tc>
          <w:tcPr>
            <w:tcW w:w="310" w:type="dxa"/>
            <w:tcBorders/>
            <w:shd w:fill="auto" w:val="clear"/>
            <w:vAlign w:val="bottom"/>
          </w:tcPr>
          <w:p>
            <w:pPr>
              <w:pStyle w:val="TableContents"/>
              <w:spacing w:before="0" w:after="0"/>
              <w:ind w:left="0" w:right="0" w:hanging="0"/>
              <w:jc w:val="center"/>
              <w:rPr/>
            </w:pPr>
            <w:r>
              <w:rPr/>
              <w:t> </w:t>
            </w:r>
          </w:p>
        </w:tc>
        <w:tc>
          <w:tcPr>
            <w:tcW w:w="179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14" w:type="dxa"/>
            <w:tcBorders/>
            <w:shd w:fill="auto" w:val="clear"/>
            <w:vAlign w:val="bottom"/>
          </w:tcPr>
          <w:p>
            <w:pPr>
              <w:pStyle w:val="TableContents"/>
              <w:spacing w:before="0" w:after="0"/>
              <w:ind w:left="0" w:right="0" w:hanging="0"/>
              <w:jc w:val="center"/>
              <w:rPr/>
            </w:pPr>
            <w:r>
              <w:rPr/>
              <w:t> </w:t>
            </w:r>
          </w:p>
        </w:tc>
      </w:tr>
      <w:tr>
        <w:trPr/>
        <w:tc>
          <w:tcPr>
            <w:tcW w:w="57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Expansion Capital</w:t>
            </w:r>
          </w:p>
        </w:tc>
        <w:tc>
          <w:tcPr>
            <w:tcW w:w="310" w:type="dxa"/>
            <w:tcBorders/>
            <w:shd w:fill="CCEEFF" w:val="clear"/>
            <w:vAlign w:val="bottom"/>
          </w:tcPr>
          <w:p>
            <w:pPr>
              <w:pStyle w:val="TableContents"/>
              <w:spacing w:before="0" w:after="0"/>
              <w:ind w:left="0" w:right="0" w:hanging="0"/>
              <w:rPr/>
            </w:pPr>
            <w:r>
              <w:rPr/>
              <w:t> </w:t>
            </w:r>
          </w:p>
        </w:tc>
        <w:tc>
          <w:tcPr>
            <w:tcW w:w="1790"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574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 xml:space="preserve">St. James Phase III </w:t>
            </w:r>
            <w:r>
              <w:rPr>
                <w:sz w:val="11"/>
              </w:rPr>
              <w:t>(1)</w:t>
            </w:r>
          </w:p>
        </w:tc>
        <w:tc>
          <w:tcPr>
            <w:tcW w:w="310" w:type="dxa"/>
            <w:tcBorders/>
            <w:shd w:fill="auto" w:val="clear"/>
            <w:vAlign w:val="bottom"/>
          </w:tcPr>
          <w:p>
            <w:pPr>
              <w:pStyle w:val="TableContents"/>
              <w:spacing w:before="0" w:after="0"/>
              <w:ind w:left="0" w:right="0" w:hanging="0"/>
              <w:rPr/>
            </w:pPr>
            <w:r>
              <w:rPr/>
              <w:t> </w:t>
            </w:r>
          </w:p>
        </w:tc>
        <w:tc>
          <w:tcPr>
            <w:tcW w:w="2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14" w:type="dxa"/>
            <w:tcBorders/>
            <w:shd w:fill="auto" w:val="clear"/>
            <w:vAlign w:val="bottom"/>
          </w:tcPr>
          <w:p>
            <w:pPr>
              <w:pStyle w:val="TableContents"/>
              <w:spacing w:before="0" w:after="0"/>
              <w:ind w:left="0" w:right="0" w:hanging="0"/>
              <w:rPr/>
            </w:pPr>
            <w:r>
              <w:rPr/>
              <w:t> </w:t>
            </w:r>
          </w:p>
        </w:tc>
      </w:tr>
      <w:tr>
        <w:trPr/>
        <w:tc>
          <w:tcPr>
            <w:tcW w:w="574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Rangeland tankage and connections</w:t>
            </w:r>
          </w:p>
        </w:tc>
        <w:tc>
          <w:tcPr>
            <w:tcW w:w="310" w:type="dxa"/>
            <w:tcBorders/>
            <w:shd w:fill="CCEEFF" w:val="clear"/>
            <w:vAlign w:val="bottom"/>
          </w:tcPr>
          <w:p>
            <w:pPr>
              <w:pStyle w:val="TableContents"/>
              <w:spacing w:before="0" w:after="0"/>
              <w:ind w:left="0" w:right="0" w:hanging="0"/>
              <w:rPr/>
            </w:pPr>
            <w:r>
              <w:rPr/>
              <w:t> </w:t>
            </w:r>
          </w:p>
        </w:tc>
        <w:tc>
          <w:tcPr>
            <w:tcW w:w="1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14" w:type="dxa"/>
            <w:tcBorders/>
            <w:shd w:fill="CCEEFF" w:val="clear"/>
            <w:vAlign w:val="bottom"/>
          </w:tcPr>
          <w:p>
            <w:pPr>
              <w:pStyle w:val="TableContents"/>
              <w:spacing w:before="0" w:after="0"/>
              <w:ind w:left="0" w:right="0" w:hanging="0"/>
              <w:rPr/>
            </w:pPr>
            <w:r>
              <w:rPr/>
              <w:t> </w:t>
            </w:r>
          </w:p>
        </w:tc>
      </w:tr>
      <w:tr>
        <w:trPr/>
        <w:tc>
          <w:tcPr>
            <w:tcW w:w="574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Kerrobert pumping project</w:t>
            </w:r>
          </w:p>
        </w:tc>
        <w:tc>
          <w:tcPr>
            <w:tcW w:w="310" w:type="dxa"/>
            <w:tcBorders/>
            <w:shd w:fill="auto" w:val="clear"/>
            <w:vAlign w:val="bottom"/>
          </w:tcPr>
          <w:p>
            <w:pPr>
              <w:pStyle w:val="TableContents"/>
              <w:spacing w:before="0" w:after="0"/>
              <w:ind w:left="0" w:right="0" w:hanging="0"/>
              <w:rPr/>
            </w:pPr>
            <w:r>
              <w:rPr/>
              <w:t> </w:t>
            </w:r>
          </w:p>
        </w:tc>
        <w:tc>
          <w:tcPr>
            <w:tcW w:w="1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14" w:type="dxa"/>
            <w:tcBorders/>
            <w:shd w:fill="auto" w:val="clear"/>
            <w:vAlign w:val="bottom"/>
          </w:tcPr>
          <w:p>
            <w:pPr>
              <w:pStyle w:val="TableContents"/>
              <w:spacing w:before="0" w:after="0"/>
              <w:ind w:left="0" w:right="0" w:hanging="0"/>
              <w:rPr/>
            </w:pPr>
            <w:r>
              <w:rPr/>
              <w:t> </w:t>
            </w:r>
          </w:p>
        </w:tc>
      </w:tr>
      <w:tr>
        <w:trPr/>
        <w:tc>
          <w:tcPr>
            <w:tcW w:w="574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Patoka Phase II &amp; III</w:t>
            </w:r>
          </w:p>
        </w:tc>
        <w:tc>
          <w:tcPr>
            <w:tcW w:w="310" w:type="dxa"/>
            <w:tcBorders/>
            <w:shd w:fill="CCEEFF" w:val="clear"/>
            <w:vAlign w:val="bottom"/>
          </w:tcPr>
          <w:p>
            <w:pPr>
              <w:pStyle w:val="TableContents"/>
              <w:spacing w:before="0" w:after="0"/>
              <w:ind w:left="0" w:right="0" w:hanging="0"/>
              <w:rPr/>
            </w:pPr>
            <w:r>
              <w:rPr/>
              <w:t> </w:t>
            </w:r>
          </w:p>
        </w:tc>
        <w:tc>
          <w:tcPr>
            <w:tcW w:w="1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14" w:type="dxa"/>
            <w:tcBorders/>
            <w:shd w:fill="CCEEFF" w:val="clear"/>
            <w:vAlign w:val="bottom"/>
          </w:tcPr>
          <w:p>
            <w:pPr>
              <w:pStyle w:val="TableContents"/>
              <w:spacing w:before="0" w:after="0"/>
              <w:ind w:left="0" w:right="0" w:hanging="0"/>
              <w:rPr/>
            </w:pPr>
            <w:r>
              <w:rPr/>
              <w:t> </w:t>
            </w:r>
          </w:p>
        </w:tc>
      </w:tr>
      <w:tr>
        <w:trPr/>
        <w:tc>
          <w:tcPr>
            <w:tcW w:w="574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Cushing Phase VII</w:t>
            </w:r>
          </w:p>
        </w:tc>
        <w:tc>
          <w:tcPr>
            <w:tcW w:w="310" w:type="dxa"/>
            <w:tcBorders/>
            <w:shd w:fill="auto" w:val="clear"/>
            <w:vAlign w:val="bottom"/>
          </w:tcPr>
          <w:p>
            <w:pPr>
              <w:pStyle w:val="TableContents"/>
              <w:spacing w:before="0" w:after="0"/>
              <w:ind w:left="0" w:right="0" w:hanging="0"/>
              <w:rPr/>
            </w:pPr>
            <w:r>
              <w:rPr/>
              <w:t> </w:t>
            </w:r>
          </w:p>
        </w:tc>
        <w:tc>
          <w:tcPr>
            <w:tcW w:w="1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14" w:type="dxa"/>
            <w:tcBorders/>
            <w:shd w:fill="auto" w:val="clear"/>
            <w:vAlign w:val="bottom"/>
          </w:tcPr>
          <w:p>
            <w:pPr>
              <w:pStyle w:val="TableContents"/>
              <w:spacing w:before="0" w:after="0"/>
              <w:ind w:left="0" w:right="0" w:hanging="0"/>
              <w:rPr/>
            </w:pPr>
            <w:r>
              <w:rPr/>
              <w:t> </w:t>
            </w:r>
          </w:p>
        </w:tc>
      </w:tr>
      <w:tr>
        <w:trPr/>
        <w:tc>
          <w:tcPr>
            <w:tcW w:w="574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Nipisi storage and truck terminal</w:t>
            </w:r>
          </w:p>
        </w:tc>
        <w:tc>
          <w:tcPr>
            <w:tcW w:w="310" w:type="dxa"/>
            <w:tcBorders/>
            <w:shd w:fill="CCEEFF" w:val="clear"/>
            <w:vAlign w:val="bottom"/>
          </w:tcPr>
          <w:p>
            <w:pPr>
              <w:pStyle w:val="TableContents"/>
              <w:spacing w:before="0" w:after="0"/>
              <w:ind w:left="0" w:right="0" w:hanging="0"/>
              <w:rPr/>
            </w:pPr>
            <w:r>
              <w:rPr/>
              <w:t> </w:t>
            </w:r>
          </w:p>
        </w:tc>
        <w:tc>
          <w:tcPr>
            <w:tcW w:w="1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14" w:type="dxa"/>
            <w:tcBorders/>
            <w:shd w:fill="CCEEFF" w:val="clear"/>
            <w:vAlign w:val="bottom"/>
          </w:tcPr>
          <w:p>
            <w:pPr>
              <w:pStyle w:val="TableContents"/>
              <w:spacing w:before="0" w:after="0"/>
              <w:ind w:left="0" w:right="0" w:hanging="0"/>
              <w:rPr/>
            </w:pPr>
            <w:r>
              <w:rPr/>
              <w:t> </w:t>
            </w:r>
          </w:p>
        </w:tc>
      </w:tr>
      <w:tr>
        <w:trPr/>
        <w:tc>
          <w:tcPr>
            <w:tcW w:w="574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Salt Lake City pipeline</w:t>
            </w:r>
          </w:p>
        </w:tc>
        <w:tc>
          <w:tcPr>
            <w:tcW w:w="310" w:type="dxa"/>
            <w:tcBorders/>
            <w:shd w:fill="auto" w:val="clear"/>
            <w:vAlign w:val="bottom"/>
          </w:tcPr>
          <w:p>
            <w:pPr>
              <w:pStyle w:val="TableContents"/>
              <w:spacing w:before="0" w:after="0"/>
              <w:ind w:left="0" w:right="0" w:hanging="0"/>
              <w:rPr/>
            </w:pPr>
            <w:r>
              <w:rPr/>
              <w:t> </w:t>
            </w:r>
          </w:p>
        </w:tc>
        <w:tc>
          <w:tcPr>
            <w:tcW w:w="1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4" w:type="dxa"/>
            <w:tcBorders/>
            <w:shd w:fill="auto" w:val="clear"/>
            <w:vAlign w:val="bottom"/>
          </w:tcPr>
          <w:p>
            <w:pPr>
              <w:pStyle w:val="TableContents"/>
              <w:spacing w:before="0" w:after="0"/>
              <w:ind w:left="0" w:right="0" w:hanging="0"/>
              <w:rPr/>
            </w:pPr>
            <w:r>
              <w:rPr/>
              <w:t> </w:t>
            </w:r>
          </w:p>
        </w:tc>
      </w:tr>
      <w:tr>
        <w:trPr/>
        <w:tc>
          <w:tcPr>
            <w:tcW w:w="574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Pier 400</w:t>
            </w:r>
          </w:p>
        </w:tc>
        <w:tc>
          <w:tcPr>
            <w:tcW w:w="310" w:type="dxa"/>
            <w:tcBorders/>
            <w:shd w:fill="CCEEFF" w:val="clear"/>
            <w:vAlign w:val="bottom"/>
          </w:tcPr>
          <w:p>
            <w:pPr>
              <w:pStyle w:val="TableContents"/>
              <w:spacing w:before="0" w:after="0"/>
              <w:ind w:left="0" w:right="0" w:hanging="0"/>
              <w:rPr/>
            </w:pPr>
            <w:r>
              <w:rPr/>
              <w:t> </w:t>
            </w:r>
          </w:p>
        </w:tc>
        <w:tc>
          <w:tcPr>
            <w:tcW w:w="1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14" w:type="dxa"/>
            <w:tcBorders/>
            <w:shd w:fill="CCEEFF" w:val="clear"/>
            <w:vAlign w:val="bottom"/>
          </w:tcPr>
          <w:p>
            <w:pPr>
              <w:pStyle w:val="TableContents"/>
              <w:spacing w:before="0" w:after="0"/>
              <w:ind w:left="0" w:right="0" w:hanging="0"/>
              <w:rPr/>
            </w:pPr>
            <w:r>
              <w:rPr/>
              <w:t> </w:t>
            </w:r>
          </w:p>
        </w:tc>
      </w:tr>
      <w:tr>
        <w:trPr/>
        <w:tc>
          <w:tcPr>
            <w:tcW w:w="574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Paulsboro</w:t>
            </w:r>
          </w:p>
        </w:tc>
        <w:tc>
          <w:tcPr>
            <w:tcW w:w="310" w:type="dxa"/>
            <w:tcBorders/>
            <w:shd w:fill="auto" w:val="clear"/>
            <w:vAlign w:val="bottom"/>
          </w:tcPr>
          <w:p>
            <w:pPr>
              <w:pStyle w:val="TableContents"/>
              <w:spacing w:before="0" w:after="0"/>
              <w:ind w:left="0" w:right="0" w:hanging="0"/>
              <w:rPr/>
            </w:pPr>
            <w:r>
              <w:rPr/>
              <w:t> </w:t>
            </w:r>
          </w:p>
        </w:tc>
        <w:tc>
          <w:tcPr>
            <w:tcW w:w="1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14" w:type="dxa"/>
            <w:tcBorders/>
            <w:shd w:fill="auto" w:val="clear"/>
            <w:vAlign w:val="bottom"/>
          </w:tcPr>
          <w:p>
            <w:pPr>
              <w:pStyle w:val="TableContents"/>
              <w:spacing w:before="0" w:after="0"/>
              <w:ind w:left="0" w:right="0" w:hanging="0"/>
              <w:rPr/>
            </w:pPr>
            <w:r>
              <w:rPr/>
              <w:t> </w:t>
            </w:r>
          </w:p>
        </w:tc>
      </w:tr>
      <w:tr>
        <w:trPr/>
        <w:tc>
          <w:tcPr>
            <w:tcW w:w="574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 xml:space="preserve">Other projects, including acquisition related expansion projects </w:t>
            </w:r>
            <w:r>
              <w:rPr>
                <w:sz w:val="11"/>
              </w:rPr>
              <w:t>(2)</w:t>
            </w:r>
          </w:p>
        </w:tc>
        <w:tc>
          <w:tcPr>
            <w:tcW w:w="310" w:type="dxa"/>
            <w:tcBorders/>
            <w:shd w:fill="CCEEFF" w:val="clear"/>
            <w:vAlign w:val="bottom"/>
          </w:tcPr>
          <w:p>
            <w:pPr>
              <w:pStyle w:val="TableContents"/>
              <w:spacing w:before="0" w:after="0"/>
              <w:ind w:left="0" w:right="0" w:hanging="0"/>
              <w:rPr/>
            </w:pPr>
            <w:r>
              <w:rPr/>
              <w:t> </w:t>
            </w:r>
          </w:p>
        </w:tc>
        <w:tc>
          <w:tcPr>
            <w:tcW w:w="1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14" w:type="dxa"/>
            <w:tcBorders/>
            <w:shd w:fill="CCEEFF" w:val="clear"/>
            <w:vAlign w:val="bottom"/>
          </w:tcPr>
          <w:p>
            <w:pPr>
              <w:pStyle w:val="TableContents"/>
              <w:spacing w:before="0" w:after="0"/>
              <w:ind w:left="0" w:right="0" w:hanging="0"/>
              <w:rPr/>
            </w:pPr>
            <w:r>
              <w:rPr/>
              <w:t> </w:t>
            </w:r>
          </w:p>
        </w:tc>
      </w:tr>
      <w:tr>
        <w:trPr/>
        <w:tc>
          <w:tcPr>
            <w:tcW w:w="5745" w:type="dxa"/>
            <w:tcBorders/>
            <w:shd w:fill="auto" w:val="clear"/>
            <w:vAlign w:val="bottom"/>
          </w:tcPr>
          <w:p>
            <w:pPr>
              <w:pStyle w:val="TableContents"/>
              <w:spacing w:before="0" w:after="0"/>
              <w:ind w:left="0" w:right="0" w:hanging="0"/>
              <w:rPr/>
            </w:pPr>
            <w:r>
              <w:rPr/>
              <w:t> </w:t>
            </w:r>
          </w:p>
        </w:tc>
        <w:tc>
          <w:tcPr>
            <w:tcW w:w="310" w:type="dxa"/>
            <w:tcBorders/>
            <w:shd w:fill="auto" w:val="clear"/>
            <w:vAlign w:val="bottom"/>
          </w:tcPr>
          <w:p>
            <w:pPr>
              <w:pStyle w:val="TableContents"/>
              <w:spacing w:before="0" w:after="0"/>
              <w:ind w:left="0" w:right="0" w:hanging="0"/>
              <w:rPr/>
            </w:pPr>
            <w:r>
              <w:rPr/>
              <w:t> </w:t>
            </w:r>
          </w:p>
        </w:tc>
        <w:tc>
          <w:tcPr>
            <w:tcW w:w="1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14" w:type="dxa"/>
            <w:tcBorders/>
            <w:shd w:fill="auto" w:val="clear"/>
            <w:vAlign w:val="bottom"/>
          </w:tcPr>
          <w:p>
            <w:pPr>
              <w:pStyle w:val="TableContents"/>
              <w:spacing w:before="0" w:after="0"/>
              <w:ind w:left="0" w:right="0" w:hanging="0"/>
              <w:rPr/>
            </w:pPr>
            <w:r>
              <w:rPr/>
              <w:t> </w:t>
            </w:r>
          </w:p>
        </w:tc>
      </w:tr>
      <w:tr>
        <w:trPr/>
        <w:tc>
          <w:tcPr>
            <w:tcW w:w="57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310" w:type="dxa"/>
            <w:tcBorders/>
            <w:shd w:fill="CCEEFF" w:val="clear"/>
            <w:vAlign w:val="bottom"/>
          </w:tcPr>
          <w:p>
            <w:pPr>
              <w:pStyle w:val="TableContents"/>
              <w:spacing w:before="0" w:after="0"/>
              <w:ind w:left="0" w:right="0" w:hanging="0"/>
              <w:rPr/>
            </w:pPr>
            <w:r>
              <w:rPr/>
              <w:t> </w:t>
            </w:r>
          </w:p>
        </w:tc>
        <w:tc>
          <w:tcPr>
            <w:tcW w:w="1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  -   95</w:t>
            </w:r>
          </w:p>
        </w:tc>
        <w:tc>
          <w:tcPr>
            <w:tcW w:w="114" w:type="dxa"/>
            <w:tcBorders/>
            <w:shd w:fill="CCEEFF" w:val="clear"/>
            <w:vAlign w:val="bottom"/>
          </w:tcPr>
          <w:p>
            <w:pPr>
              <w:pStyle w:val="TableContents"/>
              <w:spacing w:before="0" w:after="0"/>
              <w:ind w:left="0" w:right="0" w:hanging="0"/>
              <w:rPr/>
            </w:pPr>
            <w:r>
              <w:rPr/>
              <w:t> </w:t>
            </w:r>
          </w:p>
        </w:tc>
      </w:tr>
      <w:tr>
        <w:trPr/>
        <w:tc>
          <w:tcPr>
            <w:tcW w:w="57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Capital Expenditures (excluding acquisitions)</w:t>
            </w:r>
          </w:p>
        </w:tc>
        <w:tc>
          <w:tcPr>
            <w:tcW w:w="310" w:type="dxa"/>
            <w:tcBorders/>
            <w:shd w:fill="auto" w:val="clear"/>
            <w:vAlign w:val="bottom"/>
          </w:tcPr>
          <w:p>
            <w:pPr>
              <w:pStyle w:val="TableContents"/>
              <w:spacing w:before="0" w:after="0"/>
              <w:ind w:left="0" w:right="0" w:hanging="0"/>
              <w:rPr/>
            </w:pPr>
            <w:r>
              <w:rPr/>
              <w:t> </w:t>
            </w:r>
          </w:p>
        </w:tc>
        <w:tc>
          <w:tcPr>
            <w:tcW w:w="2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6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  - 465</w:t>
            </w:r>
          </w:p>
        </w:tc>
        <w:tc>
          <w:tcPr>
            <w:tcW w:w="11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4550" w:type="pct"/>
        <w:jc w:val="left"/>
        <w:tblInd w:w="0" w:type="dxa"/>
        <w:tblCellMar>
          <w:top w:w="0" w:type="dxa"/>
          <w:left w:w="0" w:type="dxa"/>
          <w:bottom w:w="0" w:type="dxa"/>
          <w:right w:w="0" w:type="dxa"/>
        </w:tblCellMar>
      </w:tblPr>
      <w:tblGrid>
        <w:gridCol w:w="561"/>
        <w:gridCol w:w="8725"/>
      </w:tblGrid>
      <w:tr>
        <w:trPr/>
        <w:tc>
          <w:tcPr>
            <w:tcW w:w="561"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87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a dock and condensate tanks.</w:t>
            </w:r>
          </w:p>
        </w:tc>
      </w:tr>
      <w:tr>
        <w:trPr/>
        <w:tc>
          <w:tcPr>
            <w:tcW w:w="561"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87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Primarily pipeline connections, upgrades and truck stations, new tank construction and refurbishing, and carry-over of projects started in 2008.</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i/>
          <w:sz w:val="17"/>
        </w:rPr>
        <w:t>Capital Structure.</w:t>
      </w:r>
      <w:r>
        <w:rPr>
          <w:rFonts w:ascii="Times New Roman" w:hAnsi="Times New Roman"/>
        </w:rPr>
        <w:t xml:space="preserve">  </w:t>
      </w:r>
      <w:r>
        <w:rPr>
          <w:rFonts w:ascii="Times New Roman" w:hAnsi="Times New Roman"/>
          <w:sz w:val="17"/>
        </w:rPr>
        <w:t>This guidance is based on our capital structure as of June 30, 2009, as adjusted to give effect to the issuance on July 23, 2009 of $500 million of 3-year senior notes.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i/>
          <w:sz w:val="17"/>
        </w:rPr>
        <w:t>Interest Expense.</w:t>
      </w:r>
      <w:r>
        <w:rPr>
          <w:rFonts w:ascii="Times New Roman" w:hAnsi="Times New Roman"/>
        </w:rPr>
        <w:t xml:space="preserve">  </w:t>
      </w:r>
      <w:r>
        <w:rPr>
          <w:rFonts w:ascii="Times New Roman" w:hAnsi="Times New Roman"/>
          <w:sz w:val="17"/>
        </w:rPr>
        <w:t>Debt balances are projected based on estimated cash flows, estimated distribution rates, forecasted acquisitions and capital expenditures for maintenance and expansion projects, expected timing of collections and payments, and forecasted levels of inventory and other working capital sources and uses.  Interest rate assumptions for variable rate debt are based on the current forward LIBOR curve.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in interest expense are commitment fees, amortization of long-term debt discounts or premiums, deferred amounts associated with terminated interest-rate hedges and interest on short-term debt for non-contango inventory (primarily hedged LPG inventory and New York Mercantile Exchange and IntercontinentalExchange margin deposits). Interest expense is net of amounts capitalized for major expansion capital projects and does not include interest on borrowings for inventory stored in a contango market. We treat interest on contango-related borrowings as carrying costs of crude oil and include it in purchases and related costs.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w:t>
      </w:r>
      <w:r>
        <w:rPr>
          <w:rFonts w:ascii="Times New Roman" w:hAnsi="Times New Roman"/>
        </w:rPr>
        <w:t xml:space="preserve">                                 </w:t>
      </w:r>
      <w:r>
        <w:rPr>
          <w:rFonts w:ascii="Times New Roman" w:hAnsi="Times New Roman"/>
          <w:i/>
          <w:sz w:val="17"/>
        </w:rPr>
        <w:t>Net Income per Unit.</w:t>
      </w:r>
      <w:r>
        <w:rPr>
          <w:rFonts w:ascii="Times New Roman" w:hAnsi="Times New Roman"/>
        </w:rPr>
        <w:t xml:space="preserve">   </w:t>
      </w:r>
      <w:r>
        <w:rPr>
          <w:rFonts w:ascii="Times New Roman" w:hAnsi="Times New Roman"/>
          <w:sz w:val="17"/>
        </w:rPr>
        <w:t>Basic net income per limited partner unit is calculated by dividing net income allocated to limited partners by the basic weighted average units outstanding during the period.</w:t>
      </w:r>
    </w:p>
    <w:p>
      <w:pPr>
        <w:pStyle w:val="TextBody"/>
        <w:spacing w:before="0" w:after="0"/>
        <w:ind w:left="0" w:right="0" w:hanging="0"/>
        <w:rPr/>
      </w:pPr>
      <w:r>
        <w:rPr/>
        <w:t> </w:t>
      </w:r>
    </w:p>
    <w:tbl>
      <w:tblPr>
        <w:tblW w:w="4850" w:type="pct"/>
        <w:jc w:val="left"/>
        <w:tblInd w:w="0" w:type="dxa"/>
        <w:tblCellMar>
          <w:top w:w="0" w:type="dxa"/>
          <w:left w:w="0" w:type="dxa"/>
          <w:bottom w:w="0" w:type="dxa"/>
          <w:right w:w="0" w:type="dxa"/>
        </w:tblCellMar>
      </w:tblPr>
      <w:tblGrid>
        <w:gridCol w:w="2934"/>
        <w:gridCol w:w="188"/>
        <w:gridCol w:w="117"/>
        <w:gridCol w:w="698"/>
        <w:gridCol w:w="194"/>
        <w:gridCol w:w="115"/>
        <w:gridCol w:w="521"/>
        <w:gridCol w:w="194"/>
        <w:gridCol w:w="115"/>
        <w:gridCol w:w="521"/>
        <w:gridCol w:w="193"/>
        <w:gridCol w:w="115"/>
        <w:gridCol w:w="521"/>
        <w:gridCol w:w="194"/>
        <w:gridCol w:w="115"/>
        <w:gridCol w:w="521"/>
        <w:gridCol w:w="194"/>
        <w:gridCol w:w="115"/>
        <w:gridCol w:w="521"/>
        <w:gridCol w:w="193"/>
        <w:gridCol w:w="115"/>
        <w:gridCol w:w="521"/>
        <w:gridCol w:w="983"/>
      </w:tblGrid>
      <w:tr>
        <w:trPr/>
        <w:tc>
          <w:tcPr>
            <w:tcW w:w="2934"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94" w:type="dxa"/>
            <w:tcBorders/>
            <w:shd w:fill="auto" w:val="clear"/>
            <w:vAlign w:val="bottom"/>
          </w:tcPr>
          <w:p>
            <w:pPr>
              <w:pStyle w:val="TableContents"/>
              <w:spacing w:before="0" w:after="0"/>
              <w:ind w:left="0" w:right="0" w:hanging="0"/>
              <w:jc w:val="center"/>
              <w:rPr/>
            </w:pPr>
            <w:r>
              <w:rPr/>
              <w:t> </w:t>
            </w:r>
          </w:p>
        </w:tc>
        <w:tc>
          <w:tcPr>
            <w:tcW w:w="4784"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 (in millions, except per unit data)</w:t>
            </w:r>
          </w:p>
        </w:tc>
        <w:tc>
          <w:tcPr>
            <w:tcW w:w="983" w:type="dxa"/>
            <w:tcBorders/>
            <w:shd w:fill="auto" w:val="clear"/>
            <w:vAlign w:val="bottom"/>
          </w:tcPr>
          <w:p>
            <w:pPr>
              <w:pStyle w:val="TableContents"/>
              <w:spacing w:before="0" w:after="0"/>
              <w:ind w:left="0" w:right="0" w:hanging="0"/>
              <w:jc w:val="center"/>
              <w:rPr/>
            </w:pPr>
            <w:r>
              <w:rPr/>
              <w:t> </w:t>
            </w:r>
          </w:p>
        </w:tc>
      </w:tr>
      <w:tr>
        <w:trPr/>
        <w:tc>
          <w:tcPr>
            <w:tcW w:w="2934"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81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w:t>
            </w:r>
          </w:p>
        </w:tc>
        <w:tc>
          <w:tcPr>
            <w:tcW w:w="194" w:type="dxa"/>
            <w:tcBorders/>
            <w:shd w:fill="auto" w:val="clear"/>
            <w:vAlign w:val="bottom"/>
          </w:tcPr>
          <w:p>
            <w:pPr>
              <w:pStyle w:val="TableContents"/>
              <w:spacing w:before="0" w:after="0"/>
              <w:ind w:left="0" w:right="0" w:hanging="0"/>
              <w:jc w:val="center"/>
              <w:rPr/>
            </w:pPr>
            <w:r>
              <w:rPr/>
              <w:t> </w:t>
            </w:r>
          </w:p>
        </w:tc>
        <w:tc>
          <w:tcPr>
            <w:tcW w:w="146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66"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9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65"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983" w:type="dxa"/>
            <w:tcBorders/>
            <w:shd w:fill="auto" w:val="clear"/>
            <w:vAlign w:val="bottom"/>
          </w:tcPr>
          <w:p>
            <w:pPr>
              <w:pStyle w:val="TableContents"/>
              <w:spacing w:before="0" w:after="0"/>
              <w:ind w:left="0" w:right="0" w:hanging="0"/>
              <w:jc w:val="center"/>
              <w:rPr/>
            </w:pPr>
            <w:r>
              <w:rPr/>
              <w:t> </w:t>
            </w:r>
          </w:p>
        </w:tc>
      </w:tr>
      <w:tr>
        <w:trPr/>
        <w:tc>
          <w:tcPr>
            <w:tcW w:w="2934"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81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94" w:type="dxa"/>
            <w:tcBorders/>
            <w:shd w:fill="auto" w:val="clear"/>
            <w:vAlign w:val="bottom"/>
          </w:tcPr>
          <w:p>
            <w:pPr>
              <w:pStyle w:val="TableContents"/>
              <w:spacing w:before="0" w:after="0"/>
              <w:ind w:left="0" w:right="0" w:hanging="0"/>
              <w:jc w:val="center"/>
              <w:rPr/>
            </w:pPr>
            <w:r>
              <w:rPr/>
              <w:t> </w:t>
            </w:r>
          </w:p>
        </w:tc>
        <w:tc>
          <w:tcPr>
            <w:tcW w:w="146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2009</w:t>
            </w:r>
          </w:p>
        </w:tc>
        <w:tc>
          <w:tcPr>
            <w:tcW w:w="193" w:type="dxa"/>
            <w:tcBorders/>
            <w:shd w:fill="auto" w:val="clear"/>
            <w:vAlign w:val="bottom"/>
          </w:tcPr>
          <w:p>
            <w:pPr>
              <w:pStyle w:val="TableContents"/>
              <w:spacing w:before="0" w:after="0"/>
              <w:ind w:left="0" w:right="0" w:hanging="0"/>
              <w:jc w:val="center"/>
              <w:rPr/>
            </w:pPr>
            <w:r>
              <w:rPr/>
              <w:t> </w:t>
            </w:r>
          </w:p>
        </w:tc>
        <w:tc>
          <w:tcPr>
            <w:tcW w:w="146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194" w:type="dxa"/>
            <w:tcBorders/>
            <w:shd w:fill="auto" w:val="clear"/>
            <w:vAlign w:val="bottom"/>
          </w:tcPr>
          <w:p>
            <w:pPr>
              <w:pStyle w:val="TableContents"/>
              <w:spacing w:before="0" w:after="0"/>
              <w:ind w:left="0" w:right="0" w:hanging="0"/>
              <w:jc w:val="center"/>
              <w:rPr/>
            </w:pPr>
            <w:r>
              <w:rPr/>
              <w:t> </w:t>
            </w:r>
          </w:p>
        </w:tc>
        <w:tc>
          <w:tcPr>
            <w:tcW w:w="146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983" w:type="dxa"/>
            <w:tcBorders/>
            <w:shd w:fill="auto" w:val="clear"/>
            <w:vAlign w:val="bottom"/>
          </w:tcPr>
          <w:p>
            <w:pPr>
              <w:pStyle w:val="TableContents"/>
              <w:spacing w:before="0" w:after="0"/>
              <w:ind w:left="0" w:right="0" w:hanging="0"/>
              <w:jc w:val="center"/>
              <w:rPr/>
            </w:pPr>
            <w:r>
              <w:rPr/>
              <w:t> </w:t>
            </w:r>
          </w:p>
        </w:tc>
      </w:tr>
      <w:tr>
        <w:trPr/>
        <w:tc>
          <w:tcPr>
            <w:tcW w:w="2934"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06/30/09</w:t>
            </w:r>
          </w:p>
        </w:tc>
        <w:tc>
          <w:tcPr>
            <w:tcW w:w="194" w:type="dxa"/>
            <w:tcBorders/>
            <w:shd w:fill="auto" w:val="clear"/>
            <w:vAlign w:val="bottom"/>
          </w:tcPr>
          <w:p>
            <w:pPr>
              <w:pStyle w:val="TableContents"/>
              <w:spacing w:before="0" w:after="0"/>
              <w:ind w:left="0" w:right="0" w:hanging="0"/>
              <w:jc w:val="center"/>
              <w:rPr/>
            </w:pPr>
            <w:r>
              <w:rPr/>
              <w:t> </w:t>
            </w:r>
          </w:p>
        </w:tc>
        <w:tc>
          <w:tcPr>
            <w:tcW w:w="6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3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93" w:type="dxa"/>
            <w:tcBorders/>
            <w:shd w:fill="auto" w:val="clear"/>
            <w:vAlign w:val="bottom"/>
          </w:tcPr>
          <w:p>
            <w:pPr>
              <w:pStyle w:val="TableContents"/>
              <w:spacing w:before="0" w:after="0"/>
              <w:ind w:left="0" w:right="0" w:hanging="0"/>
              <w:jc w:val="center"/>
              <w:rPr/>
            </w:pPr>
            <w:r>
              <w:rPr/>
              <w:t> </w:t>
            </w:r>
          </w:p>
        </w:tc>
        <w:tc>
          <w:tcPr>
            <w:tcW w:w="6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3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94" w:type="dxa"/>
            <w:tcBorders/>
            <w:shd w:fill="auto" w:val="clear"/>
            <w:vAlign w:val="bottom"/>
          </w:tcPr>
          <w:p>
            <w:pPr>
              <w:pStyle w:val="TableContents"/>
              <w:spacing w:before="0" w:after="0"/>
              <w:ind w:left="0" w:right="0" w:hanging="0"/>
              <w:jc w:val="center"/>
              <w:rPr/>
            </w:pPr>
            <w:r>
              <w:rPr/>
              <w:t> </w:t>
            </w:r>
          </w:p>
        </w:tc>
        <w:tc>
          <w:tcPr>
            <w:tcW w:w="6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3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983" w:type="dxa"/>
            <w:tcBorders/>
            <w:shd w:fill="auto" w:val="clear"/>
            <w:vAlign w:val="bottom"/>
          </w:tcPr>
          <w:p>
            <w:pPr>
              <w:pStyle w:val="TableContents"/>
              <w:spacing w:before="0" w:after="0"/>
              <w:ind w:left="0" w:right="0" w:hanging="0"/>
              <w:jc w:val="center"/>
              <w:rPr/>
            </w:pPr>
            <w:r>
              <w:rPr/>
              <w:t> </w:t>
            </w:r>
          </w:p>
        </w:tc>
      </w:tr>
      <w:tr>
        <w:trPr/>
        <w:tc>
          <w:tcPr>
            <w:tcW w:w="29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Numerator for basic and diluted earnings per limited partner unit:</w:t>
            </w:r>
          </w:p>
        </w:tc>
        <w:tc>
          <w:tcPr>
            <w:tcW w:w="188"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983" w:type="dxa"/>
            <w:tcBorders/>
            <w:shd w:fill="CCEEFF" w:val="clear"/>
            <w:vAlign w:val="bottom"/>
          </w:tcPr>
          <w:p>
            <w:pPr>
              <w:pStyle w:val="TableContents"/>
              <w:spacing w:before="0" w:after="0"/>
              <w:ind w:left="0" w:right="0" w:hanging="0"/>
              <w:rPr/>
            </w:pPr>
            <w:r>
              <w:rPr/>
              <w:t> </w:t>
            </w:r>
          </w:p>
        </w:tc>
      </w:tr>
      <w:tr>
        <w:trPr/>
        <w:tc>
          <w:tcPr>
            <w:tcW w:w="29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88"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w:t>
            </w:r>
          </w:p>
        </w:tc>
        <w:tc>
          <w:tcPr>
            <w:tcW w:w="194"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94"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93"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94"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94"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541</w:t>
            </w:r>
          </w:p>
        </w:tc>
        <w:tc>
          <w:tcPr>
            <w:tcW w:w="193"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599</w:t>
            </w:r>
          </w:p>
        </w:tc>
        <w:tc>
          <w:tcPr>
            <w:tcW w:w="983" w:type="dxa"/>
            <w:tcBorders/>
            <w:shd w:fill="auto" w:val="clear"/>
            <w:vAlign w:val="bottom"/>
          </w:tcPr>
          <w:p>
            <w:pPr>
              <w:pStyle w:val="TableContents"/>
              <w:spacing w:before="0" w:after="0"/>
              <w:ind w:left="0" w:right="0" w:hanging="0"/>
              <w:rPr/>
            </w:pPr>
            <w:r>
              <w:rPr/>
              <w:t> </w:t>
            </w:r>
          </w:p>
        </w:tc>
      </w:tr>
      <w:tr>
        <w:trPr/>
        <w:tc>
          <w:tcPr>
            <w:tcW w:w="2934" w:type="dxa"/>
            <w:tcBorders/>
            <w:shd w:fill="CCEEFF" w:val="clear"/>
            <w:vAlign w:val="bottom"/>
          </w:tcPr>
          <w:p>
            <w:pPr>
              <w:pStyle w:val="TableContents"/>
              <w:spacing w:before="0" w:after="0"/>
              <w:ind w:left="0" w:right="0" w:hanging="0"/>
              <w:rPr/>
            </w:pPr>
            <w:r>
              <w:rPr>
                <w:rFonts w:ascii="Times New Roman" w:hAnsi="Times New Roman"/>
                <w:sz w:val="17"/>
              </w:rPr>
              <w:t xml:space="preserve">General partners incentive distribution </w:t>
            </w:r>
            <w:r>
              <w:rPr>
                <w:sz w:val="11"/>
              </w:rPr>
              <w:t>(1)</w:t>
            </w:r>
          </w:p>
        </w:tc>
        <w:tc>
          <w:tcPr>
            <w:tcW w:w="188" w:type="dxa"/>
            <w:tcBorders/>
            <w:shd w:fill="CCEEFF" w:val="clear"/>
            <w:vAlign w:val="bottom"/>
          </w:tcPr>
          <w:p>
            <w:pPr>
              <w:pStyle w:val="TableContents"/>
              <w:spacing w:before="0" w:after="0"/>
              <w:ind w:left="0" w:right="0" w:hanging="0"/>
              <w:rPr/>
            </w:pPr>
            <w:r>
              <w:rPr/>
              <w:t> </w:t>
            </w:r>
          </w:p>
        </w:tc>
        <w:tc>
          <w:tcPr>
            <w:tcW w:w="8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9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34"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rPr/>
            </w:pPr>
            <w:r>
              <w:rPr/>
              <w:t> </w:t>
            </w:r>
          </w:p>
        </w:tc>
        <w:tc>
          <w:tcPr>
            <w:tcW w:w="8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93"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w:t>
            </w:r>
          </w:p>
        </w:tc>
        <w:tc>
          <w:tcPr>
            <w:tcW w:w="193"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983" w:type="dxa"/>
            <w:tcBorders/>
            <w:shd w:fill="auto" w:val="clear"/>
            <w:vAlign w:val="bottom"/>
          </w:tcPr>
          <w:p>
            <w:pPr>
              <w:pStyle w:val="TableContents"/>
              <w:spacing w:before="0" w:after="0"/>
              <w:ind w:left="0" w:right="0" w:hanging="0"/>
              <w:rPr/>
            </w:pPr>
            <w:r>
              <w:rPr/>
              <w:t> </w:t>
            </w:r>
          </w:p>
        </w:tc>
      </w:tr>
      <w:tr>
        <w:trPr/>
        <w:tc>
          <w:tcPr>
            <w:tcW w:w="2934" w:type="dxa"/>
            <w:tcBorders/>
            <w:shd w:fill="CCEEFF" w:val="clear"/>
            <w:vAlign w:val="bottom"/>
          </w:tcPr>
          <w:p>
            <w:pPr>
              <w:pStyle w:val="TableContents"/>
              <w:spacing w:before="0" w:after="0"/>
              <w:ind w:left="0" w:right="0" w:hanging="0"/>
              <w:rPr/>
            </w:pPr>
            <w:r>
              <w:rPr>
                <w:rFonts w:ascii="Times New Roman" w:hAnsi="Times New Roman"/>
                <w:sz w:val="17"/>
              </w:rPr>
              <w:t xml:space="preserve">General partner 2% ownership </w:t>
            </w:r>
            <w:r>
              <w:rPr>
                <w:sz w:val="11"/>
              </w:rPr>
              <w:t>(1)</w:t>
            </w:r>
          </w:p>
        </w:tc>
        <w:tc>
          <w:tcPr>
            <w:tcW w:w="188" w:type="dxa"/>
            <w:tcBorders/>
            <w:shd w:fill="CCEEFF" w:val="clear"/>
            <w:vAlign w:val="bottom"/>
          </w:tcPr>
          <w:p>
            <w:pPr>
              <w:pStyle w:val="TableContents"/>
              <w:spacing w:before="0" w:after="0"/>
              <w:ind w:left="0" w:right="0" w:hanging="0"/>
              <w:rPr/>
            </w:pPr>
            <w:r>
              <w:rPr/>
              <w:t> </w:t>
            </w:r>
          </w:p>
        </w:tc>
        <w:tc>
          <w:tcPr>
            <w:tcW w:w="8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9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188" w:type="dxa"/>
            <w:tcBorders/>
            <w:shd w:fill="auto" w:val="clear"/>
            <w:vAlign w:val="bottom"/>
          </w:tcPr>
          <w:p>
            <w:pPr>
              <w:pStyle w:val="TableContents"/>
              <w:spacing w:before="0" w:after="0"/>
              <w:ind w:left="0" w:right="0" w:hanging="0"/>
              <w:rPr/>
            </w:pPr>
            <w:r>
              <w:rPr/>
              <w:t> </w:t>
            </w:r>
          </w:p>
        </w:tc>
        <w:tc>
          <w:tcPr>
            <w:tcW w:w="8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93"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405</w:t>
            </w:r>
          </w:p>
        </w:tc>
        <w:tc>
          <w:tcPr>
            <w:tcW w:w="193"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w:t>
            </w:r>
          </w:p>
        </w:tc>
        <w:tc>
          <w:tcPr>
            <w:tcW w:w="983" w:type="dxa"/>
            <w:tcBorders/>
            <w:shd w:fill="auto" w:val="clear"/>
            <w:vAlign w:val="bottom"/>
          </w:tcPr>
          <w:p>
            <w:pPr>
              <w:pStyle w:val="TableContents"/>
              <w:spacing w:before="0" w:after="0"/>
              <w:ind w:left="0" w:right="0" w:hanging="0"/>
              <w:rPr/>
            </w:pPr>
            <w:r>
              <w:rPr/>
              <w:t> </w:t>
            </w:r>
          </w:p>
        </w:tc>
      </w:tr>
      <w:tr>
        <w:trPr/>
        <w:tc>
          <w:tcPr>
            <w:tcW w:w="2934" w:type="dxa"/>
            <w:tcBorders/>
            <w:shd w:fill="CCEEFF" w:val="clear"/>
            <w:vAlign w:val="bottom"/>
          </w:tcPr>
          <w:p>
            <w:pPr>
              <w:pStyle w:val="TableContents"/>
              <w:spacing w:before="0" w:after="0"/>
              <w:ind w:left="0" w:right="0" w:hanging="0"/>
              <w:rPr/>
            </w:pPr>
            <w:r>
              <w:rPr>
                <w:rFonts w:ascii="Times New Roman" w:hAnsi="Times New Roman"/>
                <w:sz w:val="17"/>
              </w:rPr>
              <w:t xml:space="preserve">Adjustment in accordance with EITF 07-04 </w:t>
            </w:r>
            <w:r>
              <w:rPr>
                <w:sz w:val="11"/>
              </w:rPr>
              <w:t>(1)</w:t>
            </w:r>
          </w:p>
        </w:tc>
        <w:tc>
          <w:tcPr>
            <w:tcW w:w="188" w:type="dxa"/>
            <w:tcBorders/>
            <w:shd w:fill="CCEEFF" w:val="clear"/>
            <w:vAlign w:val="bottom"/>
          </w:tcPr>
          <w:p>
            <w:pPr>
              <w:pStyle w:val="TableContents"/>
              <w:spacing w:before="0" w:after="0"/>
              <w:ind w:left="0" w:right="0" w:hanging="0"/>
              <w:rPr/>
            </w:pPr>
            <w:r>
              <w:rPr/>
              <w:t> </w:t>
            </w:r>
          </w:p>
        </w:tc>
        <w:tc>
          <w:tcPr>
            <w:tcW w:w="8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9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under EITF 07-04</w:t>
            </w:r>
          </w:p>
        </w:tc>
        <w:tc>
          <w:tcPr>
            <w:tcW w:w="188" w:type="dxa"/>
            <w:tcBorders/>
            <w:shd w:fill="auto" w:val="clear"/>
            <w:vAlign w:val="bottom"/>
          </w:tcPr>
          <w:p>
            <w:pPr>
              <w:pStyle w:val="TableContents"/>
              <w:spacing w:before="0" w:after="0"/>
              <w:ind w:left="0" w:right="0" w:hanging="0"/>
              <w:rPr/>
            </w:pPr>
            <w:r>
              <w:rPr/>
              <w:t> </w:t>
            </w:r>
          </w:p>
        </w:tc>
        <w:tc>
          <w:tcPr>
            <w:tcW w:w="1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194"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94"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93"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94"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94"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398</w:t>
            </w:r>
          </w:p>
        </w:tc>
        <w:tc>
          <w:tcPr>
            <w:tcW w:w="193"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w:t>
            </w:r>
          </w:p>
        </w:tc>
        <w:tc>
          <w:tcPr>
            <w:tcW w:w="983" w:type="dxa"/>
            <w:tcBorders/>
            <w:shd w:fill="auto" w:val="clear"/>
            <w:vAlign w:val="bottom"/>
          </w:tcPr>
          <w:p>
            <w:pPr>
              <w:pStyle w:val="TableContents"/>
              <w:spacing w:before="0" w:after="0"/>
              <w:ind w:left="0" w:right="0" w:hanging="0"/>
              <w:rPr/>
            </w:pPr>
            <w:r>
              <w:rPr/>
              <w:t> </w:t>
            </w:r>
          </w:p>
        </w:tc>
      </w:tr>
      <w:tr>
        <w:trPr/>
        <w:tc>
          <w:tcPr>
            <w:tcW w:w="2934" w:type="dxa"/>
            <w:tcBorders/>
            <w:shd w:fill="CCEEFF" w:val="clear"/>
            <w:vAlign w:val="bottom"/>
          </w:tcPr>
          <w:p>
            <w:pPr>
              <w:pStyle w:val="TableContents"/>
              <w:spacing w:before="0" w:after="0"/>
              <w:ind w:left="0" w:right="0" w:hanging="0"/>
              <w:rPr/>
            </w:pPr>
            <w:r>
              <w:rPr/>
              <w:t> </w:t>
            </w:r>
          </w:p>
        </w:tc>
        <w:tc>
          <w:tcPr>
            <w:tcW w:w="188"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983" w:type="dxa"/>
            <w:tcBorders/>
            <w:shd w:fill="CCEEFF" w:val="clear"/>
            <w:vAlign w:val="bottom"/>
          </w:tcPr>
          <w:p>
            <w:pPr>
              <w:pStyle w:val="TableContents"/>
              <w:spacing w:before="0" w:after="0"/>
              <w:ind w:left="0" w:right="0" w:hanging="0"/>
              <w:rPr/>
            </w:pPr>
            <w:r>
              <w:rPr/>
              <w:t> </w:t>
            </w:r>
          </w:p>
        </w:tc>
      </w:tr>
      <w:tr>
        <w:trPr/>
        <w:tc>
          <w:tcPr>
            <w:tcW w:w="29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188" w:type="dxa"/>
            <w:tcBorders/>
            <w:shd w:fill="auto" w:val="clear"/>
            <w:vAlign w:val="bottom"/>
          </w:tcPr>
          <w:p>
            <w:pPr>
              <w:pStyle w:val="TableContents"/>
              <w:spacing w:before="0" w:after="0"/>
              <w:ind w:left="0" w:right="0" w:hanging="0"/>
              <w:rPr/>
            </w:pPr>
            <w:r>
              <w:rPr/>
              <w:t> </w:t>
            </w:r>
          </w:p>
        </w:tc>
        <w:tc>
          <w:tcPr>
            <w:tcW w:w="815"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pPr>
            <w:r>
              <w:rPr/>
              <w:t> </w:t>
            </w:r>
          </w:p>
        </w:tc>
        <w:tc>
          <w:tcPr>
            <w:tcW w:w="983" w:type="dxa"/>
            <w:tcBorders/>
            <w:shd w:fill="auto" w:val="clear"/>
            <w:vAlign w:val="bottom"/>
          </w:tcPr>
          <w:p>
            <w:pPr>
              <w:pStyle w:val="TableContents"/>
              <w:spacing w:before="0" w:after="0"/>
              <w:ind w:left="0" w:right="0" w:hanging="0"/>
              <w:rPr/>
            </w:pPr>
            <w:r>
              <w:rPr/>
              <w:t> </w:t>
            </w:r>
          </w:p>
        </w:tc>
      </w:tr>
      <w:tr>
        <w:trPr/>
        <w:tc>
          <w:tcPr>
            <w:tcW w:w="29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Denominator for basic earnings per limited partner unit-weighted average number of limited partner units </w:t>
            </w:r>
          </w:p>
        </w:tc>
        <w:tc>
          <w:tcPr>
            <w:tcW w:w="188"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126 </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129 </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129 </w:t>
            </w:r>
          </w:p>
        </w:tc>
        <w:tc>
          <w:tcPr>
            <w:tcW w:w="193"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129 </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129 </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128 </w:t>
            </w:r>
          </w:p>
        </w:tc>
        <w:tc>
          <w:tcPr>
            <w:tcW w:w="193"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128 </w:t>
            </w:r>
          </w:p>
        </w:tc>
        <w:tc>
          <w:tcPr>
            <w:tcW w:w="983" w:type="dxa"/>
            <w:tcBorders/>
            <w:shd w:fill="CCEEFF" w:val="clear"/>
            <w:vAlign w:val="bottom"/>
          </w:tcPr>
          <w:p>
            <w:pPr>
              <w:pStyle w:val="TableContents"/>
              <w:spacing w:before="0" w:after="0"/>
              <w:ind w:left="0" w:right="0" w:hanging="0"/>
              <w:rPr/>
            </w:pPr>
            <w:r>
              <w:rPr/>
              <w:t> </w:t>
            </w:r>
          </w:p>
        </w:tc>
      </w:tr>
      <w:tr>
        <w:trPr/>
        <w:tc>
          <w:tcPr>
            <w:tcW w:w="29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188" w:type="dxa"/>
            <w:tcBorders/>
            <w:shd w:fill="auto" w:val="clear"/>
            <w:vAlign w:val="bottom"/>
          </w:tcPr>
          <w:p>
            <w:pPr>
              <w:pStyle w:val="TableContents"/>
              <w:spacing w:before="0" w:after="0"/>
              <w:ind w:left="0" w:right="0" w:hanging="0"/>
              <w:rPr/>
            </w:pPr>
            <w:r>
              <w:rPr/>
              <w:t> </w:t>
            </w:r>
          </w:p>
        </w:tc>
        <w:tc>
          <w:tcPr>
            <w:tcW w:w="815"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636" w:type="dxa"/>
            <w:gridSpan w:val="2"/>
            <w:tcBorders/>
            <w:shd w:fill="auto" w:val="clear"/>
            <w:vAlign w:val="bottom"/>
          </w:tcPr>
          <w:p>
            <w:pPr>
              <w:pStyle w:val="TableContents"/>
              <w:spacing w:before="0" w:after="0"/>
              <w:ind w:left="0" w:right="0" w:hanging="0"/>
              <w:jc w:val="right"/>
              <w:rPr/>
            </w:pPr>
            <w:r>
              <w:rPr/>
              <w:t> </w:t>
            </w:r>
          </w:p>
        </w:tc>
        <w:tc>
          <w:tcPr>
            <w:tcW w:w="983" w:type="dxa"/>
            <w:tcBorders/>
            <w:shd w:fill="auto" w:val="clear"/>
            <w:vAlign w:val="bottom"/>
          </w:tcPr>
          <w:p>
            <w:pPr>
              <w:pStyle w:val="TableContents"/>
              <w:spacing w:before="0" w:after="0"/>
              <w:ind w:left="0" w:right="0" w:hanging="0"/>
              <w:rPr/>
            </w:pPr>
            <w:r>
              <w:rPr/>
              <w:t> </w:t>
            </w:r>
          </w:p>
        </w:tc>
      </w:tr>
      <w:tr>
        <w:trPr/>
        <w:tc>
          <w:tcPr>
            <w:tcW w:w="29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LTIP units</w:t>
            </w:r>
          </w:p>
        </w:tc>
        <w:tc>
          <w:tcPr>
            <w:tcW w:w="188" w:type="dxa"/>
            <w:tcBorders/>
            <w:shd w:fill="CCEEFF" w:val="clear"/>
            <w:vAlign w:val="bottom"/>
          </w:tcPr>
          <w:p>
            <w:pPr>
              <w:pStyle w:val="TableContents"/>
              <w:spacing w:before="0" w:after="0"/>
              <w:ind w:left="0" w:right="0" w:hanging="0"/>
              <w:rPr/>
            </w:pPr>
            <w:r>
              <w:rPr/>
              <w:t> </w:t>
            </w:r>
          </w:p>
        </w:tc>
        <w:tc>
          <w:tcPr>
            <w:tcW w:w="8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CCEEFF" w:val="clear"/>
            <w:vAlign w:val="bottom"/>
          </w:tcPr>
          <w:p>
            <w:pPr>
              <w:pStyle w:val="TableContents"/>
              <w:spacing w:before="0" w:after="0"/>
              <w:ind w:left="0" w:right="0" w:hanging="0"/>
              <w:rPr/>
            </w:pPr>
            <w:r>
              <w:rPr/>
              <w:t> </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CCEEFF" w:val="clear"/>
            <w:vAlign w:val="bottom"/>
          </w:tcPr>
          <w:p>
            <w:pPr>
              <w:pStyle w:val="TableContents"/>
              <w:spacing w:before="0" w:after="0"/>
              <w:ind w:left="0" w:right="0" w:hanging="0"/>
              <w:rPr/>
            </w:pPr>
            <w:r>
              <w:rPr/>
              <w:t> </w:t>
            </w:r>
          </w:p>
        </w:tc>
        <w:tc>
          <w:tcPr>
            <w:tcW w:w="6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983" w:type="dxa"/>
            <w:tcBorders/>
            <w:shd w:fill="CCEEFF" w:val="clear"/>
            <w:vAlign w:val="bottom"/>
          </w:tcPr>
          <w:p>
            <w:pPr>
              <w:pStyle w:val="TableContents"/>
              <w:spacing w:before="0" w:after="0"/>
              <w:ind w:left="0" w:right="0" w:hanging="0"/>
              <w:rPr/>
            </w:pPr>
            <w:r>
              <w:rPr/>
              <w:t> </w:t>
            </w:r>
          </w:p>
        </w:tc>
      </w:tr>
      <w:tr>
        <w:trPr/>
        <w:tc>
          <w:tcPr>
            <w:tcW w:w="29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Denominator for diluted earnings per limited partner unit-weighted average number of limited partner units </w:t>
            </w:r>
          </w:p>
        </w:tc>
        <w:tc>
          <w:tcPr>
            <w:tcW w:w="188" w:type="dxa"/>
            <w:tcBorders/>
            <w:shd w:fill="auto" w:val="clear"/>
            <w:vAlign w:val="bottom"/>
          </w:tcPr>
          <w:p>
            <w:pPr>
              <w:pStyle w:val="TableContents"/>
              <w:spacing w:before="0" w:after="0"/>
              <w:ind w:left="0" w:right="0" w:hanging="0"/>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127 </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130 </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130 </w:t>
            </w:r>
          </w:p>
        </w:tc>
        <w:tc>
          <w:tcPr>
            <w:tcW w:w="193" w:type="dxa"/>
            <w:tcBorders/>
            <w:shd w:fill="auto" w:val="clear"/>
            <w:vAlign w:val="bottom"/>
          </w:tcPr>
          <w:p>
            <w:pPr>
              <w:pStyle w:val="TableContents"/>
              <w:spacing w:before="0" w:after="0"/>
              <w:ind w:left="0" w:right="0" w:hanging="0"/>
              <w:rPr/>
            </w:pPr>
            <w:r>
              <w:rPr/>
              <w:t> </w:t>
            </w:r>
          </w:p>
        </w:tc>
        <w:tc>
          <w:tcPr>
            <w:tcW w:w="6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130 </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130 </w:t>
            </w:r>
          </w:p>
        </w:tc>
        <w:tc>
          <w:tcPr>
            <w:tcW w:w="194" w:type="dxa"/>
            <w:tcBorders/>
            <w:shd w:fill="auto" w:val="clear"/>
            <w:vAlign w:val="bottom"/>
          </w:tcPr>
          <w:p>
            <w:pPr>
              <w:pStyle w:val="TableContents"/>
              <w:spacing w:before="0" w:after="0"/>
              <w:ind w:left="0" w:right="0" w:hanging="0"/>
              <w:rPr/>
            </w:pPr>
            <w:r>
              <w:rPr/>
              <w:t> </w:t>
            </w:r>
          </w:p>
        </w:tc>
        <w:tc>
          <w:tcPr>
            <w:tcW w:w="6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129 </w:t>
            </w:r>
          </w:p>
        </w:tc>
        <w:tc>
          <w:tcPr>
            <w:tcW w:w="193" w:type="dxa"/>
            <w:tcBorders/>
            <w:shd w:fill="auto" w:val="clear"/>
            <w:vAlign w:val="bottom"/>
          </w:tcPr>
          <w:p>
            <w:pPr>
              <w:pStyle w:val="TableContents"/>
              <w:spacing w:before="0" w:after="0"/>
              <w:ind w:left="0" w:right="0" w:hanging="0"/>
              <w:rPr/>
            </w:pPr>
            <w:r>
              <w:rPr/>
              <w:t> </w:t>
            </w:r>
          </w:p>
        </w:tc>
        <w:tc>
          <w:tcPr>
            <w:tcW w:w="6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129 </w:t>
            </w:r>
          </w:p>
        </w:tc>
        <w:tc>
          <w:tcPr>
            <w:tcW w:w="983" w:type="dxa"/>
            <w:tcBorders/>
            <w:shd w:fill="auto" w:val="clear"/>
            <w:vAlign w:val="bottom"/>
          </w:tcPr>
          <w:p>
            <w:pPr>
              <w:pStyle w:val="TableContents"/>
              <w:spacing w:before="0" w:after="0"/>
              <w:ind w:left="0" w:right="0" w:hanging="0"/>
              <w:rPr/>
            </w:pPr>
            <w:r>
              <w:rPr/>
              <w:t> </w:t>
            </w:r>
          </w:p>
        </w:tc>
      </w:tr>
      <w:tr>
        <w:trPr/>
        <w:tc>
          <w:tcPr>
            <w:tcW w:w="2934" w:type="dxa"/>
            <w:tcBorders/>
            <w:shd w:fill="CCEEFF" w:val="clear"/>
            <w:vAlign w:val="bottom"/>
          </w:tcPr>
          <w:p>
            <w:pPr>
              <w:pStyle w:val="TableContents"/>
              <w:spacing w:before="0" w:after="0"/>
              <w:ind w:left="0" w:right="0" w:hanging="0"/>
              <w:rPr/>
            </w:pPr>
            <w:r>
              <w:rPr/>
              <w:t> </w:t>
            </w:r>
          </w:p>
        </w:tc>
        <w:tc>
          <w:tcPr>
            <w:tcW w:w="188"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636" w:type="dxa"/>
            <w:gridSpan w:val="2"/>
            <w:tcBorders/>
            <w:shd w:fill="CCEEFF" w:val="clear"/>
            <w:vAlign w:val="bottom"/>
          </w:tcPr>
          <w:p>
            <w:pPr>
              <w:pStyle w:val="TableContents"/>
              <w:spacing w:before="0" w:after="0"/>
              <w:ind w:left="0" w:right="0" w:hanging="0"/>
              <w:jc w:val="right"/>
              <w:rPr/>
            </w:pPr>
            <w:r>
              <w:rPr/>
              <w:t> </w:t>
            </w:r>
          </w:p>
        </w:tc>
        <w:tc>
          <w:tcPr>
            <w:tcW w:w="983" w:type="dxa"/>
            <w:tcBorders/>
            <w:shd w:fill="CCEEFF" w:val="clear"/>
            <w:vAlign w:val="bottom"/>
          </w:tcPr>
          <w:p>
            <w:pPr>
              <w:pStyle w:val="TableContents"/>
              <w:spacing w:before="0" w:after="0"/>
              <w:ind w:left="0" w:right="0" w:hanging="0"/>
              <w:rPr/>
            </w:pPr>
            <w:r>
              <w:rPr/>
              <w:t> </w:t>
            </w:r>
          </w:p>
        </w:tc>
      </w:tr>
      <w:tr>
        <w:trPr/>
        <w:tc>
          <w:tcPr>
            <w:tcW w:w="29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188" w:type="dxa"/>
            <w:tcBorders/>
            <w:shd w:fill="auto" w:val="clear"/>
            <w:vAlign w:val="bottom"/>
          </w:tcPr>
          <w:p>
            <w:pPr>
              <w:pStyle w:val="TableContents"/>
              <w:spacing w:before="0" w:after="0"/>
              <w:ind w:left="0" w:right="0" w:hanging="0"/>
              <w:rPr/>
            </w:pPr>
            <w:r>
              <w:rPr/>
              <w:t> </w:t>
            </w:r>
          </w:p>
        </w:tc>
        <w:tc>
          <w:tcPr>
            <w:tcW w:w="1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194"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0.36</w:t>
            </w:r>
          </w:p>
        </w:tc>
        <w:tc>
          <w:tcPr>
            <w:tcW w:w="194"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193"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194"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194"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193"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983" w:type="dxa"/>
            <w:tcBorders/>
            <w:shd w:fill="auto" w:val="clear"/>
            <w:vAlign w:val="bottom"/>
          </w:tcPr>
          <w:p>
            <w:pPr>
              <w:pStyle w:val="TableContents"/>
              <w:spacing w:before="0" w:after="0"/>
              <w:ind w:left="0" w:right="0" w:hanging="0"/>
              <w:rPr/>
            </w:pPr>
            <w:r>
              <w:rPr/>
              <w:t> </w:t>
            </w:r>
          </w:p>
        </w:tc>
      </w:tr>
      <w:tr>
        <w:trPr/>
        <w:tc>
          <w:tcPr>
            <w:tcW w:w="29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188"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194"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0.36</w:t>
            </w:r>
          </w:p>
        </w:tc>
        <w:tc>
          <w:tcPr>
            <w:tcW w:w="194"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193"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194"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194"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193"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w:t>
            </w:r>
          </w:p>
        </w:tc>
        <w:tc>
          <w:tcPr>
            <w:tcW w:w="983" w:type="dxa"/>
            <w:tcBorders/>
            <w:shd w:fill="CCEEFF"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ind w:left="0" w:right="7654" w:hanging="0"/>
        <w:rPr/>
      </w:pPr>
      <w:r>
        <w:rPr/>
      </w:r>
    </w:p>
    <w:tbl>
      <w:tblPr>
        <w:tblW w:w="4700" w:type="pct"/>
        <w:jc w:val="left"/>
        <w:tblInd w:w="0" w:type="dxa"/>
        <w:tblCellMar>
          <w:top w:w="0" w:type="dxa"/>
          <w:left w:w="0" w:type="dxa"/>
          <w:bottom w:w="0" w:type="dxa"/>
          <w:right w:w="0" w:type="dxa"/>
        </w:tblCellMar>
      </w:tblPr>
      <w:tblGrid>
        <w:gridCol w:w="289"/>
        <w:gridCol w:w="9303"/>
      </w:tblGrid>
      <w:tr>
        <w:trPr/>
        <w:tc>
          <w:tcPr>
            <w:tcW w:w="289"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3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 allocate net income to our general partner based on the distribution paid during the current quarter (including the incentive distribution interest in excess of the 2% general partner interest). EITF 07-04 requires that the distribution pertaining to the current periods net income, which is to be paid in the subsequent quarter, be utilized within the earnings per unit calculation. We reflect the impact of this difference as the Adjustment in accordance with EITF 07-04.</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conjunction with the Pacific and Rainbow acquisitions, the general partner reduced the amounts due it as incentive distributions by an aggregate amount of $75 million. Approximately $49 million of this reduction was realized as of June 30, 2009.  Incentive distributions will be reduced by $10 million for the balance of 2009, $11 million in 2010 and $5 million in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relative amount of the incentive distribution varies directionally with the number of units outstanding and the level of the distribution on the units. Based on the current number of units outstanding, each $0.05 per unit annual increase or decrease in the distribution relative to forecasted amounts decreases or increases net income available for limited partners by approximately $7 million ($0.05 per unit) on an annualized basis.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w:t>
      </w:r>
      <w:r>
        <w:rPr>
          <w:rFonts w:ascii="Times New Roman" w:hAnsi="Times New Roman"/>
        </w:rPr>
        <w:t xml:space="preserve">                                 </w:t>
      </w:r>
      <w:r>
        <w:rPr>
          <w:rFonts w:ascii="Times New Roman" w:hAnsi="Times New Roman"/>
          <w:i/>
          <w:sz w:val="17"/>
        </w:rPr>
        <w:t>Equity Compensation Plans</w:t>
      </w:r>
      <w:r>
        <w:rPr>
          <w:rFonts w:ascii="Times New Roman" w:hAnsi="Times New Roman"/>
        </w:rPr>
        <w:t xml:space="preserve"> </w:t>
      </w:r>
      <w:r>
        <w:rPr>
          <w:rFonts w:ascii="Times New Roman" w:hAnsi="Times New Roman"/>
          <w:sz w:val="17"/>
        </w:rPr>
        <w:t>.  The majority of grants outstanding under our equity compensation plans (LTIP and Class B units) contain vesting criteria that are based on a combination of performance benchmarks and service period. The grants will vest in various percentages, typically on the later to occur of specified earliest vesting dates and the dates on which minimum distribution levels are reached. Among the various grants outstanding as of August 5, 2009, estimated vesting dates range from</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May 2010 to January 2016 and annualized distribution levels range from $3.00 to $4.50. For some awards, a percentage of any remaining units will vest on a date certain in 2011 or 2012 and all others are forfeited.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July 15, 2009, we declared an annualized distribution of $3.62 payable on August 14, 2009 to our unitholders of record as of August 4, 2009. We have made the assessment that a $3.75 distribution level is probable of occurring and accordingly, for grants that vest at annualized distribution levels of $3.75 or less, guidance includes an accrual over the applicable service period at an assumed market price of approximately $43.00 per unit as well as the fair value associated with awards that will vest on a date certain The actual amount of equity compensation expense amortization in any given period will be directly influenced by (i) our unit price at the end of each reporting period, (ii) our unit price on the date of actual vesting, (iii) the amount of the amortization in the early years, (iv) the probability assessment of achieving future distribution rates, and (v) new equity compensation award grants. For example, a $3.00 change in the unit price assumption at September 30, 2009 would change the third-quarter equity compensation expense by approximately $5 million. Therefore, actual net income could differ materially from our projections.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10.</w:t>
      </w:r>
      <w:r>
        <w:rPr>
          <w:rFonts w:ascii="Times New Roman" w:hAnsi="Times New Roman"/>
        </w:rPr>
        <w:t xml:space="preserve">                           </w:t>
      </w:r>
      <w:r>
        <w:rPr>
          <w:rFonts w:ascii="Times New Roman" w:hAnsi="Times New Roman"/>
          <w:i/>
          <w:sz w:val="17"/>
        </w:rPr>
        <w:t>Reconciliation of EBITDA and EBIT to Net Income.</w:t>
      </w:r>
      <w:r>
        <w:rPr>
          <w:rFonts w:ascii="Times New Roman" w:hAnsi="Times New Roman"/>
        </w:rPr>
        <w:t xml:space="preserve">   </w:t>
      </w:r>
      <w:r>
        <w:rPr>
          <w:rFonts w:ascii="Times New Roman" w:hAnsi="Times New Roman"/>
          <w:sz w:val="17"/>
        </w:rPr>
        <w:t>The following table reconciles EBITDA and EBIT to net income, for the three-month guidance range ending September 30, 2009 and three-month and twelve-month guidance ranges ending December 31, 2009.</w:t>
      </w:r>
    </w:p>
    <w:p>
      <w:pPr>
        <w:pStyle w:val="TextBody"/>
        <w:spacing w:before="0" w:after="0"/>
        <w:ind w:left="0" w:right="0" w:hanging="0"/>
        <w:rPr/>
      </w:pPr>
      <w:r>
        <w:rPr/>
        <w:t> </w:t>
      </w:r>
    </w:p>
    <w:tbl>
      <w:tblPr>
        <w:tblW w:w="4600" w:type="pct"/>
        <w:jc w:val="left"/>
        <w:tblInd w:w="0" w:type="dxa"/>
        <w:tblCellMar>
          <w:top w:w="0" w:type="dxa"/>
          <w:left w:w="0" w:type="dxa"/>
          <w:bottom w:w="0" w:type="dxa"/>
          <w:right w:w="0" w:type="dxa"/>
        </w:tblCellMar>
      </w:tblPr>
      <w:tblGrid>
        <w:gridCol w:w="2824"/>
        <w:gridCol w:w="192"/>
        <w:gridCol w:w="111"/>
        <w:gridCol w:w="688"/>
        <w:gridCol w:w="282"/>
        <w:gridCol w:w="111"/>
        <w:gridCol w:w="688"/>
        <w:gridCol w:w="282"/>
        <w:gridCol w:w="111"/>
        <w:gridCol w:w="687"/>
        <w:gridCol w:w="282"/>
        <w:gridCol w:w="111"/>
        <w:gridCol w:w="688"/>
        <w:gridCol w:w="282"/>
        <w:gridCol w:w="111"/>
        <w:gridCol w:w="714"/>
        <w:gridCol w:w="282"/>
        <w:gridCol w:w="111"/>
        <w:gridCol w:w="714"/>
        <w:gridCol w:w="117"/>
      </w:tblGrid>
      <w:tr>
        <w:trPr/>
        <w:tc>
          <w:tcPr>
            <w:tcW w:w="2824"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6255"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 (in millions)</w:t>
            </w:r>
          </w:p>
        </w:tc>
        <w:tc>
          <w:tcPr>
            <w:tcW w:w="117" w:type="dxa"/>
            <w:tcBorders/>
            <w:shd w:fill="auto" w:val="clear"/>
            <w:vAlign w:val="bottom"/>
          </w:tcPr>
          <w:p>
            <w:pPr>
              <w:pStyle w:val="TableContents"/>
              <w:spacing w:before="0" w:after="0"/>
              <w:ind w:left="0" w:right="0" w:hanging="0"/>
              <w:jc w:val="center"/>
              <w:rPr/>
            </w:pPr>
            <w:r>
              <w:rPr/>
              <w:t> </w:t>
            </w:r>
          </w:p>
        </w:tc>
      </w:tr>
      <w:tr>
        <w:trPr/>
        <w:tc>
          <w:tcPr>
            <w:tcW w:w="2824"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188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8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79"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8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932"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17" w:type="dxa"/>
            <w:tcBorders/>
            <w:shd w:fill="auto" w:val="clear"/>
            <w:vAlign w:val="bottom"/>
          </w:tcPr>
          <w:p>
            <w:pPr>
              <w:pStyle w:val="TableContents"/>
              <w:spacing w:before="0" w:after="0"/>
              <w:ind w:left="0" w:right="0" w:hanging="0"/>
              <w:jc w:val="center"/>
              <w:rPr/>
            </w:pPr>
            <w:r>
              <w:rPr/>
              <w:t> </w:t>
            </w:r>
          </w:p>
        </w:tc>
      </w:tr>
      <w:tr>
        <w:trPr/>
        <w:tc>
          <w:tcPr>
            <w:tcW w:w="2824"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188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2009</w:t>
            </w:r>
          </w:p>
        </w:tc>
        <w:tc>
          <w:tcPr>
            <w:tcW w:w="282" w:type="dxa"/>
            <w:tcBorders/>
            <w:shd w:fill="auto" w:val="clear"/>
            <w:vAlign w:val="bottom"/>
          </w:tcPr>
          <w:p>
            <w:pPr>
              <w:pStyle w:val="TableContents"/>
              <w:spacing w:before="0" w:after="0"/>
              <w:ind w:left="0" w:right="0" w:hanging="0"/>
              <w:jc w:val="center"/>
              <w:rPr/>
            </w:pPr>
            <w:r>
              <w:rPr/>
              <w:t> </w:t>
            </w:r>
          </w:p>
        </w:tc>
        <w:tc>
          <w:tcPr>
            <w:tcW w:w="187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282" w:type="dxa"/>
            <w:tcBorders/>
            <w:shd w:fill="auto" w:val="clear"/>
            <w:vAlign w:val="bottom"/>
          </w:tcPr>
          <w:p>
            <w:pPr>
              <w:pStyle w:val="TableContents"/>
              <w:spacing w:before="0" w:after="0"/>
              <w:ind w:left="0" w:right="0" w:hanging="0"/>
              <w:jc w:val="center"/>
              <w:rPr/>
            </w:pPr>
            <w:r>
              <w:rPr/>
              <w:t> </w:t>
            </w:r>
          </w:p>
        </w:tc>
        <w:tc>
          <w:tcPr>
            <w:tcW w:w="193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117" w:type="dxa"/>
            <w:tcBorders/>
            <w:shd w:fill="auto" w:val="clear"/>
            <w:vAlign w:val="bottom"/>
          </w:tcPr>
          <w:p>
            <w:pPr>
              <w:pStyle w:val="TableContents"/>
              <w:spacing w:before="0" w:after="0"/>
              <w:ind w:left="0" w:right="0" w:hanging="0"/>
              <w:jc w:val="center"/>
              <w:rPr/>
            </w:pPr>
            <w:r>
              <w:rPr/>
              <w:t> </w:t>
            </w:r>
          </w:p>
        </w:tc>
      </w:tr>
      <w:tr>
        <w:trPr/>
        <w:tc>
          <w:tcPr>
            <w:tcW w:w="2824"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7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8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9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82" w:type="dxa"/>
            <w:tcBorders/>
            <w:shd w:fill="auto" w:val="clear"/>
            <w:vAlign w:val="bottom"/>
          </w:tcPr>
          <w:p>
            <w:pPr>
              <w:pStyle w:val="TableContents"/>
              <w:spacing w:before="0" w:after="0"/>
              <w:ind w:left="0" w:right="0" w:hanging="0"/>
              <w:jc w:val="center"/>
              <w:rPr/>
            </w:pPr>
            <w:r>
              <w:rPr/>
              <w:t> </w:t>
            </w:r>
          </w:p>
        </w:tc>
        <w:tc>
          <w:tcPr>
            <w:tcW w:w="7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8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9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82" w:type="dxa"/>
            <w:tcBorders/>
            <w:shd w:fill="auto" w:val="clear"/>
            <w:vAlign w:val="bottom"/>
          </w:tcPr>
          <w:p>
            <w:pPr>
              <w:pStyle w:val="TableContents"/>
              <w:spacing w:before="0" w:after="0"/>
              <w:ind w:left="0" w:right="0" w:hanging="0"/>
              <w:jc w:val="center"/>
              <w:rPr/>
            </w:pPr>
            <w:r>
              <w:rPr/>
              <w:t> </w:t>
            </w:r>
          </w:p>
        </w:tc>
        <w:tc>
          <w:tcPr>
            <w:tcW w:w="8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8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2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17" w:type="dxa"/>
            <w:tcBorders/>
            <w:shd w:fill="auto" w:val="clear"/>
            <w:vAlign w:val="bottom"/>
          </w:tcPr>
          <w:p>
            <w:pPr>
              <w:pStyle w:val="TableContents"/>
              <w:spacing w:before="0" w:after="0"/>
              <w:ind w:left="0" w:right="0" w:hanging="0"/>
              <w:jc w:val="center"/>
              <w:rPr/>
            </w:pPr>
            <w:r>
              <w:rPr/>
              <w:t> </w:t>
            </w:r>
          </w:p>
        </w:tc>
      </w:tr>
      <w:tr>
        <w:trPr/>
        <w:tc>
          <w:tcPr>
            <w:tcW w:w="2824"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799" w:type="dxa"/>
            <w:gridSpan w:val="2"/>
            <w:tcBorders/>
            <w:shd w:fill="auto" w:val="clear"/>
            <w:vAlign w:val="bottom"/>
          </w:tcPr>
          <w:p>
            <w:pPr>
              <w:pStyle w:val="TableContents"/>
              <w:spacing w:before="0" w:after="0"/>
              <w:ind w:left="0" w:right="0" w:hanging="0"/>
              <w:jc w:val="right"/>
              <w:rPr/>
            </w:pPr>
            <w:r>
              <w:rPr/>
              <w:t> </w:t>
            </w:r>
          </w:p>
        </w:tc>
        <w:tc>
          <w:tcPr>
            <w:tcW w:w="282" w:type="dxa"/>
            <w:tcBorders/>
            <w:shd w:fill="auto" w:val="clear"/>
            <w:vAlign w:val="bottom"/>
          </w:tcPr>
          <w:p>
            <w:pPr>
              <w:pStyle w:val="TableContents"/>
              <w:spacing w:before="0" w:after="0"/>
              <w:ind w:left="0" w:right="0" w:hanging="0"/>
              <w:rPr/>
            </w:pPr>
            <w:r>
              <w:rPr/>
              <w:t> </w:t>
            </w:r>
          </w:p>
        </w:tc>
        <w:tc>
          <w:tcPr>
            <w:tcW w:w="799" w:type="dxa"/>
            <w:gridSpan w:val="2"/>
            <w:tcBorders/>
            <w:shd w:fill="auto" w:val="clear"/>
            <w:vAlign w:val="bottom"/>
          </w:tcPr>
          <w:p>
            <w:pPr>
              <w:pStyle w:val="TableContents"/>
              <w:spacing w:before="0" w:after="0"/>
              <w:ind w:left="0" w:right="0" w:hanging="0"/>
              <w:jc w:val="right"/>
              <w:rPr/>
            </w:pPr>
            <w:r>
              <w:rPr/>
              <w:t> </w:t>
            </w:r>
          </w:p>
        </w:tc>
        <w:tc>
          <w:tcPr>
            <w:tcW w:w="282" w:type="dxa"/>
            <w:tcBorders/>
            <w:shd w:fill="auto" w:val="clear"/>
            <w:vAlign w:val="bottom"/>
          </w:tcPr>
          <w:p>
            <w:pPr>
              <w:pStyle w:val="TableContents"/>
              <w:spacing w:before="0" w:after="0"/>
              <w:ind w:left="0" w:right="0" w:hanging="0"/>
              <w:rPr/>
            </w:pPr>
            <w:r>
              <w:rPr/>
              <w:t> </w:t>
            </w:r>
          </w:p>
        </w:tc>
        <w:tc>
          <w:tcPr>
            <w:tcW w:w="798" w:type="dxa"/>
            <w:gridSpan w:val="2"/>
            <w:tcBorders/>
            <w:shd w:fill="auto" w:val="clear"/>
            <w:vAlign w:val="bottom"/>
          </w:tcPr>
          <w:p>
            <w:pPr>
              <w:pStyle w:val="TableContents"/>
              <w:spacing w:before="0" w:after="0"/>
              <w:ind w:left="0" w:right="0" w:hanging="0"/>
              <w:jc w:val="right"/>
              <w:rPr/>
            </w:pPr>
            <w:r>
              <w:rPr/>
              <w:t> </w:t>
            </w:r>
          </w:p>
        </w:tc>
        <w:tc>
          <w:tcPr>
            <w:tcW w:w="282" w:type="dxa"/>
            <w:tcBorders/>
            <w:shd w:fill="auto" w:val="clear"/>
            <w:vAlign w:val="bottom"/>
          </w:tcPr>
          <w:p>
            <w:pPr>
              <w:pStyle w:val="TableContents"/>
              <w:spacing w:before="0" w:after="0"/>
              <w:ind w:left="0" w:right="0" w:hanging="0"/>
              <w:rPr/>
            </w:pPr>
            <w:r>
              <w:rPr/>
              <w:t> </w:t>
            </w:r>
          </w:p>
        </w:tc>
        <w:tc>
          <w:tcPr>
            <w:tcW w:w="799" w:type="dxa"/>
            <w:gridSpan w:val="2"/>
            <w:tcBorders/>
            <w:shd w:fill="auto" w:val="clear"/>
            <w:vAlign w:val="bottom"/>
          </w:tcPr>
          <w:p>
            <w:pPr>
              <w:pStyle w:val="TableContents"/>
              <w:spacing w:before="0" w:after="0"/>
              <w:ind w:left="0" w:right="0" w:hanging="0"/>
              <w:jc w:val="right"/>
              <w:rPr/>
            </w:pPr>
            <w:r>
              <w:rPr/>
              <w:t> </w:t>
            </w:r>
          </w:p>
        </w:tc>
        <w:tc>
          <w:tcPr>
            <w:tcW w:w="282" w:type="dxa"/>
            <w:tcBorders/>
            <w:shd w:fill="auto" w:val="clear"/>
            <w:vAlign w:val="bottom"/>
          </w:tcPr>
          <w:p>
            <w:pPr>
              <w:pStyle w:val="TableContents"/>
              <w:spacing w:before="0" w:after="0"/>
              <w:ind w:left="0" w:right="0" w:hanging="0"/>
              <w:rPr/>
            </w:pPr>
            <w:r>
              <w:rPr/>
              <w:t> </w:t>
            </w:r>
          </w:p>
        </w:tc>
        <w:tc>
          <w:tcPr>
            <w:tcW w:w="825" w:type="dxa"/>
            <w:gridSpan w:val="2"/>
            <w:tcBorders/>
            <w:shd w:fill="auto" w:val="clear"/>
            <w:vAlign w:val="bottom"/>
          </w:tcPr>
          <w:p>
            <w:pPr>
              <w:pStyle w:val="TableContents"/>
              <w:spacing w:before="0" w:after="0"/>
              <w:ind w:left="0" w:right="0" w:hanging="0"/>
              <w:jc w:val="right"/>
              <w:rPr/>
            </w:pPr>
            <w:r>
              <w:rPr/>
              <w:t> </w:t>
            </w:r>
          </w:p>
        </w:tc>
        <w:tc>
          <w:tcPr>
            <w:tcW w:w="282" w:type="dxa"/>
            <w:tcBorders/>
            <w:shd w:fill="auto" w:val="clear"/>
            <w:vAlign w:val="bottom"/>
          </w:tcPr>
          <w:p>
            <w:pPr>
              <w:pStyle w:val="TableContents"/>
              <w:spacing w:before="0" w:after="0"/>
              <w:ind w:left="0" w:right="0" w:hanging="0"/>
              <w:rPr/>
            </w:pPr>
            <w:r>
              <w:rPr/>
              <w:t> </w:t>
            </w:r>
          </w:p>
        </w:tc>
        <w:tc>
          <w:tcPr>
            <w:tcW w:w="825"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282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Reconciliation to Net Income</w:t>
            </w:r>
          </w:p>
        </w:tc>
        <w:tc>
          <w:tcPr>
            <w:tcW w:w="192" w:type="dxa"/>
            <w:tcBorders/>
            <w:shd w:fill="CCEEFF" w:val="clear"/>
            <w:vAlign w:val="bottom"/>
          </w:tcPr>
          <w:p>
            <w:pPr>
              <w:pStyle w:val="TableContents"/>
              <w:spacing w:before="0" w:after="0"/>
              <w:ind w:left="0" w:right="0" w:hanging="0"/>
              <w:rPr/>
            </w:pPr>
            <w:r>
              <w:rPr/>
              <w:t> </w:t>
            </w:r>
          </w:p>
        </w:tc>
        <w:tc>
          <w:tcPr>
            <w:tcW w:w="799"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799"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798"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799"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825" w:type="dxa"/>
            <w:gridSpan w:val="2"/>
            <w:tcBorders/>
            <w:shd w:fill="CCEEFF" w:val="clear"/>
            <w:vAlign w:val="bottom"/>
          </w:tcPr>
          <w:p>
            <w:pPr>
              <w:pStyle w:val="TableContents"/>
              <w:spacing w:before="0" w:after="0"/>
              <w:ind w:left="0" w:right="0" w:hanging="0"/>
              <w:jc w:val="right"/>
              <w:rPr/>
            </w:pPr>
            <w:r>
              <w:rPr/>
              <w:t> </w:t>
            </w:r>
          </w:p>
        </w:tc>
        <w:tc>
          <w:tcPr>
            <w:tcW w:w="282" w:type="dxa"/>
            <w:tcBorders/>
            <w:shd w:fill="CCEEFF" w:val="clear"/>
            <w:vAlign w:val="bottom"/>
          </w:tcPr>
          <w:p>
            <w:pPr>
              <w:pStyle w:val="TableContents"/>
              <w:spacing w:before="0" w:after="0"/>
              <w:ind w:left="0" w:right="0" w:hanging="0"/>
              <w:rPr/>
            </w:pPr>
            <w:r>
              <w:rPr/>
              <w:t> </w:t>
            </w:r>
          </w:p>
        </w:tc>
        <w:tc>
          <w:tcPr>
            <w:tcW w:w="825"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28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EBITDA </w:t>
            </w:r>
          </w:p>
        </w:tc>
        <w:tc>
          <w:tcPr>
            <w:tcW w:w="19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w:t>
            </w:r>
          </w:p>
        </w:tc>
        <w:tc>
          <w:tcPr>
            <w:tcW w:w="28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228</w:t>
            </w:r>
          </w:p>
        </w:tc>
        <w:tc>
          <w:tcPr>
            <w:tcW w:w="28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w:t>
            </w:r>
          </w:p>
        </w:tc>
        <w:tc>
          <w:tcPr>
            <w:tcW w:w="28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28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1,004</w:t>
            </w:r>
          </w:p>
        </w:tc>
        <w:tc>
          <w:tcPr>
            <w:tcW w:w="28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1,054</w:t>
            </w:r>
          </w:p>
        </w:tc>
        <w:tc>
          <w:tcPr>
            <w:tcW w:w="117" w:type="dxa"/>
            <w:tcBorders/>
            <w:shd w:fill="auto" w:val="clear"/>
            <w:vAlign w:val="bottom"/>
          </w:tcPr>
          <w:p>
            <w:pPr>
              <w:pStyle w:val="TableContents"/>
              <w:spacing w:before="0" w:after="0"/>
              <w:ind w:left="0" w:right="0" w:hanging="0"/>
              <w:rPr/>
            </w:pPr>
            <w:r>
              <w:rPr/>
              <w:t> </w:t>
            </w:r>
          </w:p>
        </w:tc>
      </w:tr>
      <w:tr>
        <w:trPr/>
        <w:tc>
          <w:tcPr>
            <w:tcW w:w="28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192" w:type="dxa"/>
            <w:tcBorders/>
            <w:shd w:fill="CCEEFF" w:val="clear"/>
            <w:vAlign w:val="bottom"/>
          </w:tcPr>
          <w:p>
            <w:pPr>
              <w:pStyle w:val="TableContents"/>
              <w:spacing w:before="0" w:after="0"/>
              <w:ind w:left="0" w:right="0" w:hanging="0"/>
              <w:rPr/>
            </w:pPr>
            <w:r>
              <w:rPr/>
              <w:t> </w:t>
            </w:r>
          </w:p>
        </w:tc>
        <w:tc>
          <w:tcPr>
            <w:tcW w:w="7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82" w:type="dxa"/>
            <w:tcBorders/>
            <w:shd w:fill="CCEEFF" w:val="clear"/>
            <w:vAlign w:val="bottom"/>
          </w:tcPr>
          <w:p>
            <w:pPr>
              <w:pStyle w:val="TableContents"/>
              <w:spacing w:before="0" w:after="0"/>
              <w:ind w:left="0" w:right="0" w:hanging="0"/>
              <w:rPr/>
            </w:pPr>
            <w:r>
              <w:rPr/>
              <w:t> </w:t>
            </w:r>
          </w:p>
        </w:tc>
        <w:tc>
          <w:tcPr>
            <w:tcW w:w="7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82" w:type="dxa"/>
            <w:tcBorders/>
            <w:shd w:fill="CCEEFF" w:val="clear"/>
            <w:vAlign w:val="bottom"/>
          </w:tcPr>
          <w:p>
            <w:pPr>
              <w:pStyle w:val="TableContents"/>
              <w:spacing w:before="0" w:after="0"/>
              <w:ind w:left="0" w:right="0" w:hanging="0"/>
              <w:rPr/>
            </w:pPr>
            <w:r>
              <w:rPr/>
              <w:t> </w:t>
            </w:r>
          </w:p>
        </w:tc>
        <w:tc>
          <w:tcPr>
            <w:tcW w:w="7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82" w:type="dxa"/>
            <w:tcBorders/>
            <w:shd w:fill="CCEEFF" w:val="clear"/>
            <w:vAlign w:val="bottom"/>
          </w:tcPr>
          <w:p>
            <w:pPr>
              <w:pStyle w:val="TableContents"/>
              <w:spacing w:before="0" w:after="0"/>
              <w:ind w:left="0" w:right="0" w:hanging="0"/>
              <w:rPr/>
            </w:pPr>
            <w:r>
              <w:rPr/>
              <w:t> </w:t>
            </w:r>
          </w:p>
        </w:tc>
        <w:tc>
          <w:tcPr>
            <w:tcW w:w="7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82" w:type="dxa"/>
            <w:tcBorders/>
            <w:shd w:fill="CCEEFF" w:val="clear"/>
            <w:vAlign w:val="bottom"/>
          </w:tcPr>
          <w:p>
            <w:pPr>
              <w:pStyle w:val="TableContents"/>
              <w:spacing w:before="0" w:after="0"/>
              <w:ind w:left="0" w:right="0" w:hanging="0"/>
              <w:rPr/>
            </w:pPr>
            <w:r>
              <w:rPr/>
              <w:t> </w:t>
            </w:r>
          </w:p>
        </w:tc>
        <w:tc>
          <w:tcPr>
            <w:tcW w:w="8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82" w:type="dxa"/>
            <w:tcBorders/>
            <w:shd w:fill="CCEEFF" w:val="clear"/>
            <w:vAlign w:val="bottom"/>
          </w:tcPr>
          <w:p>
            <w:pPr>
              <w:pStyle w:val="TableContents"/>
              <w:spacing w:before="0" w:after="0"/>
              <w:ind w:left="0" w:right="0" w:hanging="0"/>
              <w:rPr/>
            </w:pPr>
            <w:r>
              <w:rPr/>
              <w:t> </w:t>
            </w:r>
          </w:p>
        </w:tc>
        <w:tc>
          <w:tcPr>
            <w:tcW w:w="8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w:t>
            </w:r>
          </w:p>
        </w:tc>
        <w:tc>
          <w:tcPr>
            <w:tcW w:w="117" w:type="dxa"/>
            <w:tcBorders/>
            <w:shd w:fill="CCEEFF" w:val="clear"/>
            <w:vAlign w:val="bottom"/>
          </w:tcPr>
          <w:p>
            <w:pPr>
              <w:pStyle w:val="TableContents"/>
              <w:spacing w:before="0" w:after="0"/>
              <w:ind w:left="0" w:right="0" w:hanging="0"/>
              <w:rPr/>
            </w:pPr>
            <w:r>
              <w:rPr/>
              <w:t> </w:t>
            </w:r>
          </w:p>
        </w:tc>
      </w:tr>
      <w:tr>
        <w:trPr/>
        <w:tc>
          <w:tcPr>
            <w:tcW w:w="28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 </w:t>
            </w:r>
          </w:p>
        </w:tc>
        <w:tc>
          <w:tcPr>
            <w:tcW w:w="192" w:type="dxa"/>
            <w:tcBorders/>
            <w:shd w:fill="auto" w:val="clear"/>
            <w:vAlign w:val="bottom"/>
          </w:tcPr>
          <w:p>
            <w:pPr>
              <w:pStyle w:val="TableContents"/>
              <w:spacing w:before="0" w:after="0"/>
              <w:ind w:left="0" w:right="0" w:hanging="0"/>
              <w:rPr/>
            </w:pPr>
            <w:r>
              <w:rPr/>
              <w:t> </w:t>
            </w:r>
          </w:p>
        </w:tc>
        <w:tc>
          <w:tcPr>
            <w:tcW w:w="7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82" w:type="dxa"/>
            <w:tcBorders/>
            <w:shd w:fill="auto" w:val="clear"/>
            <w:vAlign w:val="bottom"/>
          </w:tcPr>
          <w:p>
            <w:pPr>
              <w:pStyle w:val="TableContents"/>
              <w:spacing w:before="0" w:after="0"/>
              <w:ind w:left="0" w:right="0" w:hanging="0"/>
              <w:rPr/>
            </w:pPr>
            <w:r>
              <w:rPr/>
              <w:t> </w:t>
            </w:r>
          </w:p>
        </w:tc>
        <w:tc>
          <w:tcPr>
            <w:tcW w:w="7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282" w:type="dxa"/>
            <w:tcBorders/>
            <w:shd w:fill="auto" w:val="clear"/>
            <w:vAlign w:val="bottom"/>
          </w:tcPr>
          <w:p>
            <w:pPr>
              <w:pStyle w:val="TableContents"/>
              <w:spacing w:before="0" w:after="0"/>
              <w:ind w:left="0" w:right="0" w:hanging="0"/>
              <w:rPr/>
            </w:pPr>
            <w:r>
              <w:rPr/>
              <w:t> </w:t>
            </w:r>
          </w:p>
        </w:tc>
        <w:tc>
          <w:tcPr>
            <w:tcW w:w="7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282" w:type="dxa"/>
            <w:tcBorders/>
            <w:shd w:fill="auto" w:val="clear"/>
            <w:vAlign w:val="bottom"/>
          </w:tcPr>
          <w:p>
            <w:pPr>
              <w:pStyle w:val="TableContents"/>
              <w:spacing w:before="0" w:after="0"/>
              <w:ind w:left="0" w:right="0" w:hanging="0"/>
              <w:rPr/>
            </w:pPr>
            <w:r>
              <w:rPr/>
              <w:t> </w:t>
            </w:r>
          </w:p>
        </w:tc>
        <w:tc>
          <w:tcPr>
            <w:tcW w:w="7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w:t>
            </w:r>
          </w:p>
        </w:tc>
        <w:tc>
          <w:tcPr>
            <w:tcW w:w="282" w:type="dxa"/>
            <w:tcBorders/>
            <w:shd w:fill="auto" w:val="clear"/>
            <w:vAlign w:val="bottom"/>
          </w:tcPr>
          <w:p>
            <w:pPr>
              <w:pStyle w:val="TableContents"/>
              <w:spacing w:before="0" w:after="0"/>
              <w:ind w:left="0" w:right="0" w:hanging="0"/>
              <w:rPr/>
            </w:pPr>
            <w:r>
              <w:rPr/>
              <w:t> </w:t>
            </w:r>
          </w:p>
        </w:tc>
        <w:tc>
          <w:tcPr>
            <w:tcW w:w="8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771</w:t>
            </w:r>
          </w:p>
        </w:tc>
        <w:tc>
          <w:tcPr>
            <w:tcW w:w="282" w:type="dxa"/>
            <w:tcBorders/>
            <w:shd w:fill="auto" w:val="clear"/>
            <w:vAlign w:val="bottom"/>
          </w:tcPr>
          <w:p>
            <w:pPr>
              <w:pStyle w:val="TableContents"/>
              <w:spacing w:before="0" w:after="0"/>
              <w:ind w:left="0" w:right="0" w:hanging="0"/>
              <w:rPr/>
            </w:pPr>
            <w:r>
              <w:rPr/>
              <w:t> </w:t>
            </w:r>
          </w:p>
        </w:tc>
        <w:tc>
          <w:tcPr>
            <w:tcW w:w="8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w:t>
            </w:r>
          </w:p>
        </w:tc>
        <w:tc>
          <w:tcPr>
            <w:tcW w:w="117" w:type="dxa"/>
            <w:tcBorders/>
            <w:shd w:fill="auto" w:val="clear"/>
            <w:vAlign w:val="bottom"/>
          </w:tcPr>
          <w:p>
            <w:pPr>
              <w:pStyle w:val="TableContents"/>
              <w:spacing w:before="0" w:after="0"/>
              <w:ind w:left="0" w:right="0" w:hanging="0"/>
              <w:rPr/>
            </w:pPr>
            <w:r>
              <w:rPr/>
              <w:t> </w:t>
            </w:r>
          </w:p>
        </w:tc>
      </w:tr>
      <w:tr>
        <w:trPr/>
        <w:tc>
          <w:tcPr>
            <w:tcW w:w="28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w:t>
            </w:r>
          </w:p>
        </w:tc>
        <w:tc>
          <w:tcPr>
            <w:tcW w:w="192" w:type="dxa"/>
            <w:tcBorders/>
            <w:shd w:fill="CCEEFF" w:val="clear"/>
            <w:vAlign w:val="bottom"/>
          </w:tcPr>
          <w:p>
            <w:pPr>
              <w:pStyle w:val="TableContents"/>
              <w:spacing w:before="0" w:after="0"/>
              <w:ind w:left="0" w:right="0" w:hanging="0"/>
              <w:rPr/>
            </w:pPr>
            <w:r>
              <w:rPr/>
              <w:t> </w:t>
            </w:r>
          </w:p>
        </w:tc>
        <w:tc>
          <w:tcPr>
            <w:tcW w:w="7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82" w:type="dxa"/>
            <w:tcBorders/>
            <w:shd w:fill="CCEEFF" w:val="clear"/>
            <w:vAlign w:val="bottom"/>
          </w:tcPr>
          <w:p>
            <w:pPr>
              <w:pStyle w:val="TableContents"/>
              <w:spacing w:before="0" w:after="0"/>
              <w:ind w:left="0" w:right="0" w:hanging="0"/>
              <w:rPr/>
            </w:pPr>
            <w:r>
              <w:rPr/>
              <w:t> </w:t>
            </w:r>
          </w:p>
        </w:tc>
        <w:tc>
          <w:tcPr>
            <w:tcW w:w="7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82" w:type="dxa"/>
            <w:tcBorders/>
            <w:shd w:fill="CCEEFF" w:val="clear"/>
            <w:vAlign w:val="bottom"/>
          </w:tcPr>
          <w:p>
            <w:pPr>
              <w:pStyle w:val="TableContents"/>
              <w:spacing w:before="0" w:after="0"/>
              <w:ind w:left="0" w:right="0" w:hanging="0"/>
              <w:rPr/>
            </w:pPr>
            <w:r>
              <w:rPr/>
              <w:t> </w:t>
            </w:r>
          </w:p>
        </w:tc>
        <w:tc>
          <w:tcPr>
            <w:tcW w:w="7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82" w:type="dxa"/>
            <w:tcBorders/>
            <w:shd w:fill="CCEEFF" w:val="clear"/>
            <w:vAlign w:val="bottom"/>
          </w:tcPr>
          <w:p>
            <w:pPr>
              <w:pStyle w:val="TableContents"/>
              <w:spacing w:before="0" w:after="0"/>
              <w:ind w:left="0" w:right="0" w:hanging="0"/>
              <w:rPr/>
            </w:pPr>
            <w:r>
              <w:rPr/>
              <w:t> </w:t>
            </w:r>
          </w:p>
        </w:tc>
        <w:tc>
          <w:tcPr>
            <w:tcW w:w="7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82" w:type="dxa"/>
            <w:tcBorders/>
            <w:shd w:fill="CCEEFF" w:val="clear"/>
            <w:vAlign w:val="bottom"/>
          </w:tcPr>
          <w:p>
            <w:pPr>
              <w:pStyle w:val="TableContents"/>
              <w:spacing w:before="0" w:after="0"/>
              <w:ind w:left="0" w:right="0" w:hanging="0"/>
              <w:rPr/>
            </w:pPr>
            <w:r>
              <w:rPr/>
              <w:t> </w:t>
            </w:r>
          </w:p>
        </w:tc>
        <w:tc>
          <w:tcPr>
            <w:tcW w:w="8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282" w:type="dxa"/>
            <w:tcBorders/>
            <w:shd w:fill="CCEEFF" w:val="clear"/>
            <w:vAlign w:val="bottom"/>
          </w:tcPr>
          <w:p>
            <w:pPr>
              <w:pStyle w:val="TableContents"/>
              <w:spacing w:before="0" w:after="0"/>
              <w:ind w:left="0" w:right="0" w:hanging="0"/>
              <w:rPr/>
            </w:pPr>
            <w:r>
              <w:rPr/>
              <w:t> </w:t>
            </w:r>
          </w:p>
        </w:tc>
        <w:tc>
          <w:tcPr>
            <w:tcW w:w="8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117" w:type="dxa"/>
            <w:tcBorders/>
            <w:shd w:fill="CCEEFF" w:val="clear"/>
            <w:vAlign w:val="bottom"/>
          </w:tcPr>
          <w:p>
            <w:pPr>
              <w:pStyle w:val="TableContents"/>
              <w:spacing w:before="0" w:after="0"/>
              <w:ind w:left="0" w:right="0" w:hanging="0"/>
              <w:rPr/>
            </w:pPr>
            <w:r>
              <w:rPr/>
              <w:t> </w:t>
            </w:r>
          </w:p>
        </w:tc>
      </w:tr>
      <w:tr>
        <w:trPr/>
        <w:tc>
          <w:tcPr>
            <w:tcW w:w="28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Income tax expense </w:t>
            </w:r>
          </w:p>
        </w:tc>
        <w:tc>
          <w:tcPr>
            <w:tcW w:w="192" w:type="dxa"/>
            <w:tcBorders/>
            <w:shd w:fill="auto" w:val="clear"/>
            <w:vAlign w:val="bottom"/>
          </w:tcPr>
          <w:p>
            <w:pPr>
              <w:pStyle w:val="TableContents"/>
              <w:spacing w:before="0" w:after="0"/>
              <w:ind w:left="0" w:right="0" w:hanging="0"/>
              <w:rPr/>
            </w:pPr>
            <w:r>
              <w:rPr/>
              <w:t> </w:t>
            </w:r>
          </w:p>
        </w:tc>
        <w:tc>
          <w:tcPr>
            <w:tcW w:w="7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82" w:type="dxa"/>
            <w:tcBorders/>
            <w:shd w:fill="auto" w:val="clear"/>
            <w:vAlign w:val="bottom"/>
          </w:tcPr>
          <w:p>
            <w:pPr>
              <w:pStyle w:val="TableContents"/>
              <w:spacing w:before="0" w:after="0"/>
              <w:ind w:left="0" w:right="0" w:hanging="0"/>
              <w:rPr/>
            </w:pPr>
            <w:r>
              <w:rPr/>
              <w:t> </w:t>
            </w:r>
          </w:p>
        </w:tc>
        <w:tc>
          <w:tcPr>
            <w:tcW w:w="7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82" w:type="dxa"/>
            <w:tcBorders/>
            <w:shd w:fill="auto" w:val="clear"/>
            <w:vAlign w:val="bottom"/>
          </w:tcPr>
          <w:p>
            <w:pPr>
              <w:pStyle w:val="TableContents"/>
              <w:spacing w:before="0" w:after="0"/>
              <w:ind w:left="0" w:right="0" w:hanging="0"/>
              <w:rPr/>
            </w:pPr>
            <w:r>
              <w:rPr/>
              <w:t> </w:t>
            </w:r>
          </w:p>
        </w:tc>
        <w:tc>
          <w:tcPr>
            <w:tcW w:w="7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82" w:type="dxa"/>
            <w:tcBorders/>
            <w:shd w:fill="auto" w:val="clear"/>
            <w:vAlign w:val="bottom"/>
          </w:tcPr>
          <w:p>
            <w:pPr>
              <w:pStyle w:val="TableContents"/>
              <w:spacing w:before="0" w:after="0"/>
              <w:ind w:left="0" w:right="0" w:hanging="0"/>
              <w:rPr/>
            </w:pPr>
            <w:r>
              <w:rPr/>
              <w:t> </w:t>
            </w:r>
          </w:p>
        </w:tc>
        <w:tc>
          <w:tcPr>
            <w:tcW w:w="7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82" w:type="dxa"/>
            <w:tcBorders/>
            <w:shd w:fill="auto" w:val="clear"/>
            <w:vAlign w:val="bottom"/>
          </w:tcPr>
          <w:p>
            <w:pPr>
              <w:pStyle w:val="TableContents"/>
              <w:spacing w:before="0" w:after="0"/>
              <w:ind w:left="0" w:right="0" w:hanging="0"/>
              <w:rPr/>
            </w:pPr>
            <w:r>
              <w:rPr/>
              <w:t> </w:t>
            </w:r>
          </w:p>
        </w:tc>
        <w:tc>
          <w:tcPr>
            <w:tcW w:w="8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82" w:type="dxa"/>
            <w:tcBorders/>
            <w:shd w:fill="auto" w:val="clear"/>
            <w:vAlign w:val="bottom"/>
          </w:tcPr>
          <w:p>
            <w:pPr>
              <w:pStyle w:val="TableContents"/>
              <w:spacing w:before="0" w:after="0"/>
              <w:ind w:left="0" w:right="0" w:hanging="0"/>
              <w:rPr/>
            </w:pPr>
            <w:r>
              <w:rPr/>
              <w:t> </w:t>
            </w:r>
          </w:p>
        </w:tc>
        <w:tc>
          <w:tcPr>
            <w:tcW w:w="8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7" w:type="dxa"/>
            <w:tcBorders/>
            <w:shd w:fill="auto" w:val="clear"/>
            <w:vAlign w:val="bottom"/>
          </w:tcPr>
          <w:p>
            <w:pPr>
              <w:pStyle w:val="TableContents"/>
              <w:spacing w:before="0" w:after="0"/>
              <w:ind w:left="0" w:right="0" w:hanging="0"/>
              <w:rPr/>
            </w:pPr>
            <w:r>
              <w:rPr/>
              <w:t> </w:t>
            </w:r>
          </w:p>
        </w:tc>
      </w:tr>
      <w:tr>
        <w:trPr/>
        <w:tc>
          <w:tcPr>
            <w:tcW w:w="28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92"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82"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82"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82"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82"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541</w:t>
            </w:r>
          </w:p>
        </w:tc>
        <w:tc>
          <w:tcPr>
            <w:tcW w:w="282"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599</w:t>
            </w:r>
          </w:p>
        </w:tc>
        <w:tc>
          <w:tcPr>
            <w:tcW w:w="11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 and Associated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pStyle w:val="TextBody"/>
        <w:spacing w:before="0" w:after="0"/>
        <w:ind w:left="0" w:right="0" w:hanging="0"/>
        <w:rPr/>
      </w:pPr>
      <w:r>
        <w:rPr/>
        <w:t> </w:t>
      </w:r>
    </w:p>
    <w:tbl>
      <w:tblPr>
        <w:tblW w:w="4750" w:type="pct"/>
        <w:jc w:val="left"/>
        <w:tblInd w:w="0" w:type="dxa"/>
        <w:tblCellMar>
          <w:top w:w="0" w:type="dxa"/>
          <w:left w:w="0" w:type="dxa"/>
          <w:bottom w:w="0" w:type="dxa"/>
          <w:right w:w="0" w:type="dxa"/>
        </w:tblCellMar>
      </w:tblPr>
      <w:tblGrid>
        <w:gridCol w:w="582"/>
        <w:gridCol w:w="9112"/>
      </w:tblGrid>
      <w:tr>
        <w:trPr/>
        <w:tc>
          <w:tcPr>
            <w:tcW w:w="58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failure to implement or capitalize on planned internal growth projects;</w:t>
            </w:r>
          </w:p>
        </w:tc>
      </w:tr>
      <w:tr>
        <w:trPr/>
        <w:tc>
          <w:tcPr>
            <w:tcW w:w="582" w:type="dxa"/>
            <w:tcBorders/>
            <w:shd w:fill="auto" w:val="clear"/>
          </w:tcPr>
          <w:p>
            <w:pPr>
              <w:pStyle w:val="TableContents"/>
              <w:spacing w:before="0" w:after="0"/>
              <w:ind w:left="0" w:right="0" w:hanging="0"/>
              <w:rPr/>
            </w:pPr>
            <w:r>
              <w:rPr/>
              <w:t> </w:t>
            </w:r>
          </w:p>
        </w:tc>
        <w:tc>
          <w:tcPr>
            <w:tcW w:w="9112" w:type="dxa"/>
            <w:tcBorders/>
            <w:shd w:fill="auto" w:val="clear"/>
          </w:tcPr>
          <w:p>
            <w:pPr>
              <w:pStyle w:val="TableContents"/>
              <w:spacing w:before="0" w:after="0"/>
              <w:ind w:left="0" w:right="0" w:hanging="0"/>
              <w:rPr/>
            </w:pPr>
            <w:r>
              <w:rPr/>
              <w:t> </w:t>
            </w:r>
          </w:p>
        </w:tc>
      </w:tr>
      <w:tr>
        <w:trPr/>
        <w:tc>
          <w:tcPr>
            <w:tcW w:w="58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of our credit rating and ability to receive open credit from our suppliers and trade counterparties;</w:t>
            </w:r>
          </w:p>
        </w:tc>
      </w:tr>
      <w:tr>
        <w:trPr/>
        <w:tc>
          <w:tcPr>
            <w:tcW w:w="582" w:type="dxa"/>
            <w:tcBorders/>
            <w:shd w:fill="auto" w:val="clear"/>
          </w:tcPr>
          <w:p>
            <w:pPr>
              <w:pStyle w:val="TableContents"/>
              <w:spacing w:before="0" w:after="0"/>
              <w:ind w:left="0" w:right="0" w:hanging="0"/>
              <w:rPr/>
            </w:pPr>
            <w:r>
              <w:rPr/>
              <w:t> </w:t>
            </w:r>
          </w:p>
        </w:tc>
        <w:tc>
          <w:tcPr>
            <w:tcW w:w="9112" w:type="dxa"/>
            <w:tcBorders/>
            <w:shd w:fill="auto" w:val="clear"/>
          </w:tcPr>
          <w:p>
            <w:pPr>
              <w:pStyle w:val="TableContents"/>
              <w:spacing w:before="0" w:after="0"/>
              <w:ind w:left="0" w:right="0" w:hanging="0"/>
              <w:rPr/>
            </w:pPr>
            <w:r>
              <w:rPr/>
              <w:t> </w:t>
            </w:r>
          </w:p>
        </w:tc>
      </w:tr>
      <w:tr>
        <w:trPr/>
        <w:tc>
          <w:tcPr>
            <w:tcW w:w="58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continued creditworthiness of, and performance by, our counterparties, including financial institutions and trading companies with which we do business;</w:t>
            </w:r>
          </w:p>
        </w:tc>
      </w:tr>
      <w:tr>
        <w:trPr/>
        <w:tc>
          <w:tcPr>
            <w:tcW w:w="582" w:type="dxa"/>
            <w:tcBorders/>
            <w:shd w:fill="auto" w:val="clear"/>
          </w:tcPr>
          <w:p>
            <w:pPr>
              <w:pStyle w:val="TableContents"/>
              <w:spacing w:before="0" w:after="0"/>
              <w:ind w:left="0" w:right="0" w:hanging="0"/>
              <w:rPr/>
            </w:pPr>
            <w:r>
              <w:rPr/>
              <w:t> </w:t>
            </w:r>
          </w:p>
        </w:tc>
        <w:tc>
          <w:tcPr>
            <w:tcW w:w="9112" w:type="dxa"/>
            <w:tcBorders/>
            <w:shd w:fill="auto" w:val="clear"/>
          </w:tcPr>
          <w:p>
            <w:pPr>
              <w:pStyle w:val="TableContents"/>
              <w:spacing w:before="0" w:after="0"/>
              <w:ind w:left="0" w:right="0" w:hanging="0"/>
              <w:rPr/>
            </w:pPr>
            <w:r>
              <w:rPr/>
              <w:t> </w:t>
            </w:r>
          </w:p>
        </w:tc>
      </w:tr>
      <w:tr>
        <w:trPr/>
        <w:tc>
          <w:tcPr>
            <w:tcW w:w="58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success of our risk management activities;</w:t>
            </w:r>
          </w:p>
        </w:tc>
      </w:tr>
      <w:tr>
        <w:trPr/>
        <w:tc>
          <w:tcPr>
            <w:tcW w:w="582" w:type="dxa"/>
            <w:tcBorders/>
            <w:shd w:fill="auto" w:val="clear"/>
          </w:tcPr>
          <w:p>
            <w:pPr>
              <w:pStyle w:val="TableContents"/>
              <w:spacing w:before="0" w:after="0"/>
              <w:ind w:left="0" w:right="0" w:hanging="0"/>
              <w:rPr/>
            </w:pPr>
            <w:r>
              <w:rPr/>
              <w:t> </w:t>
            </w:r>
          </w:p>
        </w:tc>
        <w:tc>
          <w:tcPr>
            <w:tcW w:w="9112" w:type="dxa"/>
            <w:tcBorders/>
            <w:shd w:fill="auto" w:val="clear"/>
          </w:tcPr>
          <w:p>
            <w:pPr>
              <w:pStyle w:val="TableContents"/>
              <w:spacing w:before="0" w:after="0"/>
              <w:ind w:left="0" w:right="0" w:hanging="0"/>
              <w:rPr/>
            </w:pPr>
            <w:r>
              <w:rPr/>
              <w:t> </w:t>
            </w:r>
          </w:p>
        </w:tc>
      </w:tr>
      <w:tr>
        <w:trPr/>
        <w:tc>
          <w:tcPr>
            <w:tcW w:w="58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environmental liabilities or events that are not covered by an indemnity, insurance or existing reserves;</w:t>
            </w:r>
          </w:p>
        </w:tc>
      </w:tr>
      <w:tr>
        <w:trPr/>
        <w:tc>
          <w:tcPr>
            <w:tcW w:w="582" w:type="dxa"/>
            <w:tcBorders/>
            <w:shd w:fill="auto" w:val="clear"/>
          </w:tcPr>
          <w:p>
            <w:pPr>
              <w:pStyle w:val="TableContents"/>
              <w:spacing w:before="0" w:after="0"/>
              <w:ind w:left="0" w:right="0" w:hanging="0"/>
              <w:rPr/>
            </w:pPr>
            <w:r>
              <w:rPr/>
              <w:t> </w:t>
            </w:r>
          </w:p>
        </w:tc>
        <w:tc>
          <w:tcPr>
            <w:tcW w:w="9112" w:type="dxa"/>
            <w:tcBorders/>
            <w:shd w:fill="auto" w:val="clear"/>
          </w:tcPr>
          <w:p>
            <w:pPr>
              <w:pStyle w:val="TableContents"/>
              <w:spacing w:before="0" w:after="0"/>
              <w:ind w:left="0" w:right="0" w:hanging="0"/>
              <w:rPr/>
            </w:pPr>
            <w:r>
              <w:rPr/>
              <w:t> </w:t>
            </w:r>
          </w:p>
        </w:tc>
      </w:tr>
      <w:tr>
        <w:trPr/>
        <w:tc>
          <w:tcPr>
            <w:tcW w:w="58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abrupt or severe declines or interruptions in outer continental shelf production located offshore California and transported on our pipeline systems;</w:t>
            </w:r>
          </w:p>
        </w:tc>
      </w:tr>
      <w:tr>
        <w:trPr/>
        <w:tc>
          <w:tcPr>
            <w:tcW w:w="582" w:type="dxa"/>
            <w:tcBorders/>
            <w:shd w:fill="auto" w:val="clear"/>
          </w:tcPr>
          <w:p>
            <w:pPr>
              <w:pStyle w:val="TableContents"/>
              <w:spacing w:before="0" w:after="0"/>
              <w:ind w:left="0" w:right="0" w:hanging="0"/>
              <w:rPr/>
            </w:pPr>
            <w:r>
              <w:rPr/>
              <w:t> </w:t>
            </w:r>
          </w:p>
        </w:tc>
        <w:tc>
          <w:tcPr>
            <w:tcW w:w="9112" w:type="dxa"/>
            <w:tcBorders/>
            <w:shd w:fill="auto" w:val="clear"/>
          </w:tcPr>
          <w:p>
            <w:pPr>
              <w:pStyle w:val="TableContents"/>
              <w:spacing w:before="0" w:after="0"/>
              <w:ind w:left="0" w:right="0" w:hanging="0"/>
              <w:rPr/>
            </w:pPr>
            <w:r>
              <w:rPr/>
              <w:t> </w:t>
            </w:r>
          </w:p>
        </w:tc>
      </w:tr>
      <w:tr>
        <w:trPr/>
        <w:tc>
          <w:tcPr>
            <w:tcW w:w="582"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shortages or cost increases of power supplies, materials or labor;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tbl>
      <w:tblPr>
        <w:tblW w:w="4750" w:type="pct"/>
        <w:jc w:val="left"/>
        <w:tblInd w:w="0" w:type="dxa"/>
        <w:tblCellMar>
          <w:top w:w="0" w:type="dxa"/>
          <w:left w:w="0" w:type="dxa"/>
          <w:bottom w:w="0" w:type="dxa"/>
          <w:right w:w="0" w:type="dxa"/>
        </w:tblCellMar>
      </w:tblPr>
      <w:tblGrid>
        <w:gridCol w:w="581"/>
        <w:gridCol w:w="9113"/>
      </w:tblGrid>
      <w:tr>
        <w:trPr/>
        <w:tc>
          <w:tcPr>
            <w:tcW w:w="58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tc>
      </w:tr>
      <w:tr>
        <w:trPr/>
        <w:tc>
          <w:tcPr>
            <w:tcW w:w="581" w:type="dxa"/>
            <w:tcBorders/>
            <w:shd w:fill="auto" w:val="clear"/>
          </w:tcPr>
          <w:p>
            <w:pPr>
              <w:pStyle w:val="TableContents"/>
              <w:spacing w:before="0" w:after="0"/>
              <w:ind w:left="0" w:right="0" w:hanging="0"/>
              <w:rPr/>
            </w:pPr>
            <w:r>
              <w:rPr/>
              <w:t> </w:t>
            </w:r>
          </w:p>
        </w:tc>
        <w:tc>
          <w:tcPr>
            <w:tcW w:w="9113" w:type="dxa"/>
            <w:tcBorders/>
            <w:shd w:fill="auto" w:val="clear"/>
          </w:tcPr>
          <w:p>
            <w:pPr>
              <w:pStyle w:val="TableContents"/>
              <w:spacing w:before="0" w:after="0"/>
              <w:ind w:left="0" w:right="0" w:hanging="0"/>
              <w:rPr/>
            </w:pPr>
            <w:r>
              <w:rPr/>
              <w:t> </w:t>
            </w:r>
          </w:p>
        </w:tc>
      </w:tr>
      <w:tr>
        <w:trPr/>
        <w:tc>
          <w:tcPr>
            <w:tcW w:w="58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tc>
      </w:tr>
      <w:tr>
        <w:trPr/>
        <w:tc>
          <w:tcPr>
            <w:tcW w:w="581" w:type="dxa"/>
            <w:tcBorders/>
            <w:shd w:fill="auto" w:val="clear"/>
          </w:tcPr>
          <w:p>
            <w:pPr>
              <w:pStyle w:val="TableContents"/>
              <w:spacing w:before="0" w:after="0"/>
              <w:ind w:left="0" w:right="0" w:hanging="0"/>
              <w:rPr/>
            </w:pPr>
            <w:r>
              <w:rPr/>
              <w:t> </w:t>
            </w:r>
          </w:p>
        </w:tc>
        <w:tc>
          <w:tcPr>
            <w:tcW w:w="9113" w:type="dxa"/>
            <w:tcBorders/>
            <w:shd w:fill="auto" w:val="clear"/>
          </w:tcPr>
          <w:p>
            <w:pPr>
              <w:pStyle w:val="TableContents"/>
              <w:spacing w:before="0" w:after="0"/>
              <w:ind w:left="0" w:right="0" w:hanging="0"/>
              <w:rPr/>
            </w:pPr>
            <w:r>
              <w:rPr/>
              <w:t> </w:t>
            </w:r>
          </w:p>
        </w:tc>
      </w:tr>
      <w:tr>
        <w:trPr/>
        <w:tc>
          <w:tcPr>
            <w:tcW w:w="58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availability of, and our ability to consummate, acquisition or combination opportunities,</w:t>
            </w:r>
          </w:p>
        </w:tc>
      </w:tr>
      <w:tr>
        <w:trPr/>
        <w:tc>
          <w:tcPr>
            <w:tcW w:w="581" w:type="dxa"/>
            <w:tcBorders/>
            <w:shd w:fill="auto" w:val="clear"/>
          </w:tcPr>
          <w:p>
            <w:pPr>
              <w:pStyle w:val="TableContents"/>
              <w:spacing w:before="0" w:after="0"/>
              <w:ind w:left="0" w:right="0" w:hanging="0"/>
              <w:rPr/>
            </w:pPr>
            <w:r>
              <w:rPr/>
              <w:t> </w:t>
            </w:r>
          </w:p>
        </w:tc>
        <w:tc>
          <w:tcPr>
            <w:tcW w:w="9113" w:type="dxa"/>
            <w:tcBorders/>
            <w:shd w:fill="auto" w:val="clear"/>
          </w:tcPr>
          <w:p>
            <w:pPr>
              <w:pStyle w:val="TableContents"/>
              <w:spacing w:before="0" w:after="0"/>
              <w:ind w:left="0" w:right="0" w:hanging="0"/>
              <w:rPr/>
            </w:pPr>
            <w:r>
              <w:rPr/>
              <w:t> </w:t>
            </w:r>
          </w:p>
        </w:tc>
      </w:tr>
      <w:tr>
        <w:trPr/>
        <w:tc>
          <w:tcPr>
            <w:tcW w:w="58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tc>
      </w:tr>
      <w:tr>
        <w:trPr/>
        <w:tc>
          <w:tcPr>
            <w:tcW w:w="581" w:type="dxa"/>
            <w:tcBorders/>
            <w:shd w:fill="auto" w:val="clear"/>
          </w:tcPr>
          <w:p>
            <w:pPr>
              <w:pStyle w:val="TableContents"/>
              <w:spacing w:before="0" w:after="0"/>
              <w:ind w:left="0" w:right="0" w:hanging="0"/>
              <w:rPr/>
            </w:pPr>
            <w:r>
              <w:rPr/>
              <w:t> </w:t>
            </w:r>
          </w:p>
        </w:tc>
        <w:tc>
          <w:tcPr>
            <w:tcW w:w="9113" w:type="dxa"/>
            <w:tcBorders/>
            <w:shd w:fill="auto" w:val="clear"/>
          </w:tcPr>
          <w:p>
            <w:pPr>
              <w:pStyle w:val="TableContents"/>
              <w:spacing w:before="0" w:after="0"/>
              <w:ind w:left="0" w:right="0" w:hanging="0"/>
              <w:rPr/>
            </w:pPr>
            <w:r>
              <w:rPr/>
              <w:t> </w:t>
            </w:r>
          </w:p>
        </w:tc>
      </w:tr>
      <w:tr>
        <w:trPr/>
        <w:tc>
          <w:tcPr>
            <w:tcW w:w="58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tc>
      </w:tr>
      <w:tr>
        <w:trPr/>
        <w:tc>
          <w:tcPr>
            <w:tcW w:w="581" w:type="dxa"/>
            <w:tcBorders/>
            <w:shd w:fill="auto" w:val="clear"/>
          </w:tcPr>
          <w:p>
            <w:pPr>
              <w:pStyle w:val="TableContents"/>
              <w:spacing w:before="0" w:after="0"/>
              <w:ind w:left="0" w:right="0" w:hanging="0"/>
              <w:rPr/>
            </w:pPr>
            <w:r>
              <w:rPr/>
              <w:t> </w:t>
            </w:r>
          </w:p>
        </w:tc>
        <w:tc>
          <w:tcPr>
            <w:tcW w:w="9113" w:type="dxa"/>
            <w:tcBorders/>
            <w:shd w:fill="auto" w:val="clear"/>
          </w:tcPr>
          <w:p>
            <w:pPr>
              <w:pStyle w:val="TableContents"/>
              <w:spacing w:before="0" w:after="0"/>
              <w:ind w:left="0" w:right="0" w:hanging="0"/>
              <w:rPr/>
            </w:pPr>
            <w:r>
              <w:rPr/>
              <w:t> </w:t>
            </w:r>
          </w:p>
        </w:tc>
      </w:tr>
      <w:tr>
        <w:trPr/>
        <w:tc>
          <w:tcPr>
            <w:tcW w:w="58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unanticipated changes in crude oil market structure and volatility (or lack thereof);</w:t>
            </w:r>
          </w:p>
        </w:tc>
      </w:tr>
      <w:tr>
        <w:trPr/>
        <w:tc>
          <w:tcPr>
            <w:tcW w:w="581" w:type="dxa"/>
            <w:tcBorders/>
            <w:shd w:fill="auto" w:val="clear"/>
          </w:tcPr>
          <w:p>
            <w:pPr>
              <w:pStyle w:val="TableContents"/>
              <w:spacing w:before="0" w:after="0"/>
              <w:ind w:left="0" w:right="0" w:hanging="0"/>
              <w:rPr/>
            </w:pPr>
            <w:r>
              <w:rPr/>
              <w:t> </w:t>
            </w:r>
          </w:p>
        </w:tc>
        <w:tc>
          <w:tcPr>
            <w:tcW w:w="9113" w:type="dxa"/>
            <w:tcBorders/>
            <w:shd w:fill="auto" w:val="clear"/>
          </w:tcPr>
          <w:p>
            <w:pPr>
              <w:pStyle w:val="TableContents"/>
              <w:spacing w:before="0" w:after="0"/>
              <w:ind w:left="0" w:right="0" w:hanging="0"/>
              <w:rPr/>
            </w:pPr>
            <w:r>
              <w:rPr/>
              <w:t> </w:t>
            </w:r>
          </w:p>
        </w:tc>
      </w:tr>
      <w:tr>
        <w:trPr/>
        <w:tc>
          <w:tcPr>
            <w:tcW w:w="58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impact of current and future laws, rulings, governmental regulations, accounting standards and statements and related interpretations;</w:t>
            </w:r>
          </w:p>
        </w:tc>
      </w:tr>
      <w:tr>
        <w:trPr/>
        <w:tc>
          <w:tcPr>
            <w:tcW w:w="581" w:type="dxa"/>
            <w:tcBorders/>
            <w:shd w:fill="auto" w:val="clear"/>
          </w:tcPr>
          <w:p>
            <w:pPr>
              <w:pStyle w:val="TableContents"/>
              <w:spacing w:before="0" w:after="0"/>
              <w:ind w:left="0" w:right="0" w:hanging="0"/>
              <w:rPr/>
            </w:pPr>
            <w:r>
              <w:rPr/>
              <w:t> </w:t>
            </w:r>
          </w:p>
        </w:tc>
        <w:tc>
          <w:tcPr>
            <w:tcW w:w="9113" w:type="dxa"/>
            <w:tcBorders/>
            <w:shd w:fill="auto" w:val="clear"/>
          </w:tcPr>
          <w:p>
            <w:pPr>
              <w:pStyle w:val="TableContents"/>
              <w:spacing w:before="0" w:after="0"/>
              <w:ind w:left="0" w:right="0" w:hanging="0"/>
              <w:rPr/>
            </w:pPr>
            <w:r>
              <w:rPr/>
              <w:t> </w:t>
            </w:r>
          </w:p>
        </w:tc>
      </w:tr>
      <w:tr>
        <w:trPr/>
        <w:tc>
          <w:tcPr>
            <w:tcW w:w="58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effects of competition;</w:t>
            </w:r>
          </w:p>
        </w:tc>
      </w:tr>
      <w:tr>
        <w:trPr/>
        <w:tc>
          <w:tcPr>
            <w:tcW w:w="581" w:type="dxa"/>
            <w:tcBorders/>
            <w:shd w:fill="auto" w:val="clear"/>
          </w:tcPr>
          <w:p>
            <w:pPr>
              <w:pStyle w:val="TableContents"/>
              <w:spacing w:before="0" w:after="0"/>
              <w:ind w:left="0" w:right="0" w:hanging="0"/>
              <w:rPr/>
            </w:pPr>
            <w:r>
              <w:rPr/>
              <w:t> </w:t>
            </w:r>
          </w:p>
        </w:tc>
        <w:tc>
          <w:tcPr>
            <w:tcW w:w="9113" w:type="dxa"/>
            <w:tcBorders/>
            <w:shd w:fill="auto" w:val="clear"/>
          </w:tcPr>
          <w:p>
            <w:pPr>
              <w:pStyle w:val="TableContents"/>
              <w:spacing w:before="0" w:after="0"/>
              <w:ind w:left="0" w:right="0" w:hanging="0"/>
              <w:rPr/>
            </w:pPr>
            <w:r>
              <w:rPr/>
              <w:t> </w:t>
            </w:r>
          </w:p>
        </w:tc>
      </w:tr>
      <w:tr>
        <w:trPr/>
        <w:tc>
          <w:tcPr>
            <w:tcW w:w="58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interruptions in service and fluctuations in tariffs or volumes on third-party pipelines;</w:t>
            </w:r>
          </w:p>
        </w:tc>
      </w:tr>
      <w:tr>
        <w:trPr/>
        <w:tc>
          <w:tcPr>
            <w:tcW w:w="581" w:type="dxa"/>
            <w:tcBorders/>
            <w:shd w:fill="auto" w:val="clear"/>
          </w:tcPr>
          <w:p>
            <w:pPr>
              <w:pStyle w:val="TableContents"/>
              <w:spacing w:before="0" w:after="0"/>
              <w:ind w:left="0" w:right="0" w:hanging="0"/>
              <w:rPr/>
            </w:pPr>
            <w:r>
              <w:rPr/>
              <w:t> </w:t>
            </w:r>
          </w:p>
        </w:tc>
        <w:tc>
          <w:tcPr>
            <w:tcW w:w="9113" w:type="dxa"/>
            <w:tcBorders/>
            <w:shd w:fill="auto" w:val="clear"/>
          </w:tcPr>
          <w:p>
            <w:pPr>
              <w:pStyle w:val="TableContents"/>
              <w:spacing w:before="0" w:after="0"/>
              <w:ind w:left="0" w:right="0" w:hanging="0"/>
              <w:rPr/>
            </w:pPr>
            <w:r>
              <w:rPr/>
              <w:t> </w:t>
            </w:r>
          </w:p>
        </w:tc>
      </w:tr>
      <w:tr>
        <w:trPr/>
        <w:tc>
          <w:tcPr>
            <w:tcW w:w="58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increased costs or lack of availability of insurance:</w:t>
            </w:r>
          </w:p>
        </w:tc>
      </w:tr>
      <w:tr>
        <w:trPr/>
        <w:tc>
          <w:tcPr>
            <w:tcW w:w="581" w:type="dxa"/>
            <w:tcBorders/>
            <w:shd w:fill="auto" w:val="clear"/>
          </w:tcPr>
          <w:p>
            <w:pPr>
              <w:pStyle w:val="TableContents"/>
              <w:spacing w:before="0" w:after="0"/>
              <w:ind w:left="0" w:right="0" w:hanging="0"/>
              <w:rPr/>
            </w:pPr>
            <w:r>
              <w:rPr/>
              <w:t> </w:t>
            </w:r>
          </w:p>
        </w:tc>
        <w:tc>
          <w:tcPr>
            <w:tcW w:w="9113" w:type="dxa"/>
            <w:tcBorders/>
            <w:shd w:fill="auto" w:val="clear"/>
          </w:tcPr>
          <w:p>
            <w:pPr>
              <w:pStyle w:val="TableContents"/>
              <w:spacing w:before="0" w:after="0"/>
              <w:ind w:left="0" w:right="0" w:hanging="0"/>
              <w:rPr/>
            </w:pPr>
            <w:r>
              <w:rPr/>
              <w:t> </w:t>
            </w:r>
          </w:p>
        </w:tc>
      </w:tr>
      <w:tr>
        <w:trPr/>
        <w:tc>
          <w:tcPr>
            <w:tcW w:w="58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fluctuations in the debt and equity markets, including the price of our units at the time of vesting under our long-term incentive plans;</w:t>
            </w:r>
          </w:p>
        </w:tc>
      </w:tr>
      <w:tr>
        <w:trPr/>
        <w:tc>
          <w:tcPr>
            <w:tcW w:w="581" w:type="dxa"/>
            <w:tcBorders/>
            <w:shd w:fill="auto" w:val="clear"/>
          </w:tcPr>
          <w:p>
            <w:pPr>
              <w:pStyle w:val="TableContents"/>
              <w:spacing w:before="0" w:after="0"/>
              <w:ind w:left="0" w:right="0" w:hanging="0"/>
              <w:rPr/>
            </w:pPr>
            <w:r>
              <w:rPr/>
              <w:t> </w:t>
            </w:r>
          </w:p>
        </w:tc>
        <w:tc>
          <w:tcPr>
            <w:tcW w:w="9113" w:type="dxa"/>
            <w:tcBorders/>
            <w:shd w:fill="auto" w:val="clear"/>
          </w:tcPr>
          <w:p>
            <w:pPr>
              <w:pStyle w:val="TableContents"/>
              <w:spacing w:before="0" w:after="0"/>
              <w:ind w:left="0" w:right="0" w:hanging="0"/>
              <w:rPr/>
            </w:pPr>
            <w:r>
              <w:rPr/>
              <w:t> </w:t>
            </w:r>
          </w:p>
        </w:tc>
      </w:tr>
      <w:tr>
        <w:trPr/>
        <w:tc>
          <w:tcPr>
            <w:tcW w:w="58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currency exchange rate of the Canadian dollar;</w:t>
            </w:r>
          </w:p>
        </w:tc>
      </w:tr>
      <w:tr>
        <w:trPr/>
        <w:tc>
          <w:tcPr>
            <w:tcW w:w="581" w:type="dxa"/>
            <w:tcBorders/>
            <w:shd w:fill="auto" w:val="clear"/>
          </w:tcPr>
          <w:p>
            <w:pPr>
              <w:pStyle w:val="TableContents"/>
              <w:spacing w:before="0" w:after="0"/>
              <w:ind w:left="0" w:right="0" w:hanging="0"/>
              <w:rPr/>
            </w:pPr>
            <w:r>
              <w:rPr/>
              <w:t> </w:t>
            </w:r>
          </w:p>
        </w:tc>
        <w:tc>
          <w:tcPr>
            <w:tcW w:w="9113" w:type="dxa"/>
            <w:tcBorders/>
            <w:shd w:fill="auto" w:val="clear"/>
          </w:tcPr>
          <w:p>
            <w:pPr>
              <w:pStyle w:val="TableContents"/>
              <w:spacing w:before="0" w:after="0"/>
              <w:ind w:left="0" w:right="0" w:hanging="0"/>
              <w:rPr/>
            </w:pPr>
            <w:r>
              <w:rPr/>
              <w:t> </w:t>
            </w:r>
          </w:p>
        </w:tc>
      </w:tr>
      <w:tr>
        <w:trPr/>
        <w:tc>
          <w:tcPr>
            <w:tcW w:w="58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weather interference with business operations or project construction;</w:t>
            </w:r>
          </w:p>
        </w:tc>
      </w:tr>
      <w:tr>
        <w:trPr/>
        <w:tc>
          <w:tcPr>
            <w:tcW w:w="581" w:type="dxa"/>
            <w:tcBorders/>
            <w:shd w:fill="auto" w:val="clear"/>
          </w:tcPr>
          <w:p>
            <w:pPr>
              <w:pStyle w:val="TableContents"/>
              <w:spacing w:before="0" w:after="0"/>
              <w:ind w:left="0" w:right="0" w:hanging="0"/>
              <w:rPr/>
            </w:pPr>
            <w:r>
              <w:rPr/>
              <w:t> </w:t>
            </w:r>
          </w:p>
        </w:tc>
        <w:tc>
          <w:tcPr>
            <w:tcW w:w="9113" w:type="dxa"/>
            <w:tcBorders/>
            <w:shd w:fill="auto" w:val="clear"/>
          </w:tcPr>
          <w:p>
            <w:pPr>
              <w:pStyle w:val="TableContents"/>
              <w:spacing w:before="0" w:after="0"/>
              <w:ind w:left="0" w:right="0" w:hanging="0"/>
              <w:rPr/>
            </w:pPr>
            <w:r>
              <w:rPr/>
              <w:t> </w:t>
            </w:r>
          </w:p>
        </w:tc>
      </w:tr>
      <w:tr>
        <w:trPr/>
        <w:tc>
          <w:tcPr>
            <w:tcW w:w="58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risks related to the development and operation of natural gas storage facilities;</w:t>
            </w:r>
          </w:p>
        </w:tc>
      </w:tr>
      <w:tr>
        <w:trPr/>
        <w:tc>
          <w:tcPr>
            <w:tcW w:w="581" w:type="dxa"/>
            <w:tcBorders/>
            <w:shd w:fill="auto" w:val="clear"/>
          </w:tcPr>
          <w:p>
            <w:pPr>
              <w:pStyle w:val="TableContents"/>
              <w:spacing w:before="0" w:after="0"/>
              <w:ind w:left="0" w:right="0" w:hanging="0"/>
              <w:rPr/>
            </w:pPr>
            <w:r>
              <w:rPr/>
              <w:t> </w:t>
            </w:r>
          </w:p>
        </w:tc>
        <w:tc>
          <w:tcPr>
            <w:tcW w:w="9113" w:type="dxa"/>
            <w:tcBorders/>
            <w:shd w:fill="auto" w:val="clear"/>
          </w:tcPr>
          <w:p>
            <w:pPr>
              <w:pStyle w:val="TableContents"/>
              <w:spacing w:before="0" w:after="0"/>
              <w:ind w:left="0" w:right="0" w:hanging="0"/>
              <w:rPr/>
            </w:pPr>
            <w:r>
              <w:rPr/>
              <w:t> </w:t>
            </w:r>
          </w:p>
        </w:tc>
      </w:tr>
      <w:tr>
        <w:trPr/>
        <w:tc>
          <w:tcPr>
            <w:tcW w:w="58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future developments and circumstances at the time distributions are declared;</w:t>
            </w:r>
          </w:p>
        </w:tc>
      </w:tr>
      <w:tr>
        <w:trPr/>
        <w:tc>
          <w:tcPr>
            <w:tcW w:w="581" w:type="dxa"/>
            <w:tcBorders/>
            <w:shd w:fill="auto" w:val="clear"/>
          </w:tcPr>
          <w:p>
            <w:pPr>
              <w:pStyle w:val="TableContents"/>
              <w:spacing w:before="0" w:after="0"/>
              <w:ind w:left="0" w:right="0" w:hanging="0"/>
              <w:rPr/>
            </w:pPr>
            <w:r>
              <w:rPr/>
              <w:t> </w:t>
            </w:r>
          </w:p>
        </w:tc>
        <w:tc>
          <w:tcPr>
            <w:tcW w:w="9113" w:type="dxa"/>
            <w:tcBorders/>
            <w:shd w:fill="auto" w:val="clear"/>
          </w:tcPr>
          <w:p>
            <w:pPr>
              <w:pStyle w:val="TableContents"/>
              <w:spacing w:before="0" w:after="0"/>
              <w:ind w:left="0" w:right="0" w:hanging="0"/>
              <w:rPr/>
            </w:pPr>
            <w:r>
              <w:rPr/>
              <w:t> </w:t>
            </w:r>
          </w:p>
        </w:tc>
      </w:tr>
      <w:tr>
        <w:trPr/>
        <w:tc>
          <w:tcPr>
            <w:tcW w:w="58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economic, market or business conditions and the amplification of other risks caused by deteriorated financial markets, capital constraints and pervasive liquidity concerns; and</w:t>
            </w:r>
          </w:p>
        </w:tc>
      </w:tr>
      <w:tr>
        <w:trPr/>
        <w:tc>
          <w:tcPr>
            <w:tcW w:w="581" w:type="dxa"/>
            <w:tcBorders/>
            <w:shd w:fill="auto" w:val="clear"/>
          </w:tcPr>
          <w:p>
            <w:pPr>
              <w:pStyle w:val="TableContents"/>
              <w:spacing w:before="0" w:after="0"/>
              <w:ind w:left="0" w:right="0" w:hanging="0"/>
              <w:rPr/>
            </w:pPr>
            <w:r>
              <w:rPr/>
              <w:t> </w:t>
            </w:r>
          </w:p>
        </w:tc>
        <w:tc>
          <w:tcPr>
            <w:tcW w:w="9113" w:type="dxa"/>
            <w:tcBorders/>
            <w:shd w:fill="auto" w:val="clear"/>
          </w:tcPr>
          <w:p>
            <w:pPr>
              <w:pStyle w:val="TableContents"/>
              <w:spacing w:before="0" w:after="0"/>
              <w:ind w:left="0" w:right="0" w:hanging="0"/>
              <w:rPr/>
            </w:pPr>
            <w:r>
              <w:rPr/>
              <w:t> </w:t>
            </w:r>
          </w:p>
        </w:tc>
      </w:tr>
      <w:tr>
        <w:trPr/>
        <w:tc>
          <w:tcPr>
            <w:tcW w:w="581" w:type="dxa"/>
            <w:tcBorders/>
            <w:shd w:fill="auto" w:val="clear"/>
          </w:tcPr>
          <w:p>
            <w:pPr>
              <w:pStyle w:val="TableContents"/>
              <w:spacing w:before="0" w:after="0"/>
              <w:ind w:left="0" w:right="0" w:hanging="0"/>
              <w:rPr>
                <w:rFonts w:ascii="Symbol" w:hAnsi="Symbol"/>
                <w:sz w:val="17"/>
              </w:rPr>
            </w:pPr>
            <w:r>
              <w:rPr>
                <w:rFonts w:ascii="Symbol" w:hAnsi="Symbol"/>
                <w:sz w:val="17"/>
              </w:rPr>
              <w:t>·</w:t>
            </w:r>
          </w:p>
        </w:tc>
        <w:tc>
          <w:tcPr>
            <w:tcW w:w="91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factors and uncertainties inherent in the transportation, storage, terminalling and marketing of crude oil, refined products and liquefied petroleum gas and other natural gas related petroleum products.</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98"/>
        <w:gridCol w:w="312"/>
        <w:gridCol w:w="521"/>
        <w:gridCol w:w="625"/>
        <w:gridCol w:w="3749"/>
      </w:tblGrid>
      <w:tr>
        <w:trPr/>
        <w:tc>
          <w:tcPr>
            <w:tcW w:w="4998"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489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4998"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4895" w:type="dxa"/>
            <w:gridSpan w:val="3"/>
            <w:tcBorders/>
            <w:shd w:fill="auto" w:val="clear"/>
          </w:tcPr>
          <w:p>
            <w:pPr>
              <w:pStyle w:val="TableContents"/>
              <w:spacing w:before="0" w:after="0"/>
              <w:ind w:left="0" w:right="0" w:hanging="0"/>
              <w:rPr/>
            </w:pPr>
            <w:r>
              <w:rPr/>
              <w:t> </w:t>
            </w:r>
          </w:p>
        </w:tc>
      </w:tr>
      <w:tr>
        <w:trPr/>
        <w:tc>
          <w:tcPr>
            <w:tcW w:w="4998"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489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  PAA GP LLC, its general partner</w:t>
            </w:r>
          </w:p>
        </w:tc>
      </w:tr>
      <w:tr>
        <w:trPr/>
        <w:tc>
          <w:tcPr>
            <w:tcW w:w="4998"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4895" w:type="dxa"/>
            <w:gridSpan w:val="3"/>
            <w:tcBorders/>
            <w:shd w:fill="auto" w:val="clear"/>
          </w:tcPr>
          <w:p>
            <w:pPr>
              <w:pStyle w:val="TableContents"/>
              <w:spacing w:before="0" w:after="0"/>
              <w:ind w:left="0" w:right="0" w:hanging="0"/>
              <w:rPr/>
            </w:pPr>
            <w:r>
              <w:rPr/>
              <w:t> </w:t>
            </w:r>
          </w:p>
        </w:tc>
      </w:tr>
      <w:tr>
        <w:trPr/>
        <w:tc>
          <w:tcPr>
            <w:tcW w:w="4998"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489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  PLAINS AAP, L. P., its sole member</w:t>
            </w:r>
          </w:p>
        </w:tc>
      </w:tr>
      <w:tr>
        <w:trPr/>
        <w:tc>
          <w:tcPr>
            <w:tcW w:w="4998"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4895" w:type="dxa"/>
            <w:gridSpan w:val="3"/>
            <w:tcBorders/>
            <w:shd w:fill="auto" w:val="clear"/>
          </w:tcPr>
          <w:p>
            <w:pPr>
              <w:pStyle w:val="TableContents"/>
              <w:spacing w:before="0" w:after="0"/>
              <w:ind w:left="0" w:right="0" w:hanging="0"/>
              <w:rPr/>
            </w:pPr>
            <w:r>
              <w:rPr/>
              <w:t> </w:t>
            </w:r>
          </w:p>
        </w:tc>
      </w:tr>
      <w:tr>
        <w:trPr/>
        <w:tc>
          <w:tcPr>
            <w:tcW w:w="4998"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489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  PLAINS ALL AMERICAN GP LLC, its general partner</w:t>
            </w:r>
          </w:p>
        </w:tc>
      </w:tr>
      <w:tr>
        <w:trPr/>
        <w:tc>
          <w:tcPr>
            <w:tcW w:w="4998"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4895" w:type="dxa"/>
            <w:gridSpan w:val="3"/>
            <w:tcBorders/>
            <w:shd w:fill="auto" w:val="clear"/>
          </w:tcPr>
          <w:p>
            <w:pPr>
              <w:pStyle w:val="TableContents"/>
              <w:spacing w:before="0" w:after="0"/>
              <w:ind w:left="0" w:right="0" w:hanging="0"/>
              <w:rPr/>
            </w:pPr>
            <w:r>
              <w:rPr/>
              <w:t> </w:t>
            </w:r>
          </w:p>
        </w:tc>
      </w:tr>
      <w:tr>
        <w:trPr/>
        <w:tc>
          <w:tcPr>
            <w:tcW w:w="4998"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4895" w:type="dxa"/>
            <w:gridSpan w:val="3"/>
            <w:tcBorders/>
            <w:shd w:fill="auto" w:val="clear"/>
          </w:tcPr>
          <w:p>
            <w:pPr>
              <w:pStyle w:val="TableContents"/>
              <w:spacing w:before="0" w:after="0"/>
              <w:ind w:left="0" w:right="0" w:hanging="0"/>
              <w:rPr/>
            </w:pPr>
            <w:r>
              <w:rPr/>
              <w:t> </w:t>
            </w:r>
          </w:p>
        </w:tc>
      </w:tr>
      <w:tr>
        <w:trPr/>
        <w:tc>
          <w:tcPr>
            <w:tcW w:w="49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5, 2009</w:t>
            </w:r>
          </w:p>
        </w:tc>
        <w:tc>
          <w:tcPr>
            <w:tcW w:w="312" w:type="dxa"/>
            <w:tcBorders/>
            <w:shd w:fill="auto" w:val="clear"/>
          </w:tcPr>
          <w:p>
            <w:pPr>
              <w:pStyle w:val="TableContents"/>
              <w:spacing w:before="0" w:after="0"/>
              <w:ind w:left="0" w:right="0" w:hanging="0"/>
              <w:rPr/>
            </w:pPr>
            <w:r>
              <w:rPr/>
              <w:t> </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4998"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521"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749"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r>
      <w:tr>
        <w:trPr/>
        <w:tc>
          <w:tcPr>
            <w:tcW w:w="4998"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521"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749" w:type="dxa"/>
            <w:tcBorders/>
            <w:shd w:fill="auto" w:val="clear"/>
          </w:tcPr>
          <w:p>
            <w:pPr>
              <w:pStyle w:val="TableContents"/>
              <w:spacing w:before="0" w:after="0"/>
              <w:ind w:left="0" w:right="0" w:hanging="0"/>
              <w:rPr/>
            </w:pPr>
            <w:r>
              <w:rPr>
                <w:rFonts w:ascii="Times New Roman" w:hAnsi="Times New Roman"/>
                <w:i/>
                <w:sz w:val="17"/>
              </w:rPr>
              <w:t>Senior Vice</w:t>
            </w:r>
            <w:r>
              <w:rPr/>
              <w:t xml:space="preserve"> </w:t>
            </w:r>
            <w:r>
              <w:rPr>
                <w:i/>
                <w:sz w:val="17"/>
              </w:rPr>
              <w:t>President and</w:t>
            </w:r>
            <w:r>
              <w:rPr>
                <w:sz w:val="17"/>
              </w:rPr>
              <w:br/>
            </w:r>
            <w:r>
              <w:rPr>
                <w:i/>
                <w:sz w:val="17"/>
              </w:rPr>
              <w:t>Chief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2" w:name="a09-20514_1ex99d1.htm"/>
      <w:bookmarkStart w:id="3" w:name="ksa0920514_1ex99d1"/>
      <w:bookmarkEnd w:id="2"/>
      <w:bookmarkEnd w:id="3"/>
      <w:r>
        <w:rPr>
          <w:rFonts w:ascii="Times New Roman" w:hAnsi="Times New Roman"/>
          <w:b/>
          <w:sz w:val="17"/>
        </w:rPr>
        <w:t>Exhibit 99.1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638"/>
        <w:gridCol w:w="5567"/>
      </w:tblGrid>
      <w:tr>
        <w:trPr/>
        <w:tc>
          <w:tcPr>
            <w:tcW w:w="4638" w:type="dxa"/>
            <w:tcBorders/>
            <w:shd w:fill="auto" w:val="clear"/>
          </w:tcPr>
          <w:p>
            <w:pPr>
              <w:pStyle w:val="TableContents"/>
              <w:spacing w:before="0" w:after="0"/>
              <w:ind w:left="0" w:right="0" w:hanging="0"/>
              <w:rPr/>
            </w:pPr>
            <w:r>
              <w:rPr/>
              <w:drawing>
                <wp:inline distT="0" distB="0" distL="0" distR="0">
                  <wp:extent cx="244792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7925" cy="733425"/>
                          </a:xfrm>
                          <a:prstGeom prst="rect">
                            <a:avLst/>
                          </a:prstGeom>
                        </pic:spPr>
                      </pic:pic>
                    </a:graphicData>
                  </a:graphic>
                </wp:inline>
              </w:drawing>
            </w:r>
          </w:p>
        </w:tc>
        <w:tc>
          <w:tcPr>
            <w:tcW w:w="5567" w:type="dxa"/>
            <w:tcBorders/>
            <w:shd w:fill="auto" w:val="clear"/>
          </w:tcPr>
          <w:p>
            <w:pPr>
              <w:pStyle w:val="TableContents"/>
              <w:spacing w:before="0" w:after="0"/>
              <w:ind w:left="0" w:right="0" w:hanging="0"/>
              <w:jc w:val="right"/>
              <w:rPr/>
            </w:pPr>
            <w:r>
              <w:rPr/>
              <w:drawing>
                <wp:inline distT="0" distB="0" distL="0" distR="0">
                  <wp:extent cx="2571750" cy="704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71750" cy="704850"/>
                          </a:xfrm>
                          <a:prstGeom prst="rect">
                            <a:avLst/>
                          </a:prstGeom>
                        </pic:spPr>
                      </pic:pic>
                    </a:graphicData>
                  </a:graphic>
                </wp:inline>
              </w:drawing>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144"/>
        <w:gridCol w:w="208"/>
        <w:gridCol w:w="4063"/>
        <w:gridCol w:w="207"/>
        <w:gridCol w:w="4583"/>
      </w:tblGrid>
      <w:tr>
        <w:trPr/>
        <w:tc>
          <w:tcPr>
            <w:tcW w:w="1144" w:type="dxa"/>
            <w:tcBorders/>
            <w:shd w:fill="auto" w:val="clear"/>
          </w:tcPr>
          <w:p>
            <w:pPr>
              <w:pStyle w:val="TableContents"/>
              <w:spacing w:before="0" w:after="0"/>
              <w:ind w:left="0" w:right="0" w:hanging="0"/>
              <w:rPr/>
            </w:pPr>
            <w:r>
              <w:rPr>
                <w:rFonts w:ascii="Times New Roman" w:hAnsi="Times New Roman"/>
                <w:b/>
                <w:sz w:val="17"/>
                <w:u w:val="single"/>
              </w:rPr>
              <w:t>Contacts</w:t>
            </w:r>
            <w:r>
              <w:rPr>
                <w:b/>
                <w:sz w:val="17"/>
              </w:rPr>
              <w:t>:</w:t>
            </w:r>
          </w:p>
        </w:tc>
        <w:tc>
          <w:tcPr>
            <w:tcW w:w="208" w:type="dxa"/>
            <w:tcBorders/>
            <w:shd w:fill="auto" w:val="clear"/>
            <w:vAlign w:val="bottom"/>
          </w:tcPr>
          <w:p>
            <w:pPr>
              <w:pStyle w:val="TableContents"/>
              <w:spacing w:before="0" w:after="0"/>
              <w:ind w:left="0" w:right="0" w:hanging="0"/>
              <w:rPr/>
            </w:pPr>
            <w:r>
              <w:rPr/>
              <w:t> </w:t>
            </w:r>
          </w:p>
        </w:tc>
        <w:tc>
          <w:tcPr>
            <w:tcW w:w="406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Roy I. Lamoreaux</w:t>
            </w:r>
          </w:p>
        </w:tc>
        <w:tc>
          <w:tcPr>
            <w:tcW w:w="207" w:type="dxa"/>
            <w:tcBorders/>
            <w:shd w:fill="auto" w:val="clear"/>
            <w:vAlign w:val="bottom"/>
          </w:tcPr>
          <w:p>
            <w:pPr>
              <w:pStyle w:val="TableContents"/>
              <w:spacing w:before="0" w:after="0"/>
              <w:ind w:left="0" w:right="0" w:hanging="0"/>
              <w:rPr/>
            </w:pPr>
            <w:r>
              <w:rPr/>
              <w:t> </w:t>
            </w:r>
          </w:p>
        </w:tc>
        <w:tc>
          <w:tcPr>
            <w:tcW w:w="458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Al Swanson</w:t>
            </w:r>
          </w:p>
        </w:tc>
      </w:tr>
      <w:tr>
        <w:trPr/>
        <w:tc>
          <w:tcPr>
            <w:tcW w:w="1144" w:type="dxa"/>
            <w:tcBorders/>
            <w:shd w:fill="auto" w:val="clea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406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Manager, Investor Relations</w:t>
            </w:r>
          </w:p>
        </w:tc>
        <w:tc>
          <w:tcPr>
            <w:tcW w:w="207" w:type="dxa"/>
            <w:tcBorders/>
            <w:shd w:fill="auto" w:val="clear"/>
            <w:vAlign w:val="bottom"/>
          </w:tcPr>
          <w:p>
            <w:pPr>
              <w:pStyle w:val="TableContents"/>
              <w:spacing w:before="0" w:after="0"/>
              <w:ind w:left="0" w:right="0" w:hanging="0"/>
              <w:rPr/>
            </w:pPr>
            <w:r>
              <w:rPr/>
              <w:t> </w:t>
            </w:r>
          </w:p>
        </w:tc>
        <w:tc>
          <w:tcPr>
            <w:tcW w:w="458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Senior Vice President, CFO</w:t>
            </w:r>
          </w:p>
        </w:tc>
      </w:tr>
      <w:tr>
        <w:trPr/>
        <w:tc>
          <w:tcPr>
            <w:tcW w:w="1144" w:type="dxa"/>
            <w:tcBorders/>
            <w:shd w:fill="auto" w:val="clea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406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713/646-4222  800/564-3036</w:t>
            </w:r>
          </w:p>
        </w:tc>
        <w:tc>
          <w:tcPr>
            <w:tcW w:w="207" w:type="dxa"/>
            <w:tcBorders/>
            <w:shd w:fill="auto" w:val="clear"/>
            <w:vAlign w:val="bottom"/>
          </w:tcPr>
          <w:p>
            <w:pPr>
              <w:pStyle w:val="TableContents"/>
              <w:spacing w:before="0" w:after="0"/>
              <w:ind w:left="0" w:right="0" w:hanging="0"/>
              <w:rPr/>
            </w:pPr>
            <w:r>
              <w:rPr/>
              <w:t> </w:t>
            </w:r>
          </w:p>
        </w:tc>
        <w:tc>
          <w:tcPr>
            <w:tcW w:w="458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713/646-4455  800/564-3036</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b/>
          <w:sz w:val="17"/>
        </w:rPr>
        <w:t>Plains All American Pipeline, L.P. Reports</w:t>
      </w:r>
    </w:p>
    <w:p>
      <w:pPr>
        <w:pStyle w:val="TextBody"/>
        <w:spacing w:before="0" w:after="0"/>
        <w:ind w:left="0" w:right="0" w:hanging="0"/>
        <w:jc w:val="center"/>
        <w:rPr/>
      </w:pPr>
      <w:r>
        <w:rPr>
          <w:rStyle w:val="StrongEmphasis"/>
          <w:rFonts w:ascii="Times New Roman" w:hAnsi="Times New Roman"/>
          <w:b/>
          <w:sz w:val="17"/>
        </w:rPr>
        <w:t>Solid Second-Quarter 2009 Results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August 5, 2009) Plains All American Pipeline, L.P. (NYSE: PAA) today reported net income of $136 million, or $0.78 per diluted limited partner unit, for the second quarter of 2009 as compared to net income for the second quarter of 2008 of $41 million, or $0.09 per diluted limited partner unit.  The Partnership reported earnings before interest, taxes, depreciation and amortization (EBITDA) of $246 million for the second quarter of 2009, compared with EBITDA of $147 million for the second quarter of 2008.</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reported results include the impact of items that affect comparability between reporting periods. These items are excluded from adjusted results, as further described in the table below.  Accordingly, the Partnerships second-quarter 2009 adjusted net income, adjusted net income per diluted limited partner unit and adjusted EBITDA were $130 million, $0.74 and $240 million, respectively, as compared to second-quarter 2008 adjusted net income, adjusted net income per diluted limited partner unit and adjusted EBITDA of $132 million, $0.83 and $238 million, respectively. (See the section of this release entitled Non-GAAP Financial Measures and the attached tables for discussion of EBITDA and other non-GAAP financial measures, and reconciliations of such measures to the comparable GAAP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reported solid second quarter results, stated Greg L. Armstrong, Chairman and CEO of Plains All American. Strong performance from our fee based transportation and facility segments relative to performance in both the second quarter of 2008 and our guidance for the second quarter of this year more than offset weaker relative performance from our marketing segment. These results reinforce the strength, durability and favorable competitive positioning of our asset base and business model, and mark 30 consecutive quarters of delivering results in line with our operating and financial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ended the second quarter with a solid capitalization and $1.3 billion of committed liquidity.  This liquidity position was enhanced by our $500 million offering of three-year senior notes completed in July, continued Armstrong.  We continue to maintain a flexible financial posture given the uncertainties in the broader economic and financial environment and believe that our solid positioning will enable us to continue to deliver on our growth plans and to potentially participate in attractive incremental opportunities.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3608"/>
        <w:gridCol w:w="2781"/>
        <w:gridCol w:w="3816"/>
      </w:tblGrid>
      <w:tr>
        <w:trPr/>
        <w:tc>
          <w:tcPr>
            <w:tcW w:w="3608" w:type="dxa"/>
            <w:tcBorders>
              <w:top w:val="single" w:sz="8" w:space="0" w:color="000000"/>
            </w:tcBorders>
            <w:shd w:fill="auto" w:val="clear"/>
          </w:tcPr>
          <w:p>
            <w:pPr>
              <w:pStyle w:val="TableContents"/>
              <w:spacing w:before="0" w:after="0"/>
              <w:ind w:left="0" w:right="0" w:hanging="0"/>
              <w:jc w:val="right"/>
              <w:rPr/>
            </w:pPr>
            <w:r>
              <w:rPr/>
              <w:t> </w:t>
            </w:r>
          </w:p>
        </w:tc>
        <w:tc>
          <w:tcPr>
            <w:tcW w:w="2781" w:type="dxa"/>
            <w:tcBorders>
              <w:top w:val="single" w:sz="8" w:space="0" w:color="000000"/>
            </w:tcBorders>
            <w:shd w:fill="auto" w:val="clear"/>
          </w:tcPr>
          <w:p>
            <w:pPr>
              <w:pStyle w:val="TableContents"/>
              <w:spacing w:before="0" w:after="0"/>
              <w:ind w:left="0" w:right="0" w:hanging="0"/>
              <w:jc w:val="center"/>
              <w:rPr/>
            </w:pPr>
            <w:r>
              <w:rPr/>
              <w:t> </w:t>
            </w:r>
          </w:p>
        </w:tc>
        <w:tc>
          <w:tcPr>
            <w:tcW w:w="3816" w:type="dxa"/>
            <w:tcBorders>
              <w:top w:val="single" w:sz="8" w:space="0" w:color="000000"/>
            </w:tcBorders>
            <w:shd w:fill="auto" w:val="clear"/>
          </w:tcPr>
          <w:p>
            <w:pPr>
              <w:pStyle w:val="TableContents"/>
              <w:spacing w:before="0" w:after="0"/>
              <w:ind w:left="0" w:right="0" w:hanging="0"/>
              <w:rPr/>
            </w:pPr>
            <w:r>
              <w:rPr/>
              <w:t> </w:t>
            </w:r>
          </w:p>
        </w:tc>
      </w:tr>
      <w:tr>
        <w:trPr/>
        <w:tc>
          <w:tcPr>
            <w:tcW w:w="3608"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1"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6"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For the first six months of 2009, the Partnership reported net income of $347 million, or $2.18 per diluted limited partner unit, as compared to net income for the first six months of 2008 of $133 million, or $0.64 per diluted limited partner unit. The Partnership reported EBITDA of $567 million for the first six months of 2009, compared with EBITDA of $327 million for the first six months of 2008. Adjusted net income, adjusted net income per diluted limited partner unit and adjusted EBITDA for the first six months of 2009 were $292 million, $1.75 and $512 million, respectively. Adjusted net income, adjusted net income per diluted limited partner unit and adjusted EBITDA for the first six months of 2008 were $235 million, $1.48 and $429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selected items that the Partnership believes impact comparability of financial results between reporting periods (amounts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99"/>
        <w:gridCol w:w="216"/>
        <w:gridCol w:w="110"/>
        <w:gridCol w:w="869"/>
        <w:gridCol w:w="217"/>
        <w:gridCol w:w="110"/>
        <w:gridCol w:w="872"/>
        <w:gridCol w:w="217"/>
        <w:gridCol w:w="110"/>
        <w:gridCol w:w="869"/>
        <w:gridCol w:w="217"/>
        <w:gridCol w:w="110"/>
        <w:gridCol w:w="871"/>
        <w:gridCol w:w="118"/>
      </w:tblGrid>
      <w:tr>
        <w:trPr/>
        <w:tc>
          <w:tcPr>
            <w:tcW w:w="5299"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17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17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18" w:type="dxa"/>
            <w:tcBorders/>
            <w:shd w:fill="auto" w:val="clear"/>
            <w:vAlign w:val="bottom"/>
          </w:tcPr>
          <w:p>
            <w:pPr>
              <w:pStyle w:val="TableContents"/>
              <w:spacing w:before="0" w:after="0"/>
              <w:ind w:left="0" w:right="0" w:hanging="0"/>
              <w:jc w:val="center"/>
              <w:rPr/>
            </w:pPr>
            <w:r>
              <w:rPr/>
              <w:t> </w:t>
            </w:r>
          </w:p>
        </w:tc>
      </w:tr>
      <w:tr>
        <w:trPr/>
        <w:tc>
          <w:tcPr>
            <w:tcW w:w="5299"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17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7" w:type="dxa"/>
            <w:tcBorders/>
            <w:shd w:fill="auto" w:val="clear"/>
            <w:vAlign w:val="bottom"/>
          </w:tcPr>
          <w:p>
            <w:pPr>
              <w:pStyle w:val="TableContents"/>
              <w:spacing w:before="0" w:after="0"/>
              <w:ind w:left="0" w:right="0" w:hanging="0"/>
              <w:jc w:val="center"/>
              <w:rPr/>
            </w:pPr>
            <w:r>
              <w:rPr/>
              <w:t> </w:t>
            </w:r>
          </w:p>
        </w:tc>
        <w:tc>
          <w:tcPr>
            <w:tcW w:w="217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18" w:type="dxa"/>
            <w:tcBorders/>
            <w:shd w:fill="auto" w:val="clear"/>
            <w:vAlign w:val="bottom"/>
          </w:tcPr>
          <w:p>
            <w:pPr>
              <w:pStyle w:val="TableContents"/>
              <w:spacing w:before="0" w:after="0"/>
              <w:ind w:left="0" w:right="0" w:hanging="0"/>
              <w:jc w:val="center"/>
              <w:rPr/>
            </w:pPr>
            <w:r>
              <w:rPr/>
              <w:t> </w:t>
            </w:r>
          </w:p>
        </w:tc>
      </w:tr>
      <w:tr>
        <w:trPr/>
        <w:tc>
          <w:tcPr>
            <w:tcW w:w="5299"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9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8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7" w:type="dxa"/>
            <w:tcBorders/>
            <w:shd w:fill="auto" w:val="clear"/>
            <w:vAlign w:val="bottom"/>
          </w:tcPr>
          <w:p>
            <w:pPr>
              <w:pStyle w:val="TableContents"/>
              <w:spacing w:before="0" w:after="0"/>
              <w:ind w:left="0" w:right="0" w:hanging="0"/>
              <w:jc w:val="center"/>
              <w:rPr/>
            </w:pPr>
            <w:r>
              <w:rPr/>
              <w:t> </w:t>
            </w:r>
          </w:p>
        </w:tc>
        <w:tc>
          <w:tcPr>
            <w:tcW w:w="9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8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8" w:type="dxa"/>
            <w:tcBorders/>
            <w:shd w:fill="auto" w:val="clear"/>
            <w:vAlign w:val="bottom"/>
          </w:tcPr>
          <w:p>
            <w:pPr>
              <w:pStyle w:val="TableContents"/>
              <w:spacing w:before="0" w:after="0"/>
              <w:ind w:left="0" w:right="0" w:hanging="0"/>
              <w:jc w:val="center"/>
              <w:rPr/>
            </w:pPr>
            <w:r>
              <w:rPr/>
              <w:t> </w:t>
            </w:r>
          </w:p>
        </w:tc>
      </w:tr>
      <w:tr>
        <w:trPr/>
        <w:tc>
          <w:tcPr>
            <w:tcW w:w="529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w:t>
            </w:r>
          </w:p>
        </w:tc>
        <w:tc>
          <w:tcPr>
            <w:tcW w:w="216" w:type="dxa"/>
            <w:tcBorders/>
            <w:shd w:fill="CCEEFF" w:val="clear"/>
            <w:vAlign w:val="bottom"/>
          </w:tcPr>
          <w:p>
            <w:pPr>
              <w:pStyle w:val="TableContents"/>
              <w:spacing w:before="0" w:after="0"/>
              <w:ind w:left="0" w:right="0" w:hanging="0"/>
              <w:rPr/>
            </w:pPr>
            <w:r>
              <w:rPr/>
              <w:t> </w:t>
            </w:r>
          </w:p>
        </w:tc>
        <w:tc>
          <w:tcPr>
            <w:tcW w:w="979"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98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979"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5299"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charge </w:t>
            </w:r>
            <w:r>
              <w:rPr>
                <w:sz w:val="11"/>
              </w:rPr>
              <w:t>(1)</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9" w:type="dxa"/>
            <w:tcBorders/>
            <w:shd w:fill="CCEEFF" w:val="clear"/>
            <w:vAlign w:val="bottom"/>
          </w:tcPr>
          <w:p>
            <w:pPr>
              <w:pStyle w:val="TableContents"/>
              <w:spacing w:before="0" w:after="0"/>
              <w:ind w:left="0" w:right="0" w:hanging="0"/>
              <w:rPr/>
            </w:pPr>
            <w:r>
              <w:rPr>
                <w:rFonts w:ascii="Times New Roman" w:hAnsi="Times New Roman"/>
                <w:sz w:val="17"/>
              </w:rPr>
              <w:t>Inventory valuation adjustments net of gains and losses from related derivative activities</w:t>
            </w:r>
            <w:r>
              <w:rPr/>
              <w:t xml:space="preserve"> </w:t>
            </w:r>
            <w:r>
              <w:rPr>
                <w:sz w:val="11"/>
              </w:rPr>
              <w:t>(2)</w:t>
            </w:r>
          </w:p>
        </w:tc>
        <w:tc>
          <w:tcPr>
            <w:tcW w:w="216" w:type="dxa"/>
            <w:tcBorders/>
            <w:shd w:fill="CCEEFF" w:val="clear"/>
            <w:vAlign w:val="bottom"/>
          </w:tcPr>
          <w:p>
            <w:pPr>
              <w:pStyle w:val="TableContents"/>
              <w:spacing w:before="0" w:after="0"/>
              <w:ind w:left="0" w:right="0" w:hanging="0"/>
              <w:rPr/>
            </w:pPr>
            <w:r>
              <w:rPr/>
              <w:t> </w:t>
            </w:r>
          </w:p>
        </w:tc>
        <w:tc>
          <w:tcPr>
            <w:tcW w:w="9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pPr>
            <w:r>
              <w:rPr/>
              <w:t> </w:t>
            </w:r>
          </w:p>
        </w:tc>
        <w:tc>
          <w:tcPr>
            <w:tcW w:w="9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9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7"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CCEEFF" w:val="clear"/>
            <w:vAlign w:val="bottom"/>
          </w:tcPr>
          <w:p>
            <w:pPr>
              <w:pStyle w:val="TableContents"/>
              <w:spacing w:before="0" w:after="0"/>
              <w:ind w:left="0" w:right="0" w:hanging="0"/>
              <w:rPr/>
            </w:pPr>
            <w:r>
              <w:rPr/>
              <w:t> </w:t>
            </w:r>
          </w:p>
        </w:tc>
      </w:tr>
      <w:tr>
        <w:trPr/>
        <w:tc>
          <w:tcPr>
            <w:tcW w:w="5299" w:type="dxa"/>
            <w:tcBorders/>
            <w:shd w:fill="auto" w:val="clear"/>
            <w:vAlign w:val="bottom"/>
          </w:tcPr>
          <w:p>
            <w:pPr>
              <w:pStyle w:val="TableContents"/>
              <w:spacing w:before="0" w:after="0"/>
              <w:ind w:left="0" w:right="0" w:hanging="0"/>
              <w:rPr/>
            </w:pPr>
            <w:r>
              <w:rPr>
                <w:rFonts w:ascii="Times New Roman" w:hAnsi="Times New Roman"/>
                <w:sz w:val="17"/>
              </w:rPr>
              <w:t xml:space="preserve">Gains/(losses) from other derivative activities </w:t>
            </w:r>
            <w:r>
              <w:rPr>
                <w:sz w:val="11"/>
              </w:rPr>
              <w:t>(2) (3)</w:t>
            </w:r>
          </w:p>
        </w:tc>
        <w:tc>
          <w:tcPr>
            <w:tcW w:w="216" w:type="dxa"/>
            <w:tcBorders/>
            <w:shd w:fill="auto" w:val="clear"/>
            <w:vAlign w:val="bottom"/>
          </w:tcPr>
          <w:p>
            <w:pPr>
              <w:pStyle w:val="TableContents"/>
              <w:spacing w:before="0" w:after="0"/>
              <w:ind w:left="0" w:right="0" w:hanging="0"/>
              <w:rPr/>
            </w:pPr>
            <w:r>
              <w:rPr/>
              <w:t> </w:t>
            </w:r>
          </w:p>
        </w:tc>
        <w:tc>
          <w:tcPr>
            <w:tcW w:w="9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7"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17"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Gains on acquisition-related foreign currency and linefill hedges</w:t>
            </w:r>
          </w:p>
        </w:tc>
        <w:tc>
          <w:tcPr>
            <w:tcW w:w="216" w:type="dxa"/>
            <w:tcBorders/>
            <w:shd w:fill="CCEEFF" w:val="clear"/>
            <w:vAlign w:val="bottom"/>
          </w:tcPr>
          <w:p>
            <w:pPr>
              <w:pStyle w:val="TableContents"/>
              <w:spacing w:before="0" w:after="0"/>
              <w:ind w:left="0" w:right="0" w:hanging="0"/>
              <w:rPr/>
            </w:pPr>
            <w:r>
              <w:rPr/>
              <w:t> </w:t>
            </w:r>
          </w:p>
        </w:tc>
        <w:tc>
          <w:tcPr>
            <w:tcW w:w="9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9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7" w:type="dxa"/>
            <w:tcBorders/>
            <w:shd w:fill="CCEEFF" w:val="clear"/>
            <w:vAlign w:val="bottom"/>
          </w:tcPr>
          <w:p>
            <w:pPr>
              <w:pStyle w:val="TableContents"/>
              <w:spacing w:before="0" w:after="0"/>
              <w:ind w:left="0" w:right="0" w:hanging="0"/>
              <w:rPr/>
            </w:pPr>
            <w:r>
              <w:rPr/>
              <w:t> </w:t>
            </w:r>
          </w:p>
        </w:tc>
        <w:tc>
          <w:tcPr>
            <w:tcW w:w="9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8" w:type="dxa"/>
            <w:tcBorders/>
            <w:shd w:fill="CCEEFF" w:val="clear"/>
            <w:vAlign w:val="bottom"/>
          </w:tcPr>
          <w:p>
            <w:pPr>
              <w:pStyle w:val="TableContents"/>
              <w:spacing w:before="0" w:after="0"/>
              <w:ind w:left="0" w:right="0" w:hanging="0"/>
              <w:rPr/>
            </w:pPr>
            <w:r>
              <w:rPr/>
              <w:t> </w:t>
            </w:r>
          </w:p>
        </w:tc>
      </w:tr>
      <w:tr>
        <w:trPr/>
        <w:tc>
          <w:tcPr>
            <w:tcW w:w="52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gain on foreign currency revaluation</w:t>
            </w:r>
          </w:p>
        </w:tc>
        <w:tc>
          <w:tcPr>
            <w:tcW w:w="216" w:type="dxa"/>
            <w:tcBorders/>
            <w:shd w:fill="auto" w:val="clear"/>
            <w:vAlign w:val="bottom"/>
          </w:tcPr>
          <w:p>
            <w:pPr>
              <w:pStyle w:val="TableContents"/>
              <w:spacing w:before="0" w:after="0"/>
              <w:ind w:left="0" w:right="0" w:hanging="0"/>
              <w:rPr/>
            </w:pPr>
            <w:r>
              <w:rPr/>
              <w:t> </w:t>
            </w:r>
          </w:p>
        </w:tc>
        <w:tc>
          <w:tcPr>
            <w:tcW w:w="9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auto" w:val="clear"/>
            <w:vAlign w:val="bottom"/>
          </w:tcPr>
          <w:p>
            <w:pPr>
              <w:pStyle w:val="TableContents"/>
              <w:spacing w:before="0" w:after="0"/>
              <w:ind w:left="0" w:right="0" w:hanging="0"/>
              <w:rPr/>
            </w:pPr>
            <w:r>
              <w:rPr/>
              <w:t> </w:t>
            </w:r>
          </w:p>
        </w:tc>
        <w:tc>
          <w:tcPr>
            <w:tcW w:w="9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9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7" w:type="dxa"/>
            <w:tcBorders/>
            <w:shd w:fill="auto"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auto" w:val="clear"/>
            <w:vAlign w:val="bottom"/>
          </w:tcPr>
          <w:p>
            <w:pPr>
              <w:pStyle w:val="TableContents"/>
              <w:spacing w:before="0" w:after="0"/>
              <w:ind w:left="0" w:right="0" w:hanging="0"/>
              <w:rPr/>
            </w:pPr>
            <w:r>
              <w:rPr/>
              <w:t> </w:t>
            </w:r>
          </w:p>
        </w:tc>
      </w:tr>
      <w:tr>
        <w:trPr/>
        <w:tc>
          <w:tcPr>
            <w:tcW w:w="52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16" w:type="dxa"/>
            <w:tcBorders/>
            <w:shd w:fill="CCEEFF" w:val="clear"/>
            <w:vAlign w:val="bottom"/>
          </w:tcPr>
          <w:p>
            <w:pPr>
              <w:pStyle w:val="TableContents"/>
              <w:spacing w:before="0" w:after="0"/>
              <w:ind w:left="0" w:right="0" w:hanging="0"/>
              <w:rPr/>
            </w:pPr>
            <w:r>
              <w:rPr/>
              <w:t> </w:t>
            </w:r>
          </w:p>
        </w:tc>
        <w:tc>
          <w:tcPr>
            <w:tcW w:w="9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7" w:type="dxa"/>
            <w:tcBorders/>
            <w:shd w:fill="CCEEFF" w:val="clear"/>
            <w:vAlign w:val="bottom"/>
          </w:tcPr>
          <w:p>
            <w:pPr>
              <w:pStyle w:val="TableContents"/>
              <w:spacing w:before="0" w:after="0"/>
              <w:ind w:left="0" w:right="0" w:hanging="0"/>
              <w:rPr/>
            </w:pPr>
            <w:r>
              <w:rPr/>
              <w:t> </w:t>
            </w:r>
          </w:p>
        </w:tc>
        <w:tc>
          <w:tcPr>
            <w:tcW w:w="9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7"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GP 2% portion of selected items impacting comparability</w:t>
            </w:r>
          </w:p>
        </w:tc>
        <w:tc>
          <w:tcPr>
            <w:tcW w:w="216" w:type="dxa"/>
            <w:tcBorders/>
            <w:shd w:fill="auto" w:val="clear"/>
            <w:vAlign w:val="bottom"/>
          </w:tcPr>
          <w:p>
            <w:pPr>
              <w:pStyle w:val="TableContents"/>
              <w:spacing w:before="0" w:after="0"/>
              <w:ind w:left="0" w:right="0" w:hanging="0"/>
              <w:rPr/>
            </w:pPr>
            <w:r>
              <w:rPr/>
              <w:t> </w:t>
            </w:r>
          </w:p>
        </w:tc>
        <w:tc>
          <w:tcPr>
            <w:tcW w:w="9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9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auto" w:val="clear"/>
            <w:vAlign w:val="bottom"/>
          </w:tcPr>
          <w:p>
            <w:pPr>
              <w:pStyle w:val="TableContents"/>
              <w:spacing w:before="0" w:after="0"/>
              <w:ind w:left="0" w:right="0" w:hanging="0"/>
              <w:rPr/>
            </w:pPr>
            <w:r>
              <w:rPr/>
              <w:t> </w:t>
            </w:r>
          </w:p>
        </w:tc>
        <w:tc>
          <w:tcPr>
            <w:tcW w:w="9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8" w:type="dxa"/>
            <w:tcBorders/>
            <w:shd w:fill="auto" w:val="clear"/>
            <w:vAlign w:val="bottom"/>
          </w:tcPr>
          <w:p>
            <w:pPr>
              <w:pStyle w:val="TableContents"/>
              <w:spacing w:before="0" w:after="0"/>
              <w:ind w:left="0" w:right="0" w:hanging="0"/>
              <w:rPr/>
            </w:pPr>
            <w:r>
              <w:rPr/>
              <w:t> </w:t>
            </w:r>
          </w:p>
        </w:tc>
      </w:tr>
      <w:tr>
        <w:trPr/>
        <w:tc>
          <w:tcPr>
            <w:tcW w:w="52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 98% portion of selected items impacting comparability</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9"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79"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979"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2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Impact to basic net income per limited partner unit</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0.05</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(0.75</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0.43</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(0.84</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9"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79"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979"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2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Impact to diluted net income per limited partner unit</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0.04</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(0.74</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0.43</w:t>
            </w:r>
          </w:p>
        </w:tc>
        <w:tc>
          <w:tcPr>
            <w:tcW w:w="21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(0.84</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8"/>
        </w:rPr>
        <w:t>(1)</w:t>
      </w:r>
      <w:r>
        <w:rPr>
          <w:rFonts w:ascii="Times New Roman" w:hAnsi="Times New Roman"/>
        </w:rPr>
        <w:t>           </w:t>
      </w:r>
      <w:r>
        <w:rPr>
          <w:rFonts w:ascii="Times New Roman" w:hAnsi="Times New Roman"/>
          <w:sz w:val="13"/>
        </w:rPr>
        <w:t>The equity compensation charge for the three and six months ended June 30, 2009 and 2008 excludes the portion of the equity compensation expense represented by grants under the LTIP Plans that, pursuant to the terms of the grant, will be settled in cash only and have no impact on diluted units. The portion of the equity compensation expense attributable to the cash portion of the LTIP Plans is approximately $4 million and $3 million for the three months ended June 30, 2009 and 2008, respectively, and approximately $5 million and $3 million for the six months ended June 30, 2009 and 2008, respectively.</w:t>
      </w:r>
    </w:p>
    <w:p>
      <w:pPr>
        <w:pStyle w:val="TextBody"/>
        <w:spacing w:before="0" w:after="0"/>
        <w:ind w:left="0" w:right="0" w:hanging="0"/>
        <w:rPr>
          <w:rFonts w:ascii="Times New Roman" w:hAnsi="Times New Roman"/>
        </w:rPr>
      </w:pPr>
      <w:r>
        <w:rPr>
          <w:rFonts w:ascii="Times New Roman" w:hAnsi="Times New Roman"/>
          <w:sz w:val="8"/>
        </w:rPr>
        <w:t>(2)</w:t>
      </w:r>
      <w:r>
        <w:rPr>
          <w:rFonts w:ascii="Times New Roman" w:hAnsi="Times New Roman"/>
        </w:rPr>
        <w:t>           </w:t>
      </w:r>
      <w:r>
        <w:rPr>
          <w:rFonts w:ascii="Times New Roman" w:hAnsi="Times New Roman"/>
          <w:sz w:val="13"/>
        </w:rPr>
        <w:t>Gains and losses from derivative activities related to revalued inventory are included in the line item Inventory valuation adjustments net of gains and losses from related derivative activities; gains and losses from derivative activities not related to revalued inventory are included in the line item Gains/(losses) from other derivative activities.</w:t>
      </w:r>
    </w:p>
    <w:p>
      <w:pPr>
        <w:pStyle w:val="TextBody"/>
        <w:spacing w:before="0" w:after="0"/>
        <w:ind w:left="0" w:right="0" w:hanging="0"/>
        <w:rPr>
          <w:rFonts w:ascii="Times New Roman" w:hAnsi="Times New Roman"/>
        </w:rPr>
      </w:pPr>
      <w:r>
        <w:rPr>
          <w:rFonts w:ascii="Times New Roman" w:hAnsi="Times New Roman"/>
          <w:sz w:val="8"/>
        </w:rPr>
        <w:t>(3)</w:t>
      </w:r>
      <w:r>
        <w:rPr>
          <w:rFonts w:ascii="Times New Roman" w:hAnsi="Times New Roman"/>
        </w:rPr>
        <w:t>           </w:t>
      </w:r>
      <w:r>
        <w:rPr>
          <w:rFonts w:ascii="Times New Roman" w:hAnsi="Times New Roman"/>
          <w:sz w:val="13"/>
        </w:rPr>
        <w:t>Gains and losses from other derivative activities for the three-month periods ended June 30, 2009 and 2008 includes losses of approximately $3 million and $2 million, respectively, related to interest rate derivatives, which are included in interest income and other income/(expense), net, but do not impact segment profit. Gains and losses from other derivative activities for both of the six-month periods ended June 30, 2009 and 2008 include losses of approximately less than $1 million, respectively, related to interest rate derivatives, which are included in interest income and other income/(expense), net, but do not impact segment profit.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tables present certain selected financial information by segment for the second quarter and first six months reporting periods (amounts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3608"/>
        <w:gridCol w:w="2781"/>
        <w:gridCol w:w="3816"/>
      </w:tblGrid>
      <w:tr>
        <w:trPr/>
        <w:tc>
          <w:tcPr>
            <w:tcW w:w="3608" w:type="dxa"/>
            <w:tcBorders>
              <w:top w:val="single" w:sz="8" w:space="0" w:color="000000"/>
            </w:tcBorders>
            <w:shd w:fill="auto" w:val="clear"/>
          </w:tcPr>
          <w:p>
            <w:pPr>
              <w:pStyle w:val="TableContents"/>
              <w:spacing w:before="0" w:after="0"/>
              <w:ind w:left="0" w:right="0" w:hanging="0"/>
              <w:jc w:val="right"/>
              <w:rPr/>
            </w:pPr>
            <w:r>
              <w:rPr/>
              <w:t> </w:t>
            </w:r>
          </w:p>
        </w:tc>
        <w:tc>
          <w:tcPr>
            <w:tcW w:w="2781" w:type="dxa"/>
            <w:tcBorders>
              <w:top w:val="single" w:sz="8" w:space="0" w:color="000000"/>
            </w:tcBorders>
            <w:shd w:fill="auto" w:val="clear"/>
          </w:tcPr>
          <w:p>
            <w:pPr>
              <w:pStyle w:val="TableContents"/>
              <w:spacing w:before="0" w:after="0"/>
              <w:ind w:left="0" w:right="0" w:hanging="0"/>
              <w:jc w:val="center"/>
              <w:rPr/>
            </w:pPr>
            <w:r>
              <w:rPr/>
              <w:t> </w:t>
            </w:r>
          </w:p>
        </w:tc>
        <w:tc>
          <w:tcPr>
            <w:tcW w:w="3816" w:type="dxa"/>
            <w:tcBorders>
              <w:top w:val="single" w:sz="8" w:space="0" w:color="000000"/>
            </w:tcBorders>
            <w:shd w:fill="auto" w:val="clear"/>
          </w:tcPr>
          <w:p>
            <w:pPr>
              <w:pStyle w:val="TableContents"/>
              <w:spacing w:before="0" w:after="0"/>
              <w:ind w:left="0" w:right="0" w:hanging="0"/>
              <w:rPr/>
            </w:pPr>
            <w:r>
              <w:rPr/>
              <w:t> </w:t>
            </w:r>
          </w:p>
        </w:tc>
      </w:tr>
      <w:tr>
        <w:trPr/>
        <w:tc>
          <w:tcPr>
            <w:tcW w:w="3608"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1"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6"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3</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514"/>
        <w:gridCol w:w="162"/>
        <w:gridCol w:w="267"/>
        <w:gridCol w:w="1002"/>
        <w:gridCol w:w="166"/>
        <w:gridCol w:w="210"/>
        <w:gridCol w:w="800"/>
        <w:gridCol w:w="166"/>
        <w:gridCol w:w="173"/>
        <w:gridCol w:w="836"/>
        <w:gridCol w:w="166"/>
        <w:gridCol w:w="267"/>
        <w:gridCol w:w="1001"/>
        <w:gridCol w:w="166"/>
        <w:gridCol w:w="210"/>
        <w:gridCol w:w="800"/>
        <w:gridCol w:w="166"/>
        <w:gridCol w:w="157"/>
        <w:gridCol w:w="853"/>
        <w:gridCol w:w="123"/>
      </w:tblGrid>
      <w:tr>
        <w:trPr/>
        <w:tc>
          <w:tcPr>
            <w:tcW w:w="2514"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3620"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66" w:type="dxa"/>
            <w:tcBorders/>
            <w:shd w:fill="auto" w:val="clear"/>
            <w:vAlign w:val="bottom"/>
          </w:tcPr>
          <w:p>
            <w:pPr>
              <w:pStyle w:val="TableContents"/>
              <w:spacing w:before="0" w:after="0"/>
              <w:ind w:left="0" w:right="0" w:hanging="0"/>
              <w:jc w:val="center"/>
              <w:rPr/>
            </w:pPr>
            <w:r>
              <w:rPr/>
              <w:t> </w:t>
            </w:r>
          </w:p>
        </w:tc>
        <w:tc>
          <w:tcPr>
            <w:tcW w:w="3620"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3" w:type="dxa"/>
            <w:tcBorders/>
            <w:shd w:fill="auto" w:val="clear"/>
            <w:vAlign w:val="bottom"/>
          </w:tcPr>
          <w:p>
            <w:pPr>
              <w:pStyle w:val="TableContents"/>
              <w:spacing w:before="0" w:after="0"/>
              <w:ind w:left="0" w:right="0" w:hanging="0"/>
              <w:jc w:val="center"/>
              <w:rPr/>
            </w:pPr>
            <w:r>
              <w:rPr/>
              <w:t> </w:t>
            </w:r>
          </w:p>
        </w:tc>
      </w:tr>
      <w:tr>
        <w:trPr/>
        <w:tc>
          <w:tcPr>
            <w:tcW w:w="2514"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3620"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2009</w:t>
            </w:r>
          </w:p>
        </w:tc>
        <w:tc>
          <w:tcPr>
            <w:tcW w:w="166" w:type="dxa"/>
            <w:tcBorders/>
            <w:shd w:fill="auto" w:val="clear"/>
            <w:vAlign w:val="bottom"/>
          </w:tcPr>
          <w:p>
            <w:pPr>
              <w:pStyle w:val="TableContents"/>
              <w:spacing w:before="0" w:after="0"/>
              <w:ind w:left="0" w:right="0" w:hanging="0"/>
              <w:jc w:val="center"/>
              <w:rPr/>
            </w:pPr>
            <w:r>
              <w:rPr/>
              <w:t> </w:t>
            </w:r>
          </w:p>
        </w:tc>
        <w:tc>
          <w:tcPr>
            <w:tcW w:w="3620"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2008</w:t>
            </w:r>
          </w:p>
        </w:tc>
        <w:tc>
          <w:tcPr>
            <w:tcW w:w="123" w:type="dxa"/>
            <w:tcBorders/>
            <w:shd w:fill="auto" w:val="clear"/>
            <w:vAlign w:val="bottom"/>
          </w:tcPr>
          <w:p>
            <w:pPr>
              <w:pStyle w:val="TableContents"/>
              <w:spacing w:before="0" w:after="0"/>
              <w:ind w:left="0" w:right="0" w:hanging="0"/>
              <w:jc w:val="center"/>
              <w:rPr/>
            </w:pPr>
            <w:r>
              <w:rPr/>
              <w:t> </w:t>
            </w:r>
          </w:p>
        </w:tc>
      </w:tr>
      <w:tr>
        <w:trPr/>
        <w:tc>
          <w:tcPr>
            <w:tcW w:w="2514"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26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6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6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0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Marketing</w:t>
            </w:r>
          </w:p>
        </w:tc>
        <w:tc>
          <w:tcPr>
            <w:tcW w:w="166" w:type="dxa"/>
            <w:tcBorders/>
            <w:shd w:fill="auto" w:val="clear"/>
            <w:vAlign w:val="bottom"/>
          </w:tcPr>
          <w:p>
            <w:pPr>
              <w:pStyle w:val="TableContents"/>
              <w:spacing w:before="0" w:after="0"/>
              <w:ind w:left="0" w:right="0" w:hanging="0"/>
              <w:jc w:val="center"/>
              <w:rPr/>
            </w:pPr>
            <w:r>
              <w:rPr/>
              <w:t> </w:t>
            </w:r>
          </w:p>
        </w:tc>
        <w:tc>
          <w:tcPr>
            <w:tcW w:w="126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6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6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Marketing</w:t>
            </w:r>
          </w:p>
        </w:tc>
        <w:tc>
          <w:tcPr>
            <w:tcW w:w="123" w:type="dxa"/>
            <w:tcBorders/>
            <w:shd w:fill="auto" w:val="clear"/>
            <w:vAlign w:val="bottom"/>
          </w:tcPr>
          <w:p>
            <w:pPr>
              <w:pStyle w:val="TableContents"/>
              <w:spacing w:before="0" w:after="0"/>
              <w:ind w:left="0" w:right="0" w:hanging="0"/>
              <w:jc w:val="center"/>
              <w:rPr/>
            </w:pPr>
            <w:r>
              <w:rPr/>
              <w:t> </w:t>
            </w:r>
          </w:p>
        </w:tc>
      </w:tr>
      <w:tr>
        <w:trPr/>
        <w:tc>
          <w:tcPr>
            <w:tcW w:w="2514"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2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166" w:type="dxa"/>
            <w:tcBorders/>
            <w:shd w:fill="auto" w:val="clear"/>
            <w:vAlign w:val="bottom"/>
          </w:tcPr>
          <w:p>
            <w:pPr>
              <w:pStyle w:val="TableContents"/>
              <w:spacing w:before="0" w:after="0"/>
              <w:ind w:left="0" w:right="0" w:hanging="0"/>
              <w:jc w:val="center"/>
              <w:rPr/>
            </w:pPr>
            <w:r>
              <w:rPr/>
              <w:t> </w:t>
            </w:r>
          </w:p>
        </w:tc>
        <w:tc>
          <w:tcPr>
            <w:tcW w:w="10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166" w:type="dxa"/>
            <w:tcBorders/>
            <w:shd w:fill="auto" w:val="clear"/>
            <w:vAlign w:val="bottom"/>
          </w:tcPr>
          <w:p>
            <w:pPr>
              <w:pStyle w:val="TableContents"/>
              <w:spacing w:before="0" w:after="0"/>
              <w:ind w:left="0" w:right="0" w:hanging="0"/>
              <w:jc w:val="center"/>
              <w:rPr/>
            </w:pPr>
            <w:r>
              <w:rPr/>
              <w:t> </w:t>
            </w:r>
          </w:p>
        </w:tc>
        <w:tc>
          <w:tcPr>
            <w:tcW w:w="10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166" w:type="dxa"/>
            <w:tcBorders/>
            <w:shd w:fill="auto" w:val="clear"/>
            <w:vAlign w:val="bottom"/>
          </w:tcPr>
          <w:p>
            <w:pPr>
              <w:pStyle w:val="TableContents"/>
              <w:spacing w:before="0" w:after="0"/>
              <w:ind w:left="0" w:right="0" w:hanging="0"/>
              <w:jc w:val="center"/>
              <w:rPr/>
            </w:pPr>
            <w:r>
              <w:rPr/>
              <w:t> </w:t>
            </w:r>
          </w:p>
        </w:tc>
        <w:tc>
          <w:tcPr>
            <w:tcW w:w="12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166" w:type="dxa"/>
            <w:tcBorders/>
            <w:shd w:fill="auto" w:val="clear"/>
            <w:vAlign w:val="bottom"/>
          </w:tcPr>
          <w:p>
            <w:pPr>
              <w:pStyle w:val="TableContents"/>
              <w:spacing w:before="0" w:after="0"/>
              <w:ind w:left="0" w:right="0" w:hanging="0"/>
              <w:jc w:val="center"/>
              <w:rPr/>
            </w:pPr>
            <w:r>
              <w:rPr/>
              <w:t> </w:t>
            </w:r>
          </w:p>
        </w:tc>
        <w:tc>
          <w:tcPr>
            <w:tcW w:w="10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166" w:type="dxa"/>
            <w:tcBorders/>
            <w:shd w:fill="auto" w:val="clear"/>
            <w:vAlign w:val="bottom"/>
          </w:tcPr>
          <w:p>
            <w:pPr>
              <w:pStyle w:val="TableContents"/>
              <w:spacing w:before="0" w:after="0"/>
              <w:ind w:left="0" w:right="0" w:hanging="0"/>
              <w:jc w:val="center"/>
              <w:rPr/>
            </w:pPr>
            <w:r>
              <w:rPr/>
              <w:t> </w:t>
            </w:r>
          </w:p>
        </w:tc>
        <w:tc>
          <w:tcPr>
            <w:tcW w:w="10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123" w:type="dxa"/>
            <w:tcBorders/>
            <w:shd w:fill="auto" w:val="clear"/>
            <w:vAlign w:val="bottom"/>
          </w:tcPr>
          <w:p>
            <w:pPr>
              <w:pStyle w:val="TableContents"/>
              <w:spacing w:before="0" w:after="0"/>
              <w:ind w:left="0" w:right="0" w:hanging="0"/>
              <w:jc w:val="center"/>
              <w:rPr/>
            </w:pPr>
            <w:r>
              <w:rPr/>
              <w:t> </w:t>
            </w:r>
          </w:p>
        </w:tc>
      </w:tr>
      <w:tr>
        <w:trPr/>
        <w:tc>
          <w:tcPr>
            <w:tcW w:w="2514" w:type="dxa"/>
            <w:tcBorders/>
            <w:shd w:fill="CCEEFF" w:val="clear"/>
            <w:vAlign w:val="bottom"/>
          </w:tcPr>
          <w:p>
            <w:pPr>
              <w:pStyle w:val="TableContents"/>
              <w:spacing w:before="0" w:after="0"/>
              <w:ind w:left="0" w:right="0" w:hanging="0"/>
              <w:rPr/>
            </w:pPr>
            <w:r>
              <w:rPr>
                <w:rFonts w:ascii="Times New Roman" w:hAnsi="Times New Roman"/>
                <w:sz w:val="13"/>
              </w:rPr>
              <w:t xml:space="preserve">Revenues </w:t>
            </w:r>
            <w:r>
              <w:rPr>
                <w:sz w:val="8"/>
              </w:rPr>
              <w:t>(1)</w:t>
            </w:r>
          </w:p>
        </w:tc>
        <w:tc>
          <w:tcPr>
            <w:tcW w:w="162" w:type="dxa"/>
            <w:tcBorders/>
            <w:shd w:fill="CCEEFF" w:val="clear"/>
            <w:vAlign w:val="bottom"/>
          </w:tcPr>
          <w:p>
            <w:pPr>
              <w:pStyle w:val="TableContents"/>
              <w:spacing w:before="0" w:after="0"/>
              <w:ind w:left="0" w:right="0" w:hanging="0"/>
              <w:rPr/>
            </w:pPr>
            <w:r>
              <w:rPr/>
              <w:t> </w:t>
            </w:r>
          </w:p>
        </w:tc>
        <w:tc>
          <w:tcPr>
            <w:tcW w:w="26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238</w:t>
            </w:r>
          </w:p>
        </w:tc>
        <w:tc>
          <w:tcPr>
            <w:tcW w:w="16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85</w:t>
            </w:r>
          </w:p>
        </w:tc>
        <w:tc>
          <w:tcPr>
            <w:tcW w:w="166" w:type="dxa"/>
            <w:tcBorders/>
            <w:shd w:fill="CCEEFF" w:val="clear"/>
            <w:vAlign w:val="bottom"/>
          </w:tcPr>
          <w:p>
            <w:pPr>
              <w:pStyle w:val="TableContents"/>
              <w:spacing w:before="0" w:after="0"/>
              <w:ind w:left="0" w:right="0" w:hanging="0"/>
              <w:rPr/>
            </w:pPr>
            <w:r>
              <w:rPr/>
              <w:t> </w:t>
            </w:r>
          </w:p>
        </w:tc>
        <w:tc>
          <w:tcPr>
            <w:tcW w:w="17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3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4,099</w:t>
            </w:r>
          </w:p>
        </w:tc>
        <w:tc>
          <w:tcPr>
            <w:tcW w:w="166" w:type="dxa"/>
            <w:tcBorders/>
            <w:shd w:fill="CCEEFF" w:val="clear"/>
            <w:vAlign w:val="bottom"/>
          </w:tcPr>
          <w:p>
            <w:pPr>
              <w:pStyle w:val="TableContents"/>
              <w:spacing w:before="0" w:after="0"/>
              <w:ind w:left="0" w:right="0" w:hanging="0"/>
              <w:rPr/>
            </w:pPr>
            <w:r>
              <w:rPr/>
              <w:t> </w:t>
            </w:r>
          </w:p>
        </w:tc>
        <w:tc>
          <w:tcPr>
            <w:tcW w:w="26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232</w:t>
            </w:r>
          </w:p>
        </w:tc>
        <w:tc>
          <w:tcPr>
            <w:tcW w:w="16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65</w:t>
            </w:r>
          </w:p>
        </w:tc>
        <w:tc>
          <w:tcPr>
            <w:tcW w:w="166" w:type="dxa"/>
            <w:tcBorders/>
            <w:shd w:fill="CCEEFF" w:val="cle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5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8,881</w:t>
            </w:r>
          </w:p>
        </w:tc>
        <w:tc>
          <w:tcPr>
            <w:tcW w:w="123" w:type="dxa"/>
            <w:tcBorders/>
            <w:shd w:fill="CCEEFF"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pPr>
            <w:r>
              <w:rPr>
                <w:rFonts w:ascii="Times New Roman" w:hAnsi="Times New Roman"/>
                <w:sz w:val="13"/>
              </w:rPr>
              <w:t xml:space="preserve">Purchases and related costs </w:t>
            </w:r>
            <w:r>
              <w:rPr>
                <w:sz w:val="8"/>
              </w:rPr>
              <w:t>(1)</w:t>
            </w:r>
          </w:p>
        </w:tc>
        <w:tc>
          <w:tcPr>
            <w:tcW w:w="162"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0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(3,951</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(8,819</w:t>
            </w:r>
          </w:p>
        </w:tc>
        <w:tc>
          <w:tcPr>
            <w:tcW w:w="12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514" w:type="dxa"/>
            <w:tcBorders/>
            <w:shd w:fill="CCEEFF" w:val="clear"/>
            <w:vAlign w:val="bottom"/>
          </w:tcPr>
          <w:p>
            <w:pPr>
              <w:pStyle w:val="TableContents"/>
              <w:spacing w:before="0" w:after="0"/>
              <w:ind w:left="0" w:right="0" w:hanging="0"/>
              <w:rPr/>
            </w:pPr>
            <w:r>
              <w:rPr>
                <w:rFonts w:ascii="Times New Roman" w:hAnsi="Times New Roman"/>
                <w:sz w:val="13"/>
              </w:rPr>
              <w:t xml:space="preserve">Field operating costs (excluding equity compensation charge) </w:t>
            </w:r>
            <w:r>
              <w:rPr>
                <w:sz w:val="8"/>
              </w:rPr>
              <w:t>(1)</w:t>
            </w:r>
          </w:p>
        </w:tc>
        <w:tc>
          <w:tcPr>
            <w:tcW w:w="162"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(86</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(47</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6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(81</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(45</w:t>
            </w:r>
          </w:p>
        </w:tc>
        <w:tc>
          <w:tcPr>
            <w:tcW w:w="12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5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Equity compensation charge - operations</w:t>
            </w:r>
          </w:p>
        </w:tc>
        <w:tc>
          <w:tcPr>
            <w:tcW w:w="162"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0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23" w:type="dxa"/>
            <w:tcBorders/>
            <w:shd w:fill="auto" w:val="clear"/>
            <w:vAlign w:val="bottom"/>
          </w:tcPr>
          <w:p>
            <w:pPr>
              <w:pStyle w:val="TableContents"/>
              <w:spacing w:before="0" w:after="0"/>
              <w:ind w:left="0" w:right="0" w:hanging="0"/>
              <w:rPr/>
            </w:pPr>
            <w:r>
              <w:rPr/>
              <w:t> </w:t>
            </w:r>
          </w:p>
        </w:tc>
      </w:tr>
      <w:tr>
        <w:trPr/>
        <w:tc>
          <w:tcPr>
            <w:tcW w:w="2514" w:type="dxa"/>
            <w:tcBorders/>
            <w:shd w:fill="CCEEFF" w:val="clear"/>
            <w:vAlign w:val="bottom"/>
          </w:tcPr>
          <w:p>
            <w:pPr>
              <w:pStyle w:val="TableContents"/>
              <w:spacing w:before="0" w:after="0"/>
              <w:ind w:left="0" w:right="0" w:hanging="0"/>
              <w:rPr/>
            </w:pPr>
            <w:r>
              <w:rPr>
                <w:rFonts w:ascii="Times New Roman" w:hAnsi="Times New Roman"/>
                <w:sz w:val="13"/>
              </w:rPr>
              <w:t xml:space="preserve">Segment G&amp;A expenses (excluding equity compensation charge) </w:t>
            </w:r>
            <w:r>
              <w:rPr>
                <w:sz w:val="8"/>
              </w:rPr>
              <w:t>(2)</w:t>
            </w:r>
          </w:p>
        </w:tc>
        <w:tc>
          <w:tcPr>
            <w:tcW w:w="162"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6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w:t>
            </w:r>
          </w:p>
        </w:tc>
        <w:tc>
          <w:tcPr>
            <w:tcW w:w="12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5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Equity compensation charge - general and administrative</w:t>
            </w:r>
          </w:p>
        </w:tc>
        <w:tc>
          <w:tcPr>
            <w:tcW w:w="162"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12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51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Equity earnings in unconsolidated entities</w:t>
            </w:r>
          </w:p>
        </w:tc>
        <w:tc>
          <w:tcPr>
            <w:tcW w:w="162" w:type="dxa"/>
            <w:tcBorders/>
            <w:shd w:fill="CCEEFF"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66" w:type="dxa"/>
            <w:tcBorders/>
            <w:shd w:fill="CCEEFF" w:val="clear"/>
            <w:vAlign w:val="bottom"/>
          </w:tcPr>
          <w:p>
            <w:pPr>
              <w:pStyle w:val="TableContents"/>
              <w:spacing w:before="0" w:after="0"/>
              <w:ind w:left="0" w:right="0" w:hanging="0"/>
              <w:rPr/>
            </w:pPr>
            <w:r>
              <w:rPr/>
              <w:t> </w:t>
            </w:r>
          </w:p>
        </w:tc>
        <w:tc>
          <w:tcPr>
            <w:tcW w:w="10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CCEEFF" w:val="clear"/>
            <w:vAlign w:val="bottom"/>
          </w:tcPr>
          <w:p>
            <w:pPr>
              <w:pStyle w:val="TableContents"/>
              <w:spacing w:before="0" w:after="0"/>
              <w:ind w:left="0" w:right="0" w:hanging="0"/>
              <w:rPr/>
            </w:pPr>
            <w:r>
              <w:rPr/>
              <w:t> </w:t>
            </w:r>
          </w:p>
        </w:tc>
        <w:tc>
          <w:tcPr>
            <w:tcW w:w="12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23" w:type="dxa"/>
            <w:tcBorders/>
            <w:shd w:fill="CCEEFF"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Reported segment profit</w:t>
            </w:r>
          </w:p>
        </w:tc>
        <w:tc>
          <w:tcPr>
            <w:tcW w:w="162" w:type="dxa"/>
            <w:tcBorders/>
            <w:shd w:fill="auto" w:val="clear"/>
            <w:vAlign w:val="bottom"/>
          </w:tcPr>
          <w:p>
            <w:pPr>
              <w:pStyle w:val="TableContents"/>
              <w:spacing w:before="0" w:after="0"/>
              <w:ind w:left="0" w:right="0" w:hanging="0"/>
              <w:rPr/>
            </w:pPr>
            <w:r>
              <w:rPr/>
              <w:t> </w:t>
            </w:r>
          </w:p>
        </w:tc>
        <w:tc>
          <w:tcPr>
            <w:tcW w:w="26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114</w:t>
            </w:r>
          </w:p>
        </w:tc>
        <w:tc>
          <w:tcPr>
            <w:tcW w:w="166" w:type="dxa"/>
            <w:tcBorders/>
            <w:shd w:fill="auto" w:val="clear"/>
            <w:vAlign w:val="bottom"/>
          </w:tcPr>
          <w:p>
            <w:pPr>
              <w:pStyle w:val="TableContents"/>
              <w:spacing w:before="0" w:after="0"/>
              <w:ind w:left="0" w:right="0" w:hanging="0"/>
              <w:rPr/>
            </w:pPr>
            <w:r>
              <w:rPr/>
              <w:t> </w:t>
            </w:r>
          </w:p>
        </w:tc>
        <w:tc>
          <w:tcPr>
            <w:tcW w:w="21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52</w:t>
            </w:r>
          </w:p>
        </w:tc>
        <w:tc>
          <w:tcPr>
            <w:tcW w:w="166" w:type="dxa"/>
            <w:tcBorders/>
            <w:shd w:fill="auto" w:val="clear"/>
            <w:vAlign w:val="bottom"/>
          </w:tcPr>
          <w:p>
            <w:pPr>
              <w:pStyle w:val="TableContents"/>
              <w:spacing w:before="0" w:after="0"/>
              <w:ind w:left="0" w:right="0" w:hanging="0"/>
              <w:rPr/>
            </w:pPr>
            <w:r>
              <w:rPr/>
              <w:t> </w:t>
            </w:r>
          </w:p>
        </w:tc>
        <w:tc>
          <w:tcPr>
            <w:tcW w:w="173"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3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78</w:t>
            </w:r>
          </w:p>
        </w:tc>
        <w:tc>
          <w:tcPr>
            <w:tcW w:w="166" w:type="dxa"/>
            <w:tcBorders/>
            <w:shd w:fill="auto" w:val="clear"/>
            <w:vAlign w:val="bottom"/>
          </w:tcPr>
          <w:p>
            <w:pPr>
              <w:pStyle w:val="TableContents"/>
              <w:spacing w:before="0" w:after="0"/>
              <w:ind w:left="0" w:right="0" w:hanging="0"/>
              <w:rPr/>
            </w:pPr>
            <w:r>
              <w:rPr/>
              <w:t> </w:t>
            </w:r>
          </w:p>
        </w:tc>
        <w:tc>
          <w:tcPr>
            <w:tcW w:w="26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106</w:t>
            </w:r>
          </w:p>
        </w:tc>
        <w:tc>
          <w:tcPr>
            <w:tcW w:w="166" w:type="dxa"/>
            <w:tcBorders/>
            <w:shd w:fill="auto" w:val="clear"/>
            <w:vAlign w:val="bottom"/>
          </w:tcPr>
          <w:p>
            <w:pPr>
              <w:pStyle w:val="TableContents"/>
              <w:spacing w:before="0" w:after="0"/>
              <w:ind w:left="0" w:right="0" w:hanging="0"/>
              <w:rPr/>
            </w:pPr>
            <w:r>
              <w:rPr/>
              <w:t> </w:t>
            </w:r>
          </w:p>
        </w:tc>
        <w:tc>
          <w:tcPr>
            <w:tcW w:w="21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36</w:t>
            </w:r>
          </w:p>
        </w:tc>
        <w:tc>
          <w:tcPr>
            <w:tcW w:w="166" w:type="dxa"/>
            <w:tcBorders/>
            <w:shd w:fill="auto" w:val="clear"/>
            <w:vAlign w:val="bottom"/>
          </w:tcPr>
          <w:p>
            <w:pPr>
              <w:pStyle w:val="TableContents"/>
              <w:spacing w:before="0" w:after="0"/>
              <w:ind w:left="0" w:right="0" w:hanging="0"/>
              <w:rPr/>
            </w:pPr>
            <w:r>
              <w:rPr/>
              <w:t> </w:t>
            </w:r>
          </w:p>
        </w:tc>
        <w:tc>
          <w:tcPr>
            <w:tcW w:w="15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5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12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514"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009"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268"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Selected items impacting comparability of segment profit:</w:t>
            </w:r>
          </w:p>
        </w:tc>
        <w:tc>
          <w:tcPr>
            <w:tcW w:w="162"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009"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268"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2514" w:type="dxa"/>
            <w:tcBorders/>
            <w:shd w:fill="CCEEFF" w:val="clear"/>
            <w:vAlign w:val="bottom"/>
          </w:tcPr>
          <w:p>
            <w:pPr>
              <w:pStyle w:val="TableContents"/>
              <w:spacing w:before="0" w:after="0"/>
              <w:ind w:left="0" w:right="0" w:hanging="0"/>
              <w:rPr/>
            </w:pPr>
            <w:r>
              <w:rPr>
                <w:rFonts w:ascii="Times New Roman" w:hAnsi="Times New Roman"/>
                <w:sz w:val="13"/>
              </w:rPr>
              <w:t xml:space="preserve">Equity compensation charge </w:t>
            </w:r>
            <w:r>
              <w:rPr>
                <w:sz w:val="8"/>
              </w:rPr>
              <w:t>(3)</w:t>
            </w:r>
          </w:p>
        </w:tc>
        <w:tc>
          <w:tcPr>
            <w:tcW w:w="162"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66" w:type="dxa"/>
            <w:tcBorders/>
            <w:shd w:fill="CCEEFF" w:val="clear"/>
            <w:vAlign w:val="bottom"/>
          </w:tcPr>
          <w:p>
            <w:pPr>
              <w:pStyle w:val="TableContents"/>
              <w:spacing w:before="0" w:after="0"/>
              <w:ind w:left="0" w:right="0" w:hanging="0"/>
              <w:rPr/>
            </w:pPr>
            <w:r>
              <w:rPr/>
              <w:t> </w:t>
            </w:r>
          </w:p>
        </w:tc>
        <w:tc>
          <w:tcPr>
            <w:tcW w:w="100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166" w:type="dxa"/>
            <w:tcBorders/>
            <w:shd w:fill="CCEEFF" w:val="clear"/>
            <w:vAlign w:val="bottom"/>
          </w:tcPr>
          <w:p>
            <w:pPr>
              <w:pStyle w:val="TableContents"/>
              <w:spacing w:before="0" w:after="0"/>
              <w:ind w:left="0" w:right="0" w:hanging="0"/>
              <w:rPr/>
            </w:pPr>
            <w:r>
              <w:rPr/>
              <w:t> </w:t>
            </w:r>
          </w:p>
        </w:tc>
        <w:tc>
          <w:tcPr>
            <w:tcW w:w="126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123" w:type="dxa"/>
            <w:tcBorders/>
            <w:shd w:fill="CCEEFF"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pPr>
            <w:r>
              <w:rPr>
                <w:rFonts w:ascii="Times New Roman" w:hAnsi="Times New Roman"/>
                <w:sz w:val="13"/>
              </w:rPr>
              <w:t xml:space="preserve">Inventory valuation adjustments net of (gains)/losses from related derivative activities </w:t>
            </w:r>
            <w:r>
              <w:rPr>
                <w:sz w:val="8"/>
              </w:rPr>
              <w:t>(4)</w:t>
            </w:r>
          </w:p>
        </w:tc>
        <w:tc>
          <w:tcPr>
            <w:tcW w:w="162"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0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23" w:type="dxa"/>
            <w:tcBorders/>
            <w:shd w:fill="auto" w:val="clear"/>
            <w:vAlign w:val="bottom"/>
          </w:tcPr>
          <w:p>
            <w:pPr>
              <w:pStyle w:val="TableContents"/>
              <w:spacing w:before="0" w:after="0"/>
              <w:ind w:left="0" w:right="0" w:hanging="0"/>
              <w:rPr/>
            </w:pPr>
            <w:r>
              <w:rPr/>
              <w:t> </w:t>
            </w:r>
          </w:p>
        </w:tc>
      </w:tr>
      <w:tr>
        <w:trPr/>
        <w:tc>
          <w:tcPr>
            <w:tcW w:w="2514" w:type="dxa"/>
            <w:tcBorders/>
            <w:shd w:fill="CCEEFF" w:val="clear"/>
            <w:vAlign w:val="bottom"/>
          </w:tcPr>
          <w:p>
            <w:pPr>
              <w:pStyle w:val="TableContents"/>
              <w:spacing w:before="0" w:after="0"/>
              <w:ind w:left="0" w:right="0" w:hanging="0"/>
              <w:rPr/>
            </w:pPr>
            <w:r>
              <w:rPr>
                <w:rFonts w:ascii="Times New Roman" w:hAnsi="Times New Roman"/>
                <w:sz w:val="13"/>
              </w:rPr>
              <w:t>(Gains)/losses from other derivative activities</w:t>
            </w:r>
            <w:r>
              <w:rPr/>
              <w:t xml:space="preserve"> </w:t>
            </w:r>
            <w:r>
              <w:rPr>
                <w:sz w:val="8"/>
              </w:rPr>
              <w:t>(4) (5)</w:t>
            </w:r>
          </w:p>
        </w:tc>
        <w:tc>
          <w:tcPr>
            <w:tcW w:w="162"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CCEEFF" w:val="clear"/>
            <w:vAlign w:val="bottom"/>
          </w:tcPr>
          <w:p>
            <w:pPr>
              <w:pStyle w:val="TableContents"/>
              <w:spacing w:before="0" w:after="0"/>
              <w:ind w:left="0" w:right="0" w:hanging="0"/>
              <w:rPr/>
            </w:pPr>
            <w:r>
              <w:rPr/>
              <w:t> </w:t>
            </w:r>
          </w:p>
        </w:tc>
        <w:tc>
          <w:tcPr>
            <w:tcW w:w="100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6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85</w:t>
            </w:r>
          </w:p>
        </w:tc>
        <w:tc>
          <w:tcPr>
            <w:tcW w:w="123" w:type="dxa"/>
            <w:tcBorders/>
            <w:shd w:fill="CCEEFF"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Net gain on foreign currency revaluation</w:t>
            </w:r>
          </w:p>
        </w:tc>
        <w:tc>
          <w:tcPr>
            <w:tcW w:w="162" w:type="dxa"/>
            <w:tcBorders/>
            <w:shd w:fill="auto"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23" w:type="dxa"/>
            <w:tcBorders/>
            <w:shd w:fill="auto" w:val="clear"/>
            <w:vAlign w:val="bottom"/>
          </w:tcPr>
          <w:p>
            <w:pPr>
              <w:pStyle w:val="TableContents"/>
              <w:spacing w:before="0" w:after="0"/>
              <w:ind w:left="0" w:right="0" w:hanging="0"/>
              <w:rPr/>
            </w:pPr>
            <w:r>
              <w:rPr/>
              <w:t> </w:t>
            </w:r>
          </w:p>
        </w:tc>
      </w:tr>
      <w:tr>
        <w:trPr/>
        <w:tc>
          <w:tcPr>
            <w:tcW w:w="251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Subtotal</w:t>
            </w:r>
          </w:p>
        </w:tc>
        <w:tc>
          <w:tcPr>
            <w:tcW w:w="162" w:type="dxa"/>
            <w:tcBorders/>
            <w:shd w:fill="CCEEFF"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66" w:type="dxa"/>
            <w:tcBorders/>
            <w:shd w:fill="CCEEFF" w:val="clear"/>
            <w:vAlign w:val="bottom"/>
          </w:tcPr>
          <w:p>
            <w:pPr>
              <w:pStyle w:val="TableContents"/>
              <w:spacing w:before="0" w:after="0"/>
              <w:ind w:left="0" w:right="0" w:hanging="0"/>
              <w:rPr/>
            </w:pPr>
            <w:r>
              <w:rPr/>
              <w:t> </w:t>
            </w:r>
          </w:p>
        </w:tc>
        <w:tc>
          <w:tcPr>
            <w:tcW w:w="10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90</w:t>
            </w:r>
          </w:p>
        </w:tc>
        <w:tc>
          <w:tcPr>
            <w:tcW w:w="123" w:type="dxa"/>
            <w:tcBorders/>
            <w:shd w:fill="CCEEFF"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Segment profit excluding selected items impacting comparability</w:t>
            </w:r>
          </w:p>
        </w:tc>
        <w:tc>
          <w:tcPr>
            <w:tcW w:w="162" w:type="dxa"/>
            <w:tcBorders/>
            <w:shd w:fill="auto" w:val="clear"/>
            <w:vAlign w:val="bottom"/>
          </w:tcPr>
          <w:p>
            <w:pPr>
              <w:pStyle w:val="TableContents"/>
              <w:spacing w:before="0" w:after="0"/>
              <w:ind w:left="0" w:right="0" w:hanging="0"/>
              <w:rPr/>
            </w:pPr>
            <w:r>
              <w:rPr/>
              <w:t> </w:t>
            </w:r>
          </w:p>
        </w:tc>
        <w:tc>
          <w:tcPr>
            <w:tcW w:w="2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122</w:t>
            </w:r>
          </w:p>
        </w:tc>
        <w:tc>
          <w:tcPr>
            <w:tcW w:w="166" w:type="dxa"/>
            <w:tcBorders/>
            <w:shd w:fill="auto" w:val="clear"/>
            <w:vAlign w:val="bottom"/>
          </w:tcPr>
          <w:p>
            <w:pPr>
              <w:pStyle w:val="TableContents"/>
              <w:spacing w:before="0" w:after="0"/>
              <w:ind w:left="0" w:right="0" w:hanging="0"/>
              <w:rPr/>
            </w:pPr>
            <w:r>
              <w:rPr/>
              <w:t> </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54</w:t>
            </w:r>
          </w:p>
        </w:tc>
        <w:tc>
          <w:tcPr>
            <w:tcW w:w="166" w:type="dxa"/>
            <w:tcBorders/>
            <w:shd w:fill="auto" w:val="clear"/>
            <w:vAlign w:val="bottom"/>
          </w:tcPr>
          <w:p>
            <w:pPr>
              <w:pStyle w:val="TableContents"/>
              <w:spacing w:before="0" w:after="0"/>
              <w:ind w:left="0" w:right="0" w:hanging="0"/>
              <w:rPr/>
            </w:pPr>
            <w:r>
              <w:rPr/>
              <w:t> </w:t>
            </w:r>
          </w:p>
        </w:tc>
        <w:tc>
          <w:tcPr>
            <w:tcW w:w="17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3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59</w:t>
            </w:r>
          </w:p>
        </w:tc>
        <w:tc>
          <w:tcPr>
            <w:tcW w:w="166" w:type="dxa"/>
            <w:tcBorders/>
            <w:shd w:fill="auto" w:val="clear"/>
            <w:vAlign w:val="bottom"/>
          </w:tcPr>
          <w:p>
            <w:pPr>
              <w:pStyle w:val="TableContents"/>
              <w:spacing w:before="0" w:after="0"/>
              <w:ind w:left="0" w:right="0" w:hanging="0"/>
              <w:rPr/>
            </w:pPr>
            <w:r>
              <w:rPr/>
              <w:t> </w:t>
            </w:r>
          </w:p>
        </w:tc>
        <w:tc>
          <w:tcPr>
            <w:tcW w:w="2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114</w:t>
            </w:r>
          </w:p>
        </w:tc>
        <w:tc>
          <w:tcPr>
            <w:tcW w:w="166" w:type="dxa"/>
            <w:tcBorders/>
            <w:shd w:fill="auto" w:val="clear"/>
            <w:vAlign w:val="bottom"/>
          </w:tcPr>
          <w:p>
            <w:pPr>
              <w:pStyle w:val="TableContents"/>
              <w:spacing w:before="0" w:after="0"/>
              <w:ind w:left="0" w:right="0" w:hanging="0"/>
              <w:rPr/>
            </w:pPr>
            <w:r>
              <w:rPr/>
              <w:t> </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38</w:t>
            </w:r>
          </w:p>
        </w:tc>
        <w:tc>
          <w:tcPr>
            <w:tcW w:w="166"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5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85</w:t>
            </w:r>
          </w:p>
        </w:tc>
        <w:tc>
          <w:tcPr>
            <w:tcW w:w="123" w:type="dxa"/>
            <w:tcBorders/>
            <w:shd w:fill="auto" w:val="clear"/>
            <w:vAlign w:val="bottom"/>
          </w:tcPr>
          <w:p>
            <w:pPr>
              <w:pStyle w:val="TableContents"/>
              <w:spacing w:before="0" w:after="0"/>
              <w:ind w:left="0" w:right="0" w:hanging="0"/>
              <w:rPr/>
            </w:pPr>
            <w:r>
              <w:rPr/>
              <w:t> </w:t>
            </w:r>
          </w:p>
        </w:tc>
      </w:tr>
      <w:tr>
        <w:trPr/>
        <w:tc>
          <w:tcPr>
            <w:tcW w:w="2514"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009"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268"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Maintenance capital</w:t>
            </w:r>
          </w:p>
        </w:tc>
        <w:tc>
          <w:tcPr>
            <w:tcW w:w="162" w:type="dxa"/>
            <w:tcBorders/>
            <w:shd w:fill="auto" w:val="clear"/>
            <w:vAlign w:val="bottom"/>
          </w:tcPr>
          <w:p>
            <w:pPr>
              <w:pStyle w:val="TableContents"/>
              <w:spacing w:before="0" w:after="0"/>
              <w:ind w:left="0" w:right="0" w:hanging="0"/>
              <w:rPr/>
            </w:pPr>
            <w:r>
              <w:rPr/>
              <w:t> </w:t>
            </w:r>
          </w:p>
        </w:tc>
        <w:tc>
          <w:tcPr>
            <w:tcW w:w="2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w:t>
            </w:r>
          </w:p>
        </w:tc>
        <w:tc>
          <w:tcPr>
            <w:tcW w:w="166" w:type="dxa"/>
            <w:tcBorders/>
            <w:shd w:fill="auto" w:val="clear"/>
            <w:vAlign w:val="bottom"/>
          </w:tcPr>
          <w:p>
            <w:pPr>
              <w:pStyle w:val="TableContents"/>
              <w:spacing w:before="0" w:after="0"/>
              <w:ind w:left="0" w:right="0" w:hanging="0"/>
              <w:rPr/>
            </w:pPr>
            <w:r>
              <w:rPr/>
              <w:t> </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66" w:type="dxa"/>
            <w:tcBorders/>
            <w:shd w:fill="auto" w:val="clear"/>
            <w:vAlign w:val="bottom"/>
          </w:tcPr>
          <w:p>
            <w:pPr>
              <w:pStyle w:val="TableContents"/>
              <w:spacing w:before="0" w:after="0"/>
              <w:ind w:left="0" w:right="0" w:hanging="0"/>
              <w:rPr/>
            </w:pPr>
            <w:r>
              <w:rPr/>
              <w:t> </w:t>
            </w:r>
          </w:p>
        </w:tc>
        <w:tc>
          <w:tcPr>
            <w:tcW w:w="17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3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66" w:type="dxa"/>
            <w:tcBorders/>
            <w:shd w:fill="auto" w:val="clear"/>
            <w:vAlign w:val="bottom"/>
          </w:tcPr>
          <w:p>
            <w:pPr>
              <w:pStyle w:val="TableContents"/>
              <w:spacing w:before="0" w:after="0"/>
              <w:ind w:left="0" w:right="0" w:hanging="0"/>
              <w:rPr/>
            </w:pPr>
            <w:r>
              <w:rPr/>
              <w:t> </w:t>
            </w:r>
          </w:p>
        </w:tc>
        <w:tc>
          <w:tcPr>
            <w:tcW w:w="2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w:t>
            </w:r>
          </w:p>
        </w:tc>
        <w:tc>
          <w:tcPr>
            <w:tcW w:w="166" w:type="dxa"/>
            <w:tcBorders/>
            <w:shd w:fill="auto" w:val="clear"/>
            <w:vAlign w:val="bottom"/>
          </w:tcPr>
          <w:p>
            <w:pPr>
              <w:pStyle w:val="TableContents"/>
              <w:spacing w:before="0" w:after="0"/>
              <w:ind w:left="0" w:right="0" w:hanging="0"/>
              <w:rPr/>
            </w:pPr>
            <w:r>
              <w:rPr/>
              <w:t> </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166"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23" w:type="dxa"/>
            <w:tcBorders/>
            <w:shd w:fill="auto"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3620" w:type="dxa"/>
            <w:gridSpan w:val="8"/>
            <w:tcBorders/>
            <w:shd w:fill="auto" w:val="clear"/>
            <w:vAlign w:val="bottom"/>
          </w:tcPr>
          <w:p>
            <w:pPr>
              <w:pStyle w:val="TableContents"/>
              <w:spacing w:before="0" w:after="0"/>
              <w:ind w:left="0" w:right="0" w:hanging="0"/>
              <w:jc w:val="center"/>
              <w:rPr/>
            </w:pPr>
            <w:r>
              <w:rPr/>
              <w:t> </w:t>
            </w:r>
          </w:p>
        </w:tc>
        <w:tc>
          <w:tcPr>
            <w:tcW w:w="166" w:type="dxa"/>
            <w:tcBorders/>
            <w:shd w:fill="auto" w:val="clear"/>
            <w:vAlign w:val="bottom"/>
          </w:tcPr>
          <w:p>
            <w:pPr>
              <w:pStyle w:val="TableContents"/>
              <w:spacing w:before="0" w:after="0"/>
              <w:ind w:left="0" w:right="0" w:hanging="0"/>
              <w:jc w:val="center"/>
              <w:rPr/>
            </w:pPr>
            <w:r>
              <w:rPr/>
              <w:t> </w:t>
            </w:r>
          </w:p>
        </w:tc>
        <w:tc>
          <w:tcPr>
            <w:tcW w:w="3620" w:type="dxa"/>
            <w:gridSpan w:val="8"/>
            <w:tcBorders/>
            <w:shd w:fill="auto" w:val="clear"/>
            <w:vAlign w:val="bottom"/>
          </w:tcPr>
          <w:p>
            <w:pPr>
              <w:pStyle w:val="TableContents"/>
              <w:spacing w:before="0" w:after="0"/>
              <w:ind w:left="0" w:right="0" w:hanging="0"/>
              <w:jc w:val="center"/>
              <w:rPr/>
            </w:pPr>
            <w:r>
              <w:rPr/>
              <w:t> </w:t>
            </w:r>
          </w:p>
        </w:tc>
        <w:tc>
          <w:tcPr>
            <w:tcW w:w="123" w:type="dxa"/>
            <w:tcBorders/>
            <w:shd w:fill="auto" w:val="clear"/>
            <w:vAlign w:val="bottom"/>
          </w:tcPr>
          <w:p>
            <w:pPr>
              <w:pStyle w:val="TableContents"/>
              <w:spacing w:before="0" w:after="0"/>
              <w:ind w:left="0" w:right="0" w:hanging="0"/>
              <w:jc w:val="center"/>
              <w:rPr/>
            </w:pPr>
            <w:r>
              <w:rPr/>
              <w:t> </w:t>
            </w:r>
          </w:p>
        </w:tc>
      </w:tr>
      <w:tr>
        <w:trPr/>
        <w:tc>
          <w:tcPr>
            <w:tcW w:w="2514"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3620"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66" w:type="dxa"/>
            <w:tcBorders/>
            <w:shd w:fill="auto" w:val="clear"/>
            <w:vAlign w:val="bottom"/>
          </w:tcPr>
          <w:p>
            <w:pPr>
              <w:pStyle w:val="TableContents"/>
              <w:spacing w:before="0" w:after="0"/>
              <w:ind w:left="0" w:right="0" w:hanging="0"/>
              <w:jc w:val="center"/>
              <w:rPr/>
            </w:pPr>
            <w:r>
              <w:rPr/>
              <w:t> </w:t>
            </w:r>
          </w:p>
        </w:tc>
        <w:tc>
          <w:tcPr>
            <w:tcW w:w="3620"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3" w:type="dxa"/>
            <w:tcBorders/>
            <w:shd w:fill="auto" w:val="clear"/>
            <w:vAlign w:val="bottom"/>
          </w:tcPr>
          <w:p>
            <w:pPr>
              <w:pStyle w:val="TableContents"/>
              <w:spacing w:before="0" w:after="0"/>
              <w:ind w:left="0" w:right="0" w:hanging="0"/>
              <w:jc w:val="center"/>
              <w:rPr/>
            </w:pPr>
            <w:r>
              <w:rPr/>
              <w:t> </w:t>
            </w:r>
          </w:p>
        </w:tc>
      </w:tr>
      <w:tr>
        <w:trPr/>
        <w:tc>
          <w:tcPr>
            <w:tcW w:w="2514"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3620"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2009</w:t>
            </w:r>
          </w:p>
        </w:tc>
        <w:tc>
          <w:tcPr>
            <w:tcW w:w="166" w:type="dxa"/>
            <w:tcBorders/>
            <w:shd w:fill="auto" w:val="clear"/>
            <w:vAlign w:val="bottom"/>
          </w:tcPr>
          <w:p>
            <w:pPr>
              <w:pStyle w:val="TableContents"/>
              <w:spacing w:before="0" w:after="0"/>
              <w:ind w:left="0" w:right="0" w:hanging="0"/>
              <w:jc w:val="center"/>
              <w:rPr/>
            </w:pPr>
            <w:r>
              <w:rPr/>
              <w:t> </w:t>
            </w:r>
          </w:p>
        </w:tc>
        <w:tc>
          <w:tcPr>
            <w:tcW w:w="3620"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2008</w:t>
            </w:r>
          </w:p>
        </w:tc>
        <w:tc>
          <w:tcPr>
            <w:tcW w:w="123" w:type="dxa"/>
            <w:tcBorders/>
            <w:shd w:fill="auto" w:val="clear"/>
            <w:vAlign w:val="bottom"/>
          </w:tcPr>
          <w:p>
            <w:pPr>
              <w:pStyle w:val="TableContents"/>
              <w:spacing w:before="0" w:after="0"/>
              <w:ind w:left="0" w:right="0" w:hanging="0"/>
              <w:jc w:val="center"/>
              <w:rPr/>
            </w:pPr>
            <w:r>
              <w:rPr/>
              <w:t> </w:t>
            </w:r>
          </w:p>
        </w:tc>
      </w:tr>
      <w:tr>
        <w:trPr/>
        <w:tc>
          <w:tcPr>
            <w:tcW w:w="2514"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26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6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6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0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Marketing</w:t>
            </w:r>
          </w:p>
        </w:tc>
        <w:tc>
          <w:tcPr>
            <w:tcW w:w="166" w:type="dxa"/>
            <w:tcBorders/>
            <w:shd w:fill="auto" w:val="clear"/>
            <w:vAlign w:val="bottom"/>
          </w:tcPr>
          <w:p>
            <w:pPr>
              <w:pStyle w:val="TableContents"/>
              <w:spacing w:before="0" w:after="0"/>
              <w:ind w:left="0" w:right="0" w:hanging="0"/>
              <w:jc w:val="center"/>
              <w:rPr/>
            </w:pPr>
            <w:r>
              <w:rPr/>
              <w:t> </w:t>
            </w:r>
          </w:p>
        </w:tc>
        <w:tc>
          <w:tcPr>
            <w:tcW w:w="126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6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6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Marketing</w:t>
            </w:r>
          </w:p>
        </w:tc>
        <w:tc>
          <w:tcPr>
            <w:tcW w:w="123" w:type="dxa"/>
            <w:tcBorders/>
            <w:shd w:fill="auto" w:val="clear"/>
            <w:vAlign w:val="bottom"/>
          </w:tcPr>
          <w:p>
            <w:pPr>
              <w:pStyle w:val="TableContents"/>
              <w:spacing w:before="0" w:after="0"/>
              <w:ind w:left="0" w:right="0" w:hanging="0"/>
              <w:jc w:val="center"/>
              <w:rPr/>
            </w:pPr>
            <w:r>
              <w:rPr/>
              <w:t> </w:t>
            </w:r>
          </w:p>
        </w:tc>
      </w:tr>
      <w:tr>
        <w:trPr/>
        <w:tc>
          <w:tcPr>
            <w:tcW w:w="2514"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2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166" w:type="dxa"/>
            <w:tcBorders/>
            <w:shd w:fill="auto" w:val="clear"/>
            <w:vAlign w:val="bottom"/>
          </w:tcPr>
          <w:p>
            <w:pPr>
              <w:pStyle w:val="TableContents"/>
              <w:spacing w:before="0" w:after="0"/>
              <w:ind w:left="0" w:right="0" w:hanging="0"/>
              <w:jc w:val="center"/>
              <w:rPr/>
            </w:pPr>
            <w:r>
              <w:rPr/>
              <w:t> </w:t>
            </w:r>
          </w:p>
        </w:tc>
        <w:tc>
          <w:tcPr>
            <w:tcW w:w="10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166" w:type="dxa"/>
            <w:tcBorders/>
            <w:shd w:fill="auto" w:val="clear"/>
            <w:vAlign w:val="bottom"/>
          </w:tcPr>
          <w:p>
            <w:pPr>
              <w:pStyle w:val="TableContents"/>
              <w:spacing w:before="0" w:after="0"/>
              <w:ind w:left="0" w:right="0" w:hanging="0"/>
              <w:jc w:val="center"/>
              <w:rPr/>
            </w:pPr>
            <w:r>
              <w:rPr/>
              <w:t> </w:t>
            </w:r>
          </w:p>
        </w:tc>
        <w:tc>
          <w:tcPr>
            <w:tcW w:w="10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166" w:type="dxa"/>
            <w:tcBorders/>
            <w:shd w:fill="auto" w:val="clear"/>
            <w:vAlign w:val="bottom"/>
          </w:tcPr>
          <w:p>
            <w:pPr>
              <w:pStyle w:val="TableContents"/>
              <w:spacing w:before="0" w:after="0"/>
              <w:ind w:left="0" w:right="0" w:hanging="0"/>
              <w:jc w:val="center"/>
              <w:rPr/>
            </w:pPr>
            <w:r>
              <w:rPr/>
              <w:t> </w:t>
            </w:r>
          </w:p>
        </w:tc>
        <w:tc>
          <w:tcPr>
            <w:tcW w:w="12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166" w:type="dxa"/>
            <w:tcBorders/>
            <w:shd w:fill="auto" w:val="clear"/>
            <w:vAlign w:val="bottom"/>
          </w:tcPr>
          <w:p>
            <w:pPr>
              <w:pStyle w:val="TableContents"/>
              <w:spacing w:before="0" w:after="0"/>
              <w:ind w:left="0" w:right="0" w:hanging="0"/>
              <w:jc w:val="center"/>
              <w:rPr/>
            </w:pPr>
            <w:r>
              <w:rPr/>
              <w:t> </w:t>
            </w:r>
          </w:p>
        </w:tc>
        <w:tc>
          <w:tcPr>
            <w:tcW w:w="10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166" w:type="dxa"/>
            <w:tcBorders/>
            <w:shd w:fill="auto" w:val="clear"/>
            <w:vAlign w:val="bottom"/>
          </w:tcPr>
          <w:p>
            <w:pPr>
              <w:pStyle w:val="TableContents"/>
              <w:spacing w:before="0" w:after="0"/>
              <w:ind w:left="0" w:right="0" w:hanging="0"/>
              <w:jc w:val="center"/>
              <w:rPr/>
            </w:pPr>
            <w:r>
              <w:rPr/>
              <w:t> </w:t>
            </w:r>
          </w:p>
        </w:tc>
        <w:tc>
          <w:tcPr>
            <w:tcW w:w="10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Operations</w:t>
            </w:r>
          </w:p>
        </w:tc>
        <w:tc>
          <w:tcPr>
            <w:tcW w:w="123" w:type="dxa"/>
            <w:tcBorders/>
            <w:shd w:fill="auto" w:val="clear"/>
            <w:vAlign w:val="bottom"/>
          </w:tcPr>
          <w:p>
            <w:pPr>
              <w:pStyle w:val="TableContents"/>
              <w:spacing w:before="0" w:after="0"/>
              <w:ind w:left="0" w:right="0" w:hanging="0"/>
              <w:jc w:val="center"/>
              <w:rPr/>
            </w:pPr>
            <w:r>
              <w:rPr/>
              <w:t> </w:t>
            </w:r>
          </w:p>
        </w:tc>
      </w:tr>
      <w:tr>
        <w:trPr/>
        <w:tc>
          <w:tcPr>
            <w:tcW w:w="2514" w:type="dxa"/>
            <w:tcBorders/>
            <w:shd w:fill="CCEEFF" w:val="clear"/>
            <w:vAlign w:val="bottom"/>
          </w:tcPr>
          <w:p>
            <w:pPr>
              <w:pStyle w:val="TableContents"/>
              <w:spacing w:before="0" w:after="0"/>
              <w:ind w:left="0" w:right="0" w:hanging="0"/>
              <w:rPr/>
            </w:pPr>
            <w:r>
              <w:rPr>
                <w:rFonts w:ascii="Times New Roman" w:hAnsi="Times New Roman"/>
                <w:sz w:val="13"/>
              </w:rPr>
              <w:t xml:space="preserve">Revenues </w:t>
            </w:r>
            <w:r>
              <w:rPr>
                <w:sz w:val="8"/>
              </w:rPr>
              <w:t>(1)</w:t>
            </w:r>
          </w:p>
        </w:tc>
        <w:tc>
          <w:tcPr>
            <w:tcW w:w="162" w:type="dxa"/>
            <w:tcBorders/>
            <w:shd w:fill="CCEEFF" w:val="clear"/>
            <w:vAlign w:val="bottom"/>
          </w:tcPr>
          <w:p>
            <w:pPr>
              <w:pStyle w:val="TableContents"/>
              <w:spacing w:before="0" w:after="0"/>
              <w:ind w:left="0" w:right="0" w:hanging="0"/>
              <w:rPr/>
            </w:pPr>
            <w:r>
              <w:rPr/>
              <w:t> </w:t>
            </w:r>
          </w:p>
        </w:tc>
        <w:tc>
          <w:tcPr>
            <w:tcW w:w="26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464</w:t>
            </w:r>
          </w:p>
        </w:tc>
        <w:tc>
          <w:tcPr>
            <w:tcW w:w="16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162</w:t>
            </w:r>
          </w:p>
        </w:tc>
        <w:tc>
          <w:tcPr>
            <w:tcW w:w="166" w:type="dxa"/>
            <w:tcBorders/>
            <w:shd w:fill="CCEEFF" w:val="clear"/>
            <w:vAlign w:val="bottom"/>
          </w:tcPr>
          <w:p>
            <w:pPr>
              <w:pStyle w:val="TableContents"/>
              <w:spacing w:before="0" w:after="0"/>
              <w:ind w:left="0" w:right="0" w:hanging="0"/>
              <w:rPr/>
            </w:pPr>
            <w:r>
              <w:rPr/>
              <w:t> </w:t>
            </w:r>
          </w:p>
        </w:tc>
        <w:tc>
          <w:tcPr>
            <w:tcW w:w="17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3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7,231</w:t>
            </w:r>
          </w:p>
        </w:tc>
        <w:tc>
          <w:tcPr>
            <w:tcW w:w="166" w:type="dxa"/>
            <w:tcBorders/>
            <w:shd w:fill="CCEEFF" w:val="clear"/>
            <w:vAlign w:val="bottom"/>
          </w:tcPr>
          <w:p>
            <w:pPr>
              <w:pStyle w:val="TableContents"/>
              <w:spacing w:before="0" w:after="0"/>
              <w:ind w:left="0" w:right="0" w:hanging="0"/>
              <w:rPr/>
            </w:pPr>
            <w:r>
              <w:rPr/>
              <w:t> </w:t>
            </w:r>
          </w:p>
        </w:tc>
        <w:tc>
          <w:tcPr>
            <w:tcW w:w="26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437</w:t>
            </w:r>
          </w:p>
        </w:tc>
        <w:tc>
          <w:tcPr>
            <w:tcW w:w="16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124</w:t>
            </w:r>
          </w:p>
        </w:tc>
        <w:tc>
          <w:tcPr>
            <w:tcW w:w="166" w:type="dxa"/>
            <w:tcBorders/>
            <w:shd w:fill="CCEEFF" w:val="cle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5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15,918</w:t>
            </w:r>
          </w:p>
        </w:tc>
        <w:tc>
          <w:tcPr>
            <w:tcW w:w="123" w:type="dxa"/>
            <w:tcBorders/>
            <w:shd w:fill="CCEEFF"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pPr>
            <w:r>
              <w:rPr>
                <w:rFonts w:ascii="Times New Roman" w:hAnsi="Times New Roman"/>
                <w:sz w:val="13"/>
              </w:rPr>
              <w:t xml:space="preserve">Purchases and related costs </w:t>
            </w:r>
            <w:r>
              <w:rPr>
                <w:sz w:val="8"/>
              </w:rPr>
              <w:t>(1)</w:t>
            </w:r>
          </w:p>
        </w:tc>
        <w:tc>
          <w:tcPr>
            <w:tcW w:w="162"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(32</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0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(6,854</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(45</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(15,739</w:t>
            </w:r>
          </w:p>
        </w:tc>
        <w:tc>
          <w:tcPr>
            <w:tcW w:w="12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514" w:type="dxa"/>
            <w:tcBorders/>
            <w:shd w:fill="CCEEFF" w:val="clear"/>
            <w:vAlign w:val="bottom"/>
          </w:tcPr>
          <w:p>
            <w:pPr>
              <w:pStyle w:val="TableContents"/>
              <w:spacing w:before="0" w:after="0"/>
              <w:ind w:left="0" w:right="0" w:hanging="0"/>
              <w:rPr/>
            </w:pPr>
            <w:r>
              <w:rPr>
                <w:rFonts w:ascii="Times New Roman" w:hAnsi="Times New Roman"/>
                <w:sz w:val="13"/>
              </w:rPr>
              <w:t xml:space="preserve">Field operating costs (excluding equity compensation charge) </w:t>
            </w:r>
            <w:r>
              <w:rPr>
                <w:sz w:val="8"/>
              </w:rPr>
              <w:t>(1)</w:t>
            </w:r>
          </w:p>
        </w:tc>
        <w:tc>
          <w:tcPr>
            <w:tcW w:w="162"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(163</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(54</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(96</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6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(160</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(48</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(87</w:t>
            </w:r>
          </w:p>
        </w:tc>
        <w:tc>
          <w:tcPr>
            <w:tcW w:w="12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5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Equity compensation charge - operations</w:t>
            </w:r>
          </w:p>
        </w:tc>
        <w:tc>
          <w:tcPr>
            <w:tcW w:w="162"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0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23" w:type="dxa"/>
            <w:tcBorders/>
            <w:shd w:fill="auto" w:val="clear"/>
            <w:vAlign w:val="bottom"/>
          </w:tcPr>
          <w:p>
            <w:pPr>
              <w:pStyle w:val="TableContents"/>
              <w:spacing w:before="0" w:after="0"/>
              <w:ind w:left="0" w:right="0" w:hanging="0"/>
              <w:rPr/>
            </w:pPr>
            <w:r>
              <w:rPr/>
              <w:t> </w:t>
            </w:r>
          </w:p>
        </w:tc>
      </w:tr>
      <w:tr>
        <w:trPr/>
        <w:tc>
          <w:tcPr>
            <w:tcW w:w="2514" w:type="dxa"/>
            <w:tcBorders/>
            <w:shd w:fill="CCEEFF" w:val="clear"/>
            <w:vAlign w:val="bottom"/>
          </w:tcPr>
          <w:p>
            <w:pPr>
              <w:pStyle w:val="TableContents"/>
              <w:spacing w:before="0" w:after="0"/>
              <w:ind w:left="0" w:right="0" w:hanging="0"/>
              <w:rPr/>
            </w:pPr>
            <w:r>
              <w:rPr>
                <w:rFonts w:ascii="Times New Roman" w:hAnsi="Times New Roman"/>
                <w:sz w:val="13"/>
              </w:rPr>
              <w:t xml:space="preserve">Segment G&amp;A expenses (excluding equity compensation charge) </w:t>
            </w:r>
            <w:r>
              <w:rPr>
                <w:sz w:val="8"/>
              </w:rPr>
              <w:t>(2)</w:t>
            </w:r>
          </w:p>
        </w:tc>
        <w:tc>
          <w:tcPr>
            <w:tcW w:w="162"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(30</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(33</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6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(28</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(32</w:t>
            </w:r>
          </w:p>
        </w:tc>
        <w:tc>
          <w:tcPr>
            <w:tcW w:w="12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5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Equity compensation charge - general and administrative</w:t>
            </w:r>
          </w:p>
        </w:tc>
        <w:tc>
          <w:tcPr>
            <w:tcW w:w="162"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2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51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Equity earnings in unconsolidated entities</w:t>
            </w:r>
          </w:p>
        </w:tc>
        <w:tc>
          <w:tcPr>
            <w:tcW w:w="162" w:type="dxa"/>
            <w:tcBorders/>
            <w:shd w:fill="CCEEFF"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166" w:type="dxa"/>
            <w:tcBorders/>
            <w:shd w:fill="CCEEFF" w:val="clear"/>
            <w:vAlign w:val="bottom"/>
          </w:tcPr>
          <w:p>
            <w:pPr>
              <w:pStyle w:val="TableContents"/>
              <w:spacing w:before="0" w:after="0"/>
              <w:ind w:left="0" w:right="0" w:hanging="0"/>
              <w:rPr/>
            </w:pPr>
            <w:r>
              <w:rPr/>
              <w:t> </w:t>
            </w:r>
          </w:p>
        </w:tc>
        <w:tc>
          <w:tcPr>
            <w:tcW w:w="10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CCEEFF" w:val="clear"/>
            <w:vAlign w:val="bottom"/>
          </w:tcPr>
          <w:p>
            <w:pPr>
              <w:pStyle w:val="TableContents"/>
              <w:spacing w:before="0" w:after="0"/>
              <w:ind w:left="0" w:right="0" w:hanging="0"/>
              <w:rPr/>
            </w:pPr>
            <w:r>
              <w:rPr/>
              <w:t> </w:t>
            </w:r>
          </w:p>
        </w:tc>
        <w:tc>
          <w:tcPr>
            <w:tcW w:w="12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23" w:type="dxa"/>
            <w:tcBorders/>
            <w:shd w:fill="CCEEFF"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Reported segment profit</w:t>
            </w:r>
          </w:p>
        </w:tc>
        <w:tc>
          <w:tcPr>
            <w:tcW w:w="162" w:type="dxa"/>
            <w:tcBorders/>
            <w:shd w:fill="auto" w:val="clear"/>
            <w:vAlign w:val="bottom"/>
          </w:tcPr>
          <w:p>
            <w:pPr>
              <w:pStyle w:val="TableContents"/>
              <w:spacing w:before="0" w:after="0"/>
              <w:ind w:left="0" w:right="0" w:hanging="0"/>
              <w:rPr/>
            </w:pPr>
            <w:r>
              <w:rPr/>
              <w:t> </w:t>
            </w:r>
          </w:p>
        </w:tc>
        <w:tc>
          <w:tcPr>
            <w:tcW w:w="26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226</w:t>
            </w:r>
          </w:p>
        </w:tc>
        <w:tc>
          <w:tcPr>
            <w:tcW w:w="166" w:type="dxa"/>
            <w:tcBorders/>
            <w:shd w:fill="auto" w:val="clear"/>
            <w:vAlign w:val="bottom"/>
          </w:tcPr>
          <w:p>
            <w:pPr>
              <w:pStyle w:val="TableContents"/>
              <w:spacing w:before="0" w:after="0"/>
              <w:ind w:left="0" w:right="0" w:hanging="0"/>
              <w:rPr/>
            </w:pPr>
            <w:r>
              <w:rPr/>
              <w:t> </w:t>
            </w:r>
          </w:p>
        </w:tc>
        <w:tc>
          <w:tcPr>
            <w:tcW w:w="21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98</w:t>
            </w:r>
          </w:p>
        </w:tc>
        <w:tc>
          <w:tcPr>
            <w:tcW w:w="166" w:type="dxa"/>
            <w:tcBorders/>
            <w:shd w:fill="auto" w:val="clear"/>
            <w:vAlign w:val="bottom"/>
          </w:tcPr>
          <w:p>
            <w:pPr>
              <w:pStyle w:val="TableContents"/>
              <w:spacing w:before="0" w:after="0"/>
              <w:ind w:left="0" w:right="0" w:hanging="0"/>
              <w:rPr/>
            </w:pPr>
            <w:r>
              <w:rPr/>
              <w:t> </w:t>
            </w:r>
          </w:p>
        </w:tc>
        <w:tc>
          <w:tcPr>
            <w:tcW w:w="173"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3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238</w:t>
            </w:r>
          </w:p>
        </w:tc>
        <w:tc>
          <w:tcPr>
            <w:tcW w:w="166" w:type="dxa"/>
            <w:tcBorders/>
            <w:shd w:fill="auto" w:val="clear"/>
            <w:vAlign w:val="bottom"/>
          </w:tcPr>
          <w:p>
            <w:pPr>
              <w:pStyle w:val="TableContents"/>
              <w:spacing w:before="0" w:after="0"/>
              <w:ind w:left="0" w:right="0" w:hanging="0"/>
              <w:rPr/>
            </w:pPr>
            <w:r>
              <w:rPr/>
              <w:t> </w:t>
            </w:r>
          </w:p>
        </w:tc>
        <w:tc>
          <w:tcPr>
            <w:tcW w:w="26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195</w:t>
            </w:r>
          </w:p>
        </w:tc>
        <w:tc>
          <w:tcPr>
            <w:tcW w:w="166" w:type="dxa"/>
            <w:tcBorders/>
            <w:shd w:fill="auto" w:val="clear"/>
            <w:vAlign w:val="bottom"/>
          </w:tcPr>
          <w:p>
            <w:pPr>
              <w:pStyle w:val="TableContents"/>
              <w:spacing w:before="0" w:after="0"/>
              <w:ind w:left="0" w:right="0" w:hanging="0"/>
              <w:rPr/>
            </w:pPr>
            <w:r>
              <w:rPr/>
              <w:t> </w:t>
            </w:r>
          </w:p>
        </w:tc>
        <w:tc>
          <w:tcPr>
            <w:tcW w:w="21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68</w:t>
            </w:r>
          </w:p>
        </w:tc>
        <w:tc>
          <w:tcPr>
            <w:tcW w:w="166" w:type="dxa"/>
            <w:tcBorders/>
            <w:shd w:fill="auto" w:val="clear"/>
            <w:vAlign w:val="bottom"/>
          </w:tcPr>
          <w:p>
            <w:pPr>
              <w:pStyle w:val="TableContents"/>
              <w:spacing w:before="0" w:after="0"/>
              <w:ind w:left="0" w:right="0" w:hanging="0"/>
              <w:rPr/>
            </w:pPr>
            <w:r>
              <w:rPr/>
              <w:t> </w:t>
            </w:r>
          </w:p>
        </w:tc>
        <w:tc>
          <w:tcPr>
            <w:tcW w:w="15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5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52</w:t>
            </w:r>
          </w:p>
        </w:tc>
        <w:tc>
          <w:tcPr>
            <w:tcW w:w="123" w:type="dxa"/>
            <w:tcBorders/>
            <w:shd w:fill="auto" w:val="clear"/>
            <w:vAlign w:val="bottom"/>
          </w:tcPr>
          <w:p>
            <w:pPr>
              <w:pStyle w:val="TableContents"/>
              <w:spacing w:before="0" w:after="0"/>
              <w:ind w:left="0" w:right="0" w:hanging="0"/>
              <w:rPr/>
            </w:pPr>
            <w:r>
              <w:rPr/>
              <w:t> </w:t>
            </w:r>
          </w:p>
        </w:tc>
      </w:tr>
      <w:tr>
        <w:trPr/>
        <w:tc>
          <w:tcPr>
            <w:tcW w:w="2514"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009"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268"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Selected items impacting comparability of segment profit:</w:t>
            </w:r>
          </w:p>
        </w:tc>
        <w:tc>
          <w:tcPr>
            <w:tcW w:w="162"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009"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268"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2514" w:type="dxa"/>
            <w:tcBorders/>
            <w:shd w:fill="CCEEFF" w:val="clear"/>
            <w:vAlign w:val="bottom"/>
          </w:tcPr>
          <w:p>
            <w:pPr>
              <w:pStyle w:val="TableContents"/>
              <w:spacing w:before="0" w:after="0"/>
              <w:ind w:left="0" w:right="0" w:hanging="0"/>
              <w:rPr/>
            </w:pPr>
            <w:r>
              <w:rPr>
                <w:rFonts w:ascii="Times New Roman" w:hAnsi="Times New Roman"/>
                <w:sz w:val="13"/>
              </w:rPr>
              <w:t xml:space="preserve">Equity compensation charge </w:t>
            </w:r>
            <w:r>
              <w:rPr>
                <w:sz w:val="8"/>
              </w:rPr>
              <w:t>(3)</w:t>
            </w:r>
          </w:p>
        </w:tc>
        <w:tc>
          <w:tcPr>
            <w:tcW w:w="162"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66" w:type="dxa"/>
            <w:tcBorders/>
            <w:shd w:fill="CCEEFF" w:val="clear"/>
            <w:vAlign w:val="bottom"/>
          </w:tcPr>
          <w:p>
            <w:pPr>
              <w:pStyle w:val="TableContents"/>
              <w:spacing w:before="0" w:after="0"/>
              <w:ind w:left="0" w:right="0" w:hanging="0"/>
              <w:rPr/>
            </w:pPr>
            <w:r>
              <w:rPr/>
              <w:t> </w:t>
            </w:r>
          </w:p>
        </w:tc>
        <w:tc>
          <w:tcPr>
            <w:tcW w:w="100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66" w:type="dxa"/>
            <w:tcBorders/>
            <w:shd w:fill="CCEEFF" w:val="clear"/>
            <w:vAlign w:val="bottom"/>
          </w:tcPr>
          <w:p>
            <w:pPr>
              <w:pStyle w:val="TableContents"/>
              <w:spacing w:before="0" w:after="0"/>
              <w:ind w:left="0" w:right="0" w:hanging="0"/>
              <w:rPr/>
            </w:pPr>
            <w:r>
              <w:rPr/>
              <w:t> </w:t>
            </w:r>
          </w:p>
        </w:tc>
        <w:tc>
          <w:tcPr>
            <w:tcW w:w="126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w:t>
            </w:r>
          </w:p>
        </w:tc>
        <w:tc>
          <w:tcPr>
            <w:tcW w:w="123" w:type="dxa"/>
            <w:tcBorders/>
            <w:shd w:fill="CCEEFF"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pPr>
            <w:r>
              <w:rPr>
                <w:rFonts w:ascii="Times New Roman" w:hAnsi="Times New Roman"/>
                <w:sz w:val="13"/>
              </w:rPr>
              <w:t xml:space="preserve">Inventory valuation adjustments net of (gains)/losses from related derivative activities </w:t>
            </w:r>
            <w:r>
              <w:rPr>
                <w:sz w:val="8"/>
              </w:rPr>
              <w:t>(4)</w:t>
            </w:r>
          </w:p>
        </w:tc>
        <w:tc>
          <w:tcPr>
            <w:tcW w:w="162"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09"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23" w:type="dxa"/>
            <w:tcBorders/>
            <w:shd w:fill="auto" w:val="clear"/>
            <w:vAlign w:val="bottom"/>
          </w:tcPr>
          <w:p>
            <w:pPr>
              <w:pStyle w:val="TableContents"/>
              <w:spacing w:before="0" w:after="0"/>
              <w:ind w:left="0" w:right="0" w:hanging="0"/>
              <w:rPr/>
            </w:pPr>
            <w:r>
              <w:rPr/>
              <w:t> </w:t>
            </w:r>
          </w:p>
        </w:tc>
      </w:tr>
      <w:tr>
        <w:trPr/>
        <w:tc>
          <w:tcPr>
            <w:tcW w:w="2514" w:type="dxa"/>
            <w:tcBorders/>
            <w:shd w:fill="CCEEFF" w:val="clear"/>
            <w:vAlign w:val="bottom"/>
          </w:tcPr>
          <w:p>
            <w:pPr>
              <w:pStyle w:val="TableContents"/>
              <w:spacing w:before="0" w:after="0"/>
              <w:ind w:left="0" w:right="0" w:hanging="0"/>
              <w:rPr/>
            </w:pPr>
            <w:r>
              <w:rPr>
                <w:rFonts w:ascii="Times New Roman" w:hAnsi="Times New Roman"/>
                <w:sz w:val="13"/>
              </w:rPr>
              <w:t>(Gains)/losses from other derivative activities</w:t>
            </w:r>
            <w:r>
              <w:rPr/>
              <w:t xml:space="preserve"> </w:t>
            </w:r>
            <w:r>
              <w:rPr>
                <w:sz w:val="8"/>
              </w:rPr>
              <w:t>(4) (5)</w:t>
            </w:r>
          </w:p>
        </w:tc>
        <w:tc>
          <w:tcPr>
            <w:tcW w:w="162"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CCEEFF" w:val="clear"/>
            <w:vAlign w:val="bottom"/>
          </w:tcPr>
          <w:p>
            <w:pPr>
              <w:pStyle w:val="TableContents"/>
              <w:spacing w:before="0" w:after="0"/>
              <w:ind w:left="0" w:right="0" w:hanging="0"/>
              <w:rPr/>
            </w:pPr>
            <w:r>
              <w:rPr/>
              <w:t> </w:t>
            </w:r>
          </w:p>
        </w:tc>
        <w:tc>
          <w:tcPr>
            <w:tcW w:w="1009"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(44</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68"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92</w:t>
            </w:r>
          </w:p>
        </w:tc>
        <w:tc>
          <w:tcPr>
            <w:tcW w:w="123" w:type="dxa"/>
            <w:tcBorders/>
            <w:shd w:fill="CCEEFF"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Net gain on foreign currency revaluation</w:t>
            </w:r>
          </w:p>
        </w:tc>
        <w:tc>
          <w:tcPr>
            <w:tcW w:w="162" w:type="dxa"/>
            <w:tcBorders/>
            <w:shd w:fill="auto"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w:t>
            </w:r>
          </w:p>
        </w:tc>
        <w:tc>
          <w:tcPr>
            <w:tcW w:w="166"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66" w:type="dxa"/>
            <w:tcBorders/>
            <w:shd w:fill="auto"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23" w:type="dxa"/>
            <w:tcBorders/>
            <w:shd w:fill="auto" w:val="clear"/>
            <w:vAlign w:val="bottom"/>
          </w:tcPr>
          <w:p>
            <w:pPr>
              <w:pStyle w:val="TableContents"/>
              <w:spacing w:before="0" w:after="0"/>
              <w:ind w:left="0" w:right="0" w:hanging="0"/>
              <w:rPr/>
            </w:pPr>
            <w:r>
              <w:rPr/>
              <w:t> </w:t>
            </w:r>
          </w:p>
        </w:tc>
      </w:tr>
      <w:tr>
        <w:trPr/>
        <w:tc>
          <w:tcPr>
            <w:tcW w:w="2514"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Subtotal</w:t>
            </w:r>
          </w:p>
        </w:tc>
        <w:tc>
          <w:tcPr>
            <w:tcW w:w="162" w:type="dxa"/>
            <w:tcBorders/>
            <w:shd w:fill="CCEEFF"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66" w:type="dxa"/>
            <w:tcBorders/>
            <w:shd w:fill="CCEEFF" w:val="clear"/>
            <w:vAlign w:val="bottom"/>
          </w:tcPr>
          <w:p>
            <w:pPr>
              <w:pStyle w:val="TableContents"/>
              <w:spacing w:before="0" w:after="0"/>
              <w:ind w:left="0" w:right="0" w:hanging="0"/>
              <w:rPr/>
            </w:pPr>
            <w:r>
              <w:rPr/>
              <w:t> </w:t>
            </w:r>
          </w:p>
        </w:tc>
        <w:tc>
          <w:tcPr>
            <w:tcW w:w="10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(72</w:t>
            </w:r>
          </w:p>
        </w:tc>
        <w:tc>
          <w:tcPr>
            <w:tcW w:w="166"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99</w:t>
            </w:r>
          </w:p>
        </w:tc>
        <w:tc>
          <w:tcPr>
            <w:tcW w:w="123" w:type="dxa"/>
            <w:tcBorders/>
            <w:shd w:fill="CCEEFF"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Segment profit excluding selected items impacting comparability</w:t>
            </w:r>
          </w:p>
        </w:tc>
        <w:tc>
          <w:tcPr>
            <w:tcW w:w="162" w:type="dxa"/>
            <w:tcBorders/>
            <w:shd w:fill="auto" w:val="clear"/>
            <w:vAlign w:val="bottom"/>
          </w:tcPr>
          <w:p>
            <w:pPr>
              <w:pStyle w:val="TableContents"/>
              <w:spacing w:before="0" w:after="0"/>
              <w:ind w:left="0" w:right="0" w:hanging="0"/>
              <w:rPr/>
            </w:pPr>
            <w:r>
              <w:rPr/>
              <w:t> </w:t>
            </w:r>
          </w:p>
        </w:tc>
        <w:tc>
          <w:tcPr>
            <w:tcW w:w="2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239</w:t>
            </w:r>
          </w:p>
        </w:tc>
        <w:tc>
          <w:tcPr>
            <w:tcW w:w="166" w:type="dxa"/>
            <w:tcBorders/>
            <w:shd w:fill="auto" w:val="clear"/>
            <w:vAlign w:val="bottom"/>
          </w:tcPr>
          <w:p>
            <w:pPr>
              <w:pStyle w:val="TableContents"/>
              <w:spacing w:before="0" w:after="0"/>
              <w:ind w:left="0" w:right="0" w:hanging="0"/>
              <w:rPr/>
            </w:pPr>
            <w:r>
              <w:rPr/>
              <w:t> </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102</w:t>
            </w:r>
          </w:p>
        </w:tc>
        <w:tc>
          <w:tcPr>
            <w:tcW w:w="166" w:type="dxa"/>
            <w:tcBorders/>
            <w:shd w:fill="auto" w:val="clear"/>
            <w:vAlign w:val="bottom"/>
          </w:tcPr>
          <w:p>
            <w:pPr>
              <w:pStyle w:val="TableContents"/>
              <w:spacing w:before="0" w:after="0"/>
              <w:ind w:left="0" w:right="0" w:hanging="0"/>
              <w:rPr/>
            </w:pPr>
            <w:r>
              <w:rPr/>
              <w:t> </w:t>
            </w:r>
          </w:p>
        </w:tc>
        <w:tc>
          <w:tcPr>
            <w:tcW w:w="17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3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166</w:t>
            </w:r>
          </w:p>
        </w:tc>
        <w:tc>
          <w:tcPr>
            <w:tcW w:w="166" w:type="dxa"/>
            <w:tcBorders/>
            <w:shd w:fill="auto" w:val="clear"/>
            <w:vAlign w:val="bottom"/>
          </w:tcPr>
          <w:p>
            <w:pPr>
              <w:pStyle w:val="TableContents"/>
              <w:spacing w:before="0" w:after="0"/>
              <w:ind w:left="0" w:right="0" w:hanging="0"/>
              <w:rPr/>
            </w:pPr>
            <w:r>
              <w:rPr/>
              <w:t> </w:t>
            </w:r>
          </w:p>
        </w:tc>
        <w:tc>
          <w:tcPr>
            <w:tcW w:w="2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206</w:t>
            </w:r>
          </w:p>
        </w:tc>
        <w:tc>
          <w:tcPr>
            <w:tcW w:w="166" w:type="dxa"/>
            <w:tcBorders/>
            <w:shd w:fill="auto" w:val="clear"/>
            <w:vAlign w:val="bottom"/>
          </w:tcPr>
          <w:p>
            <w:pPr>
              <w:pStyle w:val="TableContents"/>
              <w:spacing w:before="0" w:after="0"/>
              <w:ind w:left="0" w:right="0" w:hanging="0"/>
              <w:rPr/>
            </w:pPr>
            <w:r>
              <w:rPr/>
              <w:t> </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71</w:t>
            </w:r>
          </w:p>
        </w:tc>
        <w:tc>
          <w:tcPr>
            <w:tcW w:w="166"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5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151</w:t>
            </w:r>
          </w:p>
        </w:tc>
        <w:tc>
          <w:tcPr>
            <w:tcW w:w="123" w:type="dxa"/>
            <w:tcBorders/>
            <w:shd w:fill="auto" w:val="clear"/>
            <w:vAlign w:val="bottom"/>
          </w:tcPr>
          <w:p>
            <w:pPr>
              <w:pStyle w:val="TableContents"/>
              <w:spacing w:before="0" w:after="0"/>
              <w:ind w:left="0" w:right="0" w:hanging="0"/>
              <w:rPr/>
            </w:pPr>
            <w:r>
              <w:rPr/>
              <w:t> </w:t>
            </w:r>
          </w:p>
        </w:tc>
      </w:tr>
      <w:tr>
        <w:trPr/>
        <w:tc>
          <w:tcPr>
            <w:tcW w:w="2514"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009"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268"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c>
          <w:tcPr>
            <w:tcW w:w="1010"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Maintenance capital</w:t>
            </w:r>
          </w:p>
        </w:tc>
        <w:tc>
          <w:tcPr>
            <w:tcW w:w="162" w:type="dxa"/>
            <w:tcBorders/>
            <w:shd w:fill="auto" w:val="clear"/>
            <w:vAlign w:val="bottom"/>
          </w:tcPr>
          <w:p>
            <w:pPr>
              <w:pStyle w:val="TableContents"/>
              <w:spacing w:before="0" w:after="0"/>
              <w:ind w:left="0" w:right="0" w:hanging="0"/>
              <w:rPr/>
            </w:pPr>
            <w:r>
              <w:rPr/>
              <w:t> </w:t>
            </w:r>
          </w:p>
        </w:tc>
        <w:tc>
          <w:tcPr>
            <w:tcW w:w="2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30</w:t>
            </w:r>
          </w:p>
        </w:tc>
        <w:tc>
          <w:tcPr>
            <w:tcW w:w="166" w:type="dxa"/>
            <w:tcBorders/>
            <w:shd w:fill="auto" w:val="clear"/>
            <w:vAlign w:val="bottom"/>
          </w:tcPr>
          <w:p>
            <w:pPr>
              <w:pStyle w:val="TableContents"/>
              <w:spacing w:before="0" w:after="0"/>
              <w:ind w:left="0" w:right="0" w:hanging="0"/>
              <w:rPr/>
            </w:pPr>
            <w:r>
              <w:rPr/>
              <w:t> </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w:t>
            </w:r>
          </w:p>
        </w:tc>
        <w:tc>
          <w:tcPr>
            <w:tcW w:w="166" w:type="dxa"/>
            <w:tcBorders/>
            <w:shd w:fill="auto" w:val="clear"/>
            <w:vAlign w:val="bottom"/>
          </w:tcPr>
          <w:p>
            <w:pPr>
              <w:pStyle w:val="TableContents"/>
              <w:spacing w:before="0" w:after="0"/>
              <w:ind w:left="0" w:right="0" w:hanging="0"/>
              <w:rPr/>
            </w:pPr>
            <w:r>
              <w:rPr/>
              <w:t> </w:t>
            </w:r>
          </w:p>
        </w:tc>
        <w:tc>
          <w:tcPr>
            <w:tcW w:w="17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3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66" w:type="dxa"/>
            <w:tcBorders/>
            <w:shd w:fill="auto" w:val="clear"/>
            <w:vAlign w:val="bottom"/>
          </w:tcPr>
          <w:p>
            <w:pPr>
              <w:pStyle w:val="TableContents"/>
              <w:spacing w:before="0" w:after="0"/>
              <w:ind w:left="0" w:right="0" w:hanging="0"/>
              <w:rPr/>
            </w:pPr>
            <w:r>
              <w:rPr/>
              <w:t> </w:t>
            </w:r>
          </w:p>
        </w:tc>
        <w:tc>
          <w:tcPr>
            <w:tcW w:w="2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00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w:t>
            </w:r>
          </w:p>
        </w:tc>
        <w:tc>
          <w:tcPr>
            <w:tcW w:w="166" w:type="dxa"/>
            <w:tcBorders/>
            <w:shd w:fill="auto" w:val="clear"/>
            <w:vAlign w:val="bottom"/>
          </w:tcPr>
          <w:p>
            <w:pPr>
              <w:pStyle w:val="TableContents"/>
              <w:spacing w:before="0" w:after="0"/>
              <w:ind w:left="0" w:right="0" w:hanging="0"/>
              <w:rPr/>
            </w:pPr>
            <w:r>
              <w:rPr/>
              <w:t> </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w:t>
            </w:r>
          </w:p>
        </w:tc>
        <w:tc>
          <w:tcPr>
            <w:tcW w:w="166"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2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3"/>
        </w:rPr>
        <w:t>Includes intersegment amounts.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3"/>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3"/>
        </w:rPr>
        <w:t>The equity compensation charge for the three and six months ended June 30, 2009 and 2008 excludes the portion of the equity compensation expense represented by grants under the LTIP Plans that, pursuant to the terms of the grant, will be settled in cash only and have no impact on diluted units.  The portion of the equity compensation expense attributable to the cash portion of the LTIP Plans is approximately $4 million and $3 million for the three months ended June 30, 2009 and 2008, respectively, and approximately $5 million and $3 million for the six months ended June 30, 2009 and 2008, respectively.</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3"/>
        </w:rPr>
        <w:t>Gains and losses from derivative activities related to revalued inventory are included in the line item Inventory valuation adjustments net of (gains)/losses from related derivative activities; gains and losses from derivative activities not related to revalued inventory are included in the line item Gains/(losses) from other derivative activities.</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3"/>
        </w:rPr>
        <w:t>Gains and losses from other derivative activities for the three-month periods ended June 30, 2009 and 2008 includes losses of approximately $3 million and $2 million, respectively, related to interest rate derivatives, which are included in interest income and other income/(expense), net, but do not impact segment profit.  Gains and losses from other derivative activities for both of the six-month periods ended June 30, 2009 and 2008 include losses of approximately less than $1 million, respectively, related to interest rate derivatives, which are included in interest income and other income/(expense), net, but do not impact segment profit.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Transportation segment for the second quarter of 2009 increased 7% over corresponding 2008 results due principally to higher average pipeline tariffs, increased loss allowance revenue and a net increase in pipeline volumes.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Adjusted segment profit for the Facilities segment for the second quarter of 2009 increased 42%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3608"/>
        <w:gridCol w:w="2781"/>
        <w:gridCol w:w="3816"/>
      </w:tblGrid>
      <w:tr>
        <w:trPr/>
        <w:tc>
          <w:tcPr>
            <w:tcW w:w="3608" w:type="dxa"/>
            <w:tcBorders>
              <w:top w:val="single" w:sz="8" w:space="0" w:color="000000"/>
            </w:tcBorders>
            <w:shd w:fill="auto" w:val="clear"/>
          </w:tcPr>
          <w:p>
            <w:pPr>
              <w:pStyle w:val="TableContents"/>
              <w:spacing w:before="0" w:after="0"/>
              <w:ind w:left="0" w:right="0" w:hanging="0"/>
              <w:jc w:val="right"/>
              <w:rPr/>
            </w:pPr>
            <w:r>
              <w:rPr/>
              <w:t> </w:t>
            </w:r>
          </w:p>
        </w:tc>
        <w:tc>
          <w:tcPr>
            <w:tcW w:w="2781" w:type="dxa"/>
            <w:tcBorders>
              <w:top w:val="single" w:sz="8" w:space="0" w:color="000000"/>
            </w:tcBorders>
            <w:shd w:fill="auto" w:val="clear"/>
          </w:tcPr>
          <w:p>
            <w:pPr>
              <w:pStyle w:val="TableContents"/>
              <w:spacing w:before="0" w:after="0"/>
              <w:ind w:left="0" w:right="0" w:hanging="0"/>
              <w:jc w:val="center"/>
              <w:rPr/>
            </w:pPr>
            <w:r>
              <w:rPr/>
              <w:t> </w:t>
            </w:r>
          </w:p>
        </w:tc>
        <w:tc>
          <w:tcPr>
            <w:tcW w:w="3816" w:type="dxa"/>
            <w:tcBorders>
              <w:top w:val="single" w:sz="8" w:space="0" w:color="000000"/>
            </w:tcBorders>
            <w:shd w:fill="auto" w:val="clear"/>
          </w:tcPr>
          <w:p>
            <w:pPr>
              <w:pStyle w:val="TableContents"/>
              <w:spacing w:before="0" w:after="0"/>
              <w:ind w:left="0" w:right="0" w:hanging="0"/>
              <w:rPr/>
            </w:pPr>
            <w:r>
              <w:rPr/>
              <w:t> </w:t>
            </w:r>
          </w:p>
        </w:tc>
      </w:tr>
      <w:tr>
        <w:trPr/>
        <w:tc>
          <w:tcPr>
            <w:tcW w:w="3608"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1"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6"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4</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over corresponding 2008 results primarily due to capacity increases from recently completed capital projects, higher average lease rates across the Partnerships assets and contributions from recent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Marketing segment for the second quarter of 2009 decreased 31% from corresponding 2008 results. This decrease is due to a number of factors including gains on the sale of excess inventory during the second quarter 2008, partially offset by a favorable contango market in the second quarter of 2009.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basic weighted average units outstanding for the second quarter of 2009 totaled 129 million (130 million diluted) as compared to 120 million (121 million diluted) in last years second quarter. At June 30, 2009, the Partnership had approximately 128.9 million units outstanding, long-term debt of approximately $3.4 billion and a long-term debt-to-total capitalization ratio of 48%.</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has declared a quarterly distribution of $0.905 per unit ($3.62 per unit on an annualized basis) payable August 14, 2009 on its outstanding limited partner units.  This distribution payment represents an increase of approximately 2.0% over the quarterly distribution paid in August 2008 and is unchanged from the May 2009 distribution level.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Prior to its August 6 conference call, the Partnership will furnish a current report on Form 8-K, which will include material in this press release and financial and operational guidance for the third quarter and full year 2009. A copy of the Form 8-K will be available on the Partnerships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this release, the Partnerships EBITDA disclosure is not presented in accordance with generally accepted accounting principles and is not intended to be used in lieu of GAAP presentations of net income or cash flows from operating activities. EBITDA is presented because we believe it provides additional information with respect to both the performance of our fundamental business activities as well as our ability to meet our future debt service, capital expenditures and working capital requirements. We also believe that debt holders commonly use EBITDA to analyze Partnership performance. In addition, we present selected items that impact the comparability of our operating results as additional information that may be helpful to your understanding of our financial results. We consider an understanding of these selected items impacting comparability to be material to our evaluation of our operating results and prospects. 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reconciliation of EBITDA to net income and cash flows from operating activities for the periods presented is included in the tables attached to this release. In addition, the Partnership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3608"/>
        <w:gridCol w:w="2781"/>
        <w:gridCol w:w="3816"/>
      </w:tblGrid>
      <w:tr>
        <w:trPr/>
        <w:tc>
          <w:tcPr>
            <w:tcW w:w="3608" w:type="dxa"/>
            <w:tcBorders>
              <w:top w:val="single" w:sz="8" w:space="0" w:color="000000"/>
            </w:tcBorders>
            <w:shd w:fill="auto" w:val="clear"/>
          </w:tcPr>
          <w:p>
            <w:pPr>
              <w:pStyle w:val="TableContents"/>
              <w:spacing w:before="0" w:after="0"/>
              <w:ind w:left="0" w:right="0" w:hanging="0"/>
              <w:jc w:val="right"/>
              <w:rPr/>
            </w:pPr>
            <w:r>
              <w:rPr/>
              <w:t> </w:t>
            </w:r>
          </w:p>
        </w:tc>
        <w:tc>
          <w:tcPr>
            <w:tcW w:w="2781" w:type="dxa"/>
            <w:tcBorders>
              <w:top w:val="single" w:sz="8" w:space="0" w:color="000000"/>
            </w:tcBorders>
            <w:shd w:fill="auto" w:val="clear"/>
          </w:tcPr>
          <w:p>
            <w:pPr>
              <w:pStyle w:val="TableContents"/>
              <w:spacing w:before="0" w:after="0"/>
              <w:ind w:left="0" w:right="0" w:hanging="0"/>
              <w:jc w:val="center"/>
              <w:rPr/>
            </w:pPr>
            <w:r>
              <w:rPr/>
              <w:t> </w:t>
            </w:r>
          </w:p>
        </w:tc>
        <w:tc>
          <w:tcPr>
            <w:tcW w:w="3816" w:type="dxa"/>
            <w:tcBorders>
              <w:top w:val="single" w:sz="8" w:space="0" w:color="000000"/>
            </w:tcBorders>
            <w:shd w:fill="auto" w:val="clear"/>
          </w:tcPr>
          <w:p>
            <w:pPr>
              <w:pStyle w:val="TableContents"/>
              <w:spacing w:before="0" w:after="0"/>
              <w:ind w:left="0" w:right="0" w:hanging="0"/>
              <w:rPr/>
            </w:pPr>
            <w:r>
              <w:rPr/>
              <w:t> </w:t>
            </w:r>
          </w:p>
        </w:tc>
      </w:tr>
      <w:tr>
        <w:trPr/>
        <w:tc>
          <w:tcPr>
            <w:tcW w:w="3608"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1"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6"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5</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maintains on its website (www.paalp.com) a reconciliation of all non-GAAP financial information, such as EBITDA, to the most comparable GAAP measures. To access the information, investors should click on the Investor Relations link on the Partnerships home page and then the Non-GAAP Reconciliation link on the Investor Relations page.</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Conference Call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host a conference call at 10:00 AM (Central); 11:00 AM (Eastern) on Thursday, August 6, 2009 to discuss the following items: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The Partnerships second-quarter 2009 performance;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status of major expansion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Capitalization and liquidity;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Financial and operating guidance for the third quarter and full year 2009;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Partnerships outlook for the future.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Webcast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access the Internet webcast, please go to the Partnerships website at www.paalp.com, choose Investor Relations, and then choose Conference Calls.  Following the live webcast, the call will be archived for a period of sixty (60) days on the Partnerships website.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you are unable to participate in the webcast, please dial 800-230-1074, or, for international callers, 612-332-0820, at approximately 10:55 AM (Eastern). No password is required.  You may access the slide presentation accompanying the conference call a few minutes prior to the call under the Conference Call Summaries portion of the Conference Calls tab of the Investor Relations section of PAAs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Telephonic Replay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listen to a telephonic replay of the conference call, please dial 800-475-6701, or, for international callers, 320-365-3844, and replay access code 106797.  The replay will be available beginning Thursday, August 6, 2009, at approximately 12:00 PM (Central) and continue until 11:59 PM (Central) Sunday, September 6, 2009.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engaged in the transportation, storage, terminalling and marketing of crude oil, refined products and liquefied petroleum gas and other natural gas related petroleum products. Through its 50% indirect ownership in PAA Natural Gas Storage LLC, the Partnership is also engaged in the development and operation of natural gas storage facilities. The Partnership is headquartered in Houston, Texas.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 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on planned internal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3608"/>
        <w:gridCol w:w="2781"/>
        <w:gridCol w:w="3816"/>
      </w:tblGrid>
      <w:tr>
        <w:trPr/>
        <w:tc>
          <w:tcPr>
            <w:tcW w:w="3608" w:type="dxa"/>
            <w:tcBorders>
              <w:top w:val="single" w:sz="8" w:space="0" w:color="000000"/>
            </w:tcBorders>
            <w:shd w:fill="auto" w:val="clear"/>
          </w:tcPr>
          <w:p>
            <w:pPr>
              <w:pStyle w:val="TableContents"/>
              <w:spacing w:before="0" w:after="0"/>
              <w:ind w:left="0" w:right="0" w:hanging="0"/>
              <w:jc w:val="right"/>
              <w:rPr/>
            </w:pPr>
            <w:r>
              <w:rPr/>
              <w:t> </w:t>
            </w:r>
          </w:p>
        </w:tc>
        <w:tc>
          <w:tcPr>
            <w:tcW w:w="2781" w:type="dxa"/>
            <w:tcBorders>
              <w:top w:val="single" w:sz="8" w:space="0" w:color="000000"/>
            </w:tcBorders>
            <w:shd w:fill="auto" w:val="clear"/>
          </w:tcPr>
          <w:p>
            <w:pPr>
              <w:pStyle w:val="TableContents"/>
              <w:spacing w:before="0" w:after="0"/>
              <w:ind w:left="0" w:right="0" w:hanging="0"/>
              <w:jc w:val="center"/>
              <w:rPr/>
            </w:pPr>
            <w:r>
              <w:rPr/>
              <w:t> </w:t>
            </w:r>
          </w:p>
        </w:tc>
        <w:tc>
          <w:tcPr>
            <w:tcW w:w="3816" w:type="dxa"/>
            <w:tcBorders>
              <w:top w:val="single" w:sz="8" w:space="0" w:color="000000"/>
            </w:tcBorders>
            <w:shd w:fill="auto" w:val="clear"/>
          </w:tcPr>
          <w:p>
            <w:pPr>
              <w:pStyle w:val="TableContents"/>
              <w:spacing w:before="0" w:after="0"/>
              <w:ind w:left="0" w:right="0" w:hanging="0"/>
              <w:rPr/>
            </w:pPr>
            <w:r>
              <w:rPr/>
              <w:t> </w:t>
            </w:r>
          </w:p>
        </w:tc>
      </w:tr>
      <w:tr>
        <w:trPr/>
        <w:tc>
          <w:tcPr>
            <w:tcW w:w="3608"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1"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6"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6</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growth projects; maintenance of our credit rating and ability to receive open credit from our suppliers and trade counterparties; continued creditworthiness of, and performance by, our counterparties, including financial institutions and trading companies with which we do business; the success of our risk management activities; environmental liabilities or events that are not covered by an indemnity, insurance or existing reserves; abrupt or severe declines or interruptions in outer continental shelf production located offshore California and transported on our pipeline systems; shortages or cost increases of power supplies, materials or labor; 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fluctuations in refinery capacity in areas supplied by our mainlines and other factors affecting demand for various grades of crude oil, refined products and natural gas and resulting changes in pricing conditions or transportation throughput requirements; the availability of, and our ability to consummate, acquisition or combination opportunities;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unanticipated changes in crude oil market structure and volatility (or lack thereof); the impact of current and future laws, rulings, governmental regulations, accounting standards and statements and related interpretations; the effects of competition; interruptions in service and fluctuations in tariffs or volumes on third-party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future developments and circumstances at the time distributions are declared; general economic, market or business conditions and the amplification of other risks caused by deteriorated financial markets, capital constraints and pervasive liquidity concerns; and other factors and uncertainties inherent in the transportation, storage, terminalling and marketing of crude oil, refined products and liquefied petroleum gas and other natural gas related petroleum products discussed in the Partnerships filings with the Securities and Exchange Commission.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3608"/>
        <w:gridCol w:w="2781"/>
        <w:gridCol w:w="3816"/>
      </w:tblGrid>
      <w:tr>
        <w:trPr/>
        <w:tc>
          <w:tcPr>
            <w:tcW w:w="3608" w:type="dxa"/>
            <w:tcBorders>
              <w:top w:val="single" w:sz="8" w:space="0" w:color="000000"/>
            </w:tcBorders>
            <w:shd w:fill="auto" w:val="clear"/>
          </w:tcPr>
          <w:p>
            <w:pPr>
              <w:pStyle w:val="TableContents"/>
              <w:spacing w:before="0" w:after="0"/>
              <w:ind w:left="0" w:right="0" w:hanging="0"/>
              <w:jc w:val="right"/>
              <w:rPr/>
            </w:pPr>
            <w:r>
              <w:rPr/>
              <w:t> </w:t>
            </w:r>
          </w:p>
        </w:tc>
        <w:tc>
          <w:tcPr>
            <w:tcW w:w="2781" w:type="dxa"/>
            <w:tcBorders>
              <w:top w:val="single" w:sz="8" w:space="0" w:color="000000"/>
            </w:tcBorders>
            <w:shd w:fill="auto" w:val="clear"/>
          </w:tcPr>
          <w:p>
            <w:pPr>
              <w:pStyle w:val="TableContents"/>
              <w:spacing w:before="0" w:after="0"/>
              <w:ind w:left="0" w:right="0" w:hanging="0"/>
              <w:jc w:val="center"/>
              <w:rPr/>
            </w:pPr>
            <w:r>
              <w:rPr/>
              <w:t> </w:t>
            </w:r>
          </w:p>
        </w:tc>
        <w:tc>
          <w:tcPr>
            <w:tcW w:w="3816" w:type="dxa"/>
            <w:tcBorders>
              <w:top w:val="single" w:sz="8" w:space="0" w:color="000000"/>
            </w:tcBorders>
            <w:shd w:fill="auto" w:val="clear"/>
          </w:tcPr>
          <w:p>
            <w:pPr>
              <w:pStyle w:val="TableContents"/>
              <w:spacing w:before="0" w:after="0"/>
              <w:ind w:left="0" w:right="0" w:hanging="0"/>
              <w:rPr/>
            </w:pPr>
            <w:r>
              <w:rPr/>
              <w:t> </w:t>
            </w:r>
          </w:p>
        </w:tc>
      </w:tr>
      <w:tr>
        <w:trPr/>
        <w:tc>
          <w:tcPr>
            <w:tcW w:w="3608"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1"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6"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7</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rPr>
      </w:pPr>
      <w:r>
        <w:rPr>
          <w:rFonts w:ascii="Times New Roman" w:hAnsi="Times New Roman"/>
          <w:b/>
          <w:sz w:val="17"/>
        </w:rPr>
        <w:t>FINANCIAL SUMMARY</w:t>
      </w:r>
      <w:r>
        <w:rPr>
          <w:rFonts w:ascii="Times New Roman" w:hAnsi="Times New Roman"/>
        </w:rPr>
        <w:t xml:space="preserve"> </w:t>
      </w:r>
      <w:r>
        <w:rPr>
          <w:rFonts w:ascii="Times New Roman" w:hAnsi="Times New Roman"/>
          <w:sz w:val="17"/>
        </w:rPr>
        <w:t>(unaudited)</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 xml:space="preserve">CONSOLIDATED STATEMENTS OF OPERATIONS  </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732"/>
        <w:gridCol w:w="216"/>
        <w:gridCol w:w="110"/>
        <w:gridCol w:w="763"/>
        <w:gridCol w:w="216"/>
        <w:gridCol w:w="110"/>
        <w:gridCol w:w="763"/>
        <w:gridCol w:w="216"/>
        <w:gridCol w:w="110"/>
        <w:gridCol w:w="763"/>
        <w:gridCol w:w="216"/>
        <w:gridCol w:w="110"/>
        <w:gridCol w:w="765"/>
        <w:gridCol w:w="115"/>
      </w:tblGrid>
      <w:tr>
        <w:trPr/>
        <w:tc>
          <w:tcPr>
            <w:tcW w:w="5732"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196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6" w:type="dxa"/>
            <w:tcBorders/>
            <w:shd w:fill="auto" w:val="clear"/>
            <w:vAlign w:val="bottom"/>
          </w:tcPr>
          <w:p>
            <w:pPr>
              <w:pStyle w:val="TableContents"/>
              <w:spacing w:before="0" w:after="0"/>
              <w:ind w:left="0" w:right="0" w:hanging="0"/>
              <w:jc w:val="center"/>
              <w:rPr/>
            </w:pPr>
            <w:r>
              <w:rPr/>
              <w:t> </w:t>
            </w:r>
          </w:p>
        </w:tc>
        <w:tc>
          <w:tcPr>
            <w:tcW w:w="196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15" w:type="dxa"/>
            <w:tcBorders/>
            <w:shd w:fill="auto" w:val="clear"/>
            <w:vAlign w:val="bottom"/>
          </w:tcPr>
          <w:p>
            <w:pPr>
              <w:pStyle w:val="TableContents"/>
              <w:spacing w:before="0" w:after="0"/>
              <w:ind w:left="0" w:right="0" w:hanging="0"/>
              <w:jc w:val="center"/>
              <w:rPr/>
            </w:pPr>
            <w:r>
              <w:rPr/>
              <w:t> </w:t>
            </w:r>
          </w:p>
        </w:tc>
      </w:tr>
      <w:tr>
        <w:trPr/>
        <w:tc>
          <w:tcPr>
            <w:tcW w:w="5732"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196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6" w:type="dxa"/>
            <w:tcBorders/>
            <w:shd w:fill="auto" w:val="clear"/>
            <w:vAlign w:val="bottom"/>
          </w:tcPr>
          <w:p>
            <w:pPr>
              <w:pStyle w:val="TableContents"/>
              <w:spacing w:before="0" w:after="0"/>
              <w:ind w:left="0" w:right="0" w:hanging="0"/>
              <w:jc w:val="center"/>
              <w:rPr/>
            </w:pPr>
            <w:r>
              <w:rPr/>
              <w:t> </w:t>
            </w:r>
          </w:p>
        </w:tc>
        <w:tc>
          <w:tcPr>
            <w:tcW w:w="196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15" w:type="dxa"/>
            <w:tcBorders/>
            <w:shd w:fill="auto" w:val="clear"/>
            <w:vAlign w:val="bottom"/>
          </w:tcPr>
          <w:p>
            <w:pPr>
              <w:pStyle w:val="TableContents"/>
              <w:spacing w:before="0" w:after="0"/>
              <w:ind w:left="0" w:right="0" w:hanging="0"/>
              <w:jc w:val="center"/>
              <w:rPr/>
            </w:pPr>
            <w:r>
              <w:rPr/>
              <w:t> </w:t>
            </w:r>
          </w:p>
        </w:tc>
      </w:tr>
      <w:tr>
        <w:trPr/>
        <w:tc>
          <w:tcPr>
            <w:tcW w:w="5732"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8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shd w:fill="auto" w:val="clear"/>
            <w:vAlign w:val="bottom"/>
          </w:tcPr>
          <w:p>
            <w:pPr>
              <w:pStyle w:val="TableContents"/>
              <w:spacing w:before="0" w:after="0"/>
              <w:ind w:left="0" w:right="0" w:hanging="0"/>
              <w:jc w:val="center"/>
              <w:rPr/>
            </w:pPr>
            <w:r>
              <w:rPr/>
              <w:t> </w:t>
            </w:r>
          </w:p>
        </w:tc>
        <w:tc>
          <w:tcPr>
            <w:tcW w:w="87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6" w:type="dxa"/>
            <w:tcBorders/>
            <w:shd w:fill="auto" w:val="clear"/>
            <w:vAlign w:val="bottom"/>
          </w:tcPr>
          <w:p>
            <w:pPr>
              <w:pStyle w:val="TableContents"/>
              <w:spacing w:before="0" w:after="0"/>
              <w:ind w:left="0" w:right="0" w:hanging="0"/>
              <w:jc w:val="center"/>
              <w:rPr/>
            </w:pPr>
            <w:r>
              <w:rPr/>
              <w:t> </w:t>
            </w:r>
          </w:p>
        </w:tc>
        <w:tc>
          <w:tcPr>
            <w:tcW w:w="8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shd w:fill="auto" w:val="clear"/>
            <w:vAlign w:val="bottom"/>
          </w:tcPr>
          <w:p>
            <w:pPr>
              <w:pStyle w:val="TableContents"/>
              <w:spacing w:before="0" w:after="0"/>
              <w:ind w:left="0" w:right="0" w:hanging="0"/>
              <w:jc w:val="center"/>
              <w:rPr/>
            </w:pPr>
            <w:r>
              <w:rPr/>
              <w:t> </w:t>
            </w:r>
          </w:p>
        </w:tc>
        <w:tc>
          <w:tcPr>
            <w:tcW w:w="87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5" w:type="dxa"/>
            <w:tcBorders/>
            <w:shd w:fill="auto" w:val="clear"/>
            <w:vAlign w:val="bottom"/>
          </w:tcPr>
          <w:p>
            <w:pPr>
              <w:pStyle w:val="TableContents"/>
              <w:spacing w:before="0" w:after="0"/>
              <w:ind w:left="0" w:right="0" w:hanging="0"/>
              <w:jc w:val="center"/>
              <w:rPr/>
            </w:pPr>
            <w:r>
              <w:rPr/>
              <w:t> </w:t>
            </w:r>
          </w:p>
        </w:tc>
      </w:tr>
      <w:tr>
        <w:trPr/>
        <w:tc>
          <w:tcPr>
            <w:tcW w:w="5732"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87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73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4,282</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9,060</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7,585</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16,255</w:t>
            </w:r>
          </w:p>
        </w:tc>
        <w:tc>
          <w:tcPr>
            <w:tcW w:w="115" w:type="dxa"/>
            <w:tcBorders/>
            <w:shd w:fill="CCEEFF" w:val="clear"/>
            <w:vAlign w:val="bottom"/>
          </w:tcPr>
          <w:p>
            <w:pPr>
              <w:pStyle w:val="TableContents"/>
              <w:spacing w:before="0" w:after="0"/>
              <w:ind w:left="0" w:right="0" w:hanging="0"/>
              <w:rPr/>
            </w:pPr>
            <w:r>
              <w:rPr/>
              <w:t> </w:t>
            </w:r>
          </w:p>
        </w:tc>
      </w:tr>
      <w:tr>
        <w:trPr/>
        <w:tc>
          <w:tcPr>
            <w:tcW w:w="5732"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87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73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7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LPG purchases and related costs</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3,829</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8,724</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6,619</w:t>
            </w:r>
          </w:p>
        </w:tc>
        <w:tc>
          <w:tcPr>
            <w:tcW w:w="216" w:type="dxa"/>
            <w:tcBorders/>
            <w:shd w:fill="auto" w:val="clear"/>
            <w:vAlign w:val="bottom"/>
          </w:tcPr>
          <w:p>
            <w:pPr>
              <w:pStyle w:val="TableContents"/>
              <w:spacing w:before="0" w:after="0"/>
              <w:ind w:left="0" w:right="0" w:hanging="0"/>
              <w:rPr/>
            </w:pPr>
            <w:r>
              <w:rPr/>
              <w:t> </w:t>
            </w:r>
          </w:p>
        </w:tc>
        <w:tc>
          <w:tcPr>
            <w:tcW w:w="8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15,560</w:t>
            </w:r>
          </w:p>
        </w:tc>
        <w:tc>
          <w:tcPr>
            <w:tcW w:w="115" w:type="dxa"/>
            <w:tcBorders/>
            <w:shd w:fill="auto" w:val="clear"/>
            <w:vAlign w:val="bottom"/>
          </w:tcPr>
          <w:p>
            <w:pPr>
              <w:pStyle w:val="TableContents"/>
              <w:spacing w:before="0" w:after="0"/>
              <w:ind w:left="0" w:right="0" w:hanging="0"/>
              <w:rPr/>
            </w:pPr>
            <w:r>
              <w:rPr/>
              <w:t> </w:t>
            </w:r>
          </w:p>
        </w:tc>
      </w:tr>
      <w:tr>
        <w:trPr/>
        <w:tc>
          <w:tcPr>
            <w:tcW w:w="57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216"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w:t>
            </w:r>
          </w:p>
        </w:tc>
        <w:tc>
          <w:tcPr>
            <w:tcW w:w="115" w:type="dxa"/>
            <w:tcBorders/>
            <w:shd w:fill="CCEEFF" w:val="clear"/>
            <w:vAlign w:val="bottom"/>
          </w:tcPr>
          <w:p>
            <w:pPr>
              <w:pStyle w:val="TableContents"/>
              <w:spacing w:before="0" w:after="0"/>
              <w:ind w:left="0" w:right="0" w:hanging="0"/>
              <w:rPr/>
            </w:pPr>
            <w:r>
              <w:rPr/>
              <w:t> </w:t>
            </w:r>
          </w:p>
        </w:tc>
      </w:tr>
      <w:tr>
        <w:trPr/>
        <w:tc>
          <w:tcPr>
            <w:tcW w:w="57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6" w:type="dxa"/>
            <w:tcBorders/>
            <w:shd w:fill="auto" w:val="clear"/>
            <w:vAlign w:val="bottom"/>
          </w:tcPr>
          <w:p>
            <w:pPr>
              <w:pStyle w:val="TableContents"/>
              <w:spacing w:before="0" w:after="0"/>
              <w:ind w:left="0" w:right="0" w:hanging="0"/>
              <w:rPr/>
            </w:pPr>
            <w:r>
              <w:rPr/>
              <w:t> </w:t>
            </w:r>
          </w:p>
        </w:tc>
        <w:tc>
          <w:tcPr>
            <w:tcW w:w="8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15" w:type="dxa"/>
            <w:tcBorders/>
            <w:shd w:fill="auto" w:val="clear"/>
            <w:vAlign w:val="bottom"/>
          </w:tcPr>
          <w:p>
            <w:pPr>
              <w:pStyle w:val="TableContents"/>
              <w:spacing w:before="0" w:after="0"/>
              <w:ind w:left="0" w:right="0" w:hanging="0"/>
              <w:rPr/>
            </w:pPr>
            <w:r>
              <w:rPr/>
              <w:t> </w:t>
            </w:r>
          </w:p>
        </w:tc>
      </w:tr>
      <w:tr>
        <w:trPr/>
        <w:tc>
          <w:tcPr>
            <w:tcW w:w="57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6" w:type="dxa"/>
            <w:tcBorders/>
            <w:shd w:fill="CCEEFF" w:val="clear"/>
            <w:vAlign w:val="bottom"/>
          </w:tcPr>
          <w:p>
            <w:pPr>
              <w:pStyle w:val="TableContents"/>
              <w:spacing w:before="0" w:after="0"/>
              <w:ind w:left="0" w:right="0" w:hanging="0"/>
              <w:rPr/>
            </w:pPr>
            <w:r>
              <w:rPr/>
              <w:t> </w:t>
            </w:r>
          </w:p>
        </w:tc>
        <w:tc>
          <w:tcPr>
            <w:tcW w:w="8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15" w:type="dxa"/>
            <w:tcBorders/>
            <w:shd w:fill="CCEEFF" w:val="clear"/>
            <w:vAlign w:val="bottom"/>
          </w:tcPr>
          <w:p>
            <w:pPr>
              <w:pStyle w:val="TableContents"/>
              <w:spacing w:before="0" w:after="0"/>
              <w:ind w:left="0" w:right="0" w:hanging="0"/>
              <w:rPr/>
            </w:pPr>
            <w:r>
              <w:rPr/>
              <w:t> </w:t>
            </w:r>
          </w:p>
        </w:tc>
      </w:tr>
      <w:tr>
        <w:trPr/>
        <w:tc>
          <w:tcPr>
            <w:tcW w:w="5732"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87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7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4,099</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8,979</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7,145</w:t>
            </w:r>
          </w:p>
        </w:tc>
        <w:tc>
          <w:tcPr>
            <w:tcW w:w="216" w:type="dxa"/>
            <w:tcBorders/>
            <w:shd w:fill="CCEEFF" w:val="clear"/>
            <w:vAlign w:val="bottom"/>
          </w:tcPr>
          <w:p>
            <w:pPr>
              <w:pStyle w:val="TableContents"/>
              <w:spacing w:before="0" w:after="0"/>
              <w:ind w:left="0" w:right="0" w:hanging="0"/>
              <w:rPr/>
            </w:pPr>
            <w:r>
              <w:rPr/>
              <w:t> </w:t>
            </w:r>
          </w:p>
        </w:tc>
        <w:tc>
          <w:tcPr>
            <w:tcW w:w="8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16,047</w:t>
            </w:r>
          </w:p>
        </w:tc>
        <w:tc>
          <w:tcPr>
            <w:tcW w:w="115" w:type="dxa"/>
            <w:tcBorders/>
            <w:shd w:fill="CCEEFF" w:val="clear"/>
            <w:vAlign w:val="bottom"/>
          </w:tcPr>
          <w:p>
            <w:pPr>
              <w:pStyle w:val="TableContents"/>
              <w:spacing w:before="0" w:after="0"/>
              <w:ind w:left="0" w:right="0" w:hanging="0"/>
              <w:rPr/>
            </w:pPr>
            <w:r>
              <w:rPr/>
              <w:t> </w:t>
            </w:r>
          </w:p>
        </w:tc>
      </w:tr>
      <w:tr>
        <w:trPr/>
        <w:tc>
          <w:tcPr>
            <w:tcW w:w="5732"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87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73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440</w:t>
            </w:r>
          </w:p>
        </w:tc>
        <w:tc>
          <w:tcPr>
            <w:tcW w:w="216"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115" w:type="dxa"/>
            <w:tcBorders/>
            <w:shd w:fill="CCEEFF" w:val="clear"/>
            <w:vAlign w:val="bottom"/>
          </w:tcPr>
          <w:p>
            <w:pPr>
              <w:pStyle w:val="TableContents"/>
              <w:spacing w:before="0" w:after="0"/>
              <w:ind w:left="0" w:right="0" w:hanging="0"/>
              <w:rPr/>
            </w:pPr>
            <w:r>
              <w:rPr/>
              <w:t> </w:t>
            </w:r>
          </w:p>
        </w:tc>
      </w:tr>
      <w:tr>
        <w:trPr/>
        <w:tc>
          <w:tcPr>
            <w:tcW w:w="5732"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875"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73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7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auto" w:val="clear"/>
            <w:vAlign w:val="bottom"/>
          </w:tcPr>
          <w:p>
            <w:pPr>
              <w:pStyle w:val="TableContents"/>
              <w:spacing w:before="0" w:after="0"/>
              <w:ind w:left="0" w:right="0" w:hanging="0"/>
              <w:rPr/>
            </w:pPr>
            <w:r>
              <w:rPr/>
              <w:t> </w:t>
            </w:r>
          </w:p>
        </w:tc>
        <w:tc>
          <w:tcPr>
            <w:tcW w:w="8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5" w:type="dxa"/>
            <w:tcBorders/>
            <w:shd w:fill="auto" w:val="clear"/>
            <w:vAlign w:val="bottom"/>
          </w:tcPr>
          <w:p>
            <w:pPr>
              <w:pStyle w:val="TableContents"/>
              <w:spacing w:before="0" w:after="0"/>
              <w:ind w:left="0" w:right="0" w:hanging="0"/>
              <w:rPr/>
            </w:pPr>
            <w:r>
              <w:rPr/>
              <w:t> </w:t>
            </w:r>
          </w:p>
        </w:tc>
      </w:tr>
      <w:tr>
        <w:trPr/>
        <w:tc>
          <w:tcPr>
            <w:tcW w:w="57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income and other income/(expense), net</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6" w:type="dxa"/>
            <w:tcBorders/>
            <w:shd w:fill="auto" w:val="clear"/>
            <w:vAlign w:val="bottom"/>
          </w:tcPr>
          <w:p>
            <w:pPr>
              <w:pStyle w:val="TableContents"/>
              <w:spacing w:before="0" w:after="0"/>
              <w:ind w:left="0" w:right="0" w:hanging="0"/>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15" w:type="dxa"/>
            <w:tcBorders/>
            <w:shd w:fill="auto" w:val="clear"/>
            <w:vAlign w:val="bottom"/>
          </w:tcPr>
          <w:p>
            <w:pPr>
              <w:pStyle w:val="TableContents"/>
              <w:spacing w:before="0" w:after="0"/>
              <w:ind w:left="0" w:right="0" w:hanging="0"/>
              <w:rPr/>
            </w:pPr>
            <w:r>
              <w:rPr/>
              <w:t> </w:t>
            </w:r>
          </w:p>
        </w:tc>
      </w:tr>
      <w:tr>
        <w:trPr/>
        <w:tc>
          <w:tcPr>
            <w:tcW w:w="5732"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73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216" w:type="dxa"/>
            <w:tcBorders/>
            <w:shd w:fill="auto" w:val="clear"/>
            <w:vAlign w:val="bottom"/>
          </w:tcPr>
          <w:p>
            <w:pPr>
              <w:pStyle w:val="TableContents"/>
              <w:spacing w:before="0" w:after="0"/>
              <w:ind w:left="0" w:right="0" w:hanging="0"/>
              <w:rPr/>
            </w:pPr>
            <w:r>
              <w:rPr/>
              <w:t> </w:t>
            </w:r>
          </w:p>
        </w:tc>
        <w:tc>
          <w:tcPr>
            <w:tcW w:w="8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15" w:type="dxa"/>
            <w:tcBorders/>
            <w:shd w:fill="auto" w:val="clear"/>
            <w:vAlign w:val="bottom"/>
          </w:tcPr>
          <w:p>
            <w:pPr>
              <w:pStyle w:val="TableContents"/>
              <w:spacing w:before="0" w:after="0"/>
              <w:ind w:left="0" w:right="0" w:hanging="0"/>
              <w:rPr/>
            </w:pPr>
            <w:r>
              <w:rPr/>
              <w:t> </w:t>
            </w:r>
          </w:p>
        </w:tc>
      </w:tr>
      <w:tr>
        <w:trPr/>
        <w:tc>
          <w:tcPr>
            <w:tcW w:w="57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6" w:type="dxa"/>
            <w:tcBorders/>
            <w:shd w:fill="auto" w:val="clear"/>
            <w:vAlign w:val="bottom"/>
          </w:tcPr>
          <w:p>
            <w:pPr>
              <w:pStyle w:val="TableContents"/>
              <w:spacing w:before="0" w:after="0"/>
              <w:ind w:left="0" w:right="0" w:hanging="0"/>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5" w:type="dxa"/>
            <w:tcBorders/>
            <w:shd w:fill="auto" w:val="clear"/>
            <w:vAlign w:val="bottom"/>
          </w:tcPr>
          <w:p>
            <w:pPr>
              <w:pStyle w:val="TableContents"/>
              <w:spacing w:before="0" w:after="0"/>
              <w:ind w:left="0" w:right="0" w:hanging="0"/>
              <w:rPr/>
            </w:pPr>
            <w:r>
              <w:rPr/>
              <w:t> </w:t>
            </w:r>
          </w:p>
        </w:tc>
      </w:tr>
      <w:tr>
        <w:trPr/>
        <w:tc>
          <w:tcPr>
            <w:tcW w:w="5732"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73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15" w:type="dxa"/>
            <w:tcBorders/>
            <w:shd w:fill="auto" w:val="clear"/>
            <w:vAlign w:val="bottom"/>
          </w:tcPr>
          <w:p>
            <w:pPr>
              <w:pStyle w:val="TableContents"/>
              <w:spacing w:before="0" w:after="0"/>
              <w:ind w:left="0" w:right="0" w:hanging="0"/>
              <w:rPr/>
            </w:pPr>
            <w:r>
              <w:rPr/>
              <w:t> </w:t>
            </w:r>
          </w:p>
        </w:tc>
      </w:tr>
      <w:tr>
        <w:trPr/>
        <w:tc>
          <w:tcPr>
            <w:tcW w:w="5732"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73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 LIMITED PARTNERS</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15" w:type="dxa"/>
            <w:tcBorders/>
            <w:shd w:fill="auto" w:val="clear"/>
            <w:vAlign w:val="bottom"/>
          </w:tcPr>
          <w:p>
            <w:pPr>
              <w:pStyle w:val="TableContents"/>
              <w:spacing w:before="0" w:after="0"/>
              <w:ind w:left="0" w:right="0" w:hanging="0"/>
              <w:rPr/>
            </w:pPr>
            <w:r>
              <w:rPr/>
              <w:t> </w:t>
            </w:r>
          </w:p>
        </w:tc>
      </w:tr>
      <w:tr>
        <w:trPr/>
        <w:tc>
          <w:tcPr>
            <w:tcW w:w="5732"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73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 GENERAL PARTNER</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15" w:type="dxa"/>
            <w:tcBorders/>
            <w:shd w:fill="auto" w:val="clear"/>
            <w:vAlign w:val="bottom"/>
          </w:tcPr>
          <w:p>
            <w:pPr>
              <w:pStyle w:val="TableContents"/>
              <w:spacing w:before="0" w:after="0"/>
              <w:ind w:left="0" w:right="0" w:hanging="0"/>
              <w:rPr/>
            </w:pPr>
            <w:r>
              <w:rPr/>
              <w:t> </w:t>
            </w:r>
          </w:p>
        </w:tc>
      </w:tr>
      <w:tr>
        <w:trPr/>
        <w:tc>
          <w:tcPr>
            <w:tcW w:w="5732"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73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0.79</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0.09</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115" w:type="dxa"/>
            <w:tcBorders/>
            <w:shd w:fill="auto" w:val="clear"/>
            <w:vAlign w:val="bottom"/>
          </w:tcPr>
          <w:p>
            <w:pPr>
              <w:pStyle w:val="TableContents"/>
              <w:spacing w:before="0" w:after="0"/>
              <w:ind w:left="0" w:right="0" w:hanging="0"/>
              <w:rPr/>
            </w:pPr>
            <w:r>
              <w:rPr/>
              <w:t> </w:t>
            </w:r>
          </w:p>
        </w:tc>
      </w:tr>
      <w:tr>
        <w:trPr/>
        <w:tc>
          <w:tcPr>
            <w:tcW w:w="5732"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73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0.78</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0.09</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0.64</w:t>
            </w:r>
          </w:p>
        </w:tc>
        <w:tc>
          <w:tcPr>
            <w:tcW w:w="115" w:type="dxa"/>
            <w:tcBorders/>
            <w:shd w:fill="auto" w:val="clear"/>
            <w:vAlign w:val="bottom"/>
          </w:tcPr>
          <w:p>
            <w:pPr>
              <w:pStyle w:val="TableContents"/>
              <w:spacing w:before="0" w:after="0"/>
              <w:ind w:left="0" w:right="0" w:hanging="0"/>
              <w:rPr/>
            </w:pPr>
            <w:r>
              <w:rPr/>
              <w:t> </w:t>
            </w:r>
          </w:p>
        </w:tc>
      </w:tr>
      <w:tr>
        <w:trPr/>
        <w:tc>
          <w:tcPr>
            <w:tcW w:w="5732"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73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16" w:type="dxa"/>
            <w:tcBorders/>
            <w:shd w:fill="auto" w:val="clear"/>
            <w:vAlign w:val="bottom"/>
          </w:tcPr>
          <w:p>
            <w:pPr>
              <w:pStyle w:val="TableContents"/>
              <w:spacing w:before="0" w:after="0"/>
              <w:ind w:left="0" w:right="0" w:hanging="0"/>
              <w:rPr/>
            </w:pPr>
            <w:r>
              <w:rPr/>
              <w:t> </w:t>
            </w:r>
          </w:p>
        </w:tc>
        <w:tc>
          <w:tcPr>
            <w:tcW w:w="87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15" w:type="dxa"/>
            <w:tcBorders/>
            <w:shd w:fill="auto" w:val="clear"/>
            <w:vAlign w:val="bottom"/>
          </w:tcPr>
          <w:p>
            <w:pPr>
              <w:pStyle w:val="TableContents"/>
              <w:spacing w:before="0" w:after="0"/>
              <w:ind w:left="0" w:right="0" w:hanging="0"/>
              <w:rPr/>
            </w:pPr>
            <w:r>
              <w:rPr/>
              <w:t> </w:t>
            </w:r>
          </w:p>
        </w:tc>
      </w:tr>
      <w:tr>
        <w:trPr/>
        <w:tc>
          <w:tcPr>
            <w:tcW w:w="5732"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73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16" w:type="dxa"/>
            <w:tcBorders/>
            <w:shd w:fill="auto" w:val="clear"/>
            <w:vAlign w:val="bottom"/>
          </w:tcPr>
          <w:p>
            <w:pPr>
              <w:pStyle w:val="TableContents"/>
              <w:spacing w:before="0" w:after="0"/>
              <w:ind w:left="0" w:right="0" w:hanging="0"/>
              <w:rPr/>
            </w:pPr>
            <w:r>
              <w:rPr/>
              <w:t> </w:t>
            </w:r>
          </w:p>
        </w:tc>
        <w:tc>
          <w:tcPr>
            <w:tcW w:w="87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6" w:type="dxa"/>
            <w:tcBorders/>
            <w:shd w:fill="auto" w:val="clear"/>
            <w:vAlign w:val="bottom"/>
          </w:tcPr>
          <w:p>
            <w:pPr>
              <w:pStyle w:val="TableContents"/>
              <w:spacing w:before="0" w:after="0"/>
              <w:ind w:left="0" w:right="0" w:hanging="0"/>
              <w:rPr/>
            </w:pPr>
            <w:r>
              <w:rPr/>
              <w:t> </w:t>
            </w:r>
          </w:p>
        </w:tc>
        <w:tc>
          <w:tcPr>
            <w:tcW w:w="87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1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6"/>
        <w:gridCol w:w="2782"/>
        <w:gridCol w:w="3817"/>
      </w:tblGrid>
      <w:tr>
        <w:trPr/>
        <w:tc>
          <w:tcPr>
            <w:tcW w:w="3606" w:type="dxa"/>
            <w:tcBorders>
              <w:top w:val="single" w:sz="8" w:space="0" w:color="000000"/>
            </w:tcBorders>
            <w:shd w:fill="auto" w:val="clear"/>
          </w:tcPr>
          <w:p>
            <w:pPr>
              <w:pStyle w:val="TableContents"/>
              <w:spacing w:before="0" w:after="0"/>
              <w:ind w:left="0" w:right="0" w:hanging="0"/>
              <w:jc w:val="right"/>
              <w:rPr/>
            </w:pPr>
            <w:r>
              <w:rPr/>
              <w:t> </w:t>
            </w:r>
          </w:p>
        </w:tc>
        <w:tc>
          <w:tcPr>
            <w:tcW w:w="2782" w:type="dxa"/>
            <w:tcBorders>
              <w:top w:val="single" w:sz="8" w:space="0" w:color="000000"/>
            </w:tcBorders>
            <w:shd w:fill="auto" w:val="clear"/>
          </w:tcPr>
          <w:p>
            <w:pPr>
              <w:pStyle w:val="TableContents"/>
              <w:spacing w:before="0" w:after="0"/>
              <w:ind w:left="0" w:right="0" w:hanging="0"/>
              <w:rPr/>
            </w:pPr>
            <w:r>
              <w:rPr/>
              <w:t> </w:t>
            </w:r>
          </w:p>
        </w:tc>
        <w:tc>
          <w:tcPr>
            <w:tcW w:w="3817" w:type="dxa"/>
            <w:tcBorders>
              <w:top w:val="single" w:sz="8" w:space="0" w:color="000000"/>
            </w:tcBorders>
            <w:shd w:fill="auto" w:val="clear"/>
          </w:tcPr>
          <w:p>
            <w:pPr>
              <w:pStyle w:val="TableContents"/>
              <w:spacing w:before="0" w:after="0"/>
              <w:ind w:left="0" w:right="0" w:hanging="0"/>
              <w:rPr/>
            </w:pPr>
            <w:r>
              <w:rPr/>
              <w:t> </w:t>
            </w:r>
          </w:p>
        </w:tc>
      </w:tr>
      <w:tr>
        <w:trPr/>
        <w:tc>
          <w:tcPr>
            <w:tcW w:w="3606"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2"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7"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commentReference w:id="0"/>
      </w: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8</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rPr>
      </w:pPr>
      <w:r>
        <w:rPr>
          <w:rFonts w:ascii="Times New Roman" w:hAnsi="Times New Roman"/>
          <w:b/>
          <w:sz w:val="17"/>
        </w:rPr>
        <w:t>FINANCIAL SUMMARY</w:t>
      </w:r>
      <w:r>
        <w:rPr>
          <w:rFonts w:ascii="Times New Roman" w:hAnsi="Times New Roman"/>
        </w:rPr>
        <w:t xml:space="preserve"> </w:t>
      </w:r>
      <w:r>
        <w:rPr>
          <w:rFonts w:ascii="Times New Roman" w:hAnsi="Times New Roman"/>
          <w:sz w:val="17"/>
        </w:rPr>
        <w:t xml:space="preserve">(unaudited) </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959"/>
        <w:gridCol w:w="3610"/>
        <w:gridCol w:w="206"/>
        <w:gridCol w:w="927"/>
        <w:gridCol w:w="206"/>
        <w:gridCol w:w="928"/>
        <w:gridCol w:w="205"/>
        <w:gridCol w:w="928"/>
        <w:gridCol w:w="205"/>
        <w:gridCol w:w="928"/>
        <w:gridCol w:w="103"/>
      </w:tblGrid>
      <w:tr>
        <w:trPr/>
        <w:tc>
          <w:tcPr>
            <w:tcW w:w="5569" w:type="dxa"/>
            <w:gridSpan w:val="2"/>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061"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5" w:type="dxa"/>
            <w:tcBorders/>
            <w:shd w:fill="auto" w:val="clear"/>
            <w:vAlign w:val="bottom"/>
          </w:tcPr>
          <w:p>
            <w:pPr>
              <w:pStyle w:val="TableContents"/>
              <w:spacing w:before="0" w:after="0"/>
              <w:ind w:left="0" w:right="0" w:hanging="0"/>
              <w:jc w:val="center"/>
              <w:rPr/>
            </w:pPr>
            <w:r>
              <w:rPr/>
              <w:t> </w:t>
            </w:r>
          </w:p>
        </w:tc>
        <w:tc>
          <w:tcPr>
            <w:tcW w:w="2061"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03" w:type="dxa"/>
            <w:tcBorders/>
            <w:shd w:fill="auto" w:val="clear"/>
            <w:vAlign w:val="bottom"/>
          </w:tcPr>
          <w:p>
            <w:pPr>
              <w:pStyle w:val="TableContents"/>
              <w:spacing w:before="0" w:after="0"/>
              <w:ind w:left="0" w:right="0" w:hanging="0"/>
              <w:jc w:val="center"/>
              <w:rPr/>
            </w:pPr>
            <w:r>
              <w:rPr/>
              <w:t> </w:t>
            </w:r>
          </w:p>
        </w:tc>
      </w:tr>
      <w:tr>
        <w:trPr/>
        <w:tc>
          <w:tcPr>
            <w:tcW w:w="5569" w:type="dxa"/>
            <w:gridSpan w:val="2"/>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061"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05" w:type="dxa"/>
            <w:tcBorders/>
            <w:shd w:fill="auto" w:val="clear"/>
            <w:vAlign w:val="bottom"/>
          </w:tcPr>
          <w:p>
            <w:pPr>
              <w:pStyle w:val="TableContents"/>
              <w:spacing w:before="0" w:after="0"/>
              <w:ind w:left="0" w:right="0" w:hanging="0"/>
              <w:jc w:val="center"/>
              <w:rPr/>
            </w:pPr>
            <w:r>
              <w:rPr/>
              <w:t> </w:t>
            </w:r>
          </w:p>
        </w:tc>
        <w:tc>
          <w:tcPr>
            <w:tcW w:w="2061"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03" w:type="dxa"/>
            <w:tcBorders/>
            <w:shd w:fill="auto" w:val="clear"/>
            <w:vAlign w:val="bottom"/>
          </w:tcPr>
          <w:p>
            <w:pPr>
              <w:pStyle w:val="TableContents"/>
              <w:spacing w:before="0" w:after="0"/>
              <w:ind w:left="0" w:right="0" w:hanging="0"/>
              <w:jc w:val="center"/>
              <w:rPr/>
            </w:pPr>
            <w:r>
              <w:rPr/>
              <w:t> </w:t>
            </w:r>
          </w:p>
        </w:tc>
      </w:tr>
      <w:tr>
        <w:trPr/>
        <w:tc>
          <w:tcPr>
            <w:tcW w:w="1959"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OPERATING DATA</w:t>
            </w:r>
            <w:r>
              <w:rPr/>
              <w:t xml:space="preserve"> </w:t>
            </w:r>
            <w:r>
              <w:rPr>
                <w:b/>
                <w:sz w:val="8"/>
              </w:rPr>
              <w:t>(1)</w:t>
            </w:r>
          </w:p>
        </w:tc>
        <w:tc>
          <w:tcPr>
            <w:tcW w:w="3610"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92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6" w:type="dxa"/>
            <w:tcBorders/>
            <w:shd w:fill="auto" w:val="clear"/>
            <w:vAlign w:val="bottom"/>
          </w:tcPr>
          <w:p>
            <w:pPr>
              <w:pStyle w:val="TableContents"/>
              <w:spacing w:before="0" w:after="0"/>
              <w:ind w:left="0" w:right="0" w:hanging="0"/>
              <w:jc w:val="center"/>
              <w:rPr/>
            </w:pPr>
            <w:r>
              <w:rPr/>
              <w:t> </w:t>
            </w:r>
          </w:p>
        </w:tc>
        <w:tc>
          <w:tcPr>
            <w:tcW w:w="92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05" w:type="dxa"/>
            <w:tcBorders/>
            <w:shd w:fill="auto" w:val="clear"/>
            <w:vAlign w:val="bottom"/>
          </w:tcPr>
          <w:p>
            <w:pPr>
              <w:pStyle w:val="TableContents"/>
              <w:spacing w:before="0" w:after="0"/>
              <w:ind w:left="0" w:right="0" w:hanging="0"/>
              <w:jc w:val="center"/>
              <w:rPr/>
            </w:pPr>
            <w:r>
              <w:rPr/>
              <w:t> </w:t>
            </w:r>
          </w:p>
        </w:tc>
        <w:tc>
          <w:tcPr>
            <w:tcW w:w="92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5" w:type="dxa"/>
            <w:tcBorders/>
            <w:shd w:fill="auto" w:val="clear"/>
            <w:vAlign w:val="bottom"/>
          </w:tcPr>
          <w:p>
            <w:pPr>
              <w:pStyle w:val="TableContents"/>
              <w:spacing w:before="0" w:after="0"/>
              <w:ind w:left="0" w:right="0" w:hanging="0"/>
              <w:jc w:val="center"/>
              <w:rPr/>
            </w:pPr>
            <w:r>
              <w:rPr/>
              <w:t> </w:t>
            </w:r>
          </w:p>
        </w:tc>
        <w:tc>
          <w:tcPr>
            <w:tcW w:w="92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03" w:type="dxa"/>
            <w:tcBorders/>
            <w:shd w:fill="auto" w:val="clear"/>
            <w:vAlign w:val="bottom"/>
          </w:tcPr>
          <w:p>
            <w:pPr>
              <w:pStyle w:val="TableContents"/>
              <w:spacing w:before="0" w:after="0"/>
              <w:ind w:left="0" w:right="0" w:hanging="0"/>
              <w:jc w:val="center"/>
              <w:rPr/>
            </w:pPr>
            <w:r>
              <w:rPr/>
              <w:t> </w:t>
            </w:r>
          </w:p>
        </w:tc>
      </w:tr>
      <w:tr>
        <w:trPr/>
        <w:tc>
          <w:tcPr>
            <w:tcW w:w="5569" w:type="dxa"/>
            <w:gridSpan w:val="2"/>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92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pPr>
            <w:r>
              <w:rPr/>
              <w:t> </w:t>
            </w:r>
          </w:p>
        </w:tc>
        <w:tc>
          <w:tcPr>
            <w:tcW w:w="103" w:type="dxa"/>
            <w:tcBorders/>
            <w:shd w:fill="auto" w:val="clear"/>
            <w:vAlign w:val="bottom"/>
          </w:tcPr>
          <w:p>
            <w:pPr>
              <w:pStyle w:val="TableContents"/>
              <w:spacing w:before="0" w:after="0"/>
              <w:ind w:left="0" w:right="0" w:hanging="0"/>
              <w:rPr/>
            </w:pPr>
            <w:r>
              <w:rPr/>
              <w:t> </w:t>
            </w:r>
          </w:p>
        </w:tc>
      </w:tr>
      <w:tr>
        <w:trPr/>
        <w:tc>
          <w:tcPr>
            <w:tcW w:w="5569" w:type="dxa"/>
            <w:gridSpan w:val="2"/>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Transportation activities (Average Daily Volumes, thousands of barrels):</w:t>
            </w:r>
          </w:p>
        </w:tc>
        <w:tc>
          <w:tcPr>
            <w:tcW w:w="206" w:type="dxa"/>
            <w:tcBorders/>
            <w:shd w:fill="CCEEFF" w:val="clear"/>
            <w:vAlign w:val="bottom"/>
          </w:tcPr>
          <w:p>
            <w:pPr>
              <w:pStyle w:val="TableContents"/>
              <w:spacing w:before="0" w:after="0"/>
              <w:ind w:left="0" w:right="0" w:hanging="0"/>
              <w:rPr/>
            </w:pPr>
            <w:r>
              <w:rPr/>
              <w:t> </w:t>
            </w:r>
          </w:p>
        </w:tc>
        <w:tc>
          <w:tcPr>
            <w:tcW w:w="92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103" w:type="dxa"/>
            <w:tcBorders/>
            <w:shd w:fill="CCEEFF" w:val="clear"/>
            <w:vAlign w:val="bottom"/>
          </w:tcPr>
          <w:p>
            <w:pPr>
              <w:pStyle w:val="TableContents"/>
              <w:spacing w:before="0" w:after="0"/>
              <w:ind w:left="0" w:right="0" w:hanging="0"/>
              <w:rPr/>
            </w:pPr>
            <w:r>
              <w:rPr/>
              <w:t> </w:t>
            </w:r>
          </w:p>
        </w:tc>
      </w:tr>
      <w:tr>
        <w:trPr/>
        <w:tc>
          <w:tcPr>
            <w:tcW w:w="556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06" w:type="dxa"/>
            <w:tcBorders/>
            <w:shd w:fill="auto" w:val="clear"/>
            <w:vAlign w:val="bottom"/>
          </w:tcPr>
          <w:p>
            <w:pPr>
              <w:pStyle w:val="TableContents"/>
              <w:spacing w:before="0" w:after="0"/>
              <w:ind w:left="0" w:right="0" w:hanging="0"/>
              <w:rPr/>
            </w:pPr>
            <w:r>
              <w:rPr/>
              <w:t> </w:t>
            </w:r>
          </w:p>
        </w:tc>
        <w:tc>
          <w:tcPr>
            <w:tcW w:w="92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pPr>
            <w:r>
              <w:rPr/>
              <w:t> </w:t>
            </w:r>
          </w:p>
        </w:tc>
        <w:tc>
          <w:tcPr>
            <w:tcW w:w="103" w:type="dxa"/>
            <w:tcBorders/>
            <w:shd w:fill="auto" w:val="clear"/>
            <w:vAlign w:val="bottom"/>
          </w:tcPr>
          <w:p>
            <w:pPr>
              <w:pStyle w:val="TableContents"/>
              <w:spacing w:before="0" w:after="0"/>
              <w:ind w:left="0" w:right="0" w:hanging="0"/>
              <w:rPr/>
            </w:pPr>
            <w:r>
              <w:rPr/>
              <w:t> </w:t>
            </w:r>
          </w:p>
        </w:tc>
      </w:tr>
      <w:tr>
        <w:trPr/>
        <w:tc>
          <w:tcPr>
            <w:tcW w:w="55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6" w:type="dxa"/>
            <w:tcBorders/>
            <w:shd w:fill="CCEEFF" w:val="clear"/>
            <w:vAlign w:val="bottom"/>
          </w:tcPr>
          <w:p>
            <w:pPr>
              <w:pStyle w:val="TableContents"/>
              <w:spacing w:before="0" w:after="0"/>
              <w:ind w:left="0" w:right="0" w:hanging="0"/>
              <w:rPr/>
            </w:pPr>
            <w:r>
              <w:rPr/>
              <w:t> </w:t>
            </w:r>
          </w:p>
        </w:tc>
        <w:tc>
          <w:tcPr>
            <w:tcW w:w="92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03" w:type="dxa"/>
            <w:tcBorders/>
            <w:shd w:fill="CCEEFF" w:val="clear"/>
            <w:vAlign w:val="bottom"/>
          </w:tcPr>
          <w:p>
            <w:pPr>
              <w:pStyle w:val="TableContents"/>
              <w:spacing w:before="0" w:after="0"/>
              <w:ind w:left="0" w:right="0" w:hanging="0"/>
              <w:rPr/>
            </w:pPr>
            <w:r>
              <w:rPr/>
              <w:t> </w:t>
            </w:r>
          </w:p>
        </w:tc>
      </w:tr>
      <w:tr>
        <w:trPr/>
        <w:tc>
          <w:tcPr>
            <w:tcW w:w="556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06" w:type="dxa"/>
            <w:tcBorders/>
            <w:shd w:fill="auto" w:val="clear"/>
            <w:vAlign w:val="bottom"/>
          </w:tcPr>
          <w:p>
            <w:pPr>
              <w:pStyle w:val="TableContents"/>
              <w:spacing w:before="0" w:after="0"/>
              <w:ind w:left="0" w:right="0" w:hanging="0"/>
              <w:rPr/>
            </w:pPr>
            <w:r>
              <w:rPr/>
              <w:t> </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440</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417</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03" w:type="dxa"/>
            <w:tcBorders/>
            <w:shd w:fill="auto" w:val="clear"/>
            <w:vAlign w:val="bottom"/>
          </w:tcPr>
          <w:p>
            <w:pPr>
              <w:pStyle w:val="TableContents"/>
              <w:spacing w:before="0" w:after="0"/>
              <w:ind w:left="0" w:right="0" w:hanging="0"/>
              <w:rPr/>
            </w:pPr>
            <w:r>
              <w:rPr/>
              <w:t> </w:t>
            </w:r>
          </w:p>
        </w:tc>
      </w:tr>
      <w:tr>
        <w:trPr/>
        <w:tc>
          <w:tcPr>
            <w:tcW w:w="55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6" w:type="dxa"/>
            <w:tcBorders/>
            <w:shd w:fill="CCEEFF" w:val="clear"/>
            <w:vAlign w:val="bottom"/>
          </w:tcPr>
          <w:p>
            <w:pPr>
              <w:pStyle w:val="TableContents"/>
              <w:spacing w:before="0" w:after="0"/>
              <w:ind w:left="0" w:right="0" w:hanging="0"/>
              <w:rPr/>
            </w:pPr>
            <w:r>
              <w:rPr/>
              <w:t> </w:t>
            </w:r>
          </w:p>
        </w:tc>
        <w:tc>
          <w:tcPr>
            <w:tcW w:w="92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103" w:type="dxa"/>
            <w:tcBorders/>
            <w:shd w:fill="CCEEFF" w:val="clear"/>
            <w:vAlign w:val="bottom"/>
          </w:tcPr>
          <w:p>
            <w:pPr>
              <w:pStyle w:val="TableContents"/>
              <w:spacing w:before="0" w:after="0"/>
              <w:ind w:left="0" w:right="0" w:hanging="0"/>
              <w:rPr/>
            </w:pPr>
            <w:r>
              <w:rPr/>
              <w:t> </w:t>
            </w:r>
          </w:p>
        </w:tc>
      </w:tr>
      <w:tr>
        <w:trPr/>
        <w:tc>
          <w:tcPr>
            <w:tcW w:w="556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06" w:type="dxa"/>
            <w:tcBorders/>
            <w:shd w:fill="auto" w:val="clear"/>
            <w:vAlign w:val="bottom"/>
          </w:tcPr>
          <w:p>
            <w:pPr>
              <w:pStyle w:val="TableContents"/>
              <w:spacing w:before="0" w:after="0"/>
              <w:ind w:left="0" w:right="0" w:hanging="0"/>
              <w:rPr/>
            </w:pPr>
            <w:r>
              <w:rPr/>
              <w:t> </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03" w:type="dxa"/>
            <w:tcBorders/>
            <w:shd w:fill="auto" w:val="clear"/>
            <w:vAlign w:val="bottom"/>
          </w:tcPr>
          <w:p>
            <w:pPr>
              <w:pStyle w:val="TableContents"/>
              <w:spacing w:before="0" w:after="0"/>
              <w:ind w:left="0" w:right="0" w:hanging="0"/>
              <w:rPr/>
            </w:pPr>
            <w:r>
              <w:rPr/>
              <w:t> </w:t>
            </w:r>
          </w:p>
        </w:tc>
      </w:tr>
      <w:tr>
        <w:trPr/>
        <w:tc>
          <w:tcPr>
            <w:tcW w:w="5569" w:type="dxa"/>
            <w:gridSpan w:val="2"/>
            <w:tcBorders/>
            <w:shd w:fill="CCEEFF" w:val="clear"/>
            <w:vAlign w:val="bottom"/>
          </w:tcPr>
          <w:p>
            <w:pPr>
              <w:pStyle w:val="TableContents"/>
              <w:spacing w:before="0" w:after="0"/>
              <w:ind w:left="0" w:right="0" w:hanging="0"/>
              <w:rPr/>
            </w:pPr>
            <w:r>
              <w:rPr>
                <w:rFonts w:ascii="Times New Roman" w:hAnsi="Times New Roman"/>
                <w:sz w:val="17"/>
              </w:rPr>
              <w:t xml:space="preserve">Salt Lake City Area Systems </w:t>
            </w:r>
            <w:r>
              <w:rPr>
                <w:sz w:val="11"/>
              </w:rPr>
              <w:t>(2)</w:t>
            </w:r>
          </w:p>
        </w:tc>
        <w:tc>
          <w:tcPr>
            <w:tcW w:w="206" w:type="dxa"/>
            <w:tcBorders/>
            <w:shd w:fill="CCEEFF" w:val="clear"/>
            <w:vAlign w:val="bottom"/>
          </w:tcPr>
          <w:p>
            <w:pPr>
              <w:pStyle w:val="TableContents"/>
              <w:spacing w:before="0" w:after="0"/>
              <w:ind w:left="0" w:right="0" w:hanging="0"/>
              <w:rPr/>
            </w:pPr>
            <w:r>
              <w:rPr/>
              <w:t> </w:t>
            </w:r>
          </w:p>
        </w:tc>
        <w:tc>
          <w:tcPr>
            <w:tcW w:w="92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103" w:type="dxa"/>
            <w:tcBorders/>
            <w:shd w:fill="CCEEFF" w:val="clear"/>
            <w:vAlign w:val="bottom"/>
          </w:tcPr>
          <w:p>
            <w:pPr>
              <w:pStyle w:val="TableContents"/>
              <w:spacing w:before="0" w:after="0"/>
              <w:ind w:left="0" w:right="0" w:hanging="0"/>
              <w:rPr/>
            </w:pPr>
            <w:r>
              <w:rPr/>
              <w:t> </w:t>
            </w:r>
          </w:p>
        </w:tc>
      </w:tr>
      <w:tr>
        <w:trPr/>
        <w:tc>
          <w:tcPr>
            <w:tcW w:w="5569" w:type="dxa"/>
            <w:gridSpan w:val="2"/>
            <w:tcBorders/>
            <w:shd w:fill="auto" w:val="clear"/>
            <w:vAlign w:val="bottom"/>
          </w:tcPr>
          <w:p>
            <w:pPr>
              <w:pStyle w:val="TableContents"/>
              <w:spacing w:before="0" w:after="0"/>
              <w:ind w:left="0" w:right="0" w:hanging="0"/>
              <w:rPr/>
            </w:pPr>
            <w:r>
              <w:rPr>
                <w:rFonts w:ascii="Times New Roman" w:hAnsi="Times New Roman"/>
                <w:sz w:val="17"/>
              </w:rPr>
              <w:t xml:space="preserve">West Texas/New Mexico Area Systems </w:t>
            </w:r>
            <w:r>
              <w:rPr>
                <w:sz w:val="11"/>
              </w:rPr>
              <w:t>(2)</w:t>
            </w:r>
          </w:p>
        </w:tc>
        <w:tc>
          <w:tcPr>
            <w:tcW w:w="206" w:type="dxa"/>
            <w:tcBorders/>
            <w:shd w:fill="auto" w:val="clear"/>
            <w:vAlign w:val="bottom"/>
          </w:tcPr>
          <w:p>
            <w:pPr>
              <w:pStyle w:val="TableContents"/>
              <w:spacing w:before="0" w:after="0"/>
              <w:ind w:left="0" w:right="0" w:hanging="0"/>
              <w:rPr/>
            </w:pPr>
            <w:r>
              <w:rPr/>
              <w:t> </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374</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384</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w:t>
            </w:r>
          </w:p>
        </w:tc>
        <w:tc>
          <w:tcPr>
            <w:tcW w:w="103" w:type="dxa"/>
            <w:tcBorders/>
            <w:shd w:fill="auto" w:val="clear"/>
            <w:vAlign w:val="bottom"/>
          </w:tcPr>
          <w:p>
            <w:pPr>
              <w:pStyle w:val="TableContents"/>
              <w:spacing w:before="0" w:after="0"/>
              <w:ind w:left="0" w:right="0" w:hanging="0"/>
              <w:rPr/>
            </w:pPr>
            <w:r>
              <w:rPr/>
              <w:t> </w:t>
            </w:r>
          </w:p>
        </w:tc>
      </w:tr>
      <w:tr>
        <w:trPr/>
        <w:tc>
          <w:tcPr>
            <w:tcW w:w="55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6" w:type="dxa"/>
            <w:tcBorders/>
            <w:shd w:fill="CCEEFF" w:val="clear"/>
            <w:vAlign w:val="bottom"/>
          </w:tcPr>
          <w:p>
            <w:pPr>
              <w:pStyle w:val="TableContents"/>
              <w:spacing w:before="0" w:after="0"/>
              <w:ind w:left="0" w:right="0" w:hanging="0"/>
              <w:rPr/>
            </w:pPr>
            <w:r>
              <w:rPr/>
              <w:t> </w:t>
            </w:r>
          </w:p>
        </w:tc>
        <w:tc>
          <w:tcPr>
            <w:tcW w:w="92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103" w:type="dxa"/>
            <w:tcBorders/>
            <w:shd w:fill="CCEEFF" w:val="clear"/>
            <w:vAlign w:val="bottom"/>
          </w:tcPr>
          <w:p>
            <w:pPr>
              <w:pStyle w:val="TableContents"/>
              <w:spacing w:before="0" w:after="0"/>
              <w:ind w:left="0" w:right="0" w:hanging="0"/>
              <w:rPr/>
            </w:pPr>
            <w:r>
              <w:rPr/>
              <w:t> </w:t>
            </w:r>
          </w:p>
        </w:tc>
      </w:tr>
      <w:tr>
        <w:trPr/>
        <w:tc>
          <w:tcPr>
            <w:tcW w:w="556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6" w:type="dxa"/>
            <w:tcBorders/>
            <w:shd w:fill="auto" w:val="clear"/>
            <w:vAlign w:val="bottom"/>
          </w:tcPr>
          <w:p>
            <w:pPr>
              <w:pStyle w:val="TableContents"/>
              <w:spacing w:before="0" w:after="0"/>
              <w:ind w:left="0" w:right="0" w:hanging="0"/>
              <w:rPr/>
            </w:pPr>
            <w:r>
              <w:rPr/>
              <w:t> </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03" w:type="dxa"/>
            <w:tcBorders/>
            <w:shd w:fill="auto" w:val="clear"/>
            <w:vAlign w:val="bottom"/>
          </w:tcPr>
          <w:p>
            <w:pPr>
              <w:pStyle w:val="TableContents"/>
              <w:spacing w:before="0" w:after="0"/>
              <w:ind w:left="0" w:right="0" w:hanging="0"/>
              <w:rPr/>
            </w:pPr>
            <w:r>
              <w:rPr/>
              <w:t> </w:t>
            </w:r>
          </w:p>
        </w:tc>
      </w:tr>
      <w:tr>
        <w:trPr/>
        <w:tc>
          <w:tcPr>
            <w:tcW w:w="55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6" w:type="dxa"/>
            <w:tcBorders/>
            <w:shd w:fill="CCEEFF" w:val="clear"/>
            <w:vAlign w:val="bottom"/>
          </w:tcPr>
          <w:p>
            <w:pPr>
              <w:pStyle w:val="TableContents"/>
              <w:spacing w:before="0" w:after="0"/>
              <w:ind w:left="0" w:right="0" w:hanging="0"/>
              <w:rPr/>
            </w:pPr>
            <w:r>
              <w:rPr/>
              <w:t> </w:t>
            </w:r>
          </w:p>
        </w:tc>
        <w:tc>
          <w:tcPr>
            <w:tcW w:w="92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03" w:type="dxa"/>
            <w:tcBorders/>
            <w:shd w:fill="CCEEFF" w:val="clear"/>
            <w:vAlign w:val="bottom"/>
          </w:tcPr>
          <w:p>
            <w:pPr>
              <w:pStyle w:val="TableContents"/>
              <w:spacing w:before="0" w:after="0"/>
              <w:ind w:left="0" w:right="0" w:hanging="0"/>
              <w:rPr/>
            </w:pPr>
            <w:r>
              <w:rPr/>
              <w:t> </w:t>
            </w:r>
          </w:p>
        </w:tc>
      </w:tr>
      <w:tr>
        <w:trPr/>
        <w:tc>
          <w:tcPr>
            <w:tcW w:w="556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06" w:type="dxa"/>
            <w:tcBorders/>
            <w:shd w:fill="auto" w:val="clear"/>
            <w:vAlign w:val="bottom"/>
          </w:tcPr>
          <w:p>
            <w:pPr>
              <w:pStyle w:val="TableContents"/>
              <w:spacing w:before="0" w:after="0"/>
              <w:ind w:left="0" w:right="0" w:hanging="0"/>
              <w:rPr/>
            </w:pPr>
            <w:r>
              <w:rPr/>
              <w:t> </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03" w:type="dxa"/>
            <w:tcBorders/>
            <w:shd w:fill="auto" w:val="clear"/>
            <w:vAlign w:val="bottom"/>
          </w:tcPr>
          <w:p>
            <w:pPr>
              <w:pStyle w:val="TableContents"/>
              <w:spacing w:before="0" w:after="0"/>
              <w:ind w:left="0" w:right="0" w:hanging="0"/>
              <w:rPr/>
            </w:pPr>
            <w:r>
              <w:rPr/>
              <w:t> </w:t>
            </w:r>
          </w:p>
        </w:tc>
      </w:tr>
      <w:tr>
        <w:trPr/>
        <w:tc>
          <w:tcPr>
            <w:tcW w:w="55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6" w:type="dxa"/>
            <w:tcBorders/>
            <w:shd w:fill="CCEEFF" w:val="clear"/>
            <w:vAlign w:val="bottom"/>
          </w:tcPr>
          <w:p>
            <w:pPr>
              <w:pStyle w:val="TableContents"/>
              <w:spacing w:before="0" w:after="0"/>
              <w:ind w:left="0" w:right="0" w:hanging="0"/>
              <w:rPr/>
            </w:pPr>
            <w:r>
              <w:rPr/>
              <w:t> </w:t>
            </w:r>
          </w:p>
        </w:tc>
        <w:tc>
          <w:tcPr>
            <w:tcW w:w="92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1,260</w:t>
            </w:r>
          </w:p>
        </w:tc>
        <w:tc>
          <w:tcPr>
            <w:tcW w:w="206" w:type="dxa"/>
            <w:tcBorders/>
            <w:shd w:fill="CCEEFF" w:val="clear"/>
            <w:vAlign w:val="bottom"/>
          </w:tcPr>
          <w:p>
            <w:pPr>
              <w:pStyle w:val="TableContents"/>
              <w:spacing w:before="0" w:after="0"/>
              <w:ind w:left="0" w:right="0" w:hanging="0"/>
              <w:rPr/>
            </w:pPr>
            <w:r>
              <w:rPr/>
              <w:t> </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1,274</w:t>
            </w:r>
          </w:p>
        </w:tc>
        <w:tc>
          <w:tcPr>
            <w:tcW w:w="205" w:type="dxa"/>
            <w:tcBorders/>
            <w:shd w:fill="CCEEFF" w:val="clear"/>
            <w:vAlign w:val="bottom"/>
          </w:tcPr>
          <w:p>
            <w:pPr>
              <w:pStyle w:val="TableContents"/>
              <w:spacing w:before="0" w:after="0"/>
              <w:ind w:left="0" w:right="0" w:hanging="0"/>
              <w:rPr/>
            </w:pPr>
            <w:r>
              <w:rPr/>
              <w:t> </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1,201</w:t>
            </w:r>
          </w:p>
        </w:tc>
        <w:tc>
          <w:tcPr>
            <w:tcW w:w="205" w:type="dxa"/>
            <w:tcBorders/>
            <w:shd w:fill="CCEEFF" w:val="clear"/>
            <w:vAlign w:val="bottom"/>
          </w:tcPr>
          <w:p>
            <w:pPr>
              <w:pStyle w:val="TableContents"/>
              <w:spacing w:before="0" w:after="0"/>
              <w:ind w:left="0" w:right="0" w:hanging="0"/>
              <w:rPr/>
            </w:pPr>
            <w:r>
              <w:rPr/>
              <w:t> </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1,242</w:t>
            </w:r>
          </w:p>
        </w:tc>
        <w:tc>
          <w:tcPr>
            <w:tcW w:w="103" w:type="dxa"/>
            <w:tcBorders/>
            <w:shd w:fill="CCEEFF" w:val="clear"/>
            <w:vAlign w:val="bottom"/>
          </w:tcPr>
          <w:p>
            <w:pPr>
              <w:pStyle w:val="TableContents"/>
              <w:spacing w:before="0" w:after="0"/>
              <w:ind w:left="0" w:right="0" w:hanging="0"/>
              <w:rPr/>
            </w:pPr>
            <w:r>
              <w:rPr/>
              <w:t> </w:t>
            </w:r>
          </w:p>
        </w:tc>
      </w:tr>
      <w:tr>
        <w:trPr/>
        <w:tc>
          <w:tcPr>
            <w:tcW w:w="556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06" w:type="dxa"/>
            <w:tcBorders/>
            <w:shd w:fill="auto" w:val="clear"/>
            <w:vAlign w:val="bottom"/>
          </w:tcPr>
          <w:p>
            <w:pPr>
              <w:pStyle w:val="TableContents"/>
              <w:spacing w:before="0" w:after="0"/>
              <w:ind w:left="0" w:right="0" w:hanging="0"/>
              <w:rPr/>
            </w:pPr>
            <w:r>
              <w:rPr/>
              <w:t> </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2,990</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2,949</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2,901</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2,805</w:t>
            </w:r>
          </w:p>
        </w:tc>
        <w:tc>
          <w:tcPr>
            <w:tcW w:w="103" w:type="dxa"/>
            <w:tcBorders/>
            <w:shd w:fill="auto" w:val="clear"/>
            <w:vAlign w:val="bottom"/>
          </w:tcPr>
          <w:p>
            <w:pPr>
              <w:pStyle w:val="TableContents"/>
              <w:spacing w:before="0" w:after="0"/>
              <w:ind w:left="0" w:right="0" w:hanging="0"/>
              <w:rPr/>
            </w:pPr>
            <w:r>
              <w:rPr/>
              <w:t> </w:t>
            </w:r>
          </w:p>
        </w:tc>
      </w:tr>
      <w:tr>
        <w:trPr/>
        <w:tc>
          <w:tcPr>
            <w:tcW w:w="55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6" w:type="dxa"/>
            <w:tcBorders/>
            <w:shd w:fill="CCEEFF" w:val="clear"/>
            <w:vAlign w:val="bottom"/>
          </w:tcPr>
          <w:p>
            <w:pPr>
              <w:pStyle w:val="TableContents"/>
              <w:spacing w:before="0" w:after="0"/>
              <w:ind w:left="0" w:right="0" w:hanging="0"/>
              <w:rPr/>
            </w:pPr>
            <w:r>
              <w:rPr/>
              <w:t> </w:t>
            </w:r>
          </w:p>
        </w:tc>
        <w:tc>
          <w:tcPr>
            <w:tcW w:w="92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06" w:type="dxa"/>
            <w:tcBorders/>
            <w:shd w:fill="CCEEFF" w:val="clear"/>
            <w:vAlign w:val="bottom"/>
          </w:tcPr>
          <w:p>
            <w:pPr>
              <w:pStyle w:val="TableContents"/>
              <w:spacing w:before="0" w:after="0"/>
              <w:ind w:left="0" w:right="0" w:hanging="0"/>
              <w:rPr/>
            </w:pPr>
            <w:r>
              <w:rPr/>
              <w:t> </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05" w:type="dxa"/>
            <w:tcBorders/>
            <w:shd w:fill="CCEEFF" w:val="clear"/>
            <w:vAlign w:val="bottom"/>
          </w:tcPr>
          <w:p>
            <w:pPr>
              <w:pStyle w:val="TableContents"/>
              <w:spacing w:before="0" w:after="0"/>
              <w:ind w:left="0" w:right="0" w:hanging="0"/>
              <w:rPr/>
            </w:pPr>
            <w:r>
              <w:rPr/>
              <w:t> </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05" w:type="dxa"/>
            <w:tcBorders/>
            <w:shd w:fill="CCEEFF" w:val="clear"/>
            <w:vAlign w:val="bottom"/>
          </w:tcPr>
          <w:p>
            <w:pPr>
              <w:pStyle w:val="TableContents"/>
              <w:spacing w:before="0" w:after="0"/>
              <w:ind w:left="0" w:right="0" w:hanging="0"/>
              <w:rPr/>
            </w:pPr>
            <w:r>
              <w:rPr/>
              <w:t> </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03" w:type="dxa"/>
            <w:tcBorders/>
            <w:shd w:fill="CCEEFF" w:val="clear"/>
            <w:vAlign w:val="bottom"/>
          </w:tcPr>
          <w:p>
            <w:pPr>
              <w:pStyle w:val="TableContents"/>
              <w:spacing w:before="0" w:after="0"/>
              <w:ind w:left="0" w:right="0" w:hanging="0"/>
              <w:rPr/>
            </w:pPr>
            <w:r>
              <w:rPr/>
              <w:t> </w:t>
            </w:r>
          </w:p>
        </w:tc>
      </w:tr>
      <w:tr>
        <w:trPr/>
        <w:tc>
          <w:tcPr>
            <w:tcW w:w="556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activities total</w:t>
            </w:r>
          </w:p>
        </w:tc>
        <w:tc>
          <w:tcPr>
            <w:tcW w:w="206" w:type="dxa"/>
            <w:tcBorders/>
            <w:shd w:fill="auto" w:val="clear"/>
            <w:vAlign w:val="bottom"/>
          </w:tcPr>
          <w:p>
            <w:pPr>
              <w:pStyle w:val="TableContents"/>
              <w:spacing w:before="0" w:after="0"/>
              <w:ind w:left="0" w:right="0" w:hanging="0"/>
              <w:rPr/>
            </w:pPr>
            <w:r>
              <w:rPr/>
              <w:t> </w:t>
            </w:r>
          </w:p>
        </w:tc>
        <w:tc>
          <w:tcPr>
            <w:tcW w:w="9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3,074</w:t>
            </w:r>
          </w:p>
        </w:tc>
        <w:tc>
          <w:tcPr>
            <w:tcW w:w="206" w:type="dxa"/>
            <w:tcBorders/>
            <w:shd w:fill="auto" w:val="clear"/>
            <w:vAlign w:val="bottom"/>
          </w:tcPr>
          <w:p>
            <w:pPr>
              <w:pStyle w:val="TableContents"/>
              <w:spacing w:before="0" w:after="0"/>
              <w:ind w:left="0" w:right="0" w:hanging="0"/>
              <w:rPr/>
            </w:pPr>
            <w:r>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3,038</w:t>
            </w:r>
          </w:p>
        </w:tc>
        <w:tc>
          <w:tcPr>
            <w:tcW w:w="205" w:type="dxa"/>
            <w:tcBorders/>
            <w:shd w:fill="auto" w:val="clear"/>
            <w:vAlign w:val="bottom"/>
          </w:tcPr>
          <w:p>
            <w:pPr>
              <w:pStyle w:val="TableContents"/>
              <w:spacing w:before="0" w:after="0"/>
              <w:ind w:left="0" w:right="0" w:hanging="0"/>
              <w:rPr/>
            </w:pPr>
            <w:r>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2,987</w:t>
            </w:r>
          </w:p>
        </w:tc>
        <w:tc>
          <w:tcPr>
            <w:tcW w:w="205" w:type="dxa"/>
            <w:tcBorders/>
            <w:shd w:fill="auto" w:val="clear"/>
            <w:vAlign w:val="bottom"/>
          </w:tcPr>
          <w:p>
            <w:pPr>
              <w:pStyle w:val="TableContents"/>
              <w:spacing w:before="0" w:after="0"/>
              <w:ind w:left="0" w:right="0" w:hanging="0"/>
              <w:rPr/>
            </w:pPr>
            <w:r>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2,898</w:t>
            </w:r>
          </w:p>
        </w:tc>
        <w:tc>
          <w:tcPr>
            <w:tcW w:w="103" w:type="dxa"/>
            <w:tcBorders/>
            <w:shd w:fill="auto" w:val="clear"/>
            <w:vAlign w:val="bottom"/>
          </w:tcPr>
          <w:p>
            <w:pPr>
              <w:pStyle w:val="TableContents"/>
              <w:spacing w:before="0" w:after="0"/>
              <w:ind w:left="0" w:right="0" w:hanging="0"/>
              <w:rPr/>
            </w:pPr>
            <w:r>
              <w:rPr/>
              <w:t> </w:t>
            </w:r>
          </w:p>
        </w:tc>
      </w:tr>
      <w:tr>
        <w:trPr/>
        <w:tc>
          <w:tcPr>
            <w:tcW w:w="5569" w:type="dxa"/>
            <w:gridSpan w:val="2"/>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92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103" w:type="dxa"/>
            <w:tcBorders/>
            <w:shd w:fill="CCEEFF" w:val="clear"/>
            <w:vAlign w:val="bottom"/>
          </w:tcPr>
          <w:p>
            <w:pPr>
              <w:pStyle w:val="TableContents"/>
              <w:spacing w:before="0" w:after="0"/>
              <w:ind w:left="0" w:right="0" w:hanging="0"/>
              <w:rPr/>
            </w:pPr>
            <w:r>
              <w:rPr/>
              <w:t> </w:t>
            </w:r>
          </w:p>
        </w:tc>
      </w:tr>
      <w:tr>
        <w:trPr/>
        <w:tc>
          <w:tcPr>
            <w:tcW w:w="5569" w:type="dxa"/>
            <w:gridSpan w:val="2"/>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Facilities activities (Average Monthly Volumes):</w:t>
            </w:r>
          </w:p>
        </w:tc>
        <w:tc>
          <w:tcPr>
            <w:tcW w:w="206" w:type="dxa"/>
            <w:tcBorders/>
            <w:shd w:fill="auto" w:val="clear"/>
            <w:vAlign w:val="bottom"/>
          </w:tcPr>
          <w:p>
            <w:pPr>
              <w:pStyle w:val="TableContents"/>
              <w:spacing w:before="0" w:after="0"/>
              <w:ind w:left="0" w:right="0" w:hanging="0"/>
              <w:rPr/>
            </w:pPr>
            <w:r>
              <w:rPr/>
              <w:t> </w:t>
            </w:r>
          </w:p>
        </w:tc>
        <w:tc>
          <w:tcPr>
            <w:tcW w:w="92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pPr>
            <w:r>
              <w:rPr/>
              <w:t> </w:t>
            </w:r>
          </w:p>
        </w:tc>
        <w:tc>
          <w:tcPr>
            <w:tcW w:w="103" w:type="dxa"/>
            <w:tcBorders/>
            <w:shd w:fill="auto" w:val="clear"/>
            <w:vAlign w:val="bottom"/>
          </w:tcPr>
          <w:p>
            <w:pPr>
              <w:pStyle w:val="TableContents"/>
              <w:spacing w:before="0" w:after="0"/>
              <w:ind w:left="0" w:right="0" w:hanging="0"/>
              <w:rPr/>
            </w:pPr>
            <w:r>
              <w:rPr/>
              <w:t> </w:t>
            </w:r>
          </w:p>
        </w:tc>
      </w:tr>
      <w:tr>
        <w:trPr/>
        <w:tc>
          <w:tcPr>
            <w:tcW w:w="5569" w:type="dxa"/>
            <w:gridSpan w:val="2"/>
            <w:tcBorders/>
            <w:shd w:fill="CCEEFF" w:val="clear"/>
            <w:vAlign w:val="bottom"/>
          </w:tcPr>
          <w:p>
            <w:pPr>
              <w:pStyle w:val="TableContents"/>
              <w:spacing w:before="0" w:after="0"/>
              <w:ind w:left="0" w:right="0" w:hanging="0"/>
              <w:rPr/>
            </w:pPr>
            <w:r>
              <w:rPr>
                <w:rFonts w:ascii="Times New Roman" w:hAnsi="Times New Roman"/>
                <w:sz w:val="17"/>
              </w:rPr>
              <w:t>Crude oil, refined products and LPG storage</w:t>
            </w:r>
            <w:r>
              <w:rPr/>
              <w:t xml:space="preserve"> </w:t>
            </w:r>
            <w:r>
              <w:rPr>
                <w:sz w:val="17"/>
              </w:rPr>
              <w:t>(average monthly capacity in millions of barrels)</w:t>
            </w:r>
          </w:p>
        </w:tc>
        <w:tc>
          <w:tcPr>
            <w:tcW w:w="206" w:type="dxa"/>
            <w:tcBorders/>
            <w:shd w:fill="CCEEFF" w:val="clear"/>
            <w:vAlign w:val="bottom"/>
          </w:tcPr>
          <w:p>
            <w:pPr>
              <w:pStyle w:val="TableContents"/>
              <w:spacing w:before="0" w:after="0"/>
              <w:ind w:left="0" w:right="0" w:hanging="0"/>
              <w:rPr/>
            </w:pPr>
            <w:r>
              <w:rPr/>
              <w:t> </w:t>
            </w:r>
          </w:p>
        </w:tc>
        <w:tc>
          <w:tcPr>
            <w:tcW w:w="9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06" w:type="dxa"/>
            <w:tcBorders/>
            <w:shd w:fill="CCEEFF" w:val="clear"/>
            <w:vAlign w:val="bottom"/>
          </w:tcPr>
          <w:p>
            <w:pPr>
              <w:pStyle w:val="TableContents"/>
              <w:spacing w:before="0" w:after="0"/>
              <w:ind w:left="0" w:right="0" w:hanging="0"/>
              <w:rPr/>
            </w:pPr>
            <w:r>
              <w:rPr/>
              <w:t> </w:t>
            </w:r>
          </w:p>
        </w:tc>
        <w:tc>
          <w:tcPr>
            <w:tcW w:w="9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05" w:type="dxa"/>
            <w:tcBorders/>
            <w:shd w:fill="CCEEFF" w:val="clear"/>
            <w:vAlign w:val="bottom"/>
          </w:tcPr>
          <w:p>
            <w:pPr>
              <w:pStyle w:val="TableContents"/>
              <w:spacing w:before="0" w:after="0"/>
              <w:ind w:left="0" w:right="0" w:hanging="0"/>
              <w:rPr/>
            </w:pPr>
            <w:r>
              <w:rPr/>
              <w:t> </w:t>
            </w:r>
          </w:p>
        </w:tc>
        <w:tc>
          <w:tcPr>
            <w:tcW w:w="9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05" w:type="dxa"/>
            <w:tcBorders/>
            <w:shd w:fill="CCEEFF" w:val="clear"/>
            <w:vAlign w:val="bottom"/>
          </w:tcPr>
          <w:p>
            <w:pPr>
              <w:pStyle w:val="TableContents"/>
              <w:spacing w:before="0" w:after="0"/>
              <w:ind w:left="0" w:right="0" w:hanging="0"/>
              <w:rPr/>
            </w:pPr>
            <w:r>
              <w:rPr/>
              <w:t> </w:t>
            </w:r>
          </w:p>
        </w:tc>
        <w:tc>
          <w:tcPr>
            <w:tcW w:w="9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03" w:type="dxa"/>
            <w:tcBorders/>
            <w:shd w:fill="CCEEFF" w:val="clear"/>
            <w:vAlign w:val="bottom"/>
          </w:tcPr>
          <w:p>
            <w:pPr>
              <w:pStyle w:val="TableContents"/>
              <w:spacing w:before="0" w:after="0"/>
              <w:ind w:left="0" w:right="0" w:hanging="0"/>
              <w:rPr/>
            </w:pPr>
            <w:r>
              <w:rPr/>
              <w:t> </w:t>
            </w:r>
          </w:p>
        </w:tc>
      </w:tr>
      <w:tr>
        <w:trPr/>
        <w:tc>
          <w:tcPr>
            <w:tcW w:w="5569" w:type="dxa"/>
            <w:gridSpan w:val="2"/>
            <w:tcBorders/>
            <w:shd w:fill="auto" w:val="clear"/>
            <w:vAlign w:val="bottom"/>
          </w:tcPr>
          <w:p>
            <w:pPr>
              <w:pStyle w:val="TableContents"/>
              <w:spacing w:before="0" w:after="0"/>
              <w:ind w:left="0" w:right="0" w:hanging="0"/>
              <w:rPr/>
            </w:pPr>
            <w:r>
              <w:rPr>
                <w:rFonts w:ascii="Times New Roman" w:hAnsi="Times New Roman"/>
                <w:sz w:val="17"/>
              </w:rPr>
              <w:t>Natural gas storage, net to our 50% interest</w:t>
            </w:r>
            <w:r>
              <w:rPr/>
              <w:t xml:space="preserve"> </w:t>
            </w:r>
            <w:r>
              <w:rPr>
                <w:sz w:val="17"/>
              </w:rPr>
              <w:t>(average monthly capacity in billions of cubic feet)</w:t>
            </w:r>
          </w:p>
        </w:tc>
        <w:tc>
          <w:tcPr>
            <w:tcW w:w="206" w:type="dxa"/>
            <w:tcBorders/>
            <w:shd w:fill="auto" w:val="clear"/>
            <w:vAlign w:val="bottom"/>
          </w:tcPr>
          <w:p>
            <w:pPr>
              <w:pStyle w:val="TableContents"/>
              <w:spacing w:before="0" w:after="0"/>
              <w:ind w:left="0" w:right="0" w:hanging="0"/>
              <w:rPr/>
            </w:pPr>
            <w:r>
              <w:rPr/>
              <w:t> </w:t>
            </w:r>
          </w:p>
        </w:tc>
        <w:tc>
          <w:tcPr>
            <w:tcW w:w="9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6" w:type="dxa"/>
            <w:tcBorders/>
            <w:shd w:fill="auto" w:val="clear"/>
            <w:vAlign w:val="bottom"/>
          </w:tcPr>
          <w:p>
            <w:pPr>
              <w:pStyle w:val="TableContents"/>
              <w:spacing w:before="0" w:after="0"/>
              <w:ind w:left="0" w:right="0" w:hanging="0"/>
              <w:rPr/>
            </w:pPr>
            <w:r>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5" w:type="dxa"/>
            <w:tcBorders/>
            <w:shd w:fill="auto" w:val="clear"/>
            <w:vAlign w:val="bottom"/>
          </w:tcPr>
          <w:p>
            <w:pPr>
              <w:pStyle w:val="TableContents"/>
              <w:spacing w:before="0" w:after="0"/>
              <w:ind w:left="0" w:right="0" w:hanging="0"/>
              <w:rPr/>
            </w:pPr>
            <w:r>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05" w:type="dxa"/>
            <w:tcBorders/>
            <w:shd w:fill="auto" w:val="clear"/>
            <w:vAlign w:val="bottom"/>
          </w:tcPr>
          <w:p>
            <w:pPr>
              <w:pStyle w:val="TableContents"/>
              <w:spacing w:before="0" w:after="0"/>
              <w:ind w:left="0" w:right="0" w:hanging="0"/>
              <w:rPr/>
            </w:pPr>
            <w:r>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03" w:type="dxa"/>
            <w:tcBorders/>
            <w:shd w:fill="auto" w:val="clear"/>
            <w:vAlign w:val="bottom"/>
          </w:tcPr>
          <w:p>
            <w:pPr>
              <w:pStyle w:val="TableContents"/>
              <w:spacing w:before="0" w:after="0"/>
              <w:ind w:left="0" w:right="0" w:hanging="0"/>
              <w:rPr/>
            </w:pPr>
            <w:r>
              <w:rPr/>
              <w:t> </w:t>
            </w:r>
          </w:p>
        </w:tc>
      </w:tr>
      <w:tr>
        <w:trPr/>
        <w:tc>
          <w:tcPr>
            <w:tcW w:w="5569" w:type="dxa"/>
            <w:gridSpan w:val="2"/>
            <w:tcBorders/>
            <w:shd w:fill="CCEEFF" w:val="clear"/>
            <w:vAlign w:val="bottom"/>
          </w:tcPr>
          <w:p>
            <w:pPr>
              <w:pStyle w:val="TableContents"/>
              <w:spacing w:before="0" w:after="0"/>
              <w:ind w:left="0" w:right="0" w:hanging="0"/>
              <w:rPr/>
            </w:pPr>
            <w:r>
              <w:rPr>
                <w:rFonts w:ascii="Times New Roman" w:hAnsi="Times New Roman"/>
                <w:sz w:val="17"/>
              </w:rPr>
              <w:t>LPG processing</w:t>
            </w:r>
            <w:r>
              <w:rPr/>
              <w:t xml:space="preserve"> </w:t>
            </w:r>
            <w:r>
              <w:rPr>
                <w:sz w:val="17"/>
              </w:rPr>
              <w:t>(average throughput in thousands of barrels per day)</w:t>
            </w:r>
          </w:p>
        </w:tc>
        <w:tc>
          <w:tcPr>
            <w:tcW w:w="206" w:type="dxa"/>
            <w:tcBorders/>
            <w:shd w:fill="CCEEFF" w:val="clear"/>
            <w:vAlign w:val="bottom"/>
          </w:tcPr>
          <w:p>
            <w:pPr>
              <w:pStyle w:val="TableContents"/>
              <w:spacing w:before="0" w:after="0"/>
              <w:ind w:left="0" w:right="0" w:hanging="0"/>
              <w:rPr/>
            </w:pPr>
            <w:r>
              <w:rPr/>
              <w:t> </w:t>
            </w:r>
          </w:p>
        </w:tc>
        <w:tc>
          <w:tcPr>
            <w:tcW w:w="9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6" w:type="dxa"/>
            <w:tcBorders/>
            <w:shd w:fill="CCEEFF" w:val="clear"/>
            <w:vAlign w:val="bottom"/>
          </w:tcPr>
          <w:p>
            <w:pPr>
              <w:pStyle w:val="TableContents"/>
              <w:spacing w:before="0" w:after="0"/>
              <w:ind w:left="0" w:right="0" w:hanging="0"/>
              <w:rPr/>
            </w:pPr>
            <w:r>
              <w:rPr/>
              <w:t> </w:t>
            </w:r>
          </w:p>
        </w:tc>
        <w:tc>
          <w:tcPr>
            <w:tcW w:w="9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5" w:type="dxa"/>
            <w:tcBorders/>
            <w:shd w:fill="CCEEFF" w:val="clear"/>
            <w:vAlign w:val="bottom"/>
          </w:tcPr>
          <w:p>
            <w:pPr>
              <w:pStyle w:val="TableContents"/>
              <w:spacing w:before="0" w:after="0"/>
              <w:ind w:left="0" w:right="0" w:hanging="0"/>
              <w:rPr/>
            </w:pPr>
            <w:r>
              <w:rPr/>
              <w:t> </w:t>
            </w:r>
          </w:p>
        </w:tc>
        <w:tc>
          <w:tcPr>
            <w:tcW w:w="9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5" w:type="dxa"/>
            <w:tcBorders/>
            <w:shd w:fill="CCEEFF" w:val="clear"/>
            <w:vAlign w:val="bottom"/>
          </w:tcPr>
          <w:p>
            <w:pPr>
              <w:pStyle w:val="TableContents"/>
              <w:spacing w:before="0" w:after="0"/>
              <w:ind w:left="0" w:right="0" w:hanging="0"/>
              <w:rPr/>
            </w:pPr>
            <w:r>
              <w:rPr/>
              <w:t> </w:t>
            </w:r>
          </w:p>
        </w:tc>
        <w:tc>
          <w:tcPr>
            <w:tcW w:w="9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03" w:type="dxa"/>
            <w:tcBorders/>
            <w:shd w:fill="CCEEFF" w:val="clear"/>
            <w:vAlign w:val="bottom"/>
          </w:tcPr>
          <w:p>
            <w:pPr>
              <w:pStyle w:val="TableContents"/>
              <w:spacing w:before="0" w:after="0"/>
              <w:ind w:left="0" w:right="0" w:hanging="0"/>
              <w:rPr/>
            </w:pPr>
            <w:r>
              <w:rPr/>
              <w:t> </w:t>
            </w:r>
          </w:p>
        </w:tc>
      </w:tr>
      <w:tr>
        <w:trPr/>
        <w:tc>
          <w:tcPr>
            <w:tcW w:w="5569" w:type="dxa"/>
            <w:gridSpan w:val="2"/>
            <w:tcBorders/>
            <w:shd w:fill="auto" w:val="clear"/>
            <w:vAlign w:val="bottom"/>
          </w:tcPr>
          <w:p>
            <w:pPr>
              <w:pStyle w:val="TableContents"/>
              <w:spacing w:before="0" w:after="0"/>
              <w:ind w:left="0" w:right="0" w:hanging="0"/>
              <w:rPr/>
            </w:pPr>
            <w:r>
              <w:rPr>
                <w:rFonts w:ascii="Times New Roman" w:hAnsi="Times New Roman"/>
                <w:sz w:val="17"/>
              </w:rPr>
              <w:t>Facilities activities total</w:t>
            </w:r>
            <w:r>
              <w:rPr/>
              <w:t xml:space="preserve"> </w:t>
            </w:r>
            <w:r>
              <w:rPr>
                <w:sz w:val="17"/>
              </w:rPr>
              <w:t xml:space="preserve">(average monthly capacity in millions of barrels) </w:t>
            </w:r>
            <w:r>
              <w:rPr>
                <w:sz w:val="11"/>
              </w:rPr>
              <w:t>(3)</w:t>
            </w:r>
          </w:p>
        </w:tc>
        <w:tc>
          <w:tcPr>
            <w:tcW w:w="206" w:type="dxa"/>
            <w:tcBorders/>
            <w:shd w:fill="auto" w:val="clear"/>
            <w:vAlign w:val="bottom"/>
          </w:tcPr>
          <w:p>
            <w:pPr>
              <w:pStyle w:val="TableContents"/>
              <w:spacing w:before="0" w:after="0"/>
              <w:ind w:left="0" w:right="0" w:hanging="0"/>
              <w:rPr/>
            </w:pPr>
            <w:r>
              <w:rPr/>
              <w:t> </w:t>
            </w:r>
          </w:p>
        </w:tc>
        <w:tc>
          <w:tcPr>
            <w:tcW w:w="9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6" w:type="dxa"/>
            <w:tcBorders/>
            <w:shd w:fill="auto" w:val="clear"/>
            <w:vAlign w:val="bottom"/>
          </w:tcPr>
          <w:p>
            <w:pPr>
              <w:pStyle w:val="TableContents"/>
              <w:spacing w:before="0" w:after="0"/>
              <w:ind w:left="0" w:right="0" w:hanging="0"/>
              <w:rPr/>
            </w:pPr>
            <w:r>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05" w:type="dxa"/>
            <w:tcBorders/>
            <w:shd w:fill="auto" w:val="clear"/>
            <w:vAlign w:val="bottom"/>
          </w:tcPr>
          <w:p>
            <w:pPr>
              <w:pStyle w:val="TableContents"/>
              <w:spacing w:before="0" w:after="0"/>
              <w:ind w:left="0" w:right="0" w:hanging="0"/>
              <w:rPr/>
            </w:pPr>
            <w:r>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05" w:type="dxa"/>
            <w:tcBorders/>
            <w:shd w:fill="auto" w:val="clear"/>
            <w:vAlign w:val="bottom"/>
          </w:tcPr>
          <w:p>
            <w:pPr>
              <w:pStyle w:val="TableContents"/>
              <w:spacing w:before="0" w:after="0"/>
              <w:ind w:left="0" w:right="0" w:hanging="0"/>
              <w:rPr/>
            </w:pPr>
            <w:r>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03" w:type="dxa"/>
            <w:tcBorders/>
            <w:shd w:fill="auto" w:val="clear"/>
            <w:vAlign w:val="bottom"/>
          </w:tcPr>
          <w:p>
            <w:pPr>
              <w:pStyle w:val="TableContents"/>
              <w:spacing w:before="0" w:after="0"/>
              <w:ind w:left="0" w:right="0" w:hanging="0"/>
              <w:rPr/>
            </w:pPr>
            <w:r>
              <w:rPr/>
              <w:t> </w:t>
            </w:r>
          </w:p>
        </w:tc>
      </w:tr>
      <w:tr>
        <w:trPr/>
        <w:tc>
          <w:tcPr>
            <w:tcW w:w="5569" w:type="dxa"/>
            <w:gridSpan w:val="2"/>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927"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103" w:type="dxa"/>
            <w:tcBorders/>
            <w:shd w:fill="CCEEFF" w:val="clear"/>
            <w:vAlign w:val="bottom"/>
          </w:tcPr>
          <w:p>
            <w:pPr>
              <w:pStyle w:val="TableContents"/>
              <w:spacing w:before="0" w:after="0"/>
              <w:ind w:left="0" w:right="0" w:hanging="0"/>
              <w:rPr/>
            </w:pPr>
            <w:r>
              <w:rPr/>
              <w:t> </w:t>
            </w:r>
          </w:p>
        </w:tc>
      </w:tr>
      <w:tr>
        <w:trPr/>
        <w:tc>
          <w:tcPr>
            <w:tcW w:w="5569" w:type="dxa"/>
            <w:gridSpan w:val="2"/>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Marketing activities (Average Daily Volumes, thousands of barrels):</w:t>
            </w:r>
          </w:p>
        </w:tc>
        <w:tc>
          <w:tcPr>
            <w:tcW w:w="206" w:type="dxa"/>
            <w:tcBorders/>
            <w:shd w:fill="auto" w:val="clear"/>
            <w:vAlign w:val="bottom"/>
          </w:tcPr>
          <w:p>
            <w:pPr>
              <w:pStyle w:val="TableContents"/>
              <w:spacing w:before="0" w:after="0"/>
              <w:ind w:left="0" w:right="0" w:hanging="0"/>
              <w:rPr/>
            </w:pPr>
            <w:r>
              <w:rPr/>
              <w:t> </w:t>
            </w:r>
          </w:p>
        </w:tc>
        <w:tc>
          <w:tcPr>
            <w:tcW w:w="927" w:type="dxa"/>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pPr>
            <w:r>
              <w:rPr/>
              <w:t> </w:t>
            </w:r>
          </w:p>
        </w:tc>
        <w:tc>
          <w:tcPr>
            <w:tcW w:w="103" w:type="dxa"/>
            <w:tcBorders/>
            <w:shd w:fill="auto" w:val="clear"/>
            <w:vAlign w:val="bottom"/>
          </w:tcPr>
          <w:p>
            <w:pPr>
              <w:pStyle w:val="TableContents"/>
              <w:spacing w:before="0" w:after="0"/>
              <w:ind w:left="0" w:right="0" w:hanging="0"/>
              <w:rPr/>
            </w:pPr>
            <w:r>
              <w:rPr/>
              <w:t> </w:t>
            </w:r>
          </w:p>
        </w:tc>
      </w:tr>
      <w:tr>
        <w:trPr/>
        <w:tc>
          <w:tcPr>
            <w:tcW w:w="55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6" w:type="dxa"/>
            <w:tcBorders/>
            <w:shd w:fill="CCEEFF" w:val="clear"/>
            <w:vAlign w:val="bottom"/>
          </w:tcPr>
          <w:p>
            <w:pPr>
              <w:pStyle w:val="TableContents"/>
              <w:spacing w:before="0" w:after="0"/>
              <w:ind w:left="0" w:right="0" w:hanging="0"/>
              <w:rPr/>
            </w:pPr>
            <w:r>
              <w:rPr/>
              <w:t> </w:t>
            </w:r>
          </w:p>
        </w:tc>
        <w:tc>
          <w:tcPr>
            <w:tcW w:w="92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623</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672</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627</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676</w:t>
            </w:r>
          </w:p>
        </w:tc>
        <w:tc>
          <w:tcPr>
            <w:tcW w:w="103" w:type="dxa"/>
            <w:tcBorders/>
            <w:shd w:fill="CCEEFF" w:val="clear"/>
            <w:vAlign w:val="bottom"/>
          </w:tcPr>
          <w:p>
            <w:pPr>
              <w:pStyle w:val="TableContents"/>
              <w:spacing w:before="0" w:after="0"/>
              <w:ind w:left="0" w:right="0" w:hanging="0"/>
              <w:rPr/>
            </w:pPr>
            <w:r>
              <w:rPr/>
              <w:t> </w:t>
            </w:r>
          </w:p>
        </w:tc>
      </w:tr>
      <w:tr>
        <w:trPr/>
        <w:tc>
          <w:tcPr>
            <w:tcW w:w="556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 sales</w:t>
            </w:r>
          </w:p>
        </w:tc>
        <w:tc>
          <w:tcPr>
            <w:tcW w:w="206" w:type="dxa"/>
            <w:tcBorders/>
            <w:shd w:fill="auto" w:val="clear"/>
            <w:vAlign w:val="bottom"/>
          </w:tcPr>
          <w:p>
            <w:pPr>
              <w:pStyle w:val="TableContents"/>
              <w:spacing w:before="0" w:after="0"/>
              <w:ind w:left="0" w:right="0" w:hanging="0"/>
              <w:rPr/>
            </w:pPr>
            <w:r>
              <w:rPr/>
              <w:t> </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06"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05"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03" w:type="dxa"/>
            <w:tcBorders/>
            <w:shd w:fill="auto" w:val="clear"/>
            <w:vAlign w:val="bottom"/>
          </w:tcPr>
          <w:p>
            <w:pPr>
              <w:pStyle w:val="TableContents"/>
              <w:spacing w:before="0" w:after="0"/>
              <w:ind w:left="0" w:right="0" w:hanging="0"/>
              <w:rPr/>
            </w:pPr>
            <w:r>
              <w:rPr/>
              <w:t> </w:t>
            </w:r>
          </w:p>
        </w:tc>
      </w:tr>
      <w:tr>
        <w:trPr/>
        <w:tc>
          <w:tcPr>
            <w:tcW w:w="55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206" w:type="dxa"/>
            <w:tcBorders/>
            <w:shd w:fill="CCEEFF" w:val="clear"/>
            <w:vAlign w:val="bottom"/>
          </w:tcPr>
          <w:p>
            <w:pPr>
              <w:pStyle w:val="TableContents"/>
              <w:spacing w:before="0" w:after="0"/>
              <w:ind w:left="0" w:right="0" w:hanging="0"/>
              <w:rPr/>
            </w:pPr>
            <w:r>
              <w:rPr/>
              <w:t> </w:t>
            </w:r>
          </w:p>
        </w:tc>
        <w:tc>
          <w:tcPr>
            <w:tcW w:w="92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6"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05"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03" w:type="dxa"/>
            <w:tcBorders/>
            <w:shd w:fill="CCEEFF" w:val="clear"/>
            <w:vAlign w:val="bottom"/>
          </w:tcPr>
          <w:p>
            <w:pPr>
              <w:pStyle w:val="TableContents"/>
              <w:spacing w:before="0" w:after="0"/>
              <w:ind w:left="0" w:right="0" w:hanging="0"/>
              <w:rPr/>
            </w:pPr>
            <w:r>
              <w:rPr/>
              <w:t> </w:t>
            </w:r>
          </w:p>
        </w:tc>
      </w:tr>
      <w:tr>
        <w:trPr/>
        <w:tc>
          <w:tcPr>
            <w:tcW w:w="556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foreign crude oil imported</w:t>
            </w:r>
          </w:p>
        </w:tc>
        <w:tc>
          <w:tcPr>
            <w:tcW w:w="206" w:type="dxa"/>
            <w:tcBorders/>
            <w:shd w:fill="auto" w:val="clear"/>
            <w:vAlign w:val="bottom"/>
          </w:tcPr>
          <w:p>
            <w:pPr>
              <w:pStyle w:val="TableContents"/>
              <w:spacing w:before="0" w:after="0"/>
              <w:ind w:left="0" w:right="0" w:hanging="0"/>
              <w:rPr/>
            </w:pPr>
            <w:r>
              <w:rPr/>
              <w:t> </w:t>
            </w:r>
          </w:p>
        </w:tc>
        <w:tc>
          <w:tcPr>
            <w:tcW w:w="92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6" w:type="dxa"/>
            <w:tcBorders/>
            <w:shd w:fill="auto" w:val="clear"/>
            <w:vAlign w:val="bottom"/>
          </w:tcPr>
          <w:p>
            <w:pPr>
              <w:pStyle w:val="TableContents"/>
              <w:spacing w:before="0" w:after="0"/>
              <w:ind w:left="0" w:right="0" w:hanging="0"/>
              <w:rPr/>
            </w:pPr>
            <w:r>
              <w:rPr/>
              <w:t> </w:t>
            </w:r>
          </w:p>
        </w:tc>
        <w:tc>
          <w:tcPr>
            <w:tcW w:w="92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05" w:type="dxa"/>
            <w:tcBorders/>
            <w:shd w:fill="auto" w:val="clear"/>
            <w:vAlign w:val="bottom"/>
          </w:tcPr>
          <w:p>
            <w:pPr>
              <w:pStyle w:val="TableContents"/>
              <w:spacing w:before="0" w:after="0"/>
              <w:ind w:left="0" w:right="0" w:hanging="0"/>
              <w:rPr/>
            </w:pPr>
            <w:r>
              <w:rPr/>
              <w:t> </w:t>
            </w:r>
          </w:p>
        </w:tc>
        <w:tc>
          <w:tcPr>
            <w:tcW w:w="92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5" w:type="dxa"/>
            <w:tcBorders/>
            <w:shd w:fill="auto" w:val="clear"/>
            <w:vAlign w:val="bottom"/>
          </w:tcPr>
          <w:p>
            <w:pPr>
              <w:pStyle w:val="TableContents"/>
              <w:spacing w:before="0" w:after="0"/>
              <w:ind w:left="0" w:right="0" w:hanging="0"/>
              <w:rPr/>
            </w:pPr>
            <w:r>
              <w:rPr/>
              <w:t> </w:t>
            </w:r>
          </w:p>
        </w:tc>
        <w:tc>
          <w:tcPr>
            <w:tcW w:w="92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103" w:type="dxa"/>
            <w:tcBorders/>
            <w:shd w:fill="auto" w:val="clear"/>
            <w:vAlign w:val="bottom"/>
          </w:tcPr>
          <w:p>
            <w:pPr>
              <w:pStyle w:val="TableContents"/>
              <w:spacing w:before="0" w:after="0"/>
              <w:ind w:left="0" w:right="0" w:hanging="0"/>
              <w:rPr/>
            </w:pPr>
            <w:r>
              <w:rPr/>
              <w:t> </w:t>
            </w:r>
          </w:p>
        </w:tc>
      </w:tr>
      <w:tr>
        <w:trPr/>
        <w:tc>
          <w:tcPr>
            <w:tcW w:w="55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Marketing activities total</w:t>
            </w:r>
          </w:p>
        </w:tc>
        <w:tc>
          <w:tcPr>
            <w:tcW w:w="206" w:type="dxa"/>
            <w:tcBorders/>
            <w:shd w:fill="CCEEFF" w:val="clear"/>
            <w:vAlign w:val="bottom"/>
          </w:tcPr>
          <w:p>
            <w:pPr>
              <w:pStyle w:val="TableContents"/>
              <w:spacing w:before="0" w:after="0"/>
              <w:ind w:left="0" w:right="0" w:hanging="0"/>
              <w:rPr/>
            </w:pPr>
            <w:r>
              <w:rPr/>
              <w:t> </w:t>
            </w:r>
          </w:p>
        </w:tc>
        <w:tc>
          <w:tcPr>
            <w:tcW w:w="9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776</w:t>
            </w:r>
          </w:p>
        </w:tc>
        <w:tc>
          <w:tcPr>
            <w:tcW w:w="206" w:type="dxa"/>
            <w:tcBorders/>
            <w:shd w:fill="CCEEFF" w:val="clear"/>
            <w:vAlign w:val="bottom"/>
          </w:tcPr>
          <w:p>
            <w:pPr>
              <w:pStyle w:val="TableContents"/>
              <w:spacing w:before="0" w:after="0"/>
              <w:ind w:left="0" w:right="0" w:hanging="0"/>
              <w:rPr/>
            </w:pPr>
            <w:r>
              <w:rPr/>
              <w:t> </w:t>
            </w:r>
          </w:p>
        </w:tc>
        <w:tc>
          <w:tcPr>
            <w:tcW w:w="9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849</w:t>
            </w:r>
          </w:p>
        </w:tc>
        <w:tc>
          <w:tcPr>
            <w:tcW w:w="205" w:type="dxa"/>
            <w:tcBorders/>
            <w:shd w:fill="CCEEFF" w:val="clear"/>
            <w:vAlign w:val="bottom"/>
          </w:tcPr>
          <w:p>
            <w:pPr>
              <w:pStyle w:val="TableContents"/>
              <w:spacing w:before="0" w:after="0"/>
              <w:ind w:left="0" w:right="0" w:hanging="0"/>
              <w:rPr/>
            </w:pPr>
            <w:r>
              <w:rPr/>
              <w:t> </w:t>
            </w:r>
          </w:p>
        </w:tc>
        <w:tc>
          <w:tcPr>
            <w:tcW w:w="9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822</w:t>
            </w:r>
          </w:p>
        </w:tc>
        <w:tc>
          <w:tcPr>
            <w:tcW w:w="205" w:type="dxa"/>
            <w:tcBorders/>
            <w:shd w:fill="CCEEFF" w:val="clear"/>
            <w:vAlign w:val="bottom"/>
          </w:tcPr>
          <w:p>
            <w:pPr>
              <w:pStyle w:val="TableContents"/>
              <w:spacing w:before="0" w:after="0"/>
              <w:ind w:left="0" w:right="0" w:hanging="0"/>
              <w:rPr/>
            </w:pPr>
            <w:r>
              <w:rPr/>
              <w:t> </w:t>
            </w:r>
          </w:p>
        </w:tc>
        <w:tc>
          <w:tcPr>
            <w:tcW w:w="9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880</w:t>
            </w:r>
          </w:p>
        </w:tc>
        <w:tc>
          <w:tcPr>
            <w:tcW w:w="103" w:type="dxa"/>
            <w:tcBorders/>
            <w:shd w:fill="CCEEFF" w:val="clear"/>
            <w:vAlign w:val="bottom"/>
          </w:tcPr>
          <w:p>
            <w:pPr>
              <w:pStyle w:val="TableContents"/>
              <w:spacing w:before="0" w:after="0"/>
              <w:ind w:left="0" w:right="0" w:hanging="0"/>
              <w:rPr/>
            </w:pPr>
            <w:r>
              <w:rPr/>
              <w:t> </w:t>
            </w:r>
          </w:p>
        </w:tc>
      </w:tr>
      <w:tr>
        <w:trPr/>
        <w:tc>
          <w:tcPr>
            <w:tcW w:w="1959" w:type="dxa"/>
            <w:tcBorders/>
            <w:shd w:fill="auto" w:val="clear"/>
            <w:vAlign w:val="center"/>
          </w:tcPr>
          <w:p>
            <w:pPr>
              <w:pStyle w:val="TableContents"/>
              <w:spacing w:before="0" w:after="283"/>
              <w:rPr>
                <w:sz w:val="4"/>
                <w:szCs w:val="4"/>
              </w:rPr>
            </w:pPr>
            <w:r>
              <w:rPr>
                <w:sz w:val="4"/>
                <w:szCs w:val="4"/>
              </w:rPr>
            </w:r>
          </w:p>
        </w:tc>
        <w:tc>
          <w:tcPr>
            <w:tcW w:w="361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10205"/>
      </w:tblGrid>
      <w:tr>
        <w:trPr>
          <w:trHeight w:val="180" w:hRule="atLeast"/>
        </w:trPr>
        <w:tc>
          <w:tcPr>
            <w:tcW w:w="10205" w:type="dxa"/>
            <w:tcBorders/>
            <w:shd w:fill="auto" w:val="clear"/>
          </w:tcPr>
          <w:p>
            <w:pPr>
              <w:pStyle w:val="TableContents"/>
              <w:spacing w:before="0" w:after="0"/>
              <w:ind w:left="0" w:right="0" w:hanging="0"/>
              <w:rPr/>
            </w:pPr>
            <w:r>
              <w:rPr>
                <w:rFonts w:ascii="Times New Roman" w:hAnsi="Times New Roman"/>
                <w:sz w:val="8"/>
              </w:rPr>
              <w:t>(1)</w:t>
            </w:r>
            <w:r>
              <w:rPr/>
              <w:t> </w:t>
            </w:r>
            <w:r>
              <w:rPr>
                <w:sz w:val="13"/>
              </w:rPr>
              <w:t>Volumes associated with acquisitions represent total volumes for the number of days we actually owned the assets divided by the number of days in the period.</w:t>
            </w:r>
          </w:p>
        </w:tc>
      </w:tr>
      <w:tr>
        <w:trPr>
          <w:trHeight w:val="375" w:hRule="atLeast"/>
        </w:trPr>
        <w:tc>
          <w:tcPr>
            <w:tcW w:w="10205" w:type="dxa"/>
            <w:tcBorders/>
            <w:shd w:fill="auto" w:val="clear"/>
          </w:tcPr>
          <w:p>
            <w:pPr>
              <w:pStyle w:val="TableContents"/>
              <w:spacing w:before="0" w:after="0"/>
              <w:ind w:left="0" w:right="0" w:hanging="0"/>
              <w:rPr/>
            </w:pPr>
            <w:r>
              <w:rPr>
                <w:rFonts w:ascii="Times New Roman" w:hAnsi="Times New Roman"/>
                <w:sz w:val="8"/>
              </w:rPr>
              <w:t>(2)</w:t>
            </w:r>
            <w:r>
              <w:rPr/>
              <w:t> </w:t>
            </w:r>
            <w:r>
              <w:rPr>
                <w:sz w:val="13"/>
              </w:rPr>
              <w:t>The aggregate of multiple systems in the respective areas.  The volumes for the West Texas/New Mexico Area Systems for the three and six months ended June 30, 2008 previously included amounts for the Mesa system, which has been reclassified to Other for all periods presented.</w:t>
            </w:r>
          </w:p>
        </w:tc>
      </w:tr>
      <w:tr>
        <w:trPr>
          <w:trHeight w:val="375" w:hRule="atLeast"/>
        </w:trPr>
        <w:tc>
          <w:tcPr>
            <w:tcW w:w="10205" w:type="dxa"/>
            <w:tcBorders/>
            <w:shd w:fill="auto" w:val="clear"/>
          </w:tcPr>
          <w:p>
            <w:pPr>
              <w:pStyle w:val="TableContents"/>
              <w:spacing w:before="0" w:after="0"/>
              <w:ind w:left="0" w:right="0" w:hanging="0"/>
              <w:rPr/>
            </w:pPr>
            <w:r>
              <w:rPr>
                <w:rFonts w:ascii="Times New Roman" w:hAnsi="Times New Roman"/>
                <w:sz w:val="8"/>
              </w:rPr>
              <w:t>(3)</w:t>
            </w:r>
            <w:r>
              <w:rPr/>
              <w:t> </w:t>
            </w:r>
            <w:r>
              <w:rPr>
                <w:sz w:val="13"/>
              </w:rPr>
              <w:t>Facilities total is calculated as the sum of: (i) crude oil, refined products and LPG storage capacity; (ii) natural gas storage capacity divided by 6 to account for the 6:1 mcf of gas to crude oil barrel ratio; and (iii) LPG processing volumes multiplied by the number of days in the period and divided by the number of months in the period.</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6"/>
        <w:gridCol w:w="2782"/>
        <w:gridCol w:w="3817"/>
      </w:tblGrid>
      <w:tr>
        <w:trPr/>
        <w:tc>
          <w:tcPr>
            <w:tcW w:w="3606" w:type="dxa"/>
            <w:tcBorders>
              <w:top w:val="single" w:sz="8" w:space="0" w:color="000000"/>
            </w:tcBorders>
            <w:shd w:fill="auto" w:val="clear"/>
          </w:tcPr>
          <w:p>
            <w:pPr>
              <w:pStyle w:val="TableContents"/>
              <w:spacing w:before="0" w:after="0"/>
              <w:ind w:left="0" w:right="0" w:hanging="0"/>
              <w:jc w:val="right"/>
              <w:rPr/>
            </w:pPr>
            <w:r>
              <w:rPr/>
              <w:t> </w:t>
            </w:r>
          </w:p>
        </w:tc>
        <w:tc>
          <w:tcPr>
            <w:tcW w:w="2782" w:type="dxa"/>
            <w:tcBorders>
              <w:top w:val="single" w:sz="8" w:space="0" w:color="000000"/>
            </w:tcBorders>
            <w:shd w:fill="auto" w:val="clear"/>
          </w:tcPr>
          <w:p>
            <w:pPr>
              <w:pStyle w:val="TableContents"/>
              <w:spacing w:before="0" w:after="0"/>
              <w:ind w:left="0" w:right="0" w:hanging="0"/>
              <w:rPr/>
            </w:pPr>
            <w:r>
              <w:rPr/>
              <w:t> </w:t>
            </w:r>
          </w:p>
        </w:tc>
        <w:tc>
          <w:tcPr>
            <w:tcW w:w="3817" w:type="dxa"/>
            <w:tcBorders>
              <w:top w:val="single" w:sz="8" w:space="0" w:color="000000"/>
            </w:tcBorders>
            <w:shd w:fill="auto" w:val="clear"/>
          </w:tcPr>
          <w:p>
            <w:pPr>
              <w:pStyle w:val="TableContents"/>
              <w:spacing w:before="0" w:after="0"/>
              <w:ind w:left="0" w:right="0" w:hanging="0"/>
              <w:rPr/>
            </w:pPr>
            <w:r>
              <w:rPr/>
              <w:t> </w:t>
            </w:r>
          </w:p>
        </w:tc>
      </w:tr>
      <w:tr>
        <w:trPr/>
        <w:tc>
          <w:tcPr>
            <w:tcW w:w="3606"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2"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7"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9</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rPr>
      </w:pPr>
      <w:r>
        <w:rPr>
          <w:rFonts w:ascii="Times New Roman" w:hAnsi="Times New Roman"/>
          <w:b/>
          <w:sz w:val="17"/>
        </w:rPr>
        <w:t>FINANCIAL SUMMARY</w:t>
      </w:r>
      <w:r>
        <w:rPr>
          <w:rFonts w:ascii="Times New Roman" w:hAnsi="Times New Roman"/>
        </w:rPr>
        <w:t xml:space="preserve"> </w:t>
      </w:r>
      <w:r>
        <w:rPr>
          <w:rFonts w:ascii="Times New Roman" w:hAnsi="Times New Roman"/>
          <w:sz w:val="17"/>
        </w:rPr>
        <w:t>(unaudited)</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BALANCE SHEET DATA</w:t>
      </w:r>
    </w:p>
    <w:p>
      <w:pPr>
        <w:pStyle w:val="TextBody"/>
        <w:spacing w:before="0" w:after="0"/>
        <w:ind w:left="0" w:right="0" w:hanging="0"/>
        <w:rPr>
          <w:rFonts w:ascii="Times New Roman" w:hAnsi="Times New Roman"/>
          <w:sz w:val="17"/>
        </w:rPr>
      </w:pPr>
      <w:r>
        <w:rPr>
          <w:rFonts w:ascii="Times New Roman" w:hAnsi="Times New Roman"/>
          <w:sz w:val="17"/>
        </w:rPr>
        <w:t xml:space="preserve">(In millions)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05"/>
        <w:gridCol w:w="212"/>
        <w:gridCol w:w="130"/>
        <w:gridCol w:w="1126"/>
        <w:gridCol w:w="212"/>
        <w:gridCol w:w="138"/>
        <w:gridCol w:w="1163"/>
        <w:gridCol w:w="119"/>
      </w:tblGrid>
      <w:tr>
        <w:trPr/>
        <w:tc>
          <w:tcPr>
            <w:tcW w:w="710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5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2" w:type="dxa"/>
            <w:tcBorders/>
            <w:shd w:fill="auto" w:val="clear"/>
            <w:vAlign w:val="bottom"/>
          </w:tcPr>
          <w:p>
            <w:pPr>
              <w:pStyle w:val="TableContents"/>
              <w:spacing w:before="0" w:after="0"/>
              <w:ind w:left="0" w:right="0" w:hanging="0"/>
              <w:jc w:val="center"/>
              <w:rPr/>
            </w:pPr>
            <w:r>
              <w:rPr/>
              <w:t> </w:t>
            </w:r>
          </w:p>
        </w:tc>
        <w:tc>
          <w:tcPr>
            <w:tcW w:w="13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9" w:type="dxa"/>
            <w:tcBorders/>
            <w:shd w:fill="auto" w:val="clear"/>
            <w:vAlign w:val="bottom"/>
          </w:tcPr>
          <w:p>
            <w:pPr>
              <w:pStyle w:val="TableContents"/>
              <w:spacing w:before="0" w:after="0"/>
              <w:ind w:left="0" w:right="0" w:hanging="0"/>
              <w:jc w:val="center"/>
              <w:rPr/>
            </w:pPr>
            <w:r>
              <w:rPr/>
              <w:t> </w:t>
            </w:r>
          </w:p>
        </w:tc>
      </w:tr>
      <w:tr>
        <w:trPr/>
        <w:tc>
          <w:tcPr>
            <w:tcW w:w="710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2" w:type="dxa"/>
            <w:tcBorders/>
            <w:shd w:fill="auto" w:val="clear"/>
            <w:vAlign w:val="bottom"/>
          </w:tcPr>
          <w:p>
            <w:pPr>
              <w:pStyle w:val="TableContents"/>
              <w:spacing w:before="0" w:after="0"/>
              <w:ind w:left="0" w:right="0" w:hanging="0"/>
              <w:jc w:val="center"/>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9" w:type="dxa"/>
            <w:tcBorders/>
            <w:shd w:fill="auto" w:val="clear"/>
            <w:vAlign w:val="bottom"/>
          </w:tcPr>
          <w:p>
            <w:pPr>
              <w:pStyle w:val="TableContents"/>
              <w:spacing w:before="0" w:after="0"/>
              <w:ind w:left="0" w:right="0" w:hanging="0"/>
              <w:jc w:val="center"/>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assets</w:t>
            </w:r>
          </w:p>
        </w:tc>
        <w:tc>
          <w:tcPr>
            <w:tcW w:w="212"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2,922</w:t>
            </w:r>
          </w:p>
        </w:tc>
        <w:tc>
          <w:tcPr>
            <w:tcW w:w="21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2,596</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5,255</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5,059</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Pipeline linefill in owned assets</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429</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1,226</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1,210</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 net</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12"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10,559</w:t>
            </w:r>
          </w:p>
        </w:tc>
        <w:tc>
          <w:tcPr>
            <w:tcW w:w="212"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10,032</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12"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3,208</w:t>
            </w:r>
          </w:p>
        </w:tc>
        <w:tc>
          <w:tcPr>
            <w:tcW w:w="212"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2,960</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pPr>
            <w:r>
              <w:rPr>
                <w:rFonts w:ascii="Times New Roman" w:hAnsi="Times New Roman"/>
                <w:sz w:val="17"/>
              </w:rPr>
              <w:t xml:space="preserve">Senior notes, net of unamortized net discount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3,394</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3,219</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net deferred credits</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6,853</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6,480</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3,643</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3,552</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Noncontrolling interest</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3,706</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3,552</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12"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10,559</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10,032</w:t>
            </w:r>
          </w:p>
        </w:tc>
        <w:tc>
          <w:tcPr>
            <w:tcW w:w="11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10205"/>
      </w:tblGrid>
      <w:tr>
        <w:trPr>
          <w:trHeight w:val="180" w:hRule="atLeast"/>
        </w:trPr>
        <w:tc>
          <w:tcPr>
            <w:tcW w:w="10205" w:type="dxa"/>
            <w:tcBorders/>
            <w:shd w:fill="auto" w:val="clear"/>
          </w:tcPr>
          <w:p>
            <w:pPr>
              <w:pStyle w:val="TableContents"/>
              <w:spacing w:before="0" w:after="0"/>
              <w:ind w:left="0" w:right="0" w:hanging="0"/>
              <w:rPr/>
            </w:pPr>
            <w:r>
              <w:rPr>
                <w:rFonts w:ascii="Times New Roman" w:hAnsi="Times New Roman"/>
                <w:sz w:val="8"/>
              </w:rPr>
              <w:t>(1)</w:t>
            </w:r>
            <w:r>
              <w:rPr/>
              <w:t> </w:t>
            </w:r>
            <w:r>
              <w:rPr>
                <w:sz w:val="13"/>
              </w:rPr>
              <w:t>June 30, 2009 amount excludes $175 million of senior notes that mature in August 2009 which are classified as short term.</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6"/>
        <w:gridCol w:w="2782"/>
        <w:gridCol w:w="3817"/>
      </w:tblGrid>
      <w:tr>
        <w:trPr/>
        <w:tc>
          <w:tcPr>
            <w:tcW w:w="3606" w:type="dxa"/>
            <w:tcBorders>
              <w:top w:val="single" w:sz="8" w:space="0" w:color="000000"/>
            </w:tcBorders>
            <w:shd w:fill="auto" w:val="clear"/>
          </w:tcPr>
          <w:p>
            <w:pPr>
              <w:pStyle w:val="TableContents"/>
              <w:spacing w:before="0" w:after="0"/>
              <w:ind w:left="0" w:right="0" w:hanging="0"/>
              <w:jc w:val="right"/>
              <w:rPr/>
            </w:pPr>
            <w:r>
              <w:rPr/>
              <w:t> </w:t>
            </w:r>
          </w:p>
        </w:tc>
        <w:tc>
          <w:tcPr>
            <w:tcW w:w="2782" w:type="dxa"/>
            <w:tcBorders>
              <w:top w:val="single" w:sz="8" w:space="0" w:color="000000"/>
            </w:tcBorders>
            <w:shd w:fill="auto" w:val="clear"/>
          </w:tcPr>
          <w:p>
            <w:pPr>
              <w:pStyle w:val="TableContents"/>
              <w:spacing w:before="0" w:after="0"/>
              <w:ind w:left="0" w:right="0" w:hanging="0"/>
              <w:rPr/>
            </w:pPr>
            <w:r>
              <w:rPr/>
              <w:t> </w:t>
            </w:r>
          </w:p>
        </w:tc>
        <w:tc>
          <w:tcPr>
            <w:tcW w:w="3817" w:type="dxa"/>
            <w:tcBorders>
              <w:top w:val="single" w:sz="8" w:space="0" w:color="000000"/>
            </w:tcBorders>
            <w:shd w:fill="auto" w:val="clear"/>
          </w:tcPr>
          <w:p>
            <w:pPr>
              <w:pStyle w:val="TableContents"/>
              <w:spacing w:before="0" w:after="0"/>
              <w:ind w:left="0" w:right="0" w:hanging="0"/>
              <w:rPr/>
            </w:pPr>
            <w:r>
              <w:rPr/>
              <w:t> </w:t>
            </w:r>
          </w:p>
        </w:tc>
      </w:tr>
      <w:tr>
        <w:trPr/>
        <w:tc>
          <w:tcPr>
            <w:tcW w:w="3606"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2"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7"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commentReference w:id="1"/>
      </w: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rPr>
      </w:pPr>
      <w:r>
        <w:rPr>
          <w:rFonts w:ascii="Times New Roman" w:hAnsi="Times New Roman"/>
          <w:b/>
          <w:sz w:val="17"/>
        </w:rPr>
        <w:t>FINANCIAL SUMMARY</w:t>
      </w:r>
      <w:r>
        <w:rPr>
          <w:rFonts w:ascii="Times New Roman" w:hAnsi="Times New Roman"/>
        </w:rPr>
        <w:t xml:space="preserve"> </w:t>
      </w:r>
      <w:r>
        <w:rPr>
          <w:rFonts w:ascii="Times New Roman" w:hAnsi="Times New Roman"/>
          <w:sz w:val="17"/>
        </w:rPr>
        <w:t xml:space="preserve">(unaudited) </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804"/>
        <w:gridCol w:w="212"/>
        <w:gridCol w:w="110"/>
        <w:gridCol w:w="749"/>
        <w:gridCol w:w="213"/>
        <w:gridCol w:w="110"/>
        <w:gridCol w:w="749"/>
        <w:gridCol w:w="213"/>
        <w:gridCol w:w="110"/>
        <w:gridCol w:w="748"/>
        <w:gridCol w:w="213"/>
        <w:gridCol w:w="110"/>
        <w:gridCol w:w="749"/>
        <w:gridCol w:w="115"/>
      </w:tblGrid>
      <w:tr>
        <w:trPr/>
        <w:tc>
          <w:tcPr>
            <w:tcW w:w="5804"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93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3" w:type="dxa"/>
            <w:tcBorders/>
            <w:shd w:fill="auto" w:val="clear"/>
            <w:vAlign w:val="bottom"/>
          </w:tcPr>
          <w:p>
            <w:pPr>
              <w:pStyle w:val="TableContents"/>
              <w:spacing w:before="0" w:after="0"/>
              <w:ind w:left="0" w:right="0" w:hanging="0"/>
              <w:jc w:val="center"/>
              <w:rPr/>
            </w:pPr>
            <w:r>
              <w:rPr/>
              <w:t> </w:t>
            </w:r>
          </w:p>
        </w:tc>
        <w:tc>
          <w:tcPr>
            <w:tcW w:w="193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15" w:type="dxa"/>
            <w:tcBorders/>
            <w:shd w:fill="auto" w:val="clear"/>
            <w:vAlign w:val="bottom"/>
          </w:tcPr>
          <w:p>
            <w:pPr>
              <w:pStyle w:val="TableContents"/>
              <w:spacing w:before="0" w:after="0"/>
              <w:ind w:left="0" w:right="0" w:hanging="0"/>
              <w:jc w:val="center"/>
              <w:rPr/>
            </w:pPr>
            <w:r>
              <w:rPr/>
              <w:t> </w:t>
            </w:r>
          </w:p>
        </w:tc>
      </w:tr>
      <w:tr>
        <w:trPr/>
        <w:tc>
          <w:tcPr>
            <w:tcW w:w="5804"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93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3" w:type="dxa"/>
            <w:tcBorders/>
            <w:shd w:fill="auto" w:val="clear"/>
            <w:vAlign w:val="bottom"/>
          </w:tcPr>
          <w:p>
            <w:pPr>
              <w:pStyle w:val="TableContents"/>
              <w:spacing w:before="0" w:after="0"/>
              <w:ind w:left="0" w:right="0" w:hanging="0"/>
              <w:jc w:val="center"/>
              <w:rPr/>
            </w:pPr>
            <w:r>
              <w:rPr/>
              <w:t> </w:t>
            </w:r>
          </w:p>
        </w:tc>
        <w:tc>
          <w:tcPr>
            <w:tcW w:w="193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15" w:type="dxa"/>
            <w:tcBorders/>
            <w:shd w:fill="auto" w:val="clear"/>
            <w:vAlign w:val="bottom"/>
          </w:tcPr>
          <w:p>
            <w:pPr>
              <w:pStyle w:val="TableContents"/>
              <w:spacing w:before="0" w:after="0"/>
              <w:ind w:left="0" w:right="0" w:hanging="0"/>
              <w:jc w:val="center"/>
              <w:rPr/>
            </w:pPr>
            <w:r>
              <w:rPr/>
              <w:t> </w:t>
            </w:r>
          </w:p>
        </w:tc>
      </w:tr>
      <w:tr>
        <w:trPr/>
        <w:tc>
          <w:tcPr>
            <w:tcW w:w="5804"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3" w:type="dxa"/>
            <w:tcBorders/>
            <w:shd w:fill="auto" w:val="clear"/>
            <w:vAlign w:val="bottom"/>
          </w:tcPr>
          <w:p>
            <w:pPr>
              <w:pStyle w:val="TableContents"/>
              <w:spacing w:before="0" w:after="0"/>
              <w:ind w:left="0" w:right="0" w:hanging="0"/>
              <w:jc w:val="center"/>
              <w:rPr/>
            </w:pPr>
            <w:r>
              <w:rPr/>
              <w:t> </w:t>
            </w:r>
          </w:p>
        </w:tc>
        <w:tc>
          <w:tcPr>
            <w:tcW w:w="85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3" w:type="dxa"/>
            <w:tcBorders/>
            <w:shd w:fill="auto" w:val="clear"/>
            <w:vAlign w:val="bottom"/>
          </w:tcPr>
          <w:p>
            <w:pPr>
              <w:pStyle w:val="TableContents"/>
              <w:spacing w:before="0" w:after="0"/>
              <w:ind w:left="0" w:right="0" w:hanging="0"/>
              <w:jc w:val="center"/>
              <w:rPr/>
            </w:pPr>
            <w:r>
              <w:rPr/>
              <w:t> </w:t>
            </w:r>
          </w:p>
        </w:tc>
        <w:tc>
          <w:tcPr>
            <w:tcW w:w="8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3" w:type="dxa"/>
            <w:tcBorders/>
            <w:shd w:fill="auto" w:val="clear"/>
            <w:vAlign w:val="bottom"/>
          </w:tcPr>
          <w:p>
            <w:pPr>
              <w:pStyle w:val="TableContents"/>
              <w:spacing w:before="0" w:after="0"/>
              <w:ind w:left="0" w:right="0" w:hanging="0"/>
              <w:jc w:val="center"/>
              <w:rPr/>
            </w:pPr>
            <w:r>
              <w:rPr/>
              <w:t> </w:t>
            </w:r>
          </w:p>
        </w:tc>
        <w:tc>
          <w:tcPr>
            <w:tcW w:w="85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5" w:type="dxa"/>
            <w:tcBorders/>
            <w:shd w:fill="auto" w:val="clear"/>
            <w:vAlign w:val="bottom"/>
          </w:tcPr>
          <w:p>
            <w:pPr>
              <w:pStyle w:val="TableContents"/>
              <w:spacing w:before="0" w:after="0"/>
              <w:ind w:left="0" w:right="0" w:hanging="0"/>
              <w:jc w:val="center"/>
              <w:rPr/>
            </w:pPr>
            <w:r>
              <w:rPr/>
              <w:t> </w:t>
            </w:r>
          </w:p>
        </w:tc>
      </w:tr>
      <w:tr>
        <w:trPr/>
        <w:tc>
          <w:tcPr>
            <w:tcW w:w="58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Numerator for basic and diluted earnings per limited partner unit:</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15" w:type="dxa"/>
            <w:tcBorders/>
            <w:shd w:fill="auto" w:val="clear"/>
            <w:vAlign w:val="bottom"/>
          </w:tcPr>
          <w:p>
            <w:pPr>
              <w:pStyle w:val="TableContents"/>
              <w:spacing w:before="0" w:after="0"/>
              <w:ind w:left="0" w:right="0" w:hanging="0"/>
              <w:rPr/>
            </w:pPr>
            <w:r>
              <w:rPr/>
              <w:t> </w:t>
            </w:r>
          </w:p>
        </w:tc>
      </w:tr>
      <w:tr>
        <w:trPr/>
        <w:tc>
          <w:tcPr>
            <w:tcW w:w="5804"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paid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12"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3"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15" w:type="dxa"/>
            <w:tcBorders/>
            <w:shd w:fill="auto" w:val="clear"/>
            <w:vAlign w:val="bottom"/>
          </w:tcPr>
          <w:p>
            <w:pPr>
              <w:pStyle w:val="TableContents"/>
              <w:spacing w:before="0" w:after="0"/>
              <w:ind w:left="0" w:right="0" w:hanging="0"/>
              <w:rPr/>
            </w:pPr>
            <w:r>
              <w:rPr/>
              <w:t> </w:t>
            </w:r>
          </w:p>
        </w:tc>
      </w:tr>
      <w:tr>
        <w:trPr/>
        <w:tc>
          <w:tcPr>
            <w:tcW w:w="5804"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CCEEFF" w:val="clear"/>
            <w:vAlign w:val="bottom"/>
          </w:tcPr>
          <w:p>
            <w:pPr>
              <w:pStyle w:val="TableContents"/>
              <w:spacing w:before="0" w:after="0"/>
              <w:ind w:left="0" w:right="0" w:hanging="0"/>
              <w:rPr/>
            </w:pPr>
            <w:r>
              <w:rPr/>
              <w:t> </w:t>
            </w:r>
          </w:p>
        </w:tc>
        <w:tc>
          <w:tcPr>
            <w:tcW w:w="8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2"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3"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15" w:type="dxa"/>
            <w:tcBorders/>
            <w:shd w:fill="auto" w:val="clear"/>
            <w:vAlign w:val="bottom"/>
          </w:tcPr>
          <w:p>
            <w:pPr>
              <w:pStyle w:val="TableContents"/>
              <w:spacing w:before="0" w:after="0"/>
              <w:ind w:left="0" w:right="0" w:hanging="0"/>
              <w:rPr/>
            </w:pPr>
            <w:r>
              <w:rPr/>
              <w:t> </w:t>
            </w:r>
          </w:p>
        </w:tc>
      </w:tr>
      <w:tr>
        <w:trPr/>
        <w:tc>
          <w:tcPr>
            <w:tcW w:w="5804" w:type="dxa"/>
            <w:tcBorders/>
            <w:shd w:fill="CCEEFF" w:val="clear"/>
            <w:vAlign w:val="bottom"/>
          </w:tcPr>
          <w:p>
            <w:pPr>
              <w:pStyle w:val="TableContents"/>
              <w:spacing w:before="0" w:after="0"/>
              <w:ind w:left="0" w:right="0" w:hanging="0"/>
              <w:rPr/>
            </w:pPr>
            <w:r>
              <w:rPr>
                <w:rFonts w:ascii="Times New Roman" w:hAnsi="Times New Roman"/>
                <w:sz w:val="17"/>
              </w:rPr>
              <w:t xml:space="preserve">Adjustment in accordance with EITF 07-04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EITF 07-04</w:t>
            </w:r>
          </w:p>
        </w:tc>
        <w:tc>
          <w:tcPr>
            <w:tcW w:w="212"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15" w:type="dxa"/>
            <w:tcBorders/>
            <w:shd w:fill="auto" w:val="clear"/>
            <w:vAlign w:val="bottom"/>
          </w:tcPr>
          <w:p>
            <w:pPr>
              <w:pStyle w:val="TableContents"/>
              <w:spacing w:before="0" w:after="0"/>
              <w:ind w:left="0" w:right="0" w:hanging="0"/>
              <w:rPr/>
            </w:pPr>
            <w:r>
              <w:rPr/>
              <w:t> </w:t>
            </w:r>
          </w:p>
        </w:tc>
      </w:tr>
      <w:tr>
        <w:trPr/>
        <w:tc>
          <w:tcPr>
            <w:tcW w:w="5804"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212"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8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3"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15" w:type="dxa"/>
            <w:tcBorders/>
            <w:shd w:fill="CCEEFF" w:val="clear"/>
            <w:vAlign w:val="bottom"/>
          </w:tcPr>
          <w:p>
            <w:pPr>
              <w:pStyle w:val="TableContents"/>
              <w:spacing w:before="0" w:after="0"/>
              <w:ind w:left="0" w:right="0" w:hanging="0"/>
              <w:rPr/>
            </w:pPr>
            <w:r>
              <w:rPr/>
              <w:t> </w:t>
            </w:r>
          </w:p>
        </w:tc>
      </w:tr>
      <w:tr>
        <w:trPr/>
        <w:tc>
          <w:tcPr>
            <w:tcW w:w="5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212"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8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LTIP units</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pPr>
            <w:r>
              <w:rPr/>
              <w:t> </w:t>
            </w:r>
          </w:p>
        </w:tc>
        <w:tc>
          <w:tcPr>
            <w:tcW w:w="8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5" w:type="dxa"/>
            <w:tcBorders/>
            <w:shd w:fill="CCEEFF" w:val="clear"/>
            <w:vAlign w:val="bottom"/>
          </w:tcPr>
          <w:p>
            <w:pPr>
              <w:pStyle w:val="TableContents"/>
              <w:spacing w:before="0" w:after="0"/>
              <w:ind w:left="0" w:right="0" w:hanging="0"/>
              <w:rPr/>
            </w:pPr>
            <w:r>
              <w:rPr/>
              <w:t> </w:t>
            </w:r>
          </w:p>
        </w:tc>
      </w:tr>
      <w:tr>
        <w:trPr/>
        <w:tc>
          <w:tcPr>
            <w:tcW w:w="5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2" w:type="dxa"/>
            <w:tcBorders/>
            <w:shd w:fill="auto" w:val="clear"/>
            <w:vAlign w:val="bottom"/>
          </w:tcPr>
          <w:p>
            <w:pPr>
              <w:pStyle w:val="TableContents"/>
              <w:spacing w:before="0" w:after="0"/>
              <w:ind w:left="0" w:right="0" w:hanging="0"/>
              <w:rPr/>
            </w:pPr>
            <w:r>
              <w:rPr/>
              <w:t> </w:t>
            </w:r>
          </w:p>
        </w:tc>
        <w:tc>
          <w:tcPr>
            <w:tcW w:w="85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13" w:type="dxa"/>
            <w:tcBorders/>
            <w:shd w:fill="auto" w:val="clear"/>
            <w:vAlign w:val="bottom"/>
          </w:tcPr>
          <w:p>
            <w:pPr>
              <w:pStyle w:val="TableContents"/>
              <w:spacing w:before="0" w:after="0"/>
              <w:ind w:left="0" w:right="0" w:hanging="0"/>
              <w:rPr/>
            </w:pPr>
            <w:r>
              <w:rPr/>
              <w:t> </w:t>
            </w:r>
          </w:p>
        </w:tc>
        <w:tc>
          <w:tcPr>
            <w:tcW w:w="85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15" w:type="dxa"/>
            <w:tcBorders/>
            <w:shd w:fill="auto" w:val="clear"/>
            <w:vAlign w:val="bottom"/>
          </w:tcPr>
          <w:p>
            <w:pPr>
              <w:pStyle w:val="TableContents"/>
              <w:spacing w:before="0" w:after="0"/>
              <w:ind w:left="0" w:right="0" w:hanging="0"/>
              <w:rPr/>
            </w:pPr>
            <w:r>
              <w:rPr/>
              <w:t> </w:t>
            </w:r>
          </w:p>
        </w:tc>
      </w:tr>
      <w:tr>
        <w:trPr/>
        <w:tc>
          <w:tcPr>
            <w:tcW w:w="5804"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12"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0.79</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0.09</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115" w:type="dxa"/>
            <w:tcBorders/>
            <w:shd w:fill="auto" w:val="clear"/>
            <w:vAlign w:val="bottom"/>
          </w:tcPr>
          <w:p>
            <w:pPr>
              <w:pStyle w:val="TableContents"/>
              <w:spacing w:before="0" w:after="0"/>
              <w:ind w:left="0" w:right="0" w:hanging="0"/>
              <w:rPr/>
            </w:pPr>
            <w:r>
              <w:rPr/>
              <w:t> </w:t>
            </w:r>
          </w:p>
        </w:tc>
      </w:tr>
      <w:tr>
        <w:trPr/>
        <w:tc>
          <w:tcPr>
            <w:tcW w:w="5804"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12"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0.78</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0.09</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0.64</w:t>
            </w:r>
          </w:p>
        </w:tc>
        <w:tc>
          <w:tcPr>
            <w:tcW w:w="11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8"/>
        </w:rPr>
        <w:t>(1)</w:t>
      </w:r>
      <w:r>
        <w:rPr>
          <w:rFonts w:ascii="Times New Roman" w:hAnsi="Times New Roman"/>
        </w:rPr>
        <w:t> </w:t>
      </w:r>
      <w:r>
        <w:rPr>
          <w:rFonts w:ascii="Times New Roman" w:hAnsi="Times New Roman"/>
          <w:sz w:val="13"/>
        </w:rPr>
        <w:t>We allocate net income to our general partner based on the distribution paid during the current quarter (including the incentive distribution interest in excess of the 2% general partner interest).  EITF 07-04 requires that the distribution pertaining to the current periods net income, which is to be paid in the subsequent quarter, be utilized within the earnings per unit calculation.  We reflect the impact of this difference as the Adjustment in accordance with EITF 07-04.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6"/>
        <w:gridCol w:w="2782"/>
        <w:gridCol w:w="3817"/>
      </w:tblGrid>
      <w:tr>
        <w:trPr/>
        <w:tc>
          <w:tcPr>
            <w:tcW w:w="3606" w:type="dxa"/>
            <w:tcBorders>
              <w:top w:val="single" w:sz="8" w:space="0" w:color="000000"/>
            </w:tcBorders>
            <w:shd w:fill="auto" w:val="clear"/>
          </w:tcPr>
          <w:p>
            <w:pPr>
              <w:pStyle w:val="TableContents"/>
              <w:spacing w:before="0" w:after="0"/>
              <w:ind w:left="0" w:right="0" w:hanging="0"/>
              <w:jc w:val="right"/>
              <w:rPr/>
            </w:pPr>
            <w:r>
              <w:rPr/>
              <w:t> </w:t>
            </w:r>
          </w:p>
        </w:tc>
        <w:tc>
          <w:tcPr>
            <w:tcW w:w="2782" w:type="dxa"/>
            <w:tcBorders>
              <w:top w:val="single" w:sz="8" w:space="0" w:color="000000"/>
            </w:tcBorders>
            <w:shd w:fill="auto" w:val="clear"/>
          </w:tcPr>
          <w:p>
            <w:pPr>
              <w:pStyle w:val="TableContents"/>
              <w:spacing w:before="0" w:after="0"/>
              <w:ind w:left="0" w:right="0" w:hanging="0"/>
              <w:rPr/>
            </w:pPr>
            <w:r>
              <w:rPr/>
              <w:t> </w:t>
            </w:r>
          </w:p>
        </w:tc>
        <w:tc>
          <w:tcPr>
            <w:tcW w:w="3817" w:type="dxa"/>
            <w:tcBorders>
              <w:top w:val="single" w:sz="8" w:space="0" w:color="000000"/>
            </w:tcBorders>
            <w:shd w:fill="auto" w:val="clear"/>
          </w:tcPr>
          <w:p>
            <w:pPr>
              <w:pStyle w:val="TableContents"/>
              <w:spacing w:before="0" w:after="0"/>
              <w:ind w:left="0" w:right="0" w:hanging="0"/>
              <w:rPr/>
            </w:pPr>
            <w:r>
              <w:rPr/>
              <w:t> </w:t>
            </w:r>
          </w:p>
        </w:tc>
      </w:tr>
      <w:tr>
        <w:trPr/>
        <w:tc>
          <w:tcPr>
            <w:tcW w:w="3606"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2"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7"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rPr>
      </w:pPr>
      <w:r>
        <w:rPr>
          <w:rFonts w:ascii="Times New Roman" w:hAnsi="Times New Roman"/>
          <w:b/>
          <w:sz w:val="17"/>
        </w:rPr>
        <w:t>FINANCIAL SUMMARY</w:t>
      </w:r>
      <w:r>
        <w:rPr>
          <w:rFonts w:ascii="Times New Roman" w:hAnsi="Times New Roman"/>
        </w:rPr>
        <w:t xml:space="preserve"> </w:t>
      </w:r>
      <w:r>
        <w:rPr>
          <w:rFonts w:ascii="Times New Roman" w:hAnsi="Times New Roman"/>
          <w:sz w:val="17"/>
        </w:rPr>
        <w:t xml:space="preserve">(unaudited) </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 xml:space="preserve">FINANCIAL DATA RECONCILIATIONS </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91"/>
        <w:gridCol w:w="216"/>
        <w:gridCol w:w="112"/>
        <w:gridCol w:w="870"/>
        <w:gridCol w:w="217"/>
        <w:gridCol w:w="112"/>
        <w:gridCol w:w="870"/>
        <w:gridCol w:w="216"/>
        <w:gridCol w:w="112"/>
        <w:gridCol w:w="870"/>
        <w:gridCol w:w="217"/>
        <w:gridCol w:w="112"/>
        <w:gridCol w:w="870"/>
        <w:gridCol w:w="120"/>
      </w:tblGrid>
      <w:tr>
        <w:trPr/>
        <w:tc>
          <w:tcPr>
            <w:tcW w:w="5291"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18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6" w:type="dxa"/>
            <w:tcBorders/>
            <w:shd w:fill="auto" w:val="clear"/>
            <w:vAlign w:val="bottom"/>
          </w:tcPr>
          <w:p>
            <w:pPr>
              <w:pStyle w:val="TableContents"/>
              <w:spacing w:before="0" w:after="0"/>
              <w:ind w:left="0" w:right="0" w:hanging="0"/>
              <w:jc w:val="center"/>
              <w:rPr/>
            </w:pPr>
            <w:r>
              <w:rPr/>
              <w:t> </w:t>
            </w:r>
          </w:p>
        </w:tc>
        <w:tc>
          <w:tcPr>
            <w:tcW w:w="218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0" w:type="dxa"/>
            <w:tcBorders/>
            <w:shd w:fill="auto" w:val="clear"/>
            <w:vAlign w:val="bottom"/>
          </w:tcPr>
          <w:p>
            <w:pPr>
              <w:pStyle w:val="TableContents"/>
              <w:spacing w:before="0" w:after="0"/>
              <w:ind w:left="0" w:right="0" w:hanging="0"/>
              <w:jc w:val="center"/>
              <w:rPr/>
            </w:pPr>
            <w:r>
              <w:rPr/>
              <w:t> </w:t>
            </w:r>
          </w:p>
        </w:tc>
      </w:tr>
      <w:tr>
        <w:trPr/>
        <w:tc>
          <w:tcPr>
            <w:tcW w:w="5291"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18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6" w:type="dxa"/>
            <w:tcBorders/>
            <w:shd w:fill="auto" w:val="clear"/>
            <w:vAlign w:val="bottom"/>
          </w:tcPr>
          <w:p>
            <w:pPr>
              <w:pStyle w:val="TableContents"/>
              <w:spacing w:before="0" w:after="0"/>
              <w:ind w:left="0" w:right="0" w:hanging="0"/>
              <w:jc w:val="center"/>
              <w:rPr/>
            </w:pPr>
            <w:r>
              <w:rPr/>
              <w:t> </w:t>
            </w:r>
          </w:p>
        </w:tc>
        <w:tc>
          <w:tcPr>
            <w:tcW w:w="218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0" w:type="dxa"/>
            <w:tcBorders/>
            <w:shd w:fill="auto" w:val="clear"/>
            <w:vAlign w:val="bottom"/>
          </w:tcPr>
          <w:p>
            <w:pPr>
              <w:pStyle w:val="TableContents"/>
              <w:spacing w:before="0" w:after="0"/>
              <w:ind w:left="0" w:right="0" w:hanging="0"/>
              <w:jc w:val="center"/>
              <w:rPr/>
            </w:pPr>
            <w:r>
              <w:rPr/>
              <w:t> </w:t>
            </w:r>
          </w:p>
        </w:tc>
      </w:tr>
      <w:tr>
        <w:trPr/>
        <w:tc>
          <w:tcPr>
            <w:tcW w:w="5291"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7" w:type="dxa"/>
            <w:tcBorders/>
            <w:shd w:fill="auto" w:val="clear"/>
            <w:vAlign w:val="bottom"/>
          </w:tcPr>
          <w:p>
            <w:pPr>
              <w:pStyle w:val="TableContents"/>
              <w:spacing w:before="0" w:after="0"/>
              <w:ind w:left="0" w:right="0" w:hanging="0"/>
              <w:jc w:val="center"/>
              <w:rPr/>
            </w:pPr>
            <w:r>
              <w:rPr/>
              <w:t> </w:t>
            </w:r>
          </w:p>
        </w:tc>
        <w:tc>
          <w:tcPr>
            <w:tcW w:w="98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6" w:type="dxa"/>
            <w:tcBorders/>
            <w:shd w:fill="auto" w:val="clear"/>
            <w:vAlign w:val="bottom"/>
          </w:tcPr>
          <w:p>
            <w:pPr>
              <w:pStyle w:val="TableContents"/>
              <w:spacing w:before="0" w:after="0"/>
              <w:ind w:left="0" w:right="0" w:hanging="0"/>
              <w:jc w:val="center"/>
              <w:rPr/>
            </w:pPr>
            <w:r>
              <w:rPr/>
              <w:t> </w:t>
            </w:r>
          </w:p>
        </w:tc>
        <w:tc>
          <w:tcPr>
            <w:tcW w:w="9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7" w:type="dxa"/>
            <w:tcBorders/>
            <w:shd w:fill="auto" w:val="clear"/>
            <w:vAlign w:val="bottom"/>
          </w:tcPr>
          <w:p>
            <w:pPr>
              <w:pStyle w:val="TableContents"/>
              <w:spacing w:before="0" w:after="0"/>
              <w:ind w:left="0" w:right="0" w:hanging="0"/>
              <w:jc w:val="center"/>
              <w:rPr/>
            </w:pPr>
            <w:r>
              <w:rPr/>
              <w:t> </w:t>
            </w:r>
          </w:p>
        </w:tc>
        <w:tc>
          <w:tcPr>
            <w:tcW w:w="98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20" w:type="dxa"/>
            <w:tcBorders/>
            <w:shd w:fill="auto" w:val="clear"/>
            <w:vAlign w:val="bottom"/>
          </w:tcPr>
          <w:p>
            <w:pPr>
              <w:pStyle w:val="TableContents"/>
              <w:spacing w:before="0" w:after="0"/>
              <w:ind w:left="0" w:right="0" w:hanging="0"/>
              <w:jc w:val="center"/>
              <w:rPr/>
            </w:pPr>
            <w:r>
              <w:rPr/>
              <w:t> </w:t>
            </w:r>
          </w:p>
        </w:tc>
      </w:tr>
      <w:tr>
        <w:trPr/>
        <w:tc>
          <w:tcPr>
            <w:tcW w:w="529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Earnings before interest, taxes, depreciation and amortization (EBITDA)</w:t>
            </w:r>
          </w:p>
        </w:tc>
        <w:tc>
          <w:tcPr>
            <w:tcW w:w="216" w:type="dxa"/>
            <w:tcBorders/>
            <w:shd w:fill="CCEEFF" w:val="clear"/>
            <w:vAlign w:val="bottom"/>
          </w:tcPr>
          <w:p>
            <w:pPr>
              <w:pStyle w:val="TableContents"/>
              <w:spacing w:before="0" w:after="0"/>
              <w:ind w:left="0" w:right="0" w:hanging="0"/>
              <w:rPr/>
            </w:pPr>
            <w:r>
              <w:rPr/>
              <w:t> </w:t>
            </w:r>
          </w:p>
        </w:tc>
        <w:tc>
          <w:tcPr>
            <w:tcW w:w="98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982"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982"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29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reconciliation</w:t>
            </w:r>
          </w:p>
        </w:tc>
        <w:tc>
          <w:tcPr>
            <w:tcW w:w="216"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2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6"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7"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16"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w:t>
            </w:r>
          </w:p>
        </w:tc>
        <w:tc>
          <w:tcPr>
            <w:tcW w:w="217"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20" w:type="dxa"/>
            <w:tcBorders/>
            <w:shd w:fill="CCEEFF" w:val="clear"/>
            <w:vAlign w:val="bottom"/>
          </w:tcPr>
          <w:p>
            <w:pPr>
              <w:pStyle w:val="TableContents"/>
              <w:spacing w:before="0" w:after="0"/>
              <w:ind w:left="0" w:right="0" w:hanging="0"/>
              <w:rPr/>
            </w:pPr>
            <w:r>
              <w:rPr/>
              <w:t> </w:t>
            </w:r>
          </w:p>
        </w:tc>
      </w:tr>
      <w:tr>
        <w:trPr/>
        <w:tc>
          <w:tcPr>
            <w:tcW w:w="52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Interest expense</w:t>
            </w:r>
          </w:p>
        </w:tc>
        <w:tc>
          <w:tcPr>
            <w:tcW w:w="216"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7"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16"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217"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20" w:type="dxa"/>
            <w:tcBorders/>
            <w:shd w:fill="auto" w:val="clear"/>
            <w:vAlign w:val="bottom"/>
          </w:tcPr>
          <w:p>
            <w:pPr>
              <w:pStyle w:val="TableContents"/>
              <w:spacing w:before="0" w:after="0"/>
              <w:ind w:left="0" w:right="0" w:hanging="0"/>
              <w:rPr/>
            </w:pPr>
            <w:r>
              <w:rPr/>
              <w:t> </w:t>
            </w:r>
          </w:p>
        </w:tc>
      </w:tr>
      <w:tr>
        <w:trPr/>
        <w:tc>
          <w:tcPr>
            <w:tcW w:w="52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Add/(Less): Income tax (benefit)/expense</w:t>
            </w:r>
          </w:p>
        </w:tc>
        <w:tc>
          <w:tcPr>
            <w:tcW w:w="216" w:type="dxa"/>
            <w:tcBorders/>
            <w:shd w:fill="CCEEFF" w:val="clear"/>
            <w:vAlign w:val="bottom"/>
          </w:tcPr>
          <w:p>
            <w:pPr>
              <w:pStyle w:val="TableContents"/>
              <w:spacing w:before="0" w:after="0"/>
              <w:ind w:left="0" w:right="0" w:hanging="0"/>
              <w:rPr/>
            </w:pPr>
            <w:r>
              <w:rPr/>
              <w:t> </w:t>
            </w:r>
          </w:p>
        </w:tc>
        <w:tc>
          <w:tcPr>
            <w:tcW w:w="9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6" w:type="dxa"/>
            <w:tcBorders/>
            <w:shd w:fill="CCEEFF" w:val="clear"/>
            <w:vAlign w:val="bottom"/>
          </w:tcPr>
          <w:p>
            <w:pPr>
              <w:pStyle w:val="TableContents"/>
              <w:spacing w:before="0" w:after="0"/>
              <w:ind w:left="0" w:right="0" w:hanging="0"/>
              <w:rPr/>
            </w:pPr>
            <w:r>
              <w:rPr/>
              <w:t> </w:t>
            </w:r>
          </w:p>
        </w:tc>
        <w:tc>
          <w:tcPr>
            <w:tcW w:w="9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0" w:type="dxa"/>
            <w:tcBorders/>
            <w:shd w:fill="CCEEFF" w:val="clear"/>
            <w:vAlign w:val="bottom"/>
          </w:tcPr>
          <w:p>
            <w:pPr>
              <w:pStyle w:val="TableContents"/>
              <w:spacing w:before="0" w:after="0"/>
              <w:ind w:left="0" w:right="0" w:hanging="0"/>
              <w:rPr/>
            </w:pPr>
            <w:r>
              <w:rPr/>
              <w:t> </w:t>
            </w:r>
          </w:p>
        </w:tc>
      </w:tr>
      <w:tr>
        <w:trPr/>
        <w:tc>
          <w:tcPr>
            <w:tcW w:w="52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 (EBIT)</w:t>
            </w:r>
          </w:p>
        </w:tc>
        <w:tc>
          <w:tcPr>
            <w:tcW w:w="216"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17"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16"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453</w:t>
            </w:r>
          </w:p>
        </w:tc>
        <w:tc>
          <w:tcPr>
            <w:tcW w:w="217"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120" w:type="dxa"/>
            <w:tcBorders/>
            <w:shd w:fill="auto" w:val="clear"/>
            <w:vAlign w:val="bottom"/>
          </w:tcPr>
          <w:p>
            <w:pPr>
              <w:pStyle w:val="TableContents"/>
              <w:spacing w:before="0" w:after="0"/>
              <w:ind w:left="0" w:right="0" w:hanging="0"/>
              <w:rPr/>
            </w:pPr>
            <w:r>
              <w:rPr/>
              <w:t> </w:t>
            </w:r>
          </w:p>
        </w:tc>
      </w:tr>
      <w:tr>
        <w:trPr/>
        <w:tc>
          <w:tcPr>
            <w:tcW w:w="52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Depreciation and amortization</w:t>
            </w:r>
          </w:p>
        </w:tc>
        <w:tc>
          <w:tcPr>
            <w:tcW w:w="216" w:type="dxa"/>
            <w:tcBorders/>
            <w:shd w:fill="CCEEFF" w:val="clear"/>
            <w:vAlign w:val="bottom"/>
          </w:tcPr>
          <w:p>
            <w:pPr>
              <w:pStyle w:val="TableContents"/>
              <w:spacing w:before="0" w:after="0"/>
              <w:ind w:left="0" w:right="0" w:hanging="0"/>
              <w:rPr/>
            </w:pPr>
            <w:r>
              <w:rPr/>
              <w:t> </w:t>
            </w:r>
          </w:p>
        </w:tc>
        <w:tc>
          <w:tcPr>
            <w:tcW w:w="9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7" w:type="dxa"/>
            <w:tcBorders/>
            <w:shd w:fill="CCEEFF" w:val="clear"/>
            <w:vAlign w:val="bottom"/>
          </w:tcPr>
          <w:p>
            <w:pPr>
              <w:pStyle w:val="TableContents"/>
              <w:spacing w:before="0" w:after="0"/>
              <w:ind w:left="0" w:right="0" w:hanging="0"/>
              <w:rPr/>
            </w:pPr>
            <w:r>
              <w:rPr/>
              <w:t> </w:t>
            </w:r>
          </w:p>
        </w:tc>
        <w:tc>
          <w:tcPr>
            <w:tcW w:w="9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6" w:type="dxa"/>
            <w:tcBorders/>
            <w:shd w:fill="CCEEFF" w:val="clear"/>
            <w:vAlign w:val="bottom"/>
          </w:tcPr>
          <w:p>
            <w:pPr>
              <w:pStyle w:val="TableContents"/>
              <w:spacing w:before="0" w:after="0"/>
              <w:ind w:left="0" w:right="0" w:hanging="0"/>
              <w:rPr/>
            </w:pPr>
            <w:r>
              <w:rPr/>
              <w:t> </w:t>
            </w:r>
          </w:p>
        </w:tc>
        <w:tc>
          <w:tcPr>
            <w:tcW w:w="9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7" w:type="dxa"/>
            <w:tcBorders/>
            <w:shd w:fill="CCEEFF" w:val="clear"/>
            <w:vAlign w:val="bottom"/>
          </w:tcPr>
          <w:p>
            <w:pPr>
              <w:pStyle w:val="TableContents"/>
              <w:spacing w:before="0" w:after="0"/>
              <w:ind w:left="0" w:right="0" w:hanging="0"/>
              <w:rPr/>
            </w:pPr>
            <w:r>
              <w:rPr/>
              <w:t> </w:t>
            </w:r>
          </w:p>
        </w:tc>
        <w:tc>
          <w:tcPr>
            <w:tcW w:w="9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20" w:type="dxa"/>
            <w:tcBorders/>
            <w:shd w:fill="CCEEFF" w:val="clear"/>
            <w:vAlign w:val="bottom"/>
          </w:tcPr>
          <w:p>
            <w:pPr>
              <w:pStyle w:val="TableContents"/>
              <w:spacing w:before="0" w:after="0"/>
              <w:ind w:left="0" w:right="0" w:hanging="0"/>
              <w:rPr/>
            </w:pPr>
            <w:r>
              <w:rPr/>
              <w:t> </w:t>
            </w:r>
          </w:p>
        </w:tc>
      </w:tr>
      <w:tr>
        <w:trPr/>
        <w:tc>
          <w:tcPr>
            <w:tcW w:w="52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6"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217"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6"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567</w:t>
            </w:r>
          </w:p>
        </w:tc>
        <w:tc>
          <w:tcPr>
            <w:tcW w:w="217"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327</w:t>
            </w:r>
          </w:p>
        </w:tc>
        <w:tc>
          <w:tcPr>
            <w:tcW w:w="12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93"/>
        <w:gridCol w:w="216"/>
        <w:gridCol w:w="111"/>
        <w:gridCol w:w="873"/>
        <w:gridCol w:w="217"/>
        <w:gridCol w:w="111"/>
        <w:gridCol w:w="870"/>
        <w:gridCol w:w="217"/>
        <w:gridCol w:w="111"/>
        <w:gridCol w:w="870"/>
        <w:gridCol w:w="217"/>
        <w:gridCol w:w="111"/>
        <w:gridCol w:w="870"/>
        <w:gridCol w:w="118"/>
      </w:tblGrid>
      <w:tr>
        <w:trPr/>
        <w:tc>
          <w:tcPr>
            <w:tcW w:w="5293"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18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17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18" w:type="dxa"/>
            <w:tcBorders/>
            <w:shd w:fill="auto" w:val="clear"/>
            <w:vAlign w:val="bottom"/>
          </w:tcPr>
          <w:p>
            <w:pPr>
              <w:pStyle w:val="TableContents"/>
              <w:spacing w:before="0" w:after="0"/>
              <w:ind w:left="0" w:right="0" w:hanging="0"/>
              <w:jc w:val="center"/>
              <w:rPr/>
            </w:pPr>
            <w:r>
              <w:rPr/>
              <w:t> </w:t>
            </w:r>
          </w:p>
        </w:tc>
      </w:tr>
      <w:tr>
        <w:trPr/>
        <w:tc>
          <w:tcPr>
            <w:tcW w:w="5293"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18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7" w:type="dxa"/>
            <w:tcBorders/>
            <w:shd w:fill="auto" w:val="clear"/>
            <w:vAlign w:val="bottom"/>
          </w:tcPr>
          <w:p>
            <w:pPr>
              <w:pStyle w:val="TableContents"/>
              <w:spacing w:before="0" w:after="0"/>
              <w:ind w:left="0" w:right="0" w:hanging="0"/>
              <w:jc w:val="center"/>
              <w:rPr/>
            </w:pPr>
            <w:r>
              <w:rPr/>
              <w:t> </w:t>
            </w:r>
          </w:p>
        </w:tc>
        <w:tc>
          <w:tcPr>
            <w:tcW w:w="217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18" w:type="dxa"/>
            <w:tcBorders/>
            <w:shd w:fill="auto" w:val="clear"/>
            <w:vAlign w:val="bottom"/>
          </w:tcPr>
          <w:p>
            <w:pPr>
              <w:pStyle w:val="TableContents"/>
              <w:spacing w:before="0" w:after="0"/>
              <w:ind w:left="0" w:right="0" w:hanging="0"/>
              <w:jc w:val="center"/>
              <w:rPr/>
            </w:pPr>
            <w:r>
              <w:rPr/>
              <w:t> </w:t>
            </w:r>
          </w:p>
        </w:tc>
      </w:tr>
      <w:tr>
        <w:trPr/>
        <w:tc>
          <w:tcPr>
            <w:tcW w:w="5293"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9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7" w:type="dxa"/>
            <w:tcBorders/>
            <w:shd w:fill="auto" w:val="clear"/>
            <w:vAlign w:val="bottom"/>
          </w:tcPr>
          <w:p>
            <w:pPr>
              <w:pStyle w:val="TableContents"/>
              <w:spacing w:before="0" w:after="0"/>
              <w:ind w:left="0" w:right="0" w:hanging="0"/>
              <w:jc w:val="center"/>
              <w:rPr/>
            </w:pPr>
            <w:r>
              <w:rPr/>
              <w:t> </w:t>
            </w:r>
          </w:p>
        </w:tc>
        <w:tc>
          <w:tcPr>
            <w:tcW w:w="98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7" w:type="dxa"/>
            <w:tcBorders/>
            <w:shd w:fill="auto" w:val="clear"/>
            <w:vAlign w:val="bottom"/>
          </w:tcPr>
          <w:p>
            <w:pPr>
              <w:pStyle w:val="TableContents"/>
              <w:spacing w:before="0" w:after="0"/>
              <w:ind w:left="0" w:right="0" w:hanging="0"/>
              <w:jc w:val="center"/>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7" w:type="dxa"/>
            <w:tcBorders/>
            <w:shd w:fill="auto" w:val="clear"/>
            <w:vAlign w:val="bottom"/>
          </w:tcPr>
          <w:p>
            <w:pPr>
              <w:pStyle w:val="TableContents"/>
              <w:spacing w:before="0" w:after="0"/>
              <w:ind w:left="0" w:right="0" w:hanging="0"/>
              <w:jc w:val="center"/>
              <w:rPr/>
            </w:pPr>
            <w:r>
              <w:rPr/>
              <w:t> </w:t>
            </w:r>
          </w:p>
        </w:tc>
        <w:tc>
          <w:tcPr>
            <w:tcW w:w="98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8" w:type="dxa"/>
            <w:tcBorders/>
            <w:shd w:fill="auto" w:val="clear"/>
            <w:vAlign w:val="bottom"/>
          </w:tcPr>
          <w:p>
            <w:pPr>
              <w:pStyle w:val="TableContents"/>
              <w:spacing w:before="0" w:after="0"/>
              <w:ind w:left="0" w:right="0" w:hanging="0"/>
              <w:jc w:val="center"/>
              <w:rPr/>
            </w:pPr>
            <w:r>
              <w:rPr/>
              <w:t> </w:t>
            </w:r>
          </w:p>
        </w:tc>
      </w:tr>
      <w:tr>
        <w:trPr/>
        <w:tc>
          <w:tcPr>
            <w:tcW w:w="529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 from operating activities reconciliation</w:t>
            </w:r>
          </w:p>
        </w:tc>
        <w:tc>
          <w:tcPr>
            <w:tcW w:w="216" w:type="dxa"/>
            <w:tcBorders/>
            <w:shd w:fill="CCEEFF" w:val="clear"/>
            <w:vAlign w:val="bottom"/>
          </w:tcPr>
          <w:p>
            <w:pPr>
              <w:pStyle w:val="TableContents"/>
              <w:spacing w:before="0" w:after="0"/>
              <w:ind w:left="0" w:right="0" w:hanging="0"/>
              <w:rPr/>
            </w:pPr>
            <w:r>
              <w:rPr/>
              <w:t> </w:t>
            </w:r>
          </w:p>
        </w:tc>
        <w:tc>
          <w:tcPr>
            <w:tcW w:w="984"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52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217"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7"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567</w:t>
            </w:r>
          </w:p>
        </w:tc>
        <w:tc>
          <w:tcPr>
            <w:tcW w:w="217"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327</w:t>
            </w:r>
          </w:p>
        </w:tc>
        <w:tc>
          <w:tcPr>
            <w:tcW w:w="118" w:type="dxa"/>
            <w:tcBorders/>
            <w:shd w:fill="auto" w:val="clear"/>
            <w:vAlign w:val="bottom"/>
          </w:tcPr>
          <w:p>
            <w:pPr>
              <w:pStyle w:val="TableContents"/>
              <w:spacing w:before="0" w:after="0"/>
              <w:ind w:left="0" w:right="0" w:hanging="0"/>
              <w:rPr/>
            </w:pPr>
            <w:r>
              <w:rPr/>
              <w:t> </w:t>
            </w:r>
          </w:p>
        </w:tc>
      </w:tr>
      <w:tr>
        <w:trPr/>
        <w:tc>
          <w:tcPr>
            <w:tcW w:w="52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6" w:type="dxa"/>
            <w:tcBorders/>
            <w:shd w:fill="CCEEFF" w:val="clear"/>
            <w:vAlign w:val="bottom"/>
          </w:tcPr>
          <w:p>
            <w:pPr>
              <w:pStyle w:val="TableContents"/>
              <w:spacing w:before="0" w:after="0"/>
              <w:ind w:left="0" w:right="0" w:hanging="0"/>
              <w:rPr/>
            </w:pPr>
            <w:r>
              <w:rPr/>
              <w:t> </w:t>
            </w:r>
          </w:p>
        </w:tc>
        <w:tc>
          <w:tcPr>
            <w:tcW w:w="9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6" w:type="dxa"/>
            <w:tcBorders/>
            <w:shd w:fill="auto" w:val="clear"/>
            <w:vAlign w:val="bottom"/>
          </w:tcPr>
          <w:p>
            <w:pPr>
              <w:pStyle w:val="TableContents"/>
              <w:spacing w:before="0" w:after="0"/>
              <w:ind w:left="0" w:right="0" w:hanging="0"/>
              <w:rPr/>
            </w:pPr>
            <w:r>
              <w:rPr/>
              <w:t> </w:t>
            </w:r>
          </w:p>
        </w:tc>
        <w:tc>
          <w:tcPr>
            <w:tcW w:w="9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change in assets and liabilities, net of acquisitions</w:t>
            </w:r>
          </w:p>
        </w:tc>
        <w:tc>
          <w:tcPr>
            <w:tcW w:w="216" w:type="dxa"/>
            <w:tcBorders/>
            <w:shd w:fill="CCEEFF" w:val="clear"/>
            <w:vAlign w:val="bottom"/>
          </w:tcPr>
          <w:p>
            <w:pPr>
              <w:pStyle w:val="TableContents"/>
              <w:spacing w:before="0" w:after="0"/>
              <w:ind w:left="0" w:right="0" w:hanging="0"/>
              <w:rPr/>
            </w:pPr>
            <w:r>
              <w:rPr/>
              <w:t> </w:t>
            </w:r>
          </w:p>
        </w:tc>
        <w:tc>
          <w:tcPr>
            <w:tcW w:w="9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118" w:type="dxa"/>
            <w:tcBorders/>
            <w:shd w:fill="CCEEFF" w:val="clear"/>
            <w:vAlign w:val="bottom"/>
          </w:tcPr>
          <w:p>
            <w:pPr>
              <w:pStyle w:val="TableContents"/>
              <w:spacing w:before="0" w:after="0"/>
              <w:ind w:left="0" w:right="0" w:hanging="0"/>
              <w:rPr/>
            </w:pPr>
            <w:r>
              <w:rPr/>
              <w:t> </w:t>
            </w:r>
          </w:p>
        </w:tc>
      </w:tr>
      <w:tr>
        <w:trPr/>
        <w:tc>
          <w:tcPr>
            <w:tcW w:w="52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items to reconcile to cash flows from operating activities:</w:t>
            </w:r>
          </w:p>
        </w:tc>
        <w:tc>
          <w:tcPr>
            <w:tcW w:w="216" w:type="dxa"/>
            <w:tcBorders/>
            <w:shd w:fill="auto" w:val="clear"/>
            <w:vAlign w:val="bottom"/>
          </w:tcPr>
          <w:p>
            <w:pPr>
              <w:pStyle w:val="TableContents"/>
              <w:spacing w:before="0" w:after="0"/>
              <w:ind w:left="0" w:right="0" w:hanging="0"/>
              <w:rPr/>
            </w:pPr>
            <w:r>
              <w:rPr/>
              <w:t> </w:t>
            </w:r>
          </w:p>
        </w:tc>
        <w:tc>
          <w:tcPr>
            <w:tcW w:w="984"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2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charge</w:t>
            </w:r>
          </w:p>
        </w:tc>
        <w:tc>
          <w:tcPr>
            <w:tcW w:w="216" w:type="dxa"/>
            <w:tcBorders/>
            <w:shd w:fill="CCEEFF" w:val="clear"/>
            <w:vAlign w:val="bottom"/>
          </w:tcPr>
          <w:p>
            <w:pPr>
              <w:pStyle w:val="TableContents"/>
              <w:spacing w:before="0" w:after="0"/>
              <w:ind w:left="0" w:right="0" w:hanging="0"/>
              <w:rPr/>
            </w:pPr>
            <w:r>
              <w:rPr/>
              <w:t> </w:t>
            </w:r>
          </w:p>
        </w:tc>
        <w:tc>
          <w:tcPr>
            <w:tcW w:w="9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7" w:type="dxa"/>
            <w:tcBorders/>
            <w:shd w:fill="CCEEFF"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7" w:type="dxa"/>
            <w:tcBorders/>
            <w:shd w:fill="CCEEFF"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17" w:type="dxa"/>
            <w:tcBorders/>
            <w:shd w:fill="CCEEFF"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18" w:type="dxa"/>
            <w:tcBorders/>
            <w:shd w:fill="CCEEFF" w:val="clear"/>
            <w:vAlign w:val="bottom"/>
          </w:tcPr>
          <w:p>
            <w:pPr>
              <w:pStyle w:val="TableContents"/>
              <w:spacing w:before="0" w:after="0"/>
              <w:ind w:left="0" w:right="0" w:hanging="0"/>
              <w:rPr/>
            </w:pPr>
            <w:r>
              <w:rPr/>
              <w:t> </w:t>
            </w:r>
          </w:p>
        </w:tc>
      </w:tr>
      <w:tr>
        <w:trPr/>
        <w:tc>
          <w:tcPr>
            <w:tcW w:w="52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6"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17"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217"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576</w:t>
            </w:r>
          </w:p>
        </w:tc>
        <w:tc>
          <w:tcPr>
            <w:tcW w:w="11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42"/>
        <w:gridCol w:w="216"/>
        <w:gridCol w:w="120"/>
        <w:gridCol w:w="875"/>
        <w:gridCol w:w="219"/>
        <w:gridCol w:w="122"/>
        <w:gridCol w:w="860"/>
        <w:gridCol w:w="219"/>
        <w:gridCol w:w="120"/>
        <w:gridCol w:w="875"/>
        <w:gridCol w:w="219"/>
        <w:gridCol w:w="120"/>
        <w:gridCol w:w="875"/>
        <w:gridCol w:w="123"/>
      </w:tblGrid>
      <w:tr>
        <w:trPr/>
        <w:tc>
          <w:tcPr>
            <w:tcW w:w="5242"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19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9" w:type="dxa"/>
            <w:tcBorders/>
            <w:shd w:fill="auto" w:val="clear"/>
            <w:vAlign w:val="bottom"/>
          </w:tcPr>
          <w:p>
            <w:pPr>
              <w:pStyle w:val="TableContents"/>
              <w:spacing w:before="0" w:after="0"/>
              <w:ind w:left="0" w:right="0" w:hanging="0"/>
              <w:jc w:val="center"/>
              <w:rPr/>
            </w:pPr>
            <w:r>
              <w:rPr/>
              <w:t> </w:t>
            </w:r>
          </w:p>
        </w:tc>
        <w:tc>
          <w:tcPr>
            <w:tcW w:w="220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3" w:type="dxa"/>
            <w:tcBorders/>
            <w:shd w:fill="auto" w:val="clear"/>
            <w:vAlign w:val="bottom"/>
          </w:tcPr>
          <w:p>
            <w:pPr>
              <w:pStyle w:val="TableContents"/>
              <w:spacing w:before="0" w:after="0"/>
              <w:ind w:left="0" w:right="0" w:hanging="0"/>
              <w:jc w:val="center"/>
              <w:rPr/>
            </w:pPr>
            <w:r>
              <w:rPr/>
              <w:t> </w:t>
            </w:r>
          </w:p>
        </w:tc>
      </w:tr>
      <w:tr>
        <w:trPr/>
        <w:tc>
          <w:tcPr>
            <w:tcW w:w="5242"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19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9" w:type="dxa"/>
            <w:tcBorders/>
            <w:shd w:fill="auto" w:val="clear"/>
            <w:vAlign w:val="bottom"/>
          </w:tcPr>
          <w:p>
            <w:pPr>
              <w:pStyle w:val="TableContents"/>
              <w:spacing w:before="0" w:after="0"/>
              <w:ind w:left="0" w:right="0" w:hanging="0"/>
              <w:jc w:val="center"/>
              <w:rPr/>
            </w:pPr>
            <w:r>
              <w:rPr/>
              <w:t> </w:t>
            </w:r>
          </w:p>
        </w:tc>
        <w:tc>
          <w:tcPr>
            <w:tcW w:w="220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3" w:type="dxa"/>
            <w:tcBorders/>
            <w:shd w:fill="auto" w:val="clear"/>
            <w:vAlign w:val="bottom"/>
          </w:tcPr>
          <w:p>
            <w:pPr>
              <w:pStyle w:val="TableContents"/>
              <w:spacing w:before="0" w:after="0"/>
              <w:ind w:left="0" w:right="0" w:hanging="0"/>
              <w:jc w:val="center"/>
              <w:rPr/>
            </w:pPr>
            <w:r>
              <w:rPr/>
              <w:t> </w:t>
            </w:r>
          </w:p>
        </w:tc>
      </w:tr>
      <w:tr>
        <w:trPr/>
        <w:tc>
          <w:tcPr>
            <w:tcW w:w="5242"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9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9" w:type="dxa"/>
            <w:tcBorders/>
            <w:shd w:fill="auto" w:val="clear"/>
            <w:vAlign w:val="bottom"/>
          </w:tcPr>
          <w:p>
            <w:pPr>
              <w:pStyle w:val="TableContents"/>
              <w:spacing w:before="0" w:after="0"/>
              <w:ind w:left="0" w:right="0" w:hanging="0"/>
              <w:jc w:val="center"/>
              <w:rPr/>
            </w:pPr>
            <w:r>
              <w:rPr/>
              <w:t> </w:t>
            </w:r>
          </w:p>
        </w:tc>
        <w:tc>
          <w:tcPr>
            <w:tcW w:w="98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9" w:type="dxa"/>
            <w:tcBorders/>
            <w:shd w:fill="auto" w:val="clear"/>
            <w:vAlign w:val="bottom"/>
          </w:tcPr>
          <w:p>
            <w:pPr>
              <w:pStyle w:val="TableContents"/>
              <w:spacing w:before="0" w:after="0"/>
              <w:ind w:left="0" w:right="0" w:hanging="0"/>
              <w:jc w:val="center"/>
              <w:rPr/>
            </w:pPr>
            <w:r>
              <w:rPr/>
              <w:t> </w:t>
            </w:r>
          </w:p>
        </w:tc>
        <w:tc>
          <w:tcPr>
            <w:tcW w:w="9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9" w:type="dxa"/>
            <w:tcBorders/>
            <w:shd w:fill="auto" w:val="clear"/>
            <w:vAlign w:val="bottom"/>
          </w:tcPr>
          <w:p>
            <w:pPr>
              <w:pStyle w:val="TableContents"/>
              <w:spacing w:before="0" w:after="0"/>
              <w:ind w:left="0" w:right="0" w:hanging="0"/>
              <w:jc w:val="center"/>
              <w:rPr/>
            </w:pPr>
            <w:r>
              <w:rPr/>
              <w:t> </w:t>
            </w:r>
          </w:p>
        </w:tc>
        <w:tc>
          <w:tcPr>
            <w:tcW w:w="99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23" w:type="dxa"/>
            <w:tcBorders/>
            <w:shd w:fill="auto" w:val="clear"/>
            <w:vAlign w:val="bottom"/>
          </w:tcPr>
          <w:p>
            <w:pPr>
              <w:pStyle w:val="TableContents"/>
              <w:spacing w:before="0" w:after="0"/>
              <w:ind w:left="0" w:right="0" w:hanging="0"/>
              <w:jc w:val="center"/>
              <w:rPr/>
            </w:pPr>
            <w:r>
              <w:rPr/>
              <w:t> </w:t>
            </w:r>
          </w:p>
        </w:tc>
      </w:tr>
      <w:tr>
        <w:trPr/>
        <w:tc>
          <w:tcPr>
            <w:tcW w:w="524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Funds flow from operations (FFO)</w:t>
            </w:r>
          </w:p>
        </w:tc>
        <w:tc>
          <w:tcPr>
            <w:tcW w:w="216"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982"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52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6"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9" w:type="dxa"/>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19"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w:t>
            </w:r>
          </w:p>
        </w:tc>
        <w:tc>
          <w:tcPr>
            <w:tcW w:w="219"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23" w:type="dxa"/>
            <w:tcBorders/>
            <w:shd w:fill="auto" w:val="clear"/>
            <w:vAlign w:val="bottom"/>
          </w:tcPr>
          <w:p>
            <w:pPr>
              <w:pStyle w:val="TableContents"/>
              <w:spacing w:before="0" w:after="0"/>
              <w:ind w:left="0" w:right="0" w:hanging="0"/>
              <w:rPr/>
            </w:pPr>
            <w:r>
              <w:rPr/>
              <w:t> </w:t>
            </w:r>
          </w:p>
        </w:tc>
      </w:tr>
      <w:tr>
        <w:trPr/>
        <w:tc>
          <w:tcPr>
            <w:tcW w:w="5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(earnings)/loss in unconsolidated entities, net of distributions</w:t>
            </w:r>
          </w:p>
        </w:tc>
        <w:tc>
          <w:tcPr>
            <w:tcW w:w="216"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9"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3" w:type="dxa"/>
            <w:tcBorders/>
            <w:shd w:fill="CCEEFF" w:val="clear"/>
            <w:vAlign w:val="bottom"/>
          </w:tcPr>
          <w:p>
            <w:pPr>
              <w:pStyle w:val="TableContents"/>
              <w:spacing w:before="0" w:after="0"/>
              <w:ind w:left="0" w:right="0" w:hanging="0"/>
              <w:rPr/>
            </w:pPr>
            <w:r>
              <w:rPr/>
              <w:t> </w:t>
            </w:r>
          </w:p>
        </w:tc>
      </w:tr>
      <w:tr>
        <w:trPr/>
        <w:tc>
          <w:tcPr>
            <w:tcW w:w="52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6"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9"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9"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9"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23" w:type="dxa"/>
            <w:tcBorders/>
            <w:shd w:fill="auto" w:val="clear"/>
            <w:vAlign w:val="bottom"/>
          </w:tcPr>
          <w:p>
            <w:pPr>
              <w:pStyle w:val="TableContents"/>
              <w:spacing w:before="0" w:after="0"/>
              <w:ind w:left="0" w:right="0" w:hanging="0"/>
              <w:rPr/>
            </w:pPr>
            <w:r>
              <w:rPr/>
              <w:t> </w:t>
            </w:r>
          </w:p>
        </w:tc>
      </w:tr>
      <w:tr>
        <w:trPr/>
        <w:tc>
          <w:tcPr>
            <w:tcW w:w="5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w:t>
            </w:r>
          </w:p>
        </w:tc>
        <w:tc>
          <w:tcPr>
            <w:tcW w:w="216" w:type="dxa"/>
            <w:tcBorders/>
            <w:shd w:fill="CCEEFF" w:val="clear"/>
            <w:vAlign w:val="bottom"/>
          </w:tcPr>
          <w:p>
            <w:pPr>
              <w:pStyle w:val="TableContents"/>
              <w:spacing w:before="0" w:after="0"/>
              <w:ind w:left="0" w:right="0" w:hanging="0"/>
              <w:rPr/>
            </w:pPr>
            <w:r>
              <w:rPr/>
              <w:t> </w:t>
            </w:r>
          </w:p>
        </w:tc>
        <w:tc>
          <w:tcPr>
            <w:tcW w:w="9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CCEEFF" w:val="clear"/>
            <w:vAlign w:val="bottom"/>
          </w:tcPr>
          <w:p>
            <w:pPr>
              <w:pStyle w:val="TableContents"/>
              <w:spacing w:before="0" w:after="0"/>
              <w:ind w:left="0" w:right="0" w:hanging="0"/>
              <w:rPr/>
            </w:pPr>
            <w:r>
              <w:rPr/>
              <w:t> </w:t>
            </w:r>
          </w:p>
        </w:tc>
        <w:tc>
          <w:tcPr>
            <w:tcW w:w="9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FFO</w:t>
            </w:r>
          </w:p>
        </w:tc>
        <w:tc>
          <w:tcPr>
            <w:tcW w:w="216"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w:t>
            </w:r>
          </w:p>
        </w:tc>
        <w:tc>
          <w:tcPr>
            <w:tcW w:w="219" w:type="dxa"/>
            <w:tcBorders/>
            <w:shd w:fill="auto" w:val="clear"/>
            <w:vAlign w:val="bottom"/>
          </w:tcPr>
          <w:p>
            <w:pPr>
              <w:pStyle w:val="TableContents"/>
              <w:spacing w:before="0" w:after="0"/>
              <w:ind w:left="0" w:right="0" w:hanging="0"/>
              <w:rPr/>
            </w:pPr>
            <w:r>
              <w:rPr/>
              <w:t> </w:t>
            </w:r>
          </w:p>
        </w:tc>
        <w:tc>
          <w:tcPr>
            <w:tcW w:w="9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19"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w:t>
            </w:r>
          </w:p>
        </w:tc>
        <w:tc>
          <w:tcPr>
            <w:tcW w:w="219"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123" w:type="dxa"/>
            <w:tcBorders/>
            <w:shd w:fill="auto" w:val="clear"/>
            <w:vAlign w:val="bottom"/>
          </w:tcPr>
          <w:p>
            <w:pPr>
              <w:pStyle w:val="TableContents"/>
              <w:spacing w:before="0" w:after="0"/>
              <w:ind w:left="0" w:right="0" w:hanging="0"/>
              <w:rPr/>
            </w:pPr>
            <w:r>
              <w:rPr/>
              <w:t> </w:t>
            </w:r>
          </w:p>
        </w:tc>
      </w:tr>
      <w:tr>
        <w:trPr/>
        <w:tc>
          <w:tcPr>
            <w:tcW w:w="5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6" w:type="dxa"/>
            <w:tcBorders/>
            <w:shd w:fill="CCEEFF" w:val="clear"/>
            <w:vAlign w:val="bottom"/>
          </w:tcPr>
          <w:p>
            <w:pPr>
              <w:pStyle w:val="TableContents"/>
              <w:spacing w:before="0" w:after="0"/>
              <w:ind w:left="0" w:right="0" w:hanging="0"/>
              <w:rPr/>
            </w:pPr>
            <w:r>
              <w:rPr/>
              <w:t> </w:t>
            </w:r>
          </w:p>
        </w:tc>
        <w:tc>
          <w:tcPr>
            <w:tcW w:w="9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FFO after maintenance capital</w:t>
            </w:r>
          </w:p>
        </w:tc>
        <w:tc>
          <w:tcPr>
            <w:tcW w:w="216"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219" w:type="dxa"/>
            <w:tcBorders/>
            <w:shd w:fill="auto" w:val="clear"/>
            <w:vAlign w:val="bottom"/>
          </w:tcPr>
          <w:p>
            <w:pPr>
              <w:pStyle w:val="TableContents"/>
              <w:spacing w:before="0" w:after="0"/>
              <w:ind w:left="0" w:right="0" w:hanging="0"/>
              <w:rPr/>
            </w:pPr>
            <w:r>
              <w:rPr/>
              <w:t> </w:t>
            </w:r>
          </w:p>
        </w:tc>
        <w:tc>
          <w:tcPr>
            <w:tcW w:w="1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19"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412</w:t>
            </w:r>
          </w:p>
        </w:tc>
        <w:tc>
          <w:tcPr>
            <w:tcW w:w="219"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2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6"/>
        <w:gridCol w:w="2782"/>
        <w:gridCol w:w="3817"/>
      </w:tblGrid>
      <w:tr>
        <w:trPr/>
        <w:tc>
          <w:tcPr>
            <w:tcW w:w="3606" w:type="dxa"/>
            <w:tcBorders>
              <w:top w:val="single" w:sz="8" w:space="0" w:color="000000"/>
            </w:tcBorders>
            <w:shd w:fill="auto" w:val="clear"/>
          </w:tcPr>
          <w:p>
            <w:pPr>
              <w:pStyle w:val="TableContents"/>
              <w:spacing w:before="0" w:after="0"/>
              <w:ind w:left="0" w:right="0" w:hanging="0"/>
              <w:jc w:val="right"/>
              <w:rPr/>
            </w:pPr>
            <w:r>
              <w:rPr/>
              <w:t> </w:t>
            </w:r>
          </w:p>
        </w:tc>
        <w:tc>
          <w:tcPr>
            <w:tcW w:w="2782" w:type="dxa"/>
            <w:tcBorders>
              <w:top w:val="single" w:sz="8" w:space="0" w:color="000000"/>
            </w:tcBorders>
            <w:shd w:fill="auto" w:val="clear"/>
          </w:tcPr>
          <w:p>
            <w:pPr>
              <w:pStyle w:val="TableContents"/>
              <w:spacing w:before="0" w:after="0"/>
              <w:ind w:left="0" w:right="0" w:hanging="0"/>
              <w:rPr/>
            </w:pPr>
            <w:r>
              <w:rPr/>
              <w:t> </w:t>
            </w:r>
          </w:p>
        </w:tc>
        <w:tc>
          <w:tcPr>
            <w:tcW w:w="3817" w:type="dxa"/>
            <w:tcBorders>
              <w:top w:val="single" w:sz="8" w:space="0" w:color="000000"/>
            </w:tcBorders>
            <w:shd w:fill="auto" w:val="clear"/>
          </w:tcPr>
          <w:p>
            <w:pPr>
              <w:pStyle w:val="TableContents"/>
              <w:spacing w:before="0" w:after="0"/>
              <w:ind w:left="0" w:right="0" w:hanging="0"/>
              <w:rPr/>
            </w:pPr>
            <w:r>
              <w:rPr/>
              <w:t> </w:t>
            </w:r>
          </w:p>
        </w:tc>
      </w:tr>
      <w:tr>
        <w:trPr/>
        <w:tc>
          <w:tcPr>
            <w:tcW w:w="3606"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2"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7"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12</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rPr>
      </w:pPr>
      <w:r>
        <w:rPr>
          <w:rFonts w:ascii="Times New Roman" w:hAnsi="Times New Roman"/>
          <w:b/>
          <w:sz w:val="17"/>
        </w:rPr>
        <w:t>FINANCIAL SUMMARY</w:t>
      </w:r>
      <w:r>
        <w:rPr>
          <w:rFonts w:ascii="Times New Roman" w:hAnsi="Times New Roman"/>
        </w:rPr>
        <w:t xml:space="preserve"> </w:t>
      </w:r>
      <w:r>
        <w:rPr>
          <w:rFonts w:ascii="Times New Roman" w:hAnsi="Times New Roman"/>
          <w:sz w:val="17"/>
        </w:rPr>
        <w:t xml:space="preserve">(unaudited) </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rFonts w:ascii="Times New Roman" w:hAnsi="Times New Roman"/>
        </w:rPr>
      </w:pPr>
      <w:r>
        <w:rPr>
          <w:rFonts w:ascii="Times New Roman" w:hAnsi="Times New Roman"/>
          <w:b/>
          <w:sz w:val="17"/>
          <w:u w:val="single"/>
        </w:rPr>
        <w:t xml:space="preserve">FINANCIAL DATA RECONCILIATIONS </w:t>
      </w:r>
      <w:r>
        <w:rPr>
          <w:rFonts w:ascii="Times New Roman" w:hAnsi="Times New Roman"/>
          <w:b/>
          <w:sz w:val="17"/>
        </w:rPr>
        <w:t>(continued)</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436"/>
        <w:gridCol w:w="216"/>
        <w:gridCol w:w="111"/>
        <w:gridCol w:w="1085"/>
        <w:gridCol w:w="217"/>
        <w:gridCol w:w="111"/>
        <w:gridCol w:w="1085"/>
        <w:gridCol w:w="216"/>
        <w:gridCol w:w="111"/>
        <w:gridCol w:w="1085"/>
        <w:gridCol w:w="216"/>
        <w:gridCol w:w="111"/>
        <w:gridCol w:w="1085"/>
        <w:gridCol w:w="120"/>
      </w:tblGrid>
      <w:tr>
        <w:trPr/>
        <w:tc>
          <w:tcPr>
            <w:tcW w:w="443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60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6" w:type="dxa"/>
            <w:tcBorders/>
            <w:shd w:fill="auto" w:val="clear"/>
            <w:vAlign w:val="bottom"/>
          </w:tcPr>
          <w:p>
            <w:pPr>
              <w:pStyle w:val="TableContents"/>
              <w:spacing w:before="0" w:after="0"/>
              <w:ind w:left="0" w:right="0" w:hanging="0"/>
              <w:jc w:val="center"/>
              <w:rPr/>
            </w:pPr>
            <w:r>
              <w:rPr/>
              <w:t> </w:t>
            </w:r>
          </w:p>
        </w:tc>
        <w:tc>
          <w:tcPr>
            <w:tcW w:w="260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0" w:type="dxa"/>
            <w:tcBorders/>
            <w:shd w:fill="auto" w:val="clear"/>
            <w:vAlign w:val="bottom"/>
          </w:tcPr>
          <w:p>
            <w:pPr>
              <w:pStyle w:val="TableContents"/>
              <w:spacing w:before="0" w:after="0"/>
              <w:ind w:left="0" w:right="0" w:hanging="0"/>
              <w:jc w:val="center"/>
              <w:rPr/>
            </w:pPr>
            <w:r>
              <w:rPr/>
              <w:t> </w:t>
            </w:r>
          </w:p>
        </w:tc>
      </w:tr>
      <w:tr>
        <w:trPr/>
        <w:tc>
          <w:tcPr>
            <w:tcW w:w="443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60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6" w:type="dxa"/>
            <w:tcBorders/>
            <w:shd w:fill="auto" w:val="clear"/>
            <w:vAlign w:val="bottom"/>
          </w:tcPr>
          <w:p>
            <w:pPr>
              <w:pStyle w:val="TableContents"/>
              <w:spacing w:before="0" w:after="0"/>
              <w:ind w:left="0" w:right="0" w:hanging="0"/>
              <w:jc w:val="center"/>
              <w:rPr/>
            </w:pPr>
            <w:r>
              <w:rPr/>
              <w:t> </w:t>
            </w:r>
          </w:p>
        </w:tc>
        <w:tc>
          <w:tcPr>
            <w:tcW w:w="260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0" w:type="dxa"/>
            <w:tcBorders/>
            <w:shd w:fill="auto" w:val="clear"/>
            <w:vAlign w:val="bottom"/>
          </w:tcPr>
          <w:p>
            <w:pPr>
              <w:pStyle w:val="TableContents"/>
              <w:spacing w:before="0" w:after="0"/>
              <w:ind w:left="0" w:right="0" w:hanging="0"/>
              <w:jc w:val="center"/>
              <w:rPr/>
            </w:pPr>
            <w:r>
              <w:rPr/>
              <w:t> </w:t>
            </w:r>
          </w:p>
        </w:tc>
      </w:tr>
      <w:tr>
        <w:trPr/>
        <w:tc>
          <w:tcPr>
            <w:tcW w:w="443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7" w:type="dxa"/>
            <w:tcBorders/>
            <w:shd w:fill="auto" w:val="clear"/>
            <w:vAlign w:val="bottom"/>
          </w:tcPr>
          <w:p>
            <w:pPr>
              <w:pStyle w:val="TableContents"/>
              <w:spacing w:before="0" w:after="0"/>
              <w:ind w:left="0" w:right="0" w:hanging="0"/>
              <w:jc w:val="center"/>
              <w:rPr/>
            </w:pPr>
            <w:r>
              <w:rPr/>
              <w:t> </w:t>
            </w:r>
          </w:p>
        </w:tc>
        <w:tc>
          <w:tcPr>
            <w:tcW w:w="119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6" w:type="dxa"/>
            <w:tcBorders/>
            <w:shd w:fill="auto" w:val="clear"/>
            <w:vAlign w:val="bottom"/>
          </w:tcPr>
          <w:p>
            <w:pPr>
              <w:pStyle w:val="TableContents"/>
              <w:spacing w:before="0" w:after="0"/>
              <w:ind w:left="0" w:right="0" w:hanging="0"/>
              <w:jc w:val="center"/>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shd w:fill="auto" w:val="clear"/>
            <w:vAlign w:val="bottom"/>
          </w:tcPr>
          <w:p>
            <w:pPr>
              <w:pStyle w:val="TableContents"/>
              <w:spacing w:before="0" w:after="0"/>
              <w:ind w:left="0" w:right="0" w:hanging="0"/>
              <w:jc w:val="center"/>
              <w:rPr/>
            </w:pPr>
            <w:r>
              <w:rPr/>
              <w:t> </w:t>
            </w:r>
          </w:p>
        </w:tc>
        <w:tc>
          <w:tcPr>
            <w:tcW w:w="119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20" w:type="dxa"/>
            <w:tcBorders/>
            <w:shd w:fill="auto" w:val="clear"/>
            <w:vAlign w:val="bottom"/>
          </w:tcPr>
          <w:p>
            <w:pPr>
              <w:pStyle w:val="TableContents"/>
              <w:spacing w:before="0" w:after="0"/>
              <w:ind w:left="0" w:right="0" w:hanging="0"/>
              <w:jc w:val="center"/>
              <w:rPr/>
            </w:pPr>
            <w:r>
              <w:rPr/>
              <w:t> </w:t>
            </w:r>
          </w:p>
        </w:tc>
      </w:tr>
      <w:tr>
        <w:trPr/>
        <w:tc>
          <w:tcPr>
            <w:tcW w:w="4436" w:type="dxa"/>
            <w:tcBorders/>
            <w:shd w:fill="CCEEFF" w:val="clear"/>
            <w:vAlign w:val="bottom"/>
          </w:tcPr>
          <w:p>
            <w:pPr>
              <w:pStyle w:val="TableContents"/>
              <w:spacing w:before="0" w:after="0"/>
              <w:ind w:left="0" w:right="0" w:hanging="0"/>
              <w:rPr/>
            </w:pPr>
            <w:r>
              <w:rPr>
                <w:rFonts w:ascii="Times New Roman" w:hAnsi="Times New Roman"/>
                <w:b/>
                <w:sz w:val="17"/>
              </w:rPr>
              <w:t>Net income and earnings per limited partner unit excluding</w:t>
            </w:r>
            <w:r>
              <w:rPr/>
              <w:t xml:space="preserve"> </w:t>
            </w:r>
            <w:r>
              <w:rPr>
                <w:b/>
                <w:sz w:val="17"/>
              </w:rPr>
              <w:t xml:space="preserve">selected items impacting comparability </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443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44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7"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1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w:t>
            </w:r>
          </w:p>
        </w:tc>
        <w:tc>
          <w:tcPr>
            <w:tcW w:w="21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20" w:type="dxa"/>
            <w:tcBorders/>
            <w:shd w:fill="CCEEFF" w:val="clear"/>
            <w:vAlign w:val="bottom"/>
          </w:tcPr>
          <w:p>
            <w:pPr>
              <w:pStyle w:val="TableContents"/>
              <w:spacing w:before="0" w:after="0"/>
              <w:ind w:left="0" w:right="0" w:hanging="0"/>
              <w:rPr/>
            </w:pPr>
            <w:r>
              <w:rPr/>
              <w:t> </w:t>
            </w:r>
          </w:p>
        </w:tc>
      </w:tr>
      <w:tr>
        <w:trPr/>
        <w:tc>
          <w:tcPr>
            <w:tcW w:w="4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20" w:type="dxa"/>
            <w:tcBorders/>
            <w:shd w:fill="auto" w:val="clear"/>
            <w:vAlign w:val="bottom"/>
          </w:tcPr>
          <w:p>
            <w:pPr>
              <w:pStyle w:val="TableContents"/>
              <w:spacing w:before="0" w:after="0"/>
              <w:ind w:left="0" w:right="0" w:hanging="0"/>
              <w:rPr/>
            </w:pPr>
            <w:r>
              <w:rPr/>
              <w:t> </w:t>
            </w:r>
          </w:p>
        </w:tc>
      </w:tr>
      <w:tr>
        <w:trPr/>
        <w:tc>
          <w:tcPr>
            <w:tcW w:w="44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7"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120" w:type="dxa"/>
            <w:tcBorders/>
            <w:shd w:fill="CCEEFF" w:val="clear"/>
            <w:vAlign w:val="bottom"/>
          </w:tcPr>
          <w:p>
            <w:pPr>
              <w:pStyle w:val="TableContents"/>
              <w:spacing w:before="0" w:after="0"/>
              <w:ind w:left="0" w:right="0" w:hanging="0"/>
              <w:rPr/>
            </w:pPr>
            <w:r>
              <w:rPr/>
              <w:t> </w:t>
            </w:r>
          </w:p>
        </w:tc>
      </w:tr>
      <w:tr>
        <w:trPr/>
        <w:tc>
          <w:tcPr>
            <w:tcW w:w="443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44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under EITF 07-04</w:t>
            </w:r>
          </w:p>
        </w:tc>
        <w:tc>
          <w:tcPr>
            <w:tcW w:w="21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17"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21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20" w:type="dxa"/>
            <w:tcBorders/>
            <w:shd w:fill="CCEEFF" w:val="clear"/>
            <w:vAlign w:val="bottom"/>
          </w:tcPr>
          <w:p>
            <w:pPr>
              <w:pStyle w:val="TableContents"/>
              <w:spacing w:before="0" w:after="0"/>
              <w:ind w:left="0" w:right="0" w:hanging="0"/>
              <w:rPr/>
            </w:pPr>
            <w:r>
              <w:rPr/>
              <w:t> </w:t>
            </w:r>
          </w:p>
        </w:tc>
      </w:tr>
      <w:tr>
        <w:trPr/>
        <w:tc>
          <w:tcPr>
            <w:tcW w:w="4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partners 98% of selected items impacting comparability</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20" w:type="dxa"/>
            <w:tcBorders/>
            <w:shd w:fill="auto" w:val="clear"/>
            <w:vAlign w:val="bottom"/>
          </w:tcPr>
          <w:p>
            <w:pPr>
              <w:pStyle w:val="TableContents"/>
              <w:spacing w:before="0" w:after="0"/>
              <w:ind w:left="0" w:right="0" w:hanging="0"/>
              <w:rPr/>
            </w:pPr>
            <w:r>
              <w:rPr/>
              <w:t> </w:t>
            </w:r>
          </w:p>
        </w:tc>
      </w:tr>
      <w:tr>
        <w:trPr/>
        <w:tc>
          <w:tcPr>
            <w:tcW w:w="44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17"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120" w:type="dxa"/>
            <w:tcBorders/>
            <w:shd w:fill="CCEEFF" w:val="clear"/>
            <w:vAlign w:val="bottom"/>
          </w:tcPr>
          <w:p>
            <w:pPr>
              <w:pStyle w:val="TableContents"/>
              <w:spacing w:before="0" w:after="0"/>
              <w:ind w:left="0" w:right="0" w:hanging="0"/>
              <w:rPr/>
            </w:pPr>
            <w:r>
              <w:rPr/>
              <w:t> </w:t>
            </w:r>
          </w:p>
        </w:tc>
      </w:tr>
      <w:tr>
        <w:trPr/>
        <w:tc>
          <w:tcPr>
            <w:tcW w:w="443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44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basic net income per limited partner unit</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0.74</w:t>
            </w:r>
          </w:p>
        </w:tc>
        <w:tc>
          <w:tcPr>
            <w:tcW w:w="217"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0.84</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20" w:type="dxa"/>
            <w:tcBorders/>
            <w:shd w:fill="CCEEFF" w:val="clear"/>
            <w:vAlign w:val="bottom"/>
          </w:tcPr>
          <w:p>
            <w:pPr>
              <w:pStyle w:val="TableContents"/>
              <w:spacing w:before="0" w:after="0"/>
              <w:ind w:left="0" w:right="0" w:hanging="0"/>
              <w:rPr/>
            </w:pPr>
            <w:r>
              <w:rPr/>
              <w:t> </w:t>
            </w:r>
          </w:p>
        </w:tc>
      </w:tr>
      <w:tr>
        <w:trPr/>
        <w:tc>
          <w:tcPr>
            <w:tcW w:w="443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44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diluted net income per limited partner unit</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0.74</w:t>
            </w:r>
          </w:p>
        </w:tc>
        <w:tc>
          <w:tcPr>
            <w:tcW w:w="217"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0.83</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120" w:type="dxa"/>
            <w:tcBorders/>
            <w:shd w:fill="CCEEFF" w:val="clear"/>
            <w:vAlign w:val="bottom"/>
          </w:tcPr>
          <w:p>
            <w:pPr>
              <w:pStyle w:val="TableContents"/>
              <w:spacing w:before="0" w:after="0"/>
              <w:ind w:left="0" w:right="0" w:hanging="0"/>
              <w:rPr/>
            </w:pPr>
            <w:r>
              <w:rPr/>
              <w:t> </w:t>
            </w:r>
          </w:p>
        </w:tc>
      </w:tr>
      <w:tr>
        <w:trPr/>
        <w:tc>
          <w:tcPr>
            <w:tcW w:w="443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44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17" w:type="dxa"/>
            <w:tcBorders/>
            <w:shd w:fill="CCEEFF" w:val="clear"/>
            <w:vAlign w:val="bottom"/>
          </w:tcPr>
          <w:p>
            <w:pPr>
              <w:pStyle w:val="TableContents"/>
              <w:spacing w:before="0" w:after="0"/>
              <w:ind w:left="0" w:right="0" w:hanging="0"/>
              <w:rPr/>
            </w:pPr>
            <w:r>
              <w:rPr/>
              <w:t> </w:t>
            </w:r>
          </w:p>
        </w:tc>
        <w:tc>
          <w:tcPr>
            <w:tcW w:w="119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20" w:type="dxa"/>
            <w:tcBorders/>
            <w:shd w:fill="CCEEFF" w:val="clear"/>
            <w:vAlign w:val="bottom"/>
          </w:tcPr>
          <w:p>
            <w:pPr>
              <w:pStyle w:val="TableContents"/>
              <w:spacing w:before="0" w:after="0"/>
              <w:ind w:left="0" w:right="0" w:hanging="0"/>
              <w:rPr/>
            </w:pPr>
            <w:r>
              <w:rPr/>
              <w:t> </w:t>
            </w:r>
          </w:p>
        </w:tc>
      </w:tr>
      <w:tr>
        <w:trPr/>
        <w:tc>
          <w:tcPr>
            <w:tcW w:w="4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7" w:type="dxa"/>
            <w:tcBorders/>
            <w:shd w:fill="auto" w:val="clear"/>
            <w:vAlign w:val="bottom"/>
          </w:tcPr>
          <w:p>
            <w:pPr>
              <w:pStyle w:val="TableContents"/>
              <w:spacing w:before="0" w:after="0"/>
              <w:ind w:left="0" w:right="0" w:hanging="0"/>
              <w:rPr/>
            </w:pPr>
            <w:r>
              <w:rPr/>
              <w:t> </w:t>
            </w:r>
          </w:p>
        </w:tc>
        <w:tc>
          <w:tcPr>
            <w:tcW w:w="119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2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447"/>
        <w:gridCol w:w="216"/>
        <w:gridCol w:w="110"/>
        <w:gridCol w:w="1085"/>
        <w:gridCol w:w="216"/>
        <w:gridCol w:w="110"/>
        <w:gridCol w:w="1085"/>
        <w:gridCol w:w="216"/>
        <w:gridCol w:w="110"/>
        <w:gridCol w:w="1085"/>
        <w:gridCol w:w="216"/>
        <w:gridCol w:w="110"/>
        <w:gridCol w:w="1085"/>
        <w:gridCol w:w="114"/>
      </w:tblGrid>
      <w:tr>
        <w:trPr/>
        <w:tc>
          <w:tcPr>
            <w:tcW w:w="4447"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60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6" w:type="dxa"/>
            <w:tcBorders/>
            <w:shd w:fill="auto" w:val="clear"/>
            <w:vAlign w:val="bottom"/>
          </w:tcPr>
          <w:p>
            <w:pPr>
              <w:pStyle w:val="TableContents"/>
              <w:spacing w:before="0" w:after="0"/>
              <w:ind w:left="0" w:right="0" w:hanging="0"/>
              <w:jc w:val="center"/>
              <w:rPr/>
            </w:pPr>
            <w:r>
              <w:rPr/>
              <w:t> </w:t>
            </w:r>
          </w:p>
        </w:tc>
        <w:tc>
          <w:tcPr>
            <w:tcW w:w="260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14" w:type="dxa"/>
            <w:tcBorders/>
            <w:shd w:fill="auto" w:val="clear"/>
            <w:vAlign w:val="bottom"/>
          </w:tcPr>
          <w:p>
            <w:pPr>
              <w:pStyle w:val="TableContents"/>
              <w:spacing w:before="0" w:after="0"/>
              <w:ind w:left="0" w:right="0" w:hanging="0"/>
              <w:jc w:val="center"/>
              <w:rPr/>
            </w:pPr>
            <w:r>
              <w:rPr/>
              <w:t> </w:t>
            </w:r>
          </w:p>
        </w:tc>
      </w:tr>
      <w:tr>
        <w:trPr/>
        <w:tc>
          <w:tcPr>
            <w:tcW w:w="4447"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60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6" w:type="dxa"/>
            <w:tcBorders/>
            <w:shd w:fill="auto" w:val="clear"/>
            <w:vAlign w:val="bottom"/>
          </w:tcPr>
          <w:p>
            <w:pPr>
              <w:pStyle w:val="TableContents"/>
              <w:spacing w:before="0" w:after="0"/>
              <w:ind w:left="0" w:right="0" w:hanging="0"/>
              <w:jc w:val="center"/>
              <w:rPr/>
            </w:pPr>
            <w:r>
              <w:rPr/>
              <w:t> </w:t>
            </w:r>
          </w:p>
        </w:tc>
        <w:tc>
          <w:tcPr>
            <w:tcW w:w="260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14" w:type="dxa"/>
            <w:tcBorders/>
            <w:shd w:fill="auto" w:val="clear"/>
            <w:vAlign w:val="bottom"/>
          </w:tcPr>
          <w:p>
            <w:pPr>
              <w:pStyle w:val="TableContents"/>
              <w:spacing w:before="0" w:after="0"/>
              <w:ind w:left="0" w:right="0" w:hanging="0"/>
              <w:jc w:val="center"/>
              <w:rPr/>
            </w:pPr>
            <w:r>
              <w:rPr/>
              <w:t> </w:t>
            </w:r>
          </w:p>
        </w:tc>
      </w:tr>
      <w:tr>
        <w:trPr/>
        <w:tc>
          <w:tcPr>
            <w:tcW w:w="4447"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11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shd w:fill="auto" w:val="clear"/>
            <w:vAlign w:val="bottom"/>
          </w:tcPr>
          <w:p>
            <w:pPr>
              <w:pStyle w:val="TableContents"/>
              <w:spacing w:before="0" w:after="0"/>
              <w:ind w:left="0" w:right="0" w:hanging="0"/>
              <w:jc w:val="center"/>
              <w:rPr/>
            </w:pPr>
            <w:r>
              <w:rPr/>
              <w:t> </w:t>
            </w:r>
          </w:p>
        </w:tc>
        <w:tc>
          <w:tcPr>
            <w:tcW w:w="119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6" w:type="dxa"/>
            <w:tcBorders/>
            <w:shd w:fill="auto" w:val="clear"/>
            <w:vAlign w:val="bottom"/>
          </w:tcPr>
          <w:p>
            <w:pPr>
              <w:pStyle w:val="TableContents"/>
              <w:spacing w:before="0" w:after="0"/>
              <w:ind w:left="0" w:right="0" w:hanging="0"/>
              <w:jc w:val="center"/>
              <w:rPr/>
            </w:pPr>
            <w:r>
              <w:rPr/>
              <w:t> </w:t>
            </w:r>
          </w:p>
        </w:tc>
        <w:tc>
          <w:tcPr>
            <w:tcW w:w="11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shd w:fill="auto" w:val="clear"/>
            <w:vAlign w:val="bottom"/>
          </w:tcPr>
          <w:p>
            <w:pPr>
              <w:pStyle w:val="TableContents"/>
              <w:spacing w:before="0" w:after="0"/>
              <w:ind w:left="0" w:right="0" w:hanging="0"/>
              <w:jc w:val="center"/>
              <w:rPr/>
            </w:pPr>
            <w:r>
              <w:rPr/>
              <w:t> </w:t>
            </w:r>
          </w:p>
        </w:tc>
        <w:tc>
          <w:tcPr>
            <w:tcW w:w="119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4" w:type="dxa"/>
            <w:tcBorders/>
            <w:shd w:fill="auto" w:val="clear"/>
            <w:vAlign w:val="bottom"/>
          </w:tcPr>
          <w:p>
            <w:pPr>
              <w:pStyle w:val="TableContents"/>
              <w:spacing w:before="0" w:after="0"/>
              <w:ind w:left="0" w:right="0" w:hanging="0"/>
              <w:jc w:val="center"/>
              <w:rPr/>
            </w:pPr>
            <w:r>
              <w:rPr/>
              <w:t> </w:t>
            </w:r>
          </w:p>
        </w:tc>
      </w:tr>
      <w:tr>
        <w:trPr/>
        <w:tc>
          <w:tcPr>
            <w:tcW w:w="444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EBITDA excluding selected items impacting comparability</w:t>
            </w:r>
          </w:p>
        </w:tc>
        <w:tc>
          <w:tcPr>
            <w:tcW w:w="216"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44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567</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327</w:t>
            </w:r>
          </w:p>
        </w:tc>
        <w:tc>
          <w:tcPr>
            <w:tcW w:w="114" w:type="dxa"/>
            <w:tcBorders/>
            <w:shd w:fill="auto" w:val="clear"/>
            <w:vAlign w:val="bottom"/>
          </w:tcPr>
          <w:p>
            <w:pPr>
              <w:pStyle w:val="TableContents"/>
              <w:spacing w:before="0" w:after="0"/>
              <w:ind w:left="0" w:right="0" w:hanging="0"/>
              <w:rPr/>
            </w:pPr>
            <w:r>
              <w:rPr/>
              <w:t> </w:t>
            </w:r>
          </w:p>
        </w:tc>
      </w:tr>
      <w:tr>
        <w:trPr/>
        <w:tc>
          <w:tcPr>
            <w:tcW w:w="44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16" w:type="dxa"/>
            <w:tcBorders/>
            <w:shd w:fill="CCEEFF" w:val="clear"/>
            <w:vAlign w:val="bottom"/>
          </w:tcPr>
          <w:p>
            <w:pPr>
              <w:pStyle w:val="TableContents"/>
              <w:spacing w:before="0" w:after="0"/>
              <w:ind w:left="0" w:right="0" w:hanging="0"/>
              <w:rPr/>
            </w:pPr>
            <w:r>
              <w:rPr/>
              <w:t> </w:t>
            </w:r>
          </w:p>
        </w:tc>
        <w:tc>
          <w:tcPr>
            <w:tcW w:w="11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16" w:type="dxa"/>
            <w:tcBorders/>
            <w:shd w:fill="CCEEFF" w:val="clear"/>
            <w:vAlign w:val="bottom"/>
          </w:tcPr>
          <w:p>
            <w:pPr>
              <w:pStyle w:val="TableContents"/>
              <w:spacing w:before="0" w:after="0"/>
              <w:ind w:left="0" w:right="0" w:hanging="0"/>
              <w:rPr/>
            </w:pPr>
            <w:r>
              <w:rPr/>
              <w:t> </w:t>
            </w:r>
          </w:p>
        </w:tc>
        <w:tc>
          <w:tcPr>
            <w:tcW w:w="11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14" w:type="dxa"/>
            <w:tcBorders/>
            <w:shd w:fill="CCEEFF" w:val="clear"/>
            <w:vAlign w:val="bottom"/>
          </w:tcPr>
          <w:p>
            <w:pPr>
              <w:pStyle w:val="TableContents"/>
              <w:spacing w:before="0" w:after="0"/>
              <w:ind w:left="0" w:right="0" w:hanging="0"/>
              <w:rPr/>
            </w:pPr>
            <w:r>
              <w:rPr/>
              <w:t> </w:t>
            </w:r>
          </w:p>
        </w:tc>
      </w:tr>
      <w:tr>
        <w:trPr/>
        <w:tc>
          <w:tcPr>
            <w:tcW w:w="44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238</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512</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429</w:t>
            </w:r>
          </w:p>
        </w:tc>
        <w:tc>
          <w:tcPr>
            <w:tcW w:w="11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 #</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3606"/>
        <w:gridCol w:w="2782"/>
        <w:gridCol w:w="3817"/>
      </w:tblGrid>
      <w:tr>
        <w:trPr/>
        <w:tc>
          <w:tcPr>
            <w:tcW w:w="3606" w:type="dxa"/>
            <w:tcBorders>
              <w:top w:val="single" w:sz="8" w:space="0" w:color="000000"/>
            </w:tcBorders>
            <w:shd w:fill="auto" w:val="clear"/>
          </w:tcPr>
          <w:p>
            <w:pPr>
              <w:pStyle w:val="TableContents"/>
              <w:spacing w:before="0" w:after="0"/>
              <w:ind w:left="0" w:right="0" w:hanging="0"/>
              <w:jc w:val="right"/>
              <w:rPr/>
            </w:pPr>
            <w:r>
              <w:rPr/>
              <w:t> </w:t>
            </w:r>
          </w:p>
        </w:tc>
        <w:tc>
          <w:tcPr>
            <w:tcW w:w="2782" w:type="dxa"/>
            <w:tcBorders>
              <w:top w:val="single" w:sz="8" w:space="0" w:color="000000"/>
            </w:tcBorders>
            <w:shd w:fill="auto" w:val="clear"/>
          </w:tcPr>
          <w:p>
            <w:pPr>
              <w:pStyle w:val="TableContents"/>
              <w:spacing w:before="0" w:after="0"/>
              <w:ind w:left="0" w:right="0" w:hanging="0"/>
              <w:rPr/>
            </w:pPr>
            <w:r>
              <w:rPr/>
              <w:t> </w:t>
            </w:r>
          </w:p>
        </w:tc>
        <w:tc>
          <w:tcPr>
            <w:tcW w:w="3817" w:type="dxa"/>
            <w:tcBorders>
              <w:top w:val="single" w:sz="8" w:space="0" w:color="000000"/>
            </w:tcBorders>
            <w:shd w:fill="auto" w:val="clear"/>
          </w:tcPr>
          <w:p>
            <w:pPr>
              <w:pStyle w:val="TableContents"/>
              <w:spacing w:before="0" w:after="0"/>
              <w:ind w:left="0" w:right="0" w:hanging="0"/>
              <w:rPr/>
            </w:pPr>
            <w:r>
              <w:rPr/>
              <w:t> </w:t>
            </w:r>
          </w:p>
        </w:tc>
      </w:tr>
      <w:tr>
        <w:trPr/>
        <w:tc>
          <w:tcPr>
            <w:tcW w:w="3606" w:type="dxa"/>
            <w:tcBorders/>
            <w:shd w:fill="auto" w:val="clear"/>
            <w:tcMar>
              <w:top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333 Clay Street, Suite 1600</w:t>
            </w:r>
          </w:p>
        </w:tc>
        <w:tc>
          <w:tcPr>
            <w:tcW w:w="2782" w:type="dxa"/>
            <w:tcBorders/>
            <w:shd w:fill="auto" w:val="clear"/>
            <w:tcMar>
              <w:top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Houston, Texas 77002</w:t>
            </w:r>
          </w:p>
        </w:tc>
        <w:tc>
          <w:tcPr>
            <w:tcW w:w="3817" w:type="dxa"/>
            <w:tcBorders/>
            <w:shd w:fill="auto" w:val="clear"/>
            <w:tcMar>
              <w:top w:w="0" w:type="dxa"/>
            </w:tcMar>
          </w:tcPr>
          <w:p>
            <w:pPr>
              <w:pStyle w:val="TableContents"/>
              <w:spacing w:before="0" w:after="0"/>
              <w:ind w:left="0" w:right="0" w:hanging="0"/>
              <w:rPr>
                <w:rFonts w:ascii="Times New Roman" w:hAnsi="Times New Roman"/>
                <w:sz w:val="17"/>
              </w:rPr>
            </w:pPr>
            <w:r>
              <w:rPr>
                <w:rFonts w:ascii="Times New Roman" w:hAnsi="Times New Roman"/>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20-02-21T04:45:13Z" w:initials="">
    <w:p>
      <w:r>
        <w:rPr>
          <w:lang w:val="en-US" w:eastAsia="en-US" w:bidi="en-US"/>
        </w:rPr>
        <w:t>SEQ.=1,FOLIO='Page</w:t>
      </w:r>
    </w:p>
    <w:p>
      <w:r>
        <w:rPr>
          <w:lang w:val="en-US" w:eastAsia="en-US" w:bidi="en-US"/>
        </w:rPr>
        <w:t>7',FILE='C:\jms\msounda\09-20514-2\task3662748\20514-2-mm-03.htm',USER='105074',CD='Aug  6 01:06 2009'</w:t>
      </w:r>
    </w:p>
  </w:comment>
  <w:comment w:id="1" w:author="" w:date="2020-02-21T04:45:13Z" w:initials="">
    <w:p>
      <w:r>
        <w:rPr>
          <w:lang w:val="en-US" w:eastAsia="en-US" w:bidi="en-US"/>
        </w:rPr>
        <w:t>SEQ.=1,FOLIO='Page</w:t>
      </w:r>
    </w:p>
    <w:p>
      <w:r>
        <w:rPr>
          <w:lang w:val="en-US" w:eastAsia="en-US" w:bidi="en-US"/>
        </w:rPr>
        <w:t>9',FILE='C:\jms\msounda\09-20514-2\task3662748\20514-2-mm-03.htm',USER='105074',CD='Aug  6 01:06 2009'</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comments" Target="comments.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22</Pages>
  <Words>9889</Words>
  <CharactersWithSpaces>61420</CharactersWithSpaces>
  <Paragraphs>5032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