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20, 2021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Plains All American Pipeline, L.P.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80" w:space="720"/>
            <w:col w:w="2460"/>
          </w:cols>
          <w:pgMar w:left="320" w:top="783" w:right="339" w:bottom="1440" w:gutter="0" w:footer="0" w:header="0"/>
          <w:type w:val="continuous"/>
        </w:sectPr>
      </w:pPr>
    </w:p>
    <w:p>
      <w:pPr>
        <w:spacing w:after="0" w:line="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83"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Revolving Credit Facility</w:t>
      </w:r>
    </w:p>
    <w:p>
      <w:pPr>
        <w:spacing w:after="0" w:line="229" w:lineRule="exact"/>
        <w:rPr>
          <w:sz w:val="20"/>
          <w:szCs w:val="20"/>
          <w:color w:val="auto"/>
        </w:rPr>
      </w:pPr>
    </w:p>
    <w:p>
      <w:pPr>
        <w:ind w:right="100" w:firstLine="583"/>
        <w:spacing w:after="0" w:line="271" w:lineRule="auto"/>
        <w:rPr>
          <w:sz w:val="20"/>
          <w:szCs w:val="20"/>
          <w:color w:val="auto"/>
        </w:rPr>
      </w:pPr>
      <w:r>
        <w:rPr>
          <w:rFonts w:ascii="Arial" w:cs="Arial" w:eastAsia="Arial" w:hAnsi="Arial"/>
          <w:sz w:val="17"/>
          <w:szCs w:val="17"/>
          <w:color w:val="auto"/>
        </w:rPr>
        <w:t>On August 20, 2021, Plains All American Pipeline, L.P. (the “Partnership”) entered into an unsecured Credit Agreement (the “Revolving Credit Agreement”), among the Partnership and Plains Midstream Canada ULC, a British Columbia unlimited liability company, as Borrowers; certain subsidiaries of the Partnership from time to time party thereto, as Designated Borrowers; Bank of America, N.A., as Administrative Agent and Swing Line Lender; Bank of America, N.A., Citibank, N.A., JPMorgan Chase Bank, N.A. and Wells Fargo Bank, National Association, as L/C Issuers; and the other Lenders party thereto (terms used but not defined in this description of the Revolving Credit Agreement have the meanings assigned to them in the Revolving Credit Agreement). The Revolving Credit Agreement replaces the Partnership’s Credit Agreement dated as of August 19, 2011, among the Partnership, as U.S. borrower; certain subsidiaries of the Partnership from time to time party thereto, as designated borrowers; Bank of America, N.A., as administrative agent; and certain other financial institutions party thereto, as lenders, as amended.</w:t>
      </w:r>
    </w:p>
    <w:p>
      <w:pPr>
        <w:spacing w:after="0" w:line="178" w:lineRule="exact"/>
        <w:rPr>
          <w:sz w:val="20"/>
          <w:szCs w:val="20"/>
          <w:color w:val="auto"/>
        </w:rPr>
      </w:pPr>
    </w:p>
    <w:p>
      <w:pPr>
        <w:ind w:right="100" w:firstLine="583"/>
        <w:spacing w:after="0" w:line="254" w:lineRule="auto"/>
        <w:rPr>
          <w:sz w:val="20"/>
          <w:szCs w:val="20"/>
          <w:color w:val="auto"/>
        </w:rPr>
      </w:pPr>
      <w:r>
        <w:rPr>
          <w:rFonts w:ascii="Arial" w:cs="Arial" w:eastAsia="Arial" w:hAnsi="Arial"/>
          <w:sz w:val="18"/>
          <w:szCs w:val="18"/>
          <w:color w:val="auto"/>
        </w:rPr>
        <w:t>The committed borrowing capacity under the Revolving Credit Agreement is $1.35 billion, up to $400 million of which is available for the issuance of letters of credit and up to $150 million of which is available for swing line loans. The committed amount may be increased at the option of the Partnership to $2.1 billion, subject to, among other terms and conditions, obtaining additional or increased lender commitments. Further, the Revolving Credit Agreement permits each Canadian subsidiary of the Partnership that is then designated as a Designated Borrower to obtain advances in Canadian or U.S. dollars, including Canadian BA’s, and Letters of Credit, up to an aggregate outstanding principal amount of the U.S. dollar equivalent of $1 billion. Payment Obligations of each Designated Borrower are guaranteed by the Partnership. The Revolving Credit Agreement has a scheduled maturity date of August 20, 2026 and provides for one or more one-year extensions subject to applicable lender approval and other terms and conditions set forth in the Revolving Credit Agreement.</w:t>
      </w:r>
    </w:p>
    <w:p>
      <w:pPr>
        <w:spacing w:after="0" w:line="192" w:lineRule="exact"/>
        <w:rPr>
          <w:sz w:val="20"/>
          <w:szCs w:val="20"/>
          <w:color w:val="auto"/>
        </w:rPr>
      </w:pPr>
    </w:p>
    <w:p>
      <w:pPr>
        <w:ind w:right="140" w:firstLine="583"/>
        <w:spacing w:after="0" w:line="279" w:lineRule="auto"/>
        <w:rPr>
          <w:sz w:val="20"/>
          <w:szCs w:val="20"/>
          <w:color w:val="auto"/>
        </w:rPr>
      </w:pPr>
      <w:r>
        <w:rPr>
          <w:rFonts w:ascii="Arial" w:cs="Arial" w:eastAsia="Arial" w:hAnsi="Arial"/>
          <w:sz w:val="17"/>
          <w:szCs w:val="17"/>
          <w:color w:val="auto"/>
        </w:rPr>
        <w:t>Borrowings under the Revolving Credit Agreement accrue interest based, at the applicable Borrower’s election, on either the Eurocurrency Rate, the Base Rate or the Canadian Prime Rate, in each case, plus an applicable margin. Fees on issued Letters of Credit and accepted Canadian BA’s accrue at the applicable margin for Eurocurrency Rate Loans, and a facility fee accrues at an applicable margin. The applicable margin used in connection with interest rates and fees is based on the Partnership’s credit rating at the applicable time.</w:t>
      </w:r>
    </w:p>
    <w:p>
      <w:pPr>
        <w:spacing w:after="0" w:line="171" w:lineRule="exact"/>
        <w:rPr>
          <w:sz w:val="20"/>
          <w:szCs w:val="20"/>
          <w:color w:val="auto"/>
        </w:rPr>
      </w:pPr>
    </w:p>
    <w:p>
      <w:pPr>
        <w:ind w:firstLine="583"/>
        <w:spacing w:after="0" w:line="263" w:lineRule="auto"/>
        <w:rPr>
          <w:sz w:val="20"/>
          <w:szCs w:val="20"/>
          <w:color w:val="auto"/>
        </w:rPr>
      </w:pPr>
      <w:r>
        <w:rPr>
          <w:rFonts w:ascii="Arial" w:cs="Arial" w:eastAsia="Arial" w:hAnsi="Arial"/>
          <w:sz w:val="18"/>
          <w:szCs w:val="18"/>
          <w:color w:val="auto"/>
        </w:rPr>
        <w:t>The Revolving Credit Agreement contains representations and warranties and events of default that are customary for investment grade, senior unsecured commercial bank credit agreements. In addition, the Revolving Credit Agreement contains various covenants limiting the Partnership’s or certain of its subsidiaries’ ability to, among other things:</w:t>
      </w:r>
    </w:p>
    <w:p>
      <w:pPr>
        <w:spacing w:after="0" w:line="184"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grant liens on their principal property or equity interests in subsidiaries of the Partnership;</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ind w:right="380" w:firstLine="583"/>
        <w:spacing w:after="0" w:line="263" w:lineRule="auto"/>
        <w:rPr>
          <w:sz w:val="20"/>
          <w:szCs w:val="20"/>
          <w:color w:val="auto"/>
        </w:rPr>
      </w:pPr>
      <w:r>
        <w:rPr>
          <w:rFonts w:ascii="Arial" w:cs="Arial" w:eastAsia="Arial" w:hAnsi="Arial"/>
          <w:sz w:val="18"/>
          <w:szCs w:val="18"/>
          <w:color w:val="auto"/>
        </w:rPr>
        <w:t>In addition, the Revolving Credit Agreement prohibits the declaration or making of distributions on, or purchases or redemptions of, the Partnership’s equity interests if any Default or Event of Default has occurred and is continuing or, immediately after giving effect thereto, would result therefrom.</w:t>
      </w:r>
    </w:p>
    <w:p>
      <w:pPr>
        <w:spacing w:after="0" w:line="184" w:lineRule="exact"/>
        <w:rPr>
          <w:sz w:val="20"/>
          <w:szCs w:val="20"/>
          <w:color w:val="auto"/>
        </w:rPr>
      </w:pPr>
    </w:p>
    <w:p>
      <w:pPr>
        <w:ind w:right="560" w:firstLine="583"/>
        <w:spacing w:after="0" w:line="308" w:lineRule="auto"/>
        <w:rPr>
          <w:sz w:val="20"/>
          <w:szCs w:val="20"/>
          <w:color w:val="auto"/>
        </w:rPr>
      </w:pPr>
      <w:r>
        <w:rPr>
          <w:rFonts w:ascii="Arial" w:cs="Arial" w:eastAsia="Arial" w:hAnsi="Arial"/>
          <w:sz w:val="17"/>
          <w:szCs w:val="17"/>
          <w:color w:val="auto"/>
        </w:rPr>
        <w:t>The financial covenant in the Revolving Credit Agreement, tested on a quarterly basis, limits Consolidated Funded Indebtedness to adjusted Consolidated EBITDA to no greater than 5.00 to 1.00, which increases to 5.50 to 1.00 during an Acquisition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right="260" w:firstLine="583"/>
        <w:spacing w:after="0" w:line="277" w:lineRule="auto"/>
        <w:rPr>
          <w:sz w:val="20"/>
          <w:szCs w:val="20"/>
          <w:color w:val="auto"/>
        </w:rPr>
      </w:pPr>
      <w:r>
        <w:rPr>
          <w:rFonts w:ascii="Arial" w:cs="Arial" w:eastAsia="Arial" w:hAnsi="Arial"/>
          <w:sz w:val="18"/>
          <w:szCs w:val="18"/>
          <w:color w:val="auto"/>
        </w:rPr>
        <w:t>A default under the Revolving Credit Agreement would permit the Lenders to terminate their commitments and to accelerate the maturity of the outstanding debt.</w:t>
      </w:r>
    </w:p>
    <w:p>
      <w:pPr>
        <w:spacing w:after="0" w:line="170" w:lineRule="exact"/>
        <w:rPr>
          <w:sz w:val="20"/>
          <w:szCs w:val="20"/>
          <w:color w:val="auto"/>
        </w:rPr>
      </w:pPr>
    </w:p>
    <w:p>
      <w:pPr>
        <w:ind w:right="380" w:firstLine="583"/>
        <w:spacing w:after="0" w:line="277" w:lineRule="auto"/>
        <w:rPr>
          <w:sz w:val="20"/>
          <w:szCs w:val="20"/>
          <w:color w:val="auto"/>
        </w:rPr>
      </w:pPr>
      <w:r>
        <w:rPr>
          <w:rFonts w:ascii="Arial" w:cs="Arial" w:eastAsia="Arial" w:hAnsi="Arial"/>
          <w:sz w:val="18"/>
          <w:szCs w:val="18"/>
          <w:color w:val="auto"/>
        </w:rPr>
        <w:t>The above description of the Revolving Credit Agreement is qualified in its entirety by the terms of the Revolving Credit Agreement, which is attached hereto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Hedged Inventory Facility</w:t>
      </w:r>
    </w:p>
    <w:p>
      <w:pPr>
        <w:spacing w:after="0" w:line="229" w:lineRule="exact"/>
        <w:rPr>
          <w:sz w:val="20"/>
          <w:szCs w:val="20"/>
          <w:color w:val="auto"/>
        </w:rPr>
      </w:pPr>
    </w:p>
    <w:p>
      <w:pPr>
        <w:ind w:firstLine="583"/>
        <w:spacing w:after="0" w:line="271" w:lineRule="auto"/>
        <w:rPr>
          <w:sz w:val="20"/>
          <w:szCs w:val="20"/>
          <w:color w:val="auto"/>
        </w:rPr>
      </w:pPr>
      <w:r>
        <w:rPr>
          <w:rFonts w:ascii="Arial" w:cs="Arial" w:eastAsia="Arial" w:hAnsi="Arial"/>
          <w:sz w:val="17"/>
          <w:szCs w:val="17"/>
          <w:color w:val="auto"/>
        </w:rPr>
        <w:t>On August 20, 2021, Plains Marketing, L.P. (“PMLP”), a wholly-owned subsidiary of the Partnership, entered into a Fourth Amended and Restated Credit Agreement (the “Restated Hedged Inventory Facility”) among PMLP and Plains Midstream Canada ULC, a British Columbia unlimited liability company, as Borrowers; the Partnership, as Guarantor; Bank of America, N.A., as Administrative Agent and Swing Line Lender; Bank of America, N.A., Citibank, N.A., JPMorgan Chase Bank, N.A. and Wells Fargo Bank, National Association, as L/C Issuers; and the other Lenders party thereto (terms used but not defined in this description of the Restated Hedged Inventory Facility have the meanings assigned to them in the Restated Hedged Inventory Facility). The Restated Hedged Inventory Facility replaces PMLP’s Third Amended and Restated Credit Agreement dated as of August 19, 2011 (as amended, the “Previous Facility”), among PMLP, as borrower; the Partnership, as guarantor; Bank of America, N.A., as administrative agent and initial issuer of letters of credit; and certain other financial institutions party thereto, as lenders.</w:t>
      </w:r>
    </w:p>
    <w:p>
      <w:pPr>
        <w:spacing w:after="0" w:line="178" w:lineRule="exact"/>
        <w:rPr>
          <w:sz w:val="20"/>
          <w:szCs w:val="20"/>
          <w:color w:val="auto"/>
        </w:rPr>
      </w:pPr>
    </w:p>
    <w:p>
      <w:pPr>
        <w:jc w:val="both"/>
        <w:ind w:right="120" w:firstLine="583"/>
        <w:spacing w:after="0" w:line="287" w:lineRule="auto"/>
        <w:rPr>
          <w:sz w:val="20"/>
          <w:szCs w:val="20"/>
          <w:color w:val="auto"/>
        </w:rPr>
      </w:pPr>
      <w:r>
        <w:rPr>
          <w:rFonts w:ascii="Arial" w:cs="Arial" w:eastAsia="Arial" w:hAnsi="Arial"/>
          <w:sz w:val="16"/>
          <w:szCs w:val="16"/>
          <w:color w:val="auto"/>
        </w:rPr>
        <w:t>The committed borrowing capacity under the Restated Hedged Inventory Facility is $1.35 billion, subject to borrowing base restrictions, of which up to $400 million is available for the issuance of Letters of Credit and up to $75 million is available for swing line loans. The committed amount may be increased at the option of PMLP to $1.9 billion, subject to, among other terms and conditions, obtaining additional or increased lender commitments.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Proceeds from the Restated Hedged Inventory Facility will be used to finance purchased or stored hedged inventory. Obligations under the Restated Hedged Inventory Facility are secured by the financed inventory and the associated accounts receivable, and will be repaid from the proceeds of the sale of the financed inventory. In addition, PMLP’s payment Obligations under the Restated Hedged Inventory Facility are guaranteed by the Partnership. The Revolving Credit Agreement has a scheduled maturity date of August 20, 2024 and provides for one or more one-year extensions subject to applicable lender approval and other terms and conditions set forth in the Restated Hedged Inventory Facility.</w:t>
      </w:r>
    </w:p>
    <w:p>
      <w:pPr>
        <w:spacing w:after="0" w:line="178" w:lineRule="exact"/>
        <w:rPr>
          <w:sz w:val="20"/>
          <w:szCs w:val="20"/>
          <w:color w:val="auto"/>
        </w:rPr>
      </w:pPr>
    </w:p>
    <w:p>
      <w:pPr>
        <w:ind w:right="120" w:firstLine="583"/>
        <w:spacing w:after="0" w:line="259" w:lineRule="auto"/>
        <w:rPr>
          <w:sz w:val="20"/>
          <w:szCs w:val="20"/>
          <w:color w:val="auto"/>
        </w:rPr>
      </w:pPr>
      <w:r>
        <w:rPr>
          <w:rFonts w:ascii="Arial" w:cs="Arial" w:eastAsia="Arial" w:hAnsi="Arial"/>
          <w:sz w:val="18"/>
          <w:szCs w:val="18"/>
          <w:color w:val="auto"/>
        </w:rPr>
        <w:t>Borrowings under the Restated Hedged Inventory Facility accrue interest based, at PMLP’s election, on either the Eurocurrency Rate or the Base Rate, in each case, plus an applicable margin. Fees on issued Letters of Credit accrue at the applicable margin for Eurocurrency Rate Loans, and a commitment fee accrues at an applicable margin. The applicable margin used in connection with interest rates and fees is based on the Partnership’s credit rating at the applicable time.</w:t>
      </w:r>
    </w:p>
    <w:p>
      <w:pPr>
        <w:spacing w:after="0" w:line="187" w:lineRule="exact"/>
        <w:rPr>
          <w:sz w:val="20"/>
          <w:szCs w:val="20"/>
          <w:color w:val="auto"/>
        </w:rPr>
      </w:pPr>
    </w:p>
    <w:p>
      <w:pPr>
        <w:ind w:right="120" w:firstLine="583"/>
        <w:spacing w:after="0" w:line="263" w:lineRule="auto"/>
        <w:rPr>
          <w:sz w:val="20"/>
          <w:szCs w:val="20"/>
          <w:color w:val="auto"/>
        </w:rPr>
      </w:pPr>
      <w:r>
        <w:rPr>
          <w:rFonts w:ascii="Arial" w:cs="Arial" w:eastAsia="Arial" w:hAnsi="Arial"/>
          <w:sz w:val="18"/>
          <w:szCs w:val="18"/>
          <w:color w:val="auto"/>
        </w:rPr>
        <w:t>The covenants and events of default in the Restated Hedged Inventory Facility remain substantially unchanged from the Previous Facility, and the Restated Hedged Inventory Facility contains cross default provisions. In addition, the Restated Hedged Inventory Facility contains various covenants limiting PMLP’s ability to, among other things:</w:t>
      </w:r>
    </w:p>
    <w:p>
      <w:pPr>
        <w:spacing w:after="0" w:line="184"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 liens on Collateral or related inventory and rights;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a merger or consolidation or sell substantially all of its assets;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dispose of Collateral;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negative pledge arrangements.</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financial covenant in the Restated Hedged Inventory Facility limits Consolidated Funded Indebtedness of the Partnership to adjusted Consolidated EBITDA of the Partnership to a maximum ratio of 5.00 to 1.00, which increases to 5.50 to 1.00 during an Acquisition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ind w:right="880"/>
        <w:spacing w:after="0" w:line="277" w:lineRule="auto"/>
        <w:rPr>
          <w:sz w:val="20"/>
          <w:szCs w:val="20"/>
          <w:color w:val="auto"/>
        </w:rPr>
      </w:pPr>
      <w:r>
        <w:rPr>
          <w:rFonts w:ascii="Arial" w:cs="Arial" w:eastAsia="Arial" w:hAnsi="Arial"/>
          <w:sz w:val="18"/>
          <w:szCs w:val="18"/>
          <w:color w:val="auto"/>
        </w:rPr>
        <w:t>A default under the Restated Hedged Inventory Facility permits the lenders to terminate their commitments and to accelerate the maturity of the outstanding debt.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above description of the Restated Hedged Inventory Facility is qualified in its entirety by the terms of the Restated Hedged Inventory Facility, which is attached hereto as Exhibit 10.2 and incorporated herein by reference.</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583"/>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right="260" w:firstLine="583"/>
        <w:spacing w:after="0" w:line="277" w:lineRule="auto"/>
        <w:rPr>
          <w:sz w:val="20"/>
          <w:szCs w:val="20"/>
          <w:color w:val="auto"/>
        </w:rPr>
      </w:pPr>
      <w:r>
        <w:rPr>
          <w:rFonts w:ascii="Arial" w:cs="Arial" w:eastAsia="Arial" w:hAnsi="Arial"/>
          <w:sz w:val="18"/>
          <w:szCs w:val="18"/>
          <w:color w:val="auto"/>
        </w:rPr>
        <w:t>On August 26, 2021, PAA and Plains GP Holdings, L.P. issued a press release announcing execution of the Revolving Credit Agreement and the Restated Hedged Inventory Facility. A copy of the press release is furnished as Exhibit 99.1 hereto.</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 Exhibits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58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w w:val="93"/>
              </w:rPr>
              <w:t>Exhibit</w:t>
            </w:r>
          </w:p>
        </w:tc>
        <w:tc>
          <w:tcPr>
            <w:tcW w:w="680" w:type="dxa"/>
            <w:vAlign w:val="bottom"/>
            <w:tcBorders>
              <w:top w:val="single" w:sz="8" w:color="auto"/>
              <w:right w:val="single" w:sz="8" w:color="auto"/>
            </w:tcBorders>
            <w:gridSpan w:val="3"/>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780" w:type="dxa"/>
            <w:vAlign w:val="bottom"/>
            <w:tcBorders>
              <w:top w:val="single" w:sz="8" w:color="auto"/>
              <w:right w:val="single" w:sz="8" w:color="auto"/>
            </w:tcBorders>
            <w:gridSpan w:val="11"/>
          </w:tcPr>
          <w:p>
            <w:pPr>
              <w:spacing w:after="0" w:line="189"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260" w:type="dxa"/>
            <w:vAlign w:val="bottom"/>
            <w:tcBorders>
              <w:right w:val="single" w:sz="8" w:color="auto"/>
            </w:tcBorders>
            <w:gridSpan w:val="5"/>
          </w:tcPr>
          <w:p>
            <w:pPr>
              <w:spacing w:after="0" w:line="196" w:lineRule="exact"/>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580" w:type="dxa"/>
            <w:vAlign w:val="bottom"/>
            <w:tcBorders>
              <w:left w:val="single" w:sz="8" w:color="auto"/>
            </w:tcBorders>
            <w:gridSpan w:val="2"/>
          </w:tcPr>
          <w:p>
            <w:pPr>
              <w:spacing w:after="0"/>
              <w:rPr>
                <w:sz w:val="14"/>
                <w:szCs w:val="14"/>
                <w:color w:val="auto"/>
              </w:rPr>
            </w:pPr>
          </w:p>
        </w:tc>
        <w:tc>
          <w:tcPr>
            <w:tcW w:w="320" w:type="dxa"/>
            <w:vAlign w:val="bottom"/>
            <w:tcBorders>
              <w:bottom w:val="single" w:sz="8" w:color="0000EE"/>
            </w:tcBorders>
            <w:gridSpan w:val="3"/>
          </w:tcPr>
          <w:p>
            <w:pPr>
              <w:jc w:val="center"/>
              <w:spacing w:after="0" w:line="169"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10.1</w:t>
              </w:r>
            </w:hyperlink>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300" w:type="dxa"/>
            <w:vAlign w:val="bottom"/>
            <w:tcBorders>
              <w:bottom w:val="single" w:sz="8" w:color="0000EE"/>
            </w:tcBorders>
            <w:gridSpan w:val="6"/>
          </w:tcPr>
          <w:p>
            <w:pPr>
              <w:spacing w:after="0" w:line="169"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Credit Agreement dated as of August 20, 2021, among Plains All American Pipeline, L.P. and Plains Midstream Canada ULC, as</w:t>
              </w:r>
            </w:hyperlink>
          </w:p>
        </w:tc>
        <w:tc>
          <w:tcPr>
            <w:tcW w:w="480" w:type="dxa"/>
            <w:vAlign w:val="bottom"/>
            <w:tcBorders>
              <w:right w:val="single" w:sz="8" w:color="auto"/>
            </w:tcBorders>
            <w:gridSpan w:val="5"/>
          </w:tcPr>
          <w:p>
            <w:pPr>
              <w:spacing w:after="0"/>
              <w:rPr>
                <w:sz w:val="14"/>
                <w:szCs w:val="14"/>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Borrowers; certain subsidiaries of Plains All American Pipeline, L.P. from time to time party thereto, as Designated Borrowers; Bank</w:t>
              </w:r>
            </w:hyperlink>
          </w:p>
        </w:tc>
        <w:tc>
          <w:tcPr>
            <w:tcW w:w="180" w:type="dxa"/>
            <w:vAlign w:val="bottom"/>
            <w:tcBorders>
              <w:right w:val="single" w:sz="8" w:color="auto"/>
            </w:tcBorders>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Borders>
              <w:right w:val="single" w:sz="8" w:color="auto"/>
            </w:tcBorders>
            <w:gridSpan w:val="11"/>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of America, N.A., as Administrative Agent and Swing Line Lender; Bank of America, N.A., Citibank, N.A., JPMorgan Chase Bank,</w:t>
              </w:r>
            </w:hyperlink>
          </w:p>
        </w:tc>
      </w:tr>
      <w:tr>
        <w:trPr>
          <w:trHeight w:val="196"/>
        </w:trPr>
        <w:tc>
          <w:tcPr>
            <w:tcW w:w="12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N.A. and Wells Fargo Bank, National Association, as L/C Issuers; and the other Lenders party thereto.</w:t>
              </w:r>
            </w:hyperlink>
          </w:p>
        </w:tc>
        <w:tc>
          <w:tcPr>
            <w:tcW w:w="240" w:type="dxa"/>
            <w:vAlign w:val="bottom"/>
            <w:tcBorders>
              <w:right w:val="single" w:sz="8" w:color="auto"/>
            </w:tcBorders>
            <w:gridSpan w:val="2"/>
          </w:tcPr>
          <w:p>
            <w:pPr>
              <w:spacing w:after="0"/>
              <w:rPr>
                <w:sz w:val="17"/>
                <w:szCs w:val="17"/>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960" w:type="dxa"/>
            <w:vAlign w:val="bottom"/>
            <w:tcBorders>
              <w:top w:val="single" w:sz="8" w:color="0000EE"/>
              <w:bottom w:val="single" w:sz="8" w:color="auto"/>
            </w:tcBorders>
          </w:tcPr>
          <w:p>
            <w:pPr>
              <w:spacing w:after="0" w:line="20" w:lineRule="exact"/>
              <w:rPr>
                <w:sz w:val="1"/>
                <w:szCs w:val="1"/>
                <w:color w:val="auto"/>
              </w:rPr>
            </w:pPr>
          </w:p>
        </w:tc>
        <w:tc>
          <w:tcPr>
            <w:tcW w:w="2740" w:type="dxa"/>
            <w:vAlign w:val="bottom"/>
            <w:tcBorders>
              <w:top w:val="single" w:sz="8" w:color="0000EE"/>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580" w:type="dxa"/>
            <w:vAlign w:val="bottom"/>
            <w:tcBorders>
              <w:left w:val="single" w:sz="8" w:color="auto"/>
            </w:tcBorders>
            <w:gridSpan w:val="2"/>
          </w:tcPr>
          <w:p>
            <w:pPr>
              <w:spacing w:after="0"/>
              <w:rPr>
                <w:sz w:val="14"/>
                <w:szCs w:val="14"/>
                <w:color w:val="auto"/>
              </w:rPr>
            </w:pPr>
          </w:p>
        </w:tc>
        <w:tc>
          <w:tcPr>
            <w:tcW w:w="320" w:type="dxa"/>
            <w:vAlign w:val="bottom"/>
            <w:tcBorders>
              <w:bottom w:val="single" w:sz="8" w:color="0000EE"/>
            </w:tcBorders>
            <w:gridSpan w:val="3"/>
          </w:tcPr>
          <w:p>
            <w:pPr>
              <w:jc w:val="center"/>
              <w:spacing w:after="0" w:line="169"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10.2</w:t>
              </w:r>
            </w:hyperlink>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40" w:type="dxa"/>
            <w:vAlign w:val="bottom"/>
            <w:tcBorders>
              <w:bottom w:val="single" w:sz="8" w:color="0000EE"/>
            </w:tcBorders>
            <w:gridSpan w:val="7"/>
          </w:tcPr>
          <w:p>
            <w:pPr>
              <w:spacing w:after="0" w:line="169"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Fourth Amended and Restated Credit Agreement dated as of August 20, 2021, among Plains Marketing, L.P. and Plains Midstream</w:t>
              </w:r>
            </w:hyperlink>
          </w:p>
        </w:tc>
        <w:tc>
          <w:tcPr>
            <w:tcW w:w="340" w:type="dxa"/>
            <w:vAlign w:val="bottom"/>
            <w:tcBorders>
              <w:right w:val="single" w:sz="8" w:color="auto"/>
            </w:tcBorders>
            <w:gridSpan w:val="4"/>
          </w:tcPr>
          <w:p>
            <w:pPr>
              <w:spacing w:after="0"/>
              <w:rPr>
                <w:sz w:val="14"/>
                <w:szCs w:val="14"/>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Canada ULC, as Borrowers; Plains All American Pipeline, L.P., as guarantor; Bank of America, N.A., as Administrative Agent and</w:t>
              </w:r>
            </w:hyperlink>
          </w:p>
        </w:tc>
        <w:tc>
          <w:tcPr>
            <w:tcW w:w="320" w:type="dxa"/>
            <w:vAlign w:val="bottom"/>
            <w:tcBorders>
              <w:right w:val="single" w:sz="8" w:color="auto"/>
            </w:tcBorders>
            <w:gridSpan w:val="3"/>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90">
              <w:r>
                <w:rPr>
                  <w:rFonts w:ascii="Arial" w:cs="Arial" w:eastAsia="Arial" w:hAnsi="Arial"/>
                  <w:sz w:val="18"/>
                  <w:szCs w:val="18"/>
                  <w:color w:val="0000EE"/>
                  <w:w w:val="92"/>
                </w:rPr>
                <w:t>Swing Line Lender; Bank of America, N.A., Citibank, N.A., JPMorgan Chase Bank, N.A. and Wells Fargo Bank, National</w:t>
              </w:r>
            </w:hyperlink>
          </w:p>
        </w:tc>
        <w:tc>
          <w:tcPr>
            <w:tcW w:w="940" w:type="dxa"/>
            <w:vAlign w:val="bottom"/>
            <w:tcBorders>
              <w:right w:val="single" w:sz="8" w:color="auto"/>
            </w:tcBorders>
            <w:gridSpan w:val="6"/>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Borders>
              <w:right w:val="single" w:sz="8" w:color="auto"/>
            </w:tcBorders>
            <w:gridSpan w:val="11"/>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Association, as L/C Issuers; and the other Lenders party thereto.</w:t>
              </w:r>
            </w:hyperlink>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960" w:type="dxa"/>
            <w:vAlign w:val="bottom"/>
            <w:tcBorders>
              <w:top w:val="single" w:sz="8" w:color="0000EE"/>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80" w:type="dxa"/>
            <w:vAlign w:val="bottom"/>
            <w:tcBorders>
              <w:left w:val="single" w:sz="8" w:color="auto"/>
              <w:right w:val="single" w:sz="8" w:color="auto"/>
            </w:tcBorders>
            <w:gridSpan w:val="6"/>
          </w:tcPr>
          <w:p>
            <w:pPr>
              <w:jc w:val="center"/>
              <w:ind w:left="10"/>
              <w:spacing w:after="0" w:line="169" w:lineRule="exact"/>
              <w:rPr>
                <w:rFonts w:ascii="Arial" w:cs="Arial" w:eastAsia="Arial" w:hAnsi="Arial"/>
                <w:sz w:val="18"/>
                <w:szCs w:val="18"/>
                <w:color w:val="0000EE"/>
                <w:w w:val="91"/>
              </w:rPr>
            </w:pPr>
            <w:hyperlink w:anchor="page373">
              <w:r>
                <w:rPr>
                  <w:rFonts w:ascii="Arial" w:cs="Arial" w:eastAsia="Arial" w:hAnsi="Arial"/>
                  <w:sz w:val="18"/>
                  <w:szCs w:val="18"/>
                  <w:color w:val="0000EE"/>
                  <w:w w:val="91"/>
                </w:rPr>
                <w:t>99.1</w:t>
              </w:r>
            </w:hyperlink>
          </w:p>
        </w:tc>
        <w:tc>
          <w:tcPr>
            <w:tcW w:w="80" w:type="dxa"/>
            <w:vAlign w:val="bottom"/>
          </w:tcPr>
          <w:p>
            <w:pPr>
              <w:spacing w:after="0"/>
              <w:rPr>
                <w:sz w:val="14"/>
                <w:szCs w:val="14"/>
                <w:color w:val="auto"/>
              </w:rPr>
            </w:pPr>
          </w:p>
        </w:tc>
        <w:tc>
          <w:tcPr>
            <w:tcW w:w="9780" w:type="dxa"/>
            <w:vAlign w:val="bottom"/>
            <w:tcBorders>
              <w:right w:val="single" w:sz="8" w:color="auto"/>
            </w:tcBorders>
            <w:gridSpan w:val="11"/>
          </w:tcPr>
          <w:p>
            <w:pPr>
              <w:spacing w:after="0" w:line="169" w:lineRule="exact"/>
              <w:rPr>
                <w:rFonts w:ascii="Arial" w:cs="Arial" w:eastAsia="Arial" w:hAnsi="Arial"/>
                <w:sz w:val="18"/>
                <w:szCs w:val="18"/>
                <w:color w:val="0000EE"/>
              </w:rPr>
            </w:pPr>
            <w:hyperlink w:anchor="page373">
              <w:r>
                <w:rPr>
                  <w:rFonts w:ascii="Arial" w:cs="Arial" w:eastAsia="Arial" w:hAnsi="Arial"/>
                  <w:sz w:val="18"/>
                  <w:szCs w:val="18"/>
                  <w:color w:val="0000EE"/>
                </w:rPr>
                <w:t>Press Release Dated August 26,2021</w:t>
              </w:r>
            </w:hyperlink>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900" w:type="dxa"/>
            <w:vAlign w:val="bottom"/>
            <w:tcBorders>
              <w:left w:val="single" w:sz="8" w:color="auto"/>
              <w:bottom w:val="single" w:sz="8" w:color="auto"/>
            </w:tcBorders>
            <w:gridSpan w:val="5"/>
          </w:tcPr>
          <w:p>
            <w:pPr>
              <w:jc w:val="center"/>
              <w:ind w:left="490"/>
              <w:spacing w:after="0"/>
              <w:rPr>
                <w:sz w:val="20"/>
                <w:szCs w:val="20"/>
                <w:color w:val="auto"/>
              </w:rPr>
            </w:pPr>
            <w:r>
              <w:rPr>
                <w:rFonts w:ascii="Arial" w:cs="Arial" w:eastAsia="Arial" w:hAnsi="Arial"/>
                <w:sz w:val="18"/>
                <w:szCs w:val="18"/>
                <w:color w:val="auto"/>
                <w:w w:val="93"/>
              </w:rPr>
              <w:t>104</w:t>
            </w:r>
          </w:p>
        </w:tc>
        <w:tc>
          <w:tcPr>
            <w:tcW w:w="4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78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669"/>
        </w:trPr>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26, 2021</w:t>
      </w:r>
      <w:r>
        <w:rPr>
          <w:sz w:val="20"/>
          <w:szCs w:val="20"/>
          <w:color w:val="auto"/>
        </w:rPr>
        <w:tab/>
      </w:r>
      <w:r>
        <w:rPr>
          <w:rFonts w:ascii="Arial" w:cs="Arial" w:eastAsia="Arial" w:hAnsi="Arial"/>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4" w:right="71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Number: 726504AL7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726504AM5</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AUGUST 20, 2021</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PLAINS ALL AMERICAN PIPELINE, L.P., PLAINS MIDSTREAM CANADA ULC </w:t>
      </w:r>
      <w:r>
        <w:rPr>
          <w:rFonts w:ascii="Arial" w:cs="Arial" w:eastAsia="Arial" w:hAnsi="Arial"/>
          <w:sz w:val="18"/>
          <w:szCs w:val="18"/>
          <w:color w:val="auto"/>
        </w:rPr>
        <w:t>and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CERTAIN SUBSIDIARIES OF PLAINS ALL AMERICAN PIPELINE, L.P.</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From Time to Time Party Hereto</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Borrowers,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 and Swing Line Lender,</w:t>
      </w:r>
    </w:p>
    <w:p>
      <w:pPr>
        <w:spacing w:after="0" w:line="207" w:lineRule="exact"/>
        <w:rPr>
          <w:sz w:val="20"/>
          <w:szCs w:val="20"/>
          <w:color w:val="auto"/>
        </w:rPr>
      </w:pPr>
    </w:p>
    <w:p>
      <w:pPr>
        <w:jc w:val="center"/>
        <w:ind w:left="400" w:right="1520"/>
        <w:spacing w:after="0" w:line="275" w:lineRule="auto"/>
        <w:rPr>
          <w:sz w:val="20"/>
          <w:szCs w:val="20"/>
          <w:color w:val="auto"/>
        </w:rPr>
      </w:pPr>
      <w:r>
        <w:rPr>
          <w:rFonts w:ascii="Arial" w:cs="Arial" w:eastAsia="Arial" w:hAnsi="Arial"/>
          <w:sz w:val="18"/>
          <w:szCs w:val="18"/>
          <w:b w:val="1"/>
          <w:bCs w:val="1"/>
          <w:color w:val="auto"/>
        </w:rPr>
        <w:t xml:space="preserve">BANK OF AMERICA, N.A., CITIBANK, N.A., JPMORGAN CHASE BANK, N.A. </w:t>
      </w:r>
      <w:r>
        <w:rPr>
          <w:rFonts w:ascii="Arial" w:cs="Arial" w:eastAsia="Arial" w:hAnsi="Arial"/>
          <w:sz w:val="18"/>
          <w:szCs w:val="18"/>
          <w:color w:val="auto"/>
        </w:rPr>
        <w:t>and</w:t>
      </w:r>
      <w:r>
        <w:rPr>
          <w:rFonts w:ascii="Arial" w:cs="Arial" w:eastAsia="Arial" w:hAnsi="Arial"/>
          <w:sz w:val="18"/>
          <w:szCs w:val="18"/>
          <w:b w:val="1"/>
          <w:bCs w:val="1"/>
          <w:color w:val="auto"/>
        </w:rPr>
        <w:t xml:space="preserve"> WELLS FARGO BANK, NATIONAL ASSOCIATION, </w:t>
      </w:r>
      <w:r>
        <w:rPr>
          <w:rFonts w:ascii="Arial" w:cs="Arial" w:eastAsia="Arial" w:hAnsi="Arial"/>
          <w:sz w:val="18"/>
          <w:szCs w:val="18"/>
          <w:color w:val="auto"/>
        </w:rPr>
        <w:t>as L/C Issuers,</w:t>
      </w:r>
    </w:p>
    <w:p>
      <w:pPr>
        <w:spacing w:after="0" w:line="39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CITIBANK, N.A., JPMORGAN CHASE BANK, N.A. </w:t>
      </w:r>
      <w:r>
        <w:rPr>
          <w:rFonts w:ascii="Arial" w:cs="Arial" w:eastAsia="Arial" w:hAnsi="Arial"/>
          <w:sz w:val="18"/>
          <w:szCs w:val="18"/>
          <w:color w:val="auto"/>
        </w:rPr>
        <w:t>and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jc w:val="center"/>
        <w:ind w:left="400" w:right="1520"/>
        <w:spacing w:after="0" w:line="254" w:lineRule="auto"/>
        <w:rPr>
          <w:sz w:val="20"/>
          <w:szCs w:val="20"/>
          <w:color w:val="auto"/>
        </w:rPr>
      </w:pPr>
      <w:r>
        <w:rPr>
          <w:rFonts w:ascii="Arial" w:cs="Arial" w:eastAsia="Arial" w:hAnsi="Arial"/>
          <w:sz w:val="18"/>
          <w:szCs w:val="18"/>
          <w:b w:val="1"/>
          <w:bCs w:val="1"/>
          <w:color w:val="auto"/>
        </w:rPr>
        <w:t>BANCO BILBAO VIZCAYA ARGENTARIA, S.A., NEW YORK BRANCH, BANK OF MONTREAL, BANK OF NOVA SCOTIA, HOUSTON BRANCH, BARCLAYS BANK PLC, CANADIAN IMPERIAL BANK OF COMMERCE, NEW YORK BRANCH, COBANK, ACB, ING CAPITAL LLC, MIZUHO BANK, LTD., MUFG BANK, LTD., PNC BANK, NATIONAL ASSOCIATION, REGIONS BANK,</w:t>
      </w:r>
    </w:p>
    <w:p>
      <w:pPr>
        <w:spacing w:after="0" w:line="3" w:lineRule="exact"/>
        <w:rPr>
          <w:sz w:val="20"/>
          <w:szCs w:val="20"/>
          <w:color w:val="auto"/>
        </w:rPr>
      </w:pPr>
    </w:p>
    <w:p>
      <w:pPr>
        <w:jc w:val="center"/>
        <w:ind w:left="400" w:right="1520"/>
        <w:spacing w:after="0" w:line="250" w:lineRule="auto"/>
        <w:rPr>
          <w:sz w:val="20"/>
          <w:szCs w:val="20"/>
          <w:color w:val="auto"/>
        </w:rPr>
      </w:pPr>
      <w:r>
        <w:rPr>
          <w:rFonts w:ascii="Arial" w:cs="Arial" w:eastAsia="Arial" w:hAnsi="Arial"/>
          <w:sz w:val="18"/>
          <w:szCs w:val="18"/>
          <w:b w:val="1"/>
          <w:bCs w:val="1"/>
          <w:color w:val="auto"/>
        </w:rPr>
        <w:t>ROYAL BANK OF CANADA, SUMITOMO MITSUI BANKING CORPORATION, THE TORONTO-DOMINION BANK, NEW YORK BRANCH, TRUIST BANK and U.S. BANK NATIONAL ASSOCIATION</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Co-Documentation Agents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BOFA SECURITIES, INC., CITIBANK,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JPMORGAN CHASE BANK, N.A., WELLS FARGO SECURITIES,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BANCO BILBAO VIZCAYA ARGENTARIA, S.A., NEW YORK BRANCH, BMO CAPITAL MARKETS,</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OF NOVA SCOTIA, HOUSTON BRANCH, BARCLAYS BANK PLC,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CANADIAN IMPERIAL BANK OF COMMERCE, NEW YORK BRANCH, COBANK, ACB,</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ING CAPITAL LLC, MIZUHO BANK, LTD., MUFG BANK, LTD.,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PNC BANK, NATIONAL ASSOCIATION, REGIONS BANK, ROYAL BANK OF CANADA,</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TD SECURITIES (USA) LLC, TRUIST BANK and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Joint Lead Arrangers and Joint Book Managers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Senior Unsecured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614680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4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Section</w:t>
            </w:r>
          </w:p>
        </w:tc>
        <w:tc>
          <w:tcPr>
            <w:tcW w:w="7740" w:type="dxa"/>
            <w:vAlign w:val="bottom"/>
          </w:tcPr>
          <w:p>
            <w:pPr>
              <w:spacing w:after="0"/>
              <w:rPr>
                <w:sz w:val="24"/>
                <w:szCs w:val="24"/>
                <w:color w:val="auto"/>
              </w:rPr>
            </w:pPr>
          </w:p>
        </w:tc>
        <w:tc>
          <w:tcPr>
            <w:tcW w:w="25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20"/>
        </w:trPr>
        <w:tc>
          <w:tcPr>
            <w:tcW w:w="560" w:type="dxa"/>
            <w:vAlign w:val="bottom"/>
            <w:shd w:val="clear" w:color="auto" w:fill="000000"/>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66"/>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DEFINITIONS AND ACCOUNTING TERMS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774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7740" w:type="dxa"/>
            <w:vAlign w:val="bottom"/>
          </w:tcPr>
          <w:p>
            <w:pPr>
              <w:ind w:left="100"/>
              <w:spacing w:after="0"/>
              <w:rPr>
                <w:sz w:val="20"/>
                <w:szCs w:val="20"/>
                <w:color w:val="auto"/>
              </w:rPr>
            </w:pPr>
            <w:r>
              <w:rPr>
                <w:rFonts w:ascii="Arial" w:cs="Arial" w:eastAsia="Arial" w:hAnsi="Arial"/>
                <w:sz w:val="18"/>
                <w:szCs w:val="18"/>
                <w:color w:val="auto"/>
              </w:rPr>
              <w:t>Other Interpretive Provisions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7740" w:type="dxa"/>
            <w:vAlign w:val="bottom"/>
          </w:tcPr>
          <w:p>
            <w:pPr>
              <w:ind w:left="100"/>
              <w:spacing w:after="0"/>
              <w:rPr>
                <w:sz w:val="20"/>
                <w:szCs w:val="20"/>
                <w:color w:val="auto"/>
              </w:rPr>
            </w:pPr>
            <w:r>
              <w:rPr>
                <w:rFonts w:ascii="Arial" w:cs="Arial" w:eastAsia="Arial" w:hAnsi="Arial"/>
                <w:sz w:val="18"/>
                <w:szCs w:val="18"/>
                <w:color w:val="auto"/>
              </w:rPr>
              <w:t>Accounting Terms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7740" w:type="dxa"/>
            <w:vAlign w:val="bottom"/>
          </w:tcPr>
          <w:p>
            <w:pPr>
              <w:ind w:left="100"/>
              <w:spacing w:after="0"/>
              <w:rPr>
                <w:sz w:val="20"/>
                <w:szCs w:val="20"/>
                <w:color w:val="auto"/>
              </w:rPr>
            </w:pPr>
            <w:r>
              <w:rPr>
                <w:rFonts w:ascii="Arial" w:cs="Arial" w:eastAsia="Arial" w:hAnsi="Arial"/>
                <w:sz w:val="18"/>
                <w:szCs w:val="18"/>
                <w:color w:val="auto"/>
              </w:rPr>
              <w:t>Rounding</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7740" w:type="dxa"/>
            <w:vAlign w:val="bottom"/>
          </w:tcPr>
          <w:p>
            <w:pPr>
              <w:ind w:left="100"/>
              <w:spacing w:after="0"/>
              <w:rPr>
                <w:sz w:val="20"/>
                <w:szCs w:val="20"/>
                <w:color w:val="auto"/>
              </w:rPr>
            </w:pPr>
            <w:r>
              <w:rPr>
                <w:rFonts w:ascii="Arial" w:cs="Arial" w:eastAsia="Arial" w:hAnsi="Arial"/>
                <w:sz w:val="18"/>
                <w:szCs w:val="18"/>
                <w:color w:val="auto"/>
              </w:rPr>
              <w:t>Times of Day</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7740" w:type="dxa"/>
            <w:vAlign w:val="bottom"/>
          </w:tcPr>
          <w:p>
            <w:pPr>
              <w:ind w:left="100"/>
              <w:spacing w:after="0"/>
              <w:rPr>
                <w:sz w:val="20"/>
                <w:szCs w:val="20"/>
                <w:color w:val="auto"/>
              </w:rPr>
            </w:pPr>
            <w:r>
              <w:rPr>
                <w:rFonts w:ascii="Arial" w:cs="Arial" w:eastAsia="Arial" w:hAnsi="Arial"/>
                <w:sz w:val="18"/>
                <w:szCs w:val="18"/>
                <w:color w:val="auto"/>
              </w:rPr>
              <w:t>Exchange Rates; Currency Equivalents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7740" w:type="dxa"/>
            <w:vAlign w:val="bottom"/>
          </w:tcPr>
          <w:p>
            <w:pPr>
              <w:ind w:left="100"/>
              <w:spacing w:after="0"/>
              <w:rPr>
                <w:sz w:val="20"/>
                <w:szCs w:val="20"/>
                <w:color w:val="auto"/>
              </w:rPr>
            </w:pPr>
            <w:r>
              <w:rPr>
                <w:rFonts w:ascii="Arial" w:cs="Arial" w:eastAsia="Arial" w:hAnsi="Arial"/>
                <w:sz w:val="18"/>
                <w:szCs w:val="18"/>
                <w:color w:val="auto"/>
              </w:rPr>
              <w:t>Letter of Credit Amounts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7740" w:type="dxa"/>
            <w:vAlign w:val="bottom"/>
          </w:tcPr>
          <w:p>
            <w:pPr>
              <w:ind w:left="100"/>
              <w:spacing w:after="0"/>
              <w:rPr>
                <w:sz w:val="20"/>
                <w:szCs w:val="20"/>
                <w:color w:val="auto"/>
              </w:rPr>
            </w:pPr>
            <w:r>
              <w:rPr>
                <w:rFonts w:ascii="Arial" w:cs="Arial" w:eastAsia="Arial" w:hAnsi="Arial"/>
                <w:sz w:val="18"/>
                <w:szCs w:val="18"/>
                <w:color w:val="auto"/>
              </w:rPr>
              <w:t>Interest Rates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THE COMMITMENTS AND CREDIT EXTENSIONS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7740" w:type="dxa"/>
            <w:vAlign w:val="bottom"/>
          </w:tcPr>
          <w:p>
            <w:pPr>
              <w:ind w:left="100"/>
              <w:spacing w:after="0"/>
              <w:rPr>
                <w:sz w:val="20"/>
                <w:szCs w:val="20"/>
                <w:color w:val="auto"/>
              </w:rPr>
            </w:pPr>
            <w:r>
              <w:rPr>
                <w:rFonts w:ascii="Arial" w:cs="Arial" w:eastAsia="Arial" w:hAnsi="Arial"/>
                <w:sz w:val="18"/>
                <w:szCs w:val="18"/>
                <w:color w:val="auto"/>
              </w:rPr>
              <w:t>Committed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7740" w:type="dxa"/>
            <w:vAlign w:val="bottom"/>
          </w:tcPr>
          <w:p>
            <w:pPr>
              <w:ind w:left="100"/>
              <w:spacing w:after="0"/>
              <w:rPr>
                <w:sz w:val="20"/>
                <w:szCs w:val="20"/>
                <w:color w:val="auto"/>
              </w:rPr>
            </w:pPr>
            <w:r>
              <w:rPr>
                <w:rFonts w:ascii="Arial" w:cs="Arial" w:eastAsia="Arial" w:hAnsi="Arial"/>
                <w:sz w:val="18"/>
                <w:szCs w:val="18"/>
                <w:color w:val="auto"/>
              </w:rPr>
              <w:t>Borrowings, Conversions and Continuations of Committed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7740" w:type="dxa"/>
            <w:vAlign w:val="bottom"/>
          </w:tcPr>
          <w:p>
            <w:pPr>
              <w:ind w:left="100"/>
              <w:spacing w:after="0"/>
              <w:rPr>
                <w:sz w:val="20"/>
                <w:szCs w:val="20"/>
                <w:color w:val="auto"/>
              </w:rPr>
            </w:pPr>
            <w:r>
              <w:rPr>
                <w:rFonts w:ascii="Arial" w:cs="Arial" w:eastAsia="Arial" w:hAnsi="Arial"/>
                <w:sz w:val="18"/>
                <w:szCs w:val="18"/>
                <w:color w:val="auto"/>
              </w:rPr>
              <w:t>Letters of Credit</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7740" w:type="dxa"/>
            <w:vAlign w:val="bottom"/>
          </w:tcPr>
          <w:p>
            <w:pPr>
              <w:ind w:left="100"/>
              <w:spacing w:after="0"/>
              <w:rPr>
                <w:sz w:val="20"/>
                <w:szCs w:val="20"/>
                <w:color w:val="auto"/>
              </w:rPr>
            </w:pPr>
            <w:r>
              <w:rPr>
                <w:rFonts w:ascii="Arial" w:cs="Arial" w:eastAsia="Arial" w:hAnsi="Arial"/>
                <w:sz w:val="18"/>
                <w:szCs w:val="18"/>
                <w:color w:val="auto"/>
              </w:rPr>
              <w:t>Swing Line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7740" w:type="dxa"/>
            <w:vAlign w:val="bottom"/>
          </w:tcPr>
          <w:p>
            <w:pPr>
              <w:ind w:left="100"/>
              <w:spacing w:after="0"/>
              <w:rPr>
                <w:sz w:val="20"/>
                <w:szCs w:val="20"/>
                <w:color w:val="auto"/>
              </w:rPr>
            </w:pPr>
            <w:r>
              <w:rPr>
                <w:rFonts w:ascii="Arial" w:cs="Arial" w:eastAsia="Arial" w:hAnsi="Arial"/>
                <w:sz w:val="18"/>
                <w:szCs w:val="18"/>
                <w:color w:val="auto"/>
              </w:rPr>
              <w:t>Prepayments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7740" w:type="dxa"/>
            <w:vAlign w:val="bottom"/>
          </w:tcPr>
          <w:p>
            <w:pPr>
              <w:ind w:left="100"/>
              <w:spacing w:after="0"/>
              <w:rPr>
                <w:sz w:val="20"/>
                <w:szCs w:val="20"/>
                <w:color w:val="auto"/>
              </w:rPr>
            </w:pPr>
            <w:r>
              <w:rPr>
                <w:rFonts w:ascii="Arial" w:cs="Arial" w:eastAsia="Arial" w:hAnsi="Arial"/>
                <w:sz w:val="18"/>
                <w:szCs w:val="18"/>
                <w:color w:val="auto"/>
              </w:rPr>
              <w:t>Termination or Reduction of Commitments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7740" w:type="dxa"/>
            <w:vAlign w:val="bottom"/>
          </w:tcPr>
          <w:p>
            <w:pPr>
              <w:ind w:left="100"/>
              <w:spacing w:after="0"/>
              <w:rPr>
                <w:sz w:val="20"/>
                <w:szCs w:val="20"/>
                <w:color w:val="auto"/>
              </w:rPr>
            </w:pPr>
            <w:r>
              <w:rPr>
                <w:rFonts w:ascii="Arial" w:cs="Arial" w:eastAsia="Arial" w:hAnsi="Arial"/>
                <w:sz w:val="18"/>
                <w:szCs w:val="18"/>
                <w:color w:val="auto"/>
              </w:rPr>
              <w:t>Repayment of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77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7740" w:type="dxa"/>
            <w:vAlign w:val="bottom"/>
          </w:tcPr>
          <w:p>
            <w:pPr>
              <w:ind w:left="100"/>
              <w:spacing w:after="0"/>
              <w:rPr>
                <w:sz w:val="20"/>
                <w:szCs w:val="20"/>
                <w:color w:val="auto"/>
              </w:rPr>
            </w:pPr>
            <w:r>
              <w:rPr>
                <w:rFonts w:ascii="Arial" w:cs="Arial" w:eastAsia="Arial" w:hAnsi="Arial"/>
                <w:sz w:val="18"/>
                <w:szCs w:val="18"/>
                <w:color w:val="auto"/>
              </w:rPr>
              <w:t>Fees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7740" w:type="dxa"/>
            <w:vAlign w:val="bottom"/>
          </w:tcPr>
          <w:p>
            <w:pPr>
              <w:ind w:left="100"/>
              <w:spacing w:after="0"/>
              <w:rPr>
                <w:sz w:val="20"/>
                <w:szCs w:val="20"/>
                <w:color w:val="auto"/>
              </w:rPr>
            </w:pPr>
            <w:r>
              <w:rPr>
                <w:rFonts w:ascii="Arial" w:cs="Arial" w:eastAsia="Arial" w:hAnsi="Arial"/>
                <w:sz w:val="18"/>
                <w:szCs w:val="18"/>
                <w:color w:val="auto"/>
              </w:rPr>
              <w:t>Computation of Interest and Fees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7740" w:type="dxa"/>
            <w:vAlign w:val="bottom"/>
          </w:tcPr>
          <w:p>
            <w:pPr>
              <w:ind w:left="100"/>
              <w:spacing w:after="0"/>
              <w:rPr>
                <w:sz w:val="20"/>
                <w:szCs w:val="20"/>
                <w:color w:val="auto"/>
              </w:rPr>
            </w:pPr>
            <w:r>
              <w:rPr>
                <w:rFonts w:ascii="Arial" w:cs="Arial" w:eastAsia="Arial" w:hAnsi="Arial"/>
                <w:sz w:val="18"/>
                <w:szCs w:val="18"/>
                <w:color w:val="auto"/>
              </w:rPr>
              <w:t>Evidence of Debt</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7740" w:type="dxa"/>
            <w:vAlign w:val="bottom"/>
          </w:tcPr>
          <w:p>
            <w:pPr>
              <w:ind w:left="100"/>
              <w:spacing w:after="0"/>
              <w:rPr>
                <w:sz w:val="20"/>
                <w:szCs w:val="20"/>
                <w:color w:val="auto"/>
              </w:rPr>
            </w:pPr>
            <w:r>
              <w:rPr>
                <w:rFonts w:ascii="Arial" w:cs="Arial" w:eastAsia="Arial" w:hAnsi="Arial"/>
                <w:sz w:val="18"/>
                <w:szCs w:val="18"/>
                <w:color w:val="auto"/>
              </w:rPr>
              <w:t>Payments Generally; Administrative Agent’s Clawback</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7740" w:type="dxa"/>
            <w:vAlign w:val="bottom"/>
          </w:tcPr>
          <w:p>
            <w:pPr>
              <w:ind w:left="100"/>
              <w:spacing w:after="0"/>
              <w:rPr>
                <w:sz w:val="20"/>
                <w:szCs w:val="20"/>
                <w:color w:val="auto"/>
              </w:rPr>
            </w:pPr>
            <w:r>
              <w:rPr>
                <w:rFonts w:ascii="Arial" w:cs="Arial" w:eastAsia="Arial" w:hAnsi="Arial"/>
                <w:sz w:val="18"/>
                <w:szCs w:val="18"/>
                <w:color w:val="auto"/>
              </w:rPr>
              <w:t>Sharing of Payments by Lenders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7740" w:type="dxa"/>
            <w:vAlign w:val="bottom"/>
          </w:tcPr>
          <w:p>
            <w:pPr>
              <w:ind w:left="100"/>
              <w:spacing w:after="0"/>
              <w:rPr>
                <w:sz w:val="20"/>
                <w:szCs w:val="20"/>
                <w:color w:val="auto"/>
              </w:rPr>
            </w:pPr>
            <w:r>
              <w:rPr>
                <w:rFonts w:ascii="Arial" w:cs="Arial" w:eastAsia="Arial" w:hAnsi="Arial"/>
                <w:sz w:val="18"/>
                <w:szCs w:val="18"/>
                <w:color w:val="auto"/>
              </w:rPr>
              <w:t>Extension of Maturity Date</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7740" w:type="dxa"/>
            <w:vAlign w:val="bottom"/>
          </w:tcPr>
          <w:p>
            <w:pPr>
              <w:ind w:left="100"/>
              <w:spacing w:after="0"/>
              <w:rPr>
                <w:sz w:val="20"/>
                <w:szCs w:val="20"/>
                <w:color w:val="auto"/>
              </w:rPr>
            </w:pPr>
            <w:r>
              <w:rPr>
                <w:rFonts w:ascii="Arial" w:cs="Arial" w:eastAsia="Arial" w:hAnsi="Arial"/>
                <w:sz w:val="18"/>
                <w:szCs w:val="18"/>
                <w:color w:val="auto"/>
              </w:rPr>
              <w:t>Designated Borrower</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7740" w:type="dxa"/>
            <w:vAlign w:val="bottom"/>
          </w:tcPr>
          <w:p>
            <w:pPr>
              <w:ind w:left="100"/>
              <w:spacing w:after="0"/>
              <w:rPr>
                <w:sz w:val="20"/>
                <w:szCs w:val="20"/>
                <w:color w:val="auto"/>
              </w:rPr>
            </w:pPr>
            <w:r>
              <w:rPr>
                <w:rFonts w:ascii="Arial" w:cs="Arial" w:eastAsia="Arial" w:hAnsi="Arial"/>
                <w:sz w:val="18"/>
                <w:szCs w:val="18"/>
                <w:color w:val="auto"/>
              </w:rPr>
              <w:t>Increase in Commitments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7740" w:type="dxa"/>
            <w:vAlign w:val="bottom"/>
          </w:tcPr>
          <w:p>
            <w:pPr>
              <w:ind w:left="100"/>
              <w:spacing w:after="0"/>
              <w:rPr>
                <w:sz w:val="20"/>
                <w:szCs w:val="20"/>
                <w:color w:val="auto"/>
              </w:rPr>
            </w:pPr>
            <w:r>
              <w:rPr>
                <w:rFonts w:ascii="Arial" w:cs="Arial" w:eastAsia="Arial" w:hAnsi="Arial"/>
                <w:sz w:val="18"/>
                <w:szCs w:val="18"/>
                <w:color w:val="auto"/>
              </w:rPr>
              <w:t>Cash Collateral</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7740" w:type="dxa"/>
            <w:vAlign w:val="bottom"/>
          </w:tcPr>
          <w:p>
            <w:pPr>
              <w:ind w:left="100"/>
              <w:spacing w:after="0"/>
              <w:rPr>
                <w:sz w:val="20"/>
                <w:szCs w:val="20"/>
                <w:color w:val="auto"/>
              </w:rPr>
            </w:pPr>
            <w:r>
              <w:rPr>
                <w:rFonts w:ascii="Arial" w:cs="Arial" w:eastAsia="Arial" w:hAnsi="Arial"/>
                <w:sz w:val="18"/>
                <w:szCs w:val="18"/>
                <w:color w:val="auto"/>
              </w:rPr>
              <w:t>Defaulting Lenders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TAXES, YIELD PROTECTION AND ILLEGALITY</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418"/>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7740" w:type="dxa"/>
            <w:vAlign w:val="bottom"/>
          </w:tcPr>
          <w:p>
            <w:pPr>
              <w:ind w:left="100"/>
              <w:spacing w:after="0"/>
              <w:rPr>
                <w:sz w:val="20"/>
                <w:szCs w:val="20"/>
                <w:color w:val="auto"/>
              </w:rPr>
            </w:pPr>
            <w:r>
              <w:rPr>
                <w:rFonts w:ascii="Arial" w:cs="Arial" w:eastAsia="Arial" w:hAnsi="Arial"/>
                <w:sz w:val="18"/>
                <w:szCs w:val="18"/>
                <w:color w:val="auto"/>
              </w:rPr>
              <w:t>Taxes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7740" w:type="dxa"/>
            <w:vAlign w:val="bottom"/>
          </w:tcPr>
          <w:p>
            <w:pPr>
              <w:ind w:left="100"/>
              <w:spacing w:after="0"/>
              <w:rPr>
                <w:sz w:val="20"/>
                <w:szCs w:val="20"/>
                <w:color w:val="auto"/>
              </w:rPr>
            </w:pPr>
            <w:r>
              <w:rPr>
                <w:rFonts w:ascii="Arial" w:cs="Arial" w:eastAsia="Arial" w:hAnsi="Arial"/>
                <w:sz w:val="18"/>
                <w:szCs w:val="18"/>
                <w:color w:val="auto"/>
              </w:rPr>
              <w:t>Illegality</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7740" w:type="dxa"/>
            <w:vAlign w:val="bottom"/>
          </w:tcPr>
          <w:p>
            <w:pPr>
              <w:ind w:left="100"/>
              <w:spacing w:after="0"/>
              <w:rPr>
                <w:sz w:val="20"/>
                <w:szCs w:val="20"/>
                <w:color w:val="auto"/>
              </w:rPr>
            </w:pPr>
            <w:r>
              <w:rPr>
                <w:rFonts w:ascii="Arial" w:cs="Arial" w:eastAsia="Arial" w:hAnsi="Arial"/>
                <w:sz w:val="18"/>
                <w:szCs w:val="18"/>
                <w:color w:val="auto"/>
              </w:rPr>
              <w:t>Inability to Determine Rates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7740" w:type="dxa"/>
            <w:vAlign w:val="bottom"/>
          </w:tcPr>
          <w:p>
            <w:pPr>
              <w:ind w:left="100"/>
              <w:spacing w:after="0"/>
              <w:rPr>
                <w:sz w:val="20"/>
                <w:szCs w:val="20"/>
                <w:color w:val="auto"/>
              </w:rPr>
            </w:pPr>
            <w:r>
              <w:rPr>
                <w:rFonts w:ascii="Arial" w:cs="Arial" w:eastAsia="Arial" w:hAnsi="Arial"/>
                <w:sz w:val="18"/>
                <w:szCs w:val="18"/>
                <w:color w:val="auto"/>
              </w:rPr>
              <w:t>Increased Costs; Reserves on Eurocurrency Rate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7740" w:type="dxa"/>
            <w:vAlign w:val="bottom"/>
          </w:tcPr>
          <w:p>
            <w:pPr>
              <w:ind w:left="100"/>
              <w:spacing w:after="0"/>
              <w:rPr>
                <w:sz w:val="20"/>
                <w:szCs w:val="20"/>
                <w:color w:val="auto"/>
              </w:rPr>
            </w:pPr>
            <w:r>
              <w:rPr>
                <w:rFonts w:ascii="Arial" w:cs="Arial" w:eastAsia="Arial" w:hAnsi="Arial"/>
                <w:sz w:val="18"/>
                <w:szCs w:val="18"/>
                <w:color w:val="auto"/>
              </w:rPr>
              <w:t>Compensation for Losses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7740" w:type="dxa"/>
            <w:vAlign w:val="bottom"/>
          </w:tcPr>
          <w:p>
            <w:pPr>
              <w:ind w:left="100"/>
              <w:spacing w:after="0"/>
              <w:rPr>
                <w:sz w:val="20"/>
                <w:szCs w:val="20"/>
                <w:color w:val="auto"/>
              </w:rPr>
            </w:pPr>
            <w:r>
              <w:rPr>
                <w:rFonts w:ascii="Arial" w:cs="Arial" w:eastAsia="Arial" w:hAnsi="Arial"/>
                <w:sz w:val="18"/>
                <w:szCs w:val="18"/>
                <w:color w:val="auto"/>
              </w:rPr>
              <w:t>Mitigation Obligations; Replacement of Lenders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774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CONDITIONS PRECEDENT TO CREDIT EXTENSIONS</w:t>
            </w:r>
          </w:p>
        </w:tc>
        <w:tc>
          <w:tcPr>
            <w:tcW w:w="3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7140" w:type="dxa"/>
            <w:vAlign w:val="bottom"/>
          </w:tcPr>
          <w:p>
            <w:pPr>
              <w:ind w:left="100"/>
              <w:spacing w:after="0"/>
              <w:rPr>
                <w:sz w:val="20"/>
                <w:szCs w:val="20"/>
                <w:color w:val="auto"/>
              </w:rPr>
            </w:pPr>
            <w:r>
              <w:rPr>
                <w:rFonts w:ascii="Arial" w:cs="Arial" w:eastAsia="Arial" w:hAnsi="Arial"/>
                <w:sz w:val="18"/>
                <w:szCs w:val="18"/>
                <w:color w:val="auto"/>
              </w:rPr>
              <w:t>Conditions Precedent to Initial Credit Extension</w:t>
            </w:r>
          </w:p>
        </w:tc>
        <w:tc>
          <w:tcPr>
            <w:tcW w:w="3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7140" w:type="dxa"/>
            <w:vAlign w:val="bottom"/>
          </w:tcPr>
          <w:p>
            <w:pPr>
              <w:ind w:left="100"/>
              <w:spacing w:after="0"/>
              <w:rPr>
                <w:sz w:val="20"/>
                <w:szCs w:val="20"/>
                <w:color w:val="auto"/>
              </w:rPr>
            </w:pPr>
            <w:r>
              <w:rPr>
                <w:rFonts w:ascii="Arial" w:cs="Arial" w:eastAsia="Arial" w:hAnsi="Arial"/>
                <w:sz w:val="18"/>
                <w:szCs w:val="18"/>
                <w:color w:val="auto"/>
              </w:rPr>
              <w:t>Conditions to all Credit Extensions</w:t>
            </w:r>
          </w:p>
        </w:tc>
        <w:tc>
          <w:tcPr>
            <w:tcW w:w="3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REPRESENTATIONS AND WARRANTIES</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7140" w:type="dxa"/>
            <w:vAlign w:val="bottom"/>
          </w:tcPr>
          <w:p>
            <w:pPr>
              <w:ind w:left="100"/>
              <w:spacing w:after="0"/>
              <w:rPr>
                <w:sz w:val="20"/>
                <w:szCs w:val="20"/>
                <w:color w:val="auto"/>
              </w:rPr>
            </w:pPr>
            <w:r>
              <w:rPr>
                <w:rFonts w:ascii="Arial" w:cs="Arial" w:eastAsia="Arial" w:hAnsi="Arial"/>
                <w:sz w:val="18"/>
                <w:szCs w:val="18"/>
                <w:color w:val="auto"/>
              </w:rPr>
              <w:t>Existence, Qualification and Power</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7140" w:type="dxa"/>
            <w:vAlign w:val="bottom"/>
          </w:tcPr>
          <w:p>
            <w:pPr>
              <w:ind w:left="100"/>
              <w:spacing w:after="0"/>
              <w:rPr>
                <w:sz w:val="20"/>
                <w:szCs w:val="20"/>
                <w:color w:val="auto"/>
              </w:rPr>
            </w:pPr>
            <w:r>
              <w:rPr>
                <w:rFonts w:ascii="Arial" w:cs="Arial" w:eastAsia="Arial" w:hAnsi="Arial"/>
                <w:sz w:val="18"/>
                <w:szCs w:val="18"/>
                <w:color w:val="auto"/>
              </w:rPr>
              <w:t>Authorization; No Contravention</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7140" w:type="dxa"/>
            <w:vAlign w:val="bottom"/>
          </w:tcPr>
          <w:p>
            <w:pPr>
              <w:ind w:left="100"/>
              <w:spacing w:after="0"/>
              <w:rPr>
                <w:sz w:val="20"/>
                <w:szCs w:val="20"/>
                <w:color w:val="auto"/>
              </w:rPr>
            </w:pPr>
            <w:r>
              <w:rPr>
                <w:rFonts w:ascii="Arial" w:cs="Arial" w:eastAsia="Arial" w:hAnsi="Arial"/>
                <w:sz w:val="18"/>
                <w:szCs w:val="18"/>
                <w:color w:val="auto"/>
              </w:rPr>
              <w:t>Governmental Authorization; Other Consents</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7140" w:type="dxa"/>
            <w:vAlign w:val="bottom"/>
          </w:tcPr>
          <w:p>
            <w:pPr>
              <w:ind w:left="100"/>
              <w:spacing w:after="0"/>
              <w:rPr>
                <w:sz w:val="20"/>
                <w:szCs w:val="20"/>
                <w:color w:val="auto"/>
              </w:rPr>
            </w:pPr>
            <w:r>
              <w:rPr>
                <w:rFonts w:ascii="Arial" w:cs="Arial" w:eastAsia="Arial" w:hAnsi="Arial"/>
                <w:sz w:val="18"/>
                <w:szCs w:val="18"/>
                <w:color w:val="auto"/>
              </w:rPr>
              <w:t>Binding Effect</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7140" w:type="dxa"/>
            <w:vAlign w:val="bottom"/>
          </w:tcPr>
          <w:p>
            <w:pPr>
              <w:ind w:left="100"/>
              <w:spacing w:after="0"/>
              <w:rPr>
                <w:sz w:val="20"/>
                <w:szCs w:val="20"/>
                <w:color w:val="auto"/>
              </w:rPr>
            </w:pPr>
            <w:r>
              <w:rPr>
                <w:rFonts w:ascii="Arial" w:cs="Arial" w:eastAsia="Arial" w:hAnsi="Arial"/>
                <w:sz w:val="18"/>
                <w:szCs w:val="18"/>
                <w:color w:val="auto"/>
              </w:rPr>
              <w:t>Financial Statements; No Material Adverse Effect</w:t>
            </w:r>
          </w:p>
        </w:tc>
        <w:tc>
          <w:tcPr>
            <w:tcW w:w="3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714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3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7140" w:type="dxa"/>
            <w:vAlign w:val="bottom"/>
          </w:tcPr>
          <w:p>
            <w:pPr>
              <w:ind w:left="100"/>
              <w:spacing w:after="0"/>
              <w:rPr>
                <w:sz w:val="20"/>
                <w:szCs w:val="20"/>
                <w:color w:val="auto"/>
              </w:rPr>
            </w:pPr>
            <w:r>
              <w:rPr>
                <w:rFonts w:ascii="Arial" w:cs="Arial" w:eastAsia="Arial" w:hAnsi="Arial"/>
                <w:sz w:val="18"/>
                <w:szCs w:val="18"/>
                <w:color w:val="auto"/>
              </w:rPr>
              <w:t>Environmental Compliance</w:t>
            </w:r>
          </w:p>
        </w:tc>
        <w:tc>
          <w:tcPr>
            <w:tcW w:w="3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7140" w:type="dxa"/>
            <w:vAlign w:val="bottom"/>
          </w:tcPr>
          <w:p>
            <w:pPr>
              <w:ind w:left="100"/>
              <w:spacing w:after="0"/>
              <w:rPr>
                <w:sz w:val="20"/>
                <w:szCs w:val="20"/>
                <w:color w:val="auto"/>
              </w:rPr>
            </w:pPr>
            <w:r>
              <w:rPr>
                <w:rFonts w:ascii="Arial" w:cs="Arial" w:eastAsia="Arial" w:hAnsi="Arial"/>
                <w:sz w:val="18"/>
                <w:szCs w:val="18"/>
                <w:color w:val="auto"/>
              </w:rPr>
              <w:t>ERISA Compliance</w:t>
            </w:r>
          </w:p>
        </w:tc>
        <w:tc>
          <w:tcPr>
            <w:tcW w:w="3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7140" w:type="dxa"/>
            <w:vAlign w:val="bottom"/>
          </w:tcPr>
          <w:p>
            <w:pPr>
              <w:ind w:left="100"/>
              <w:spacing w:after="0"/>
              <w:rPr>
                <w:sz w:val="20"/>
                <w:szCs w:val="20"/>
                <w:color w:val="auto"/>
              </w:rPr>
            </w:pPr>
            <w:r>
              <w:rPr>
                <w:rFonts w:ascii="Arial" w:cs="Arial" w:eastAsia="Arial" w:hAnsi="Arial"/>
                <w:sz w:val="18"/>
                <w:szCs w:val="18"/>
                <w:color w:val="auto"/>
              </w:rPr>
              <w:t>Margin Regulations; Investment Company Act</w:t>
            </w:r>
          </w:p>
        </w:tc>
        <w:tc>
          <w:tcPr>
            <w:tcW w:w="3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7140" w:type="dxa"/>
            <w:vAlign w:val="bottom"/>
          </w:tcPr>
          <w:p>
            <w:pPr>
              <w:ind w:left="100"/>
              <w:spacing w:after="0"/>
              <w:rPr>
                <w:sz w:val="20"/>
                <w:szCs w:val="20"/>
                <w:color w:val="auto"/>
              </w:rPr>
            </w:pPr>
            <w:r>
              <w:rPr>
                <w:rFonts w:ascii="Arial" w:cs="Arial" w:eastAsia="Arial" w:hAnsi="Arial"/>
                <w:sz w:val="18"/>
                <w:szCs w:val="18"/>
                <w:color w:val="auto"/>
              </w:rPr>
              <w:t>Disclosure</w:t>
            </w:r>
          </w:p>
        </w:tc>
        <w:tc>
          <w:tcPr>
            <w:tcW w:w="3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7140" w:type="dxa"/>
            <w:vAlign w:val="bottom"/>
          </w:tcPr>
          <w:p>
            <w:pPr>
              <w:ind w:left="100"/>
              <w:spacing w:after="0"/>
              <w:rPr>
                <w:sz w:val="20"/>
                <w:szCs w:val="20"/>
                <w:color w:val="auto"/>
              </w:rPr>
            </w:pPr>
            <w:r>
              <w:rPr>
                <w:rFonts w:ascii="Arial" w:cs="Arial" w:eastAsia="Arial" w:hAnsi="Arial"/>
                <w:sz w:val="18"/>
                <w:szCs w:val="18"/>
                <w:color w:val="auto"/>
              </w:rPr>
              <w:t>Compliance with Laws</w:t>
            </w:r>
          </w:p>
        </w:tc>
        <w:tc>
          <w:tcPr>
            <w:tcW w:w="3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7140" w:type="dxa"/>
            <w:vAlign w:val="bottom"/>
          </w:tcPr>
          <w:p>
            <w:pPr>
              <w:ind w:left="100"/>
              <w:spacing w:after="0"/>
              <w:rPr>
                <w:sz w:val="20"/>
                <w:szCs w:val="20"/>
                <w:color w:val="auto"/>
              </w:rPr>
            </w:pPr>
            <w:r>
              <w:rPr>
                <w:rFonts w:ascii="Arial" w:cs="Arial" w:eastAsia="Arial" w:hAnsi="Arial"/>
                <w:sz w:val="18"/>
                <w:szCs w:val="18"/>
                <w:color w:val="auto"/>
              </w:rPr>
              <w:t>OFAC</w:t>
            </w:r>
          </w:p>
        </w:tc>
        <w:tc>
          <w:tcPr>
            <w:tcW w:w="3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7140" w:type="dxa"/>
            <w:vAlign w:val="bottom"/>
          </w:tcPr>
          <w:p>
            <w:pPr>
              <w:ind w:left="100"/>
              <w:spacing w:after="0"/>
              <w:rPr>
                <w:sz w:val="20"/>
                <w:szCs w:val="20"/>
                <w:color w:val="auto"/>
              </w:rPr>
            </w:pPr>
            <w:r>
              <w:rPr>
                <w:rFonts w:ascii="Arial" w:cs="Arial" w:eastAsia="Arial" w:hAnsi="Arial"/>
                <w:sz w:val="18"/>
                <w:szCs w:val="18"/>
                <w:color w:val="auto"/>
              </w:rPr>
              <w:t>Anti-Corruption Laws</w:t>
            </w:r>
          </w:p>
        </w:tc>
        <w:tc>
          <w:tcPr>
            <w:tcW w:w="3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7140" w:type="dxa"/>
            <w:vAlign w:val="bottom"/>
          </w:tcPr>
          <w:p>
            <w:pPr>
              <w:ind w:left="100"/>
              <w:spacing w:after="0"/>
              <w:rPr>
                <w:sz w:val="20"/>
                <w:szCs w:val="20"/>
                <w:color w:val="auto"/>
              </w:rPr>
            </w:pPr>
            <w:r>
              <w:rPr>
                <w:rFonts w:ascii="Arial" w:cs="Arial" w:eastAsia="Arial" w:hAnsi="Arial"/>
                <w:sz w:val="18"/>
                <w:szCs w:val="18"/>
                <w:color w:val="auto"/>
              </w:rPr>
              <w:t>Affected Financial Institution</w:t>
            </w:r>
          </w:p>
        </w:tc>
        <w:tc>
          <w:tcPr>
            <w:tcW w:w="3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AFFIRMATIVE COVENANTS</w:t>
            </w:r>
          </w:p>
        </w:tc>
        <w:tc>
          <w:tcPr>
            <w:tcW w:w="3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18"/>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714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3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7140" w:type="dxa"/>
            <w:vAlign w:val="bottom"/>
          </w:tcPr>
          <w:p>
            <w:pPr>
              <w:ind w:left="100"/>
              <w:spacing w:after="0"/>
              <w:rPr>
                <w:sz w:val="20"/>
                <w:szCs w:val="20"/>
                <w:color w:val="auto"/>
              </w:rPr>
            </w:pPr>
            <w:r>
              <w:rPr>
                <w:rFonts w:ascii="Arial" w:cs="Arial" w:eastAsia="Arial" w:hAnsi="Arial"/>
                <w:sz w:val="18"/>
                <w:szCs w:val="18"/>
                <w:color w:val="auto"/>
              </w:rPr>
              <w:t>Certificates; Other Information</w:t>
            </w:r>
          </w:p>
        </w:tc>
        <w:tc>
          <w:tcPr>
            <w:tcW w:w="3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7140" w:type="dxa"/>
            <w:vAlign w:val="bottom"/>
          </w:tcPr>
          <w:p>
            <w:pPr>
              <w:ind w:left="100"/>
              <w:spacing w:after="0"/>
              <w:rPr>
                <w:sz w:val="20"/>
                <w:szCs w:val="20"/>
                <w:color w:val="auto"/>
              </w:rPr>
            </w:pPr>
            <w:r>
              <w:rPr>
                <w:rFonts w:ascii="Arial" w:cs="Arial" w:eastAsia="Arial" w:hAnsi="Arial"/>
                <w:sz w:val="18"/>
                <w:szCs w:val="18"/>
                <w:color w:val="auto"/>
              </w:rPr>
              <w:t>Notices</w:t>
            </w:r>
          </w:p>
        </w:tc>
        <w:tc>
          <w:tcPr>
            <w:tcW w:w="3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7140" w:type="dxa"/>
            <w:vAlign w:val="bottom"/>
          </w:tcPr>
          <w:p>
            <w:pPr>
              <w:ind w:left="100"/>
              <w:spacing w:after="0"/>
              <w:rPr>
                <w:sz w:val="20"/>
                <w:szCs w:val="20"/>
                <w:color w:val="auto"/>
              </w:rPr>
            </w:pPr>
            <w:r>
              <w:rPr>
                <w:rFonts w:ascii="Arial" w:cs="Arial" w:eastAsia="Arial" w:hAnsi="Arial"/>
                <w:sz w:val="18"/>
                <w:szCs w:val="18"/>
                <w:color w:val="auto"/>
              </w:rPr>
              <w:t>Payment of Taxes, Etc.</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7140" w:type="dxa"/>
            <w:vAlign w:val="bottom"/>
          </w:tcPr>
          <w:p>
            <w:pPr>
              <w:ind w:left="100"/>
              <w:spacing w:after="0"/>
              <w:rPr>
                <w:sz w:val="20"/>
                <w:szCs w:val="20"/>
                <w:color w:val="auto"/>
              </w:rPr>
            </w:pPr>
            <w:r>
              <w:rPr>
                <w:rFonts w:ascii="Arial" w:cs="Arial" w:eastAsia="Arial" w:hAnsi="Arial"/>
                <w:sz w:val="18"/>
                <w:szCs w:val="18"/>
                <w:color w:val="auto"/>
              </w:rPr>
              <w:t>Preservation of Existence, Etc.</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7140" w:type="dxa"/>
            <w:vAlign w:val="bottom"/>
          </w:tcPr>
          <w:p>
            <w:pPr>
              <w:ind w:left="100"/>
              <w:spacing w:after="0"/>
              <w:rPr>
                <w:sz w:val="20"/>
                <w:szCs w:val="20"/>
                <w:color w:val="auto"/>
              </w:rPr>
            </w:pPr>
            <w:r>
              <w:rPr>
                <w:rFonts w:ascii="Arial" w:cs="Arial" w:eastAsia="Arial" w:hAnsi="Arial"/>
                <w:sz w:val="18"/>
                <w:szCs w:val="18"/>
                <w:color w:val="auto"/>
              </w:rPr>
              <w:t>Maintenance of Properties</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7140" w:type="dxa"/>
            <w:vAlign w:val="bottom"/>
          </w:tcPr>
          <w:p>
            <w:pPr>
              <w:ind w:left="100"/>
              <w:spacing w:after="0"/>
              <w:rPr>
                <w:sz w:val="20"/>
                <w:szCs w:val="20"/>
                <w:color w:val="auto"/>
              </w:rPr>
            </w:pPr>
            <w:r>
              <w:rPr>
                <w:rFonts w:ascii="Arial" w:cs="Arial" w:eastAsia="Arial" w:hAnsi="Arial"/>
                <w:sz w:val="18"/>
                <w:szCs w:val="18"/>
                <w:color w:val="auto"/>
              </w:rPr>
              <w:t>Maintenance of Insurance</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7140" w:type="dxa"/>
            <w:vAlign w:val="bottom"/>
          </w:tcPr>
          <w:p>
            <w:pPr>
              <w:ind w:left="100"/>
              <w:spacing w:after="0"/>
              <w:rPr>
                <w:sz w:val="20"/>
                <w:szCs w:val="20"/>
                <w:color w:val="auto"/>
              </w:rPr>
            </w:pPr>
            <w:r>
              <w:rPr>
                <w:rFonts w:ascii="Arial" w:cs="Arial" w:eastAsia="Arial" w:hAnsi="Arial"/>
                <w:sz w:val="18"/>
                <w:szCs w:val="18"/>
                <w:color w:val="auto"/>
              </w:rPr>
              <w:t>Compliance with Laws</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7140" w:type="dxa"/>
            <w:vAlign w:val="bottom"/>
          </w:tcPr>
          <w:p>
            <w:pPr>
              <w:ind w:left="100"/>
              <w:spacing w:after="0"/>
              <w:rPr>
                <w:sz w:val="20"/>
                <w:szCs w:val="20"/>
                <w:color w:val="auto"/>
              </w:rPr>
            </w:pPr>
            <w:r>
              <w:rPr>
                <w:rFonts w:ascii="Arial" w:cs="Arial" w:eastAsia="Arial" w:hAnsi="Arial"/>
                <w:sz w:val="18"/>
                <w:szCs w:val="18"/>
                <w:color w:val="auto"/>
              </w:rPr>
              <w:t>Books and Records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7140" w:type="dxa"/>
            <w:vAlign w:val="bottom"/>
          </w:tcPr>
          <w:p>
            <w:pPr>
              <w:ind w:left="100"/>
              <w:spacing w:after="0"/>
              <w:rPr>
                <w:sz w:val="20"/>
                <w:szCs w:val="20"/>
                <w:color w:val="auto"/>
              </w:rPr>
            </w:pPr>
            <w:r>
              <w:rPr>
                <w:rFonts w:ascii="Arial" w:cs="Arial" w:eastAsia="Arial" w:hAnsi="Arial"/>
                <w:sz w:val="18"/>
                <w:szCs w:val="18"/>
                <w:color w:val="auto"/>
              </w:rPr>
              <w:t>Inspection Rights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714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NEGATIVE COVENANTS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8"/>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7.01</w:t>
            </w:r>
          </w:p>
        </w:tc>
        <w:tc>
          <w:tcPr>
            <w:tcW w:w="7140" w:type="dxa"/>
            <w:vAlign w:val="bottom"/>
          </w:tcPr>
          <w:p>
            <w:pPr>
              <w:ind w:left="100"/>
              <w:spacing w:after="0"/>
              <w:rPr>
                <w:sz w:val="20"/>
                <w:szCs w:val="20"/>
                <w:color w:val="auto"/>
              </w:rPr>
            </w:pPr>
            <w:r>
              <w:rPr>
                <w:rFonts w:ascii="Arial" w:cs="Arial" w:eastAsia="Arial" w:hAnsi="Arial"/>
                <w:sz w:val="18"/>
                <w:szCs w:val="18"/>
                <w:color w:val="auto"/>
              </w:rPr>
              <w:t>Liens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714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3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7140" w:type="dxa"/>
            <w:vAlign w:val="bottom"/>
          </w:tcPr>
          <w:p>
            <w:pPr>
              <w:ind w:left="100"/>
              <w:spacing w:after="0"/>
              <w:rPr>
                <w:sz w:val="20"/>
                <w:szCs w:val="20"/>
                <w:color w:val="auto"/>
              </w:rPr>
            </w:pPr>
            <w:r>
              <w:rPr>
                <w:rFonts w:ascii="Arial" w:cs="Arial" w:eastAsia="Arial" w:hAnsi="Arial"/>
                <w:sz w:val="18"/>
                <w:szCs w:val="18"/>
                <w:color w:val="auto"/>
              </w:rPr>
              <w:t>Fundamental Changes; Dispositions</w:t>
            </w:r>
          </w:p>
        </w:tc>
        <w:tc>
          <w:tcPr>
            <w:tcW w:w="3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7.04</w:t>
            </w:r>
          </w:p>
        </w:tc>
        <w:tc>
          <w:tcPr>
            <w:tcW w:w="7140" w:type="dxa"/>
            <w:vAlign w:val="bottom"/>
          </w:tcPr>
          <w:p>
            <w:pPr>
              <w:ind w:left="100"/>
              <w:spacing w:after="0"/>
              <w:rPr>
                <w:sz w:val="20"/>
                <w:szCs w:val="20"/>
                <w:color w:val="auto"/>
              </w:rPr>
            </w:pPr>
            <w:r>
              <w:rPr>
                <w:rFonts w:ascii="Arial" w:cs="Arial" w:eastAsia="Arial" w:hAnsi="Arial"/>
                <w:sz w:val="18"/>
                <w:szCs w:val="18"/>
                <w:color w:val="auto"/>
              </w:rPr>
              <w:t>Restricted Payments</w:t>
            </w:r>
          </w:p>
        </w:tc>
        <w:tc>
          <w:tcPr>
            <w:tcW w:w="3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7.05</w:t>
            </w:r>
          </w:p>
        </w:tc>
        <w:tc>
          <w:tcPr>
            <w:tcW w:w="7140" w:type="dxa"/>
            <w:vAlign w:val="bottom"/>
          </w:tcPr>
          <w:p>
            <w:pPr>
              <w:ind w:left="100"/>
              <w:spacing w:after="0"/>
              <w:rPr>
                <w:sz w:val="20"/>
                <w:szCs w:val="20"/>
                <w:color w:val="auto"/>
              </w:rPr>
            </w:pPr>
            <w:r>
              <w:rPr>
                <w:rFonts w:ascii="Arial" w:cs="Arial" w:eastAsia="Arial" w:hAnsi="Arial"/>
                <w:sz w:val="18"/>
                <w:szCs w:val="18"/>
                <w:color w:val="auto"/>
              </w:rPr>
              <w:t>Transactions with Affiliates</w:t>
            </w:r>
          </w:p>
        </w:tc>
        <w:tc>
          <w:tcPr>
            <w:tcW w:w="3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7140" w:type="dxa"/>
            <w:vAlign w:val="bottom"/>
          </w:tcPr>
          <w:p>
            <w:pPr>
              <w:ind w:left="100"/>
              <w:spacing w:after="0"/>
              <w:rPr>
                <w:sz w:val="20"/>
                <w:szCs w:val="20"/>
                <w:color w:val="auto"/>
              </w:rPr>
            </w:pPr>
            <w:r>
              <w:rPr>
                <w:rFonts w:ascii="Arial" w:cs="Arial" w:eastAsia="Arial" w:hAnsi="Arial"/>
                <w:sz w:val="18"/>
                <w:szCs w:val="18"/>
                <w:color w:val="auto"/>
              </w:rPr>
              <w:t>Burdensome Agreements</w:t>
            </w:r>
          </w:p>
        </w:tc>
        <w:tc>
          <w:tcPr>
            <w:tcW w:w="3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714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3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7140" w:type="dxa"/>
            <w:vAlign w:val="bottom"/>
          </w:tcPr>
          <w:p>
            <w:pPr>
              <w:ind w:left="100"/>
              <w:spacing w:after="0"/>
              <w:rPr>
                <w:sz w:val="20"/>
                <w:szCs w:val="20"/>
                <w:color w:val="auto"/>
              </w:rPr>
            </w:pPr>
            <w:r>
              <w:rPr>
                <w:rFonts w:ascii="Arial" w:cs="Arial" w:eastAsia="Arial" w:hAnsi="Arial"/>
                <w:sz w:val="18"/>
                <w:szCs w:val="18"/>
                <w:color w:val="auto"/>
              </w:rPr>
              <w:t>Consolidated Leverage Ratio</w:t>
            </w:r>
          </w:p>
        </w:tc>
        <w:tc>
          <w:tcPr>
            <w:tcW w:w="31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7140" w:type="dxa"/>
            <w:vAlign w:val="bottom"/>
          </w:tcPr>
          <w:p>
            <w:pPr>
              <w:ind w:left="100"/>
              <w:spacing w:after="0"/>
              <w:rPr>
                <w:sz w:val="20"/>
                <w:szCs w:val="20"/>
                <w:color w:val="auto"/>
              </w:rPr>
            </w:pPr>
            <w:r>
              <w:rPr>
                <w:rFonts w:ascii="Arial" w:cs="Arial" w:eastAsia="Arial" w:hAnsi="Arial"/>
                <w:sz w:val="18"/>
                <w:szCs w:val="18"/>
                <w:color w:val="auto"/>
              </w:rPr>
              <w:t>Unrestricted Subsidiaries</w:t>
            </w:r>
          </w:p>
        </w:tc>
        <w:tc>
          <w:tcPr>
            <w:tcW w:w="318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EVENTS OF DEFAULT AND REMEDIES</w:t>
            </w:r>
          </w:p>
        </w:tc>
        <w:tc>
          <w:tcPr>
            <w:tcW w:w="2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18"/>
        </w:trPr>
        <w:tc>
          <w:tcPr>
            <w:tcW w:w="960" w:type="dxa"/>
            <w:vAlign w:val="bottom"/>
          </w:tcPr>
          <w:p>
            <w:pPr>
              <w:ind w:left="500"/>
              <w:spacing w:after="0"/>
              <w:rPr>
                <w:sz w:val="20"/>
                <w:szCs w:val="20"/>
                <w:color w:val="auto"/>
              </w:rPr>
            </w:pPr>
            <w:r>
              <w:rPr>
                <w:rFonts w:ascii="Arial" w:cs="Arial" w:eastAsia="Arial" w:hAnsi="Arial"/>
                <w:sz w:val="18"/>
                <w:szCs w:val="18"/>
                <w:color w:val="auto"/>
              </w:rPr>
              <w:t>8.01</w:t>
            </w:r>
          </w:p>
        </w:tc>
        <w:tc>
          <w:tcPr>
            <w:tcW w:w="768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8.02</w:t>
            </w:r>
          </w:p>
        </w:tc>
        <w:tc>
          <w:tcPr>
            <w:tcW w:w="7680" w:type="dxa"/>
            <w:vAlign w:val="bottom"/>
          </w:tcPr>
          <w:p>
            <w:pPr>
              <w:ind w:left="60"/>
              <w:spacing w:after="0"/>
              <w:rPr>
                <w:sz w:val="20"/>
                <w:szCs w:val="20"/>
                <w:color w:val="auto"/>
              </w:rPr>
            </w:pPr>
            <w:r>
              <w:rPr>
                <w:rFonts w:ascii="Arial" w:cs="Arial" w:eastAsia="Arial" w:hAnsi="Arial"/>
                <w:sz w:val="18"/>
                <w:szCs w:val="18"/>
                <w:color w:val="auto"/>
              </w:rPr>
              <w:t>Remedies Upon Event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60" w:type="dxa"/>
            <w:vAlign w:val="bottom"/>
          </w:tcPr>
          <w:p>
            <w:pPr>
              <w:ind w:left="500"/>
              <w:spacing w:after="0"/>
              <w:rPr>
                <w:sz w:val="20"/>
                <w:szCs w:val="20"/>
                <w:color w:val="auto"/>
              </w:rPr>
            </w:pPr>
            <w:r>
              <w:rPr>
                <w:rFonts w:ascii="Arial" w:cs="Arial" w:eastAsia="Arial" w:hAnsi="Arial"/>
                <w:sz w:val="18"/>
                <w:szCs w:val="18"/>
                <w:color w:val="auto"/>
              </w:rPr>
              <w:t>8.03</w:t>
            </w:r>
          </w:p>
        </w:tc>
        <w:tc>
          <w:tcPr>
            <w:tcW w:w="7680" w:type="dxa"/>
            <w:vAlign w:val="bottom"/>
          </w:tcPr>
          <w:p>
            <w:pPr>
              <w:ind w:left="60"/>
              <w:spacing w:after="0"/>
              <w:rPr>
                <w:sz w:val="20"/>
                <w:szCs w:val="20"/>
                <w:color w:val="auto"/>
              </w:rPr>
            </w:pPr>
            <w:r>
              <w:rPr>
                <w:rFonts w:ascii="Arial" w:cs="Arial" w:eastAsia="Arial" w:hAnsi="Arial"/>
                <w:sz w:val="18"/>
                <w:szCs w:val="18"/>
                <w:color w:val="auto"/>
              </w:rPr>
              <w:t>Application of Funds</w:t>
            </w:r>
          </w:p>
        </w:tc>
        <w:tc>
          <w:tcPr>
            <w:tcW w:w="2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418"/>
        </w:trPr>
        <w:tc>
          <w:tcPr>
            <w:tcW w:w="960" w:type="dxa"/>
            <w:vAlign w:val="bottom"/>
          </w:tcPr>
          <w:p>
            <w:pPr>
              <w:ind w:left="500"/>
              <w:spacing w:after="0"/>
              <w:rPr>
                <w:sz w:val="20"/>
                <w:szCs w:val="20"/>
                <w:color w:val="auto"/>
              </w:rPr>
            </w:pPr>
            <w:r>
              <w:rPr>
                <w:rFonts w:ascii="Arial" w:cs="Arial" w:eastAsia="Arial" w:hAnsi="Arial"/>
                <w:sz w:val="18"/>
                <w:szCs w:val="18"/>
                <w:color w:val="auto"/>
              </w:rPr>
              <w:t>9.01</w:t>
            </w:r>
          </w:p>
        </w:tc>
        <w:tc>
          <w:tcPr>
            <w:tcW w:w="7680" w:type="dxa"/>
            <w:vAlign w:val="bottom"/>
          </w:tcPr>
          <w:p>
            <w:pPr>
              <w:ind w:left="60"/>
              <w:spacing w:after="0"/>
              <w:rPr>
                <w:sz w:val="20"/>
                <w:szCs w:val="20"/>
                <w:color w:val="auto"/>
              </w:rPr>
            </w:pPr>
            <w:r>
              <w:rPr>
                <w:rFonts w:ascii="Arial" w:cs="Arial" w:eastAsia="Arial" w:hAnsi="Arial"/>
                <w:sz w:val="18"/>
                <w:szCs w:val="18"/>
                <w:color w:val="auto"/>
              </w:rPr>
              <w:t>Appointment and Authority</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9.02</w:t>
            </w:r>
          </w:p>
        </w:tc>
        <w:tc>
          <w:tcPr>
            <w:tcW w:w="7680" w:type="dxa"/>
            <w:vAlign w:val="bottom"/>
          </w:tcPr>
          <w:p>
            <w:pPr>
              <w:ind w:left="60"/>
              <w:spacing w:after="0"/>
              <w:rPr>
                <w:sz w:val="20"/>
                <w:szCs w:val="20"/>
                <w:color w:val="auto"/>
              </w:rPr>
            </w:pPr>
            <w:r>
              <w:rPr>
                <w:rFonts w:ascii="Arial" w:cs="Arial" w:eastAsia="Arial" w:hAnsi="Arial"/>
                <w:sz w:val="18"/>
                <w:szCs w:val="18"/>
                <w:color w:val="auto"/>
              </w:rPr>
              <w:t>Rights as a Lender</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9.03</w:t>
            </w:r>
          </w:p>
        </w:tc>
        <w:tc>
          <w:tcPr>
            <w:tcW w:w="7680" w:type="dxa"/>
            <w:vAlign w:val="bottom"/>
          </w:tcPr>
          <w:p>
            <w:pPr>
              <w:ind w:left="60"/>
              <w:spacing w:after="0"/>
              <w:rPr>
                <w:sz w:val="20"/>
                <w:szCs w:val="20"/>
                <w:color w:val="auto"/>
              </w:rPr>
            </w:pPr>
            <w:r>
              <w:rPr>
                <w:rFonts w:ascii="Arial" w:cs="Arial" w:eastAsia="Arial" w:hAnsi="Arial"/>
                <w:sz w:val="18"/>
                <w:szCs w:val="18"/>
                <w:color w:val="auto"/>
              </w:rPr>
              <w:t>Exculpatory Provisions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9.04</w:t>
            </w:r>
          </w:p>
        </w:tc>
        <w:tc>
          <w:tcPr>
            <w:tcW w:w="7680" w:type="dxa"/>
            <w:vAlign w:val="bottom"/>
          </w:tcPr>
          <w:p>
            <w:pPr>
              <w:ind w:left="60"/>
              <w:spacing w:after="0"/>
              <w:rPr>
                <w:sz w:val="20"/>
                <w:szCs w:val="20"/>
                <w:color w:val="auto"/>
              </w:rPr>
            </w:pPr>
            <w:r>
              <w:rPr>
                <w:rFonts w:ascii="Arial" w:cs="Arial" w:eastAsia="Arial" w:hAnsi="Arial"/>
                <w:sz w:val="18"/>
                <w:szCs w:val="18"/>
                <w:color w:val="auto"/>
              </w:rPr>
              <w:t>Reliance by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9.05</w:t>
            </w:r>
          </w:p>
        </w:tc>
        <w:tc>
          <w:tcPr>
            <w:tcW w:w="768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2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9.06</w:t>
            </w:r>
          </w:p>
        </w:tc>
        <w:tc>
          <w:tcPr>
            <w:tcW w:w="7680" w:type="dxa"/>
            <w:vAlign w:val="bottom"/>
          </w:tcPr>
          <w:p>
            <w:pPr>
              <w:ind w:left="60"/>
              <w:spacing w:after="0"/>
              <w:rPr>
                <w:sz w:val="20"/>
                <w:szCs w:val="20"/>
                <w:color w:val="auto"/>
              </w:rPr>
            </w:pPr>
            <w:r>
              <w:rPr>
                <w:rFonts w:ascii="Arial" w:cs="Arial" w:eastAsia="Arial" w:hAnsi="Arial"/>
                <w:sz w:val="18"/>
                <w:szCs w:val="18"/>
                <w:color w:val="auto"/>
              </w:rPr>
              <w:t>Resignation or Removal of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9.07</w:t>
            </w:r>
          </w:p>
        </w:tc>
        <w:tc>
          <w:tcPr>
            <w:tcW w:w="7680" w:type="dxa"/>
            <w:vAlign w:val="bottom"/>
          </w:tcPr>
          <w:p>
            <w:pPr>
              <w:ind w:left="60"/>
              <w:spacing w:after="0"/>
              <w:rPr>
                <w:sz w:val="20"/>
                <w:szCs w:val="20"/>
                <w:color w:val="auto"/>
              </w:rPr>
            </w:pPr>
            <w:r>
              <w:rPr>
                <w:rFonts w:ascii="Arial" w:cs="Arial" w:eastAsia="Arial" w:hAnsi="Arial"/>
                <w:sz w:val="18"/>
                <w:szCs w:val="18"/>
                <w:color w:val="auto"/>
              </w:rPr>
              <w:t>Non-Reliance on Administrative Agent, the Arrangers and Other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9.08</w:t>
            </w:r>
          </w:p>
        </w:tc>
        <w:tc>
          <w:tcPr>
            <w:tcW w:w="7680" w:type="dxa"/>
            <w:vAlign w:val="bottom"/>
          </w:tcPr>
          <w:p>
            <w:pPr>
              <w:ind w:left="60"/>
              <w:spacing w:after="0"/>
              <w:rPr>
                <w:sz w:val="20"/>
                <w:szCs w:val="20"/>
                <w:color w:val="auto"/>
              </w:rPr>
            </w:pPr>
            <w:r>
              <w:rPr>
                <w:rFonts w:ascii="Arial" w:cs="Arial" w:eastAsia="Arial" w:hAnsi="Arial"/>
                <w:sz w:val="18"/>
                <w:szCs w:val="18"/>
                <w:color w:val="auto"/>
              </w:rPr>
              <w:t>No Other Duties, Etc.</w:t>
            </w:r>
          </w:p>
        </w:tc>
        <w:tc>
          <w:tcPr>
            <w:tcW w:w="2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9.09</w:t>
            </w:r>
          </w:p>
        </w:tc>
        <w:tc>
          <w:tcPr>
            <w:tcW w:w="7680" w:type="dxa"/>
            <w:vAlign w:val="bottom"/>
          </w:tcPr>
          <w:p>
            <w:pPr>
              <w:ind w:left="60"/>
              <w:spacing w:after="0"/>
              <w:rPr>
                <w:sz w:val="20"/>
                <w:szCs w:val="20"/>
                <w:color w:val="auto"/>
              </w:rPr>
            </w:pPr>
            <w:r>
              <w:rPr>
                <w:rFonts w:ascii="Arial" w:cs="Arial" w:eastAsia="Arial" w:hAnsi="Arial"/>
                <w:sz w:val="18"/>
                <w:szCs w:val="18"/>
                <w:color w:val="auto"/>
              </w:rPr>
              <w:t>Administrative Agent May File Proofs of Claim</w:t>
            </w:r>
          </w:p>
        </w:tc>
        <w:tc>
          <w:tcPr>
            <w:tcW w:w="2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9.10</w:t>
            </w:r>
          </w:p>
        </w:tc>
        <w:tc>
          <w:tcPr>
            <w:tcW w:w="768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9.11</w:t>
            </w:r>
          </w:p>
        </w:tc>
        <w:tc>
          <w:tcPr>
            <w:tcW w:w="7680" w:type="dxa"/>
            <w:vAlign w:val="bottom"/>
          </w:tcPr>
          <w:p>
            <w:pPr>
              <w:ind w:left="60"/>
              <w:spacing w:after="0"/>
              <w:rPr>
                <w:sz w:val="20"/>
                <w:szCs w:val="20"/>
                <w:color w:val="auto"/>
              </w:rPr>
            </w:pPr>
            <w:r>
              <w:rPr>
                <w:rFonts w:ascii="Arial" w:cs="Arial" w:eastAsia="Arial" w:hAnsi="Arial"/>
                <w:sz w:val="18"/>
                <w:szCs w:val="18"/>
                <w:color w:val="auto"/>
              </w:rPr>
              <w:t>Certain ERISA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960" w:type="dxa"/>
            <w:vAlign w:val="bottom"/>
          </w:tcPr>
          <w:p>
            <w:pPr>
              <w:ind w:left="500"/>
              <w:spacing w:after="0"/>
              <w:rPr>
                <w:sz w:val="20"/>
                <w:szCs w:val="20"/>
                <w:color w:val="auto"/>
              </w:rPr>
            </w:pPr>
            <w:r>
              <w:rPr>
                <w:rFonts w:ascii="Arial" w:cs="Arial" w:eastAsia="Arial" w:hAnsi="Arial"/>
                <w:sz w:val="18"/>
                <w:szCs w:val="18"/>
                <w:color w:val="auto"/>
              </w:rPr>
              <w:t>9.12</w:t>
            </w:r>
          </w:p>
        </w:tc>
        <w:tc>
          <w:tcPr>
            <w:tcW w:w="7680" w:type="dxa"/>
            <w:vAlign w:val="bottom"/>
          </w:tcPr>
          <w:p>
            <w:pPr>
              <w:ind w:left="60"/>
              <w:spacing w:after="0"/>
              <w:rPr>
                <w:sz w:val="20"/>
                <w:szCs w:val="20"/>
                <w:color w:val="auto"/>
              </w:rPr>
            </w:pPr>
            <w:r>
              <w:rPr>
                <w:rFonts w:ascii="Arial" w:cs="Arial" w:eastAsia="Arial" w:hAnsi="Arial"/>
                <w:sz w:val="18"/>
                <w:szCs w:val="18"/>
                <w:color w:val="auto"/>
              </w:rPr>
              <w:t>Recovery of Erroneous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CONTINUING GUARANTY</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18"/>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10.01</w:t>
            </w:r>
          </w:p>
        </w:tc>
        <w:tc>
          <w:tcPr>
            <w:tcW w:w="7680" w:type="dxa"/>
            <w:vAlign w:val="bottom"/>
          </w:tcPr>
          <w:p>
            <w:pPr>
              <w:ind w:left="60"/>
              <w:spacing w:after="0"/>
              <w:rPr>
                <w:sz w:val="20"/>
                <w:szCs w:val="20"/>
                <w:color w:val="auto"/>
              </w:rPr>
            </w:pPr>
            <w:r>
              <w:rPr>
                <w:rFonts w:ascii="Arial" w:cs="Arial" w:eastAsia="Arial" w:hAnsi="Arial"/>
                <w:sz w:val="18"/>
                <w:szCs w:val="18"/>
                <w:color w:val="auto"/>
              </w:rPr>
              <w:t>Company Guaranty</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10.02</w:t>
            </w:r>
          </w:p>
        </w:tc>
        <w:tc>
          <w:tcPr>
            <w:tcW w:w="7680" w:type="dxa"/>
            <w:vAlign w:val="bottom"/>
          </w:tcPr>
          <w:p>
            <w:pPr>
              <w:ind w:left="60"/>
              <w:spacing w:after="0"/>
              <w:rPr>
                <w:sz w:val="20"/>
                <w:szCs w:val="20"/>
                <w:color w:val="auto"/>
              </w:rPr>
            </w:pPr>
            <w:r>
              <w:rPr>
                <w:rFonts w:ascii="Arial" w:cs="Arial" w:eastAsia="Arial" w:hAnsi="Arial"/>
                <w:sz w:val="18"/>
                <w:szCs w:val="18"/>
                <w:color w:val="auto"/>
              </w:rPr>
              <w:t>Rights of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10.03</w:t>
            </w:r>
          </w:p>
        </w:tc>
        <w:tc>
          <w:tcPr>
            <w:tcW w:w="768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10.04</w:t>
            </w:r>
          </w:p>
        </w:tc>
        <w:tc>
          <w:tcPr>
            <w:tcW w:w="7680" w:type="dxa"/>
            <w:vAlign w:val="bottom"/>
          </w:tcPr>
          <w:p>
            <w:pPr>
              <w:ind w:left="60"/>
              <w:spacing w:after="0"/>
              <w:rPr>
                <w:sz w:val="20"/>
                <w:szCs w:val="20"/>
                <w:color w:val="auto"/>
              </w:rPr>
            </w:pPr>
            <w:r>
              <w:rPr>
                <w:rFonts w:ascii="Arial" w:cs="Arial" w:eastAsia="Arial" w:hAnsi="Arial"/>
                <w:sz w:val="18"/>
                <w:szCs w:val="18"/>
                <w:color w:val="auto"/>
              </w:rPr>
              <w:t>Obligations Independent</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10.05</w:t>
            </w:r>
          </w:p>
        </w:tc>
        <w:tc>
          <w:tcPr>
            <w:tcW w:w="7680" w:type="dxa"/>
            <w:vAlign w:val="bottom"/>
          </w:tcPr>
          <w:p>
            <w:pPr>
              <w:ind w:left="60"/>
              <w:spacing w:after="0"/>
              <w:rPr>
                <w:sz w:val="20"/>
                <w:szCs w:val="20"/>
                <w:color w:val="auto"/>
              </w:rPr>
            </w:pPr>
            <w:r>
              <w:rPr>
                <w:rFonts w:ascii="Arial" w:cs="Arial" w:eastAsia="Arial" w:hAnsi="Arial"/>
                <w:sz w:val="18"/>
                <w:szCs w:val="18"/>
                <w:color w:val="auto"/>
              </w:rPr>
              <w:t>Subrogation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10.06</w:t>
            </w:r>
          </w:p>
        </w:tc>
        <w:tc>
          <w:tcPr>
            <w:tcW w:w="7680" w:type="dxa"/>
            <w:vAlign w:val="bottom"/>
          </w:tcPr>
          <w:p>
            <w:pPr>
              <w:ind w:left="60"/>
              <w:spacing w:after="0"/>
              <w:rPr>
                <w:sz w:val="20"/>
                <w:szCs w:val="20"/>
                <w:color w:val="auto"/>
              </w:rPr>
            </w:pPr>
            <w:r>
              <w:rPr>
                <w:rFonts w:ascii="Arial" w:cs="Arial" w:eastAsia="Arial" w:hAnsi="Arial"/>
                <w:sz w:val="18"/>
                <w:szCs w:val="18"/>
                <w:color w:val="auto"/>
              </w:rPr>
              <w:t>Termination; Reinstatement</w:t>
            </w:r>
          </w:p>
        </w:tc>
        <w:tc>
          <w:tcPr>
            <w:tcW w:w="2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10.07</w:t>
            </w:r>
          </w:p>
        </w:tc>
        <w:tc>
          <w:tcPr>
            <w:tcW w:w="7680" w:type="dxa"/>
            <w:vAlign w:val="bottom"/>
          </w:tcPr>
          <w:p>
            <w:pPr>
              <w:ind w:left="60"/>
              <w:spacing w:after="0"/>
              <w:rPr>
                <w:sz w:val="20"/>
                <w:szCs w:val="20"/>
                <w:color w:val="auto"/>
              </w:rPr>
            </w:pPr>
            <w:r>
              <w:rPr>
                <w:rFonts w:ascii="Arial" w:cs="Arial" w:eastAsia="Arial" w:hAnsi="Arial"/>
                <w:sz w:val="18"/>
                <w:szCs w:val="18"/>
                <w:color w:val="auto"/>
              </w:rPr>
              <w:t>Subordination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10.08</w:t>
            </w:r>
          </w:p>
        </w:tc>
        <w:tc>
          <w:tcPr>
            <w:tcW w:w="7680" w:type="dxa"/>
            <w:vAlign w:val="bottom"/>
          </w:tcPr>
          <w:p>
            <w:pPr>
              <w:ind w:left="60"/>
              <w:spacing w:after="0"/>
              <w:rPr>
                <w:sz w:val="20"/>
                <w:szCs w:val="20"/>
                <w:color w:val="auto"/>
              </w:rPr>
            </w:pPr>
            <w:r>
              <w:rPr>
                <w:rFonts w:ascii="Arial" w:cs="Arial" w:eastAsia="Arial" w:hAnsi="Arial"/>
                <w:sz w:val="18"/>
                <w:szCs w:val="18"/>
                <w:color w:val="auto"/>
              </w:rPr>
              <w:t>Stay of Acceleration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10.09</w:t>
            </w:r>
          </w:p>
        </w:tc>
        <w:tc>
          <w:tcPr>
            <w:tcW w:w="7680" w:type="dxa"/>
            <w:vAlign w:val="bottom"/>
          </w:tcPr>
          <w:p>
            <w:pPr>
              <w:ind w:left="60"/>
              <w:spacing w:after="0"/>
              <w:rPr>
                <w:sz w:val="20"/>
                <w:szCs w:val="20"/>
                <w:color w:val="auto"/>
              </w:rPr>
            </w:pPr>
            <w:r>
              <w:rPr>
                <w:rFonts w:ascii="Arial" w:cs="Arial" w:eastAsia="Arial" w:hAnsi="Arial"/>
                <w:sz w:val="18"/>
                <w:szCs w:val="18"/>
                <w:color w:val="auto"/>
              </w:rPr>
              <w:t>Condition of PMCULC and the Designated Borrowers</w:t>
            </w:r>
          </w:p>
        </w:tc>
        <w:tc>
          <w:tcPr>
            <w:tcW w:w="2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color w:val="auto"/>
              </w:rPr>
              <w:t>MISCELLANEOUS</w:t>
            </w:r>
          </w:p>
        </w:tc>
        <w:tc>
          <w:tcPr>
            <w:tcW w:w="26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18"/>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11.01</w:t>
            </w:r>
          </w:p>
        </w:tc>
        <w:tc>
          <w:tcPr>
            <w:tcW w:w="7680" w:type="dxa"/>
            <w:vAlign w:val="bottom"/>
          </w:tcPr>
          <w:p>
            <w:pPr>
              <w:ind w:left="60"/>
              <w:spacing w:after="0"/>
              <w:rPr>
                <w:sz w:val="20"/>
                <w:szCs w:val="20"/>
                <w:color w:val="auto"/>
              </w:rPr>
            </w:pPr>
            <w:r>
              <w:rPr>
                <w:rFonts w:ascii="Arial" w:cs="Arial" w:eastAsia="Arial" w:hAnsi="Arial"/>
                <w:sz w:val="18"/>
                <w:szCs w:val="18"/>
                <w:color w:val="auto"/>
              </w:rPr>
              <w:t>Amendments, Etc.</w:t>
            </w:r>
          </w:p>
        </w:tc>
        <w:tc>
          <w:tcPr>
            <w:tcW w:w="26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11.02</w:t>
            </w:r>
          </w:p>
        </w:tc>
        <w:tc>
          <w:tcPr>
            <w:tcW w:w="7680" w:type="dxa"/>
            <w:vAlign w:val="bottom"/>
          </w:tcPr>
          <w:p>
            <w:pPr>
              <w:ind w:left="60"/>
              <w:spacing w:after="0"/>
              <w:rPr>
                <w:sz w:val="20"/>
                <w:szCs w:val="20"/>
                <w:color w:val="auto"/>
              </w:rPr>
            </w:pPr>
            <w:r>
              <w:rPr>
                <w:rFonts w:ascii="Arial" w:cs="Arial" w:eastAsia="Arial" w:hAnsi="Arial"/>
                <w:sz w:val="18"/>
                <w:szCs w:val="18"/>
                <w:color w:val="auto"/>
              </w:rPr>
              <w:t>Notices; Effectiveness; Electronic Communication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11.03</w:t>
            </w:r>
          </w:p>
        </w:tc>
        <w:tc>
          <w:tcPr>
            <w:tcW w:w="7680" w:type="dxa"/>
            <w:vAlign w:val="bottom"/>
          </w:tcPr>
          <w:p>
            <w:pPr>
              <w:ind w:left="60"/>
              <w:spacing w:after="0"/>
              <w:rPr>
                <w:sz w:val="20"/>
                <w:szCs w:val="20"/>
                <w:color w:val="auto"/>
              </w:rPr>
            </w:pPr>
            <w:r>
              <w:rPr>
                <w:rFonts w:ascii="Arial" w:cs="Arial" w:eastAsia="Arial" w:hAnsi="Arial"/>
                <w:sz w:val="18"/>
                <w:szCs w:val="18"/>
                <w:color w:val="auto"/>
              </w:rPr>
              <w:t>No Waiver; Cumulative Remedies; Enforcement; Nature of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11.04</w:t>
            </w:r>
          </w:p>
        </w:tc>
        <w:tc>
          <w:tcPr>
            <w:tcW w:w="7680" w:type="dxa"/>
            <w:vAlign w:val="bottom"/>
          </w:tcPr>
          <w:p>
            <w:pPr>
              <w:ind w:left="60"/>
              <w:spacing w:after="0"/>
              <w:rPr>
                <w:sz w:val="20"/>
                <w:szCs w:val="20"/>
                <w:color w:val="auto"/>
              </w:rPr>
            </w:pPr>
            <w:r>
              <w:rPr>
                <w:rFonts w:ascii="Arial" w:cs="Arial" w:eastAsia="Arial" w:hAnsi="Arial"/>
                <w:sz w:val="18"/>
                <w:szCs w:val="18"/>
                <w:color w:val="auto"/>
              </w:rPr>
              <w:t>Expenses; Indemnity; Damage 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11.05</w:t>
            </w:r>
          </w:p>
        </w:tc>
        <w:tc>
          <w:tcPr>
            <w:tcW w:w="7680" w:type="dxa"/>
            <w:vAlign w:val="bottom"/>
          </w:tcPr>
          <w:p>
            <w:pPr>
              <w:ind w:left="60"/>
              <w:spacing w:after="0"/>
              <w:rPr>
                <w:sz w:val="20"/>
                <w:szCs w:val="20"/>
                <w:color w:val="auto"/>
              </w:rPr>
            </w:pPr>
            <w:r>
              <w:rPr>
                <w:rFonts w:ascii="Arial" w:cs="Arial" w:eastAsia="Arial" w:hAnsi="Arial"/>
                <w:sz w:val="18"/>
                <w:szCs w:val="18"/>
                <w:color w:val="auto"/>
              </w:rPr>
              <w:t>Payments Set Aside</w:t>
            </w:r>
          </w:p>
        </w:tc>
        <w:tc>
          <w:tcPr>
            <w:tcW w:w="26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11.06</w:t>
            </w:r>
          </w:p>
        </w:tc>
        <w:tc>
          <w:tcPr>
            <w:tcW w:w="768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11.07</w:t>
            </w:r>
          </w:p>
        </w:tc>
        <w:tc>
          <w:tcPr>
            <w:tcW w:w="7680" w:type="dxa"/>
            <w:vAlign w:val="bottom"/>
          </w:tcPr>
          <w:p>
            <w:pPr>
              <w:ind w:left="60"/>
              <w:spacing w:after="0"/>
              <w:rPr>
                <w:sz w:val="20"/>
                <w:szCs w:val="20"/>
                <w:color w:val="auto"/>
              </w:rPr>
            </w:pPr>
            <w:r>
              <w:rPr>
                <w:rFonts w:ascii="Arial" w:cs="Arial" w:eastAsia="Arial" w:hAnsi="Arial"/>
                <w:sz w:val="18"/>
                <w:szCs w:val="18"/>
                <w:color w:val="auto"/>
              </w:rPr>
              <w:t>Treatment of Certain Information; Confidentiality</w:t>
            </w:r>
          </w:p>
        </w:tc>
        <w:tc>
          <w:tcPr>
            <w:tcW w:w="26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11.08</w:t>
            </w:r>
          </w:p>
        </w:tc>
        <w:tc>
          <w:tcPr>
            <w:tcW w:w="7680" w:type="dxa"/>
            <w:vAlign w:val="bottom"/>
          </w:tcPr>
          <w:p>
            <w:pPr>
              <w:ind w:left="60"/>
              <w:spacing w:after="0"/>
              <w:rPr>
                <w:sz w:val="20"/>
                <w:szCs w:val="20"/>
                <w:color w:val="auto"/>
              </w:rPr>
            </w:pPr>
            <w:r>
              <w:rPr>
                <w:rFonts w:ascii="Arial" w:cs="Arial" w:eastAsia="Arial" w:hAnsi="Arial"/>
                <w:sz w:val="18"/>
                <w:szCs w:val="18"/>
                <w:color w:val="auto"/>
              </w:rPr>
              <w:t>Right of Setoff</w:t>
            </w:r>
          </w:p>
        </w:tc>
        <w:tc>
          <w:tcPr>
            <w:tcW w:w="26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11.09</w:t>
            </w:r>
          </w:p>
        </w:tc>
        <w:tc>
          <w:tcPr>
            <w:tcW w:w="7680" w:type="dxa"/>
            <w:vAlign w:val="bottom"/>
          </w:tcPr>
          <w:p>
            <w:pPr>
              <w:ind w:left="60"/>
              <w:spacing w:after="0"/>
              <w:rPr>
                <w:sz w:val="20"/>
                <w:szCs w:val="20"/>
                <w:color w:val="auto"/>
              </w:rPr>
            </w:pPr>
            <w:r>
              <w:rPr>
                <w:rFonts w:ascii="Arial" w:cs="Arial" w:eastAsia="Arial" w:hAnsi="Arial"/>
                <w:sz w:val="18"/>
                <w:szCs w:val="18"/>
                <w:color w:val="auto"/>
              </w:rPr>
              <w:t>Interest Rate Limitation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11.10</w:t>
            </w:r>
          </w:p>
        </w:tc>
        <w:tc>
          <w:tcPr>
            <w:tcW w:w="7680" w:type="dxa"/>
            <w:vAlign w:val="bottom"/>
          </w:tcPr>
          <w:p>
            <w:pPr>
              <w:ind w:left="60"/>
              <w:spacing w:after="0"/>
              <w:rPr>
                <w:sz w:val="20"/>
                <w:szCs w:val="20"/>
                <w:color w:val="auto"/>
              </w:rPr>
            </w:pPr>
            <w:r>
              <w:rPr>
                <w:rFonts w:ascii="Arial" w:cs="Arial" w:eastAsia="Arial" w:hAnsi="Arial"/>
                <w:sz w:val="18"/>
                <w:szCs w:val="18"/>
                <w:color w:val="auto"/>
              </w:rPr>
              <w:t>Counterparts; Integration; Effectiveness</w:t>
            </w:r>
          </w:p>
        </w:tc>
        <w:tc>
          <w:tcPr>
            <w:tcW w:w="2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11.11</w:t>
            </w:r>
          </w:p>
        </w:tc>
        <w:tc>
          <w:tcPr>
            <w:tcW w:w="7680" w:type="dxa"/>
            <w:vAlign w:val="bottom"/>
          </w:tcPr>
          <w:p>
            <w:pPr>
              <w:ind w:left="60"/>
              <w:spacing w:after="0"/>
              <w:rPr>
                <w:sz w:val="20"/>
                <w:szCs w:val="20"/>
                <w:color w:val="auto"/>
              </w:rPr>
            </w:pPr>
            <w:r>
              <w:rPr>
                <w:rFonts w:ascii="Arial" w:cs="Arial" w:eastAsia="Arial" w:hAnsi="Arial"/>
                <w:sz w:val="18"/>
                <w:szCs w:val="18"/>
                <w:color w:val="auto"/>
              </w:rPr>
              <w:t>Survival of Representations and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11.12</w:t>
            </w:r>
          </w:p>
        </w:tc>
        <w:tc>
          <w:tcPr>
            <w:tcW w:w="768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11.13</w:t>
            </w:r>
          </w:p>
        </w:tc>
        <w:tc>
          <w:tcPr>
            <w:tcW w:w="7680" w:type="dxa"/>
            <w:vAlign w:val="bottom"/>
          </w:tcPr>
          <w:p>
            <w:pPr>
              <w:ind w:left="60"/>
              <w:spacing w:after="0"/>
              <w:rPr>
                <w:sz w:val="20"/>
                <w:szCs w:val="20"/>
                <w:color w:val="auto"/>
              </w:rPr>
            </w:pPr>
            <w:r>
              <w:rPr>
                <w:rFonts w:ascii="Arial" w:cs="Arial" w:eastAsia="Arial" w:hAnsi="Arial"/>
                <w:sz w:val="18"/>
                <w:szCs w:val="18"/>
                <w:color w:val="auto"/>
              </w:rPr>
              <w:t>Replacement of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11.14</w:t>
            </w:r>
          </w:p>
        </w:tc>
        <w:tc>
          <w:tcPr>
            <w:tcW w:w="7680" w:type="dxa"/>
            <w:vAlign w:val="bottom"/>
          </w:tcPr>
          <w:p>
            <w:pPr>
              <w:ind w:left="60"/>
              <w:spacing w:after="0"/>
              <w:rPr>
                <w:sz w:val="20"/>
                <w:szCs w:val="20"/>
                <w:color w:val="auto"/>
              </w:rPr>
            </w:pPr>
            <w:r>
              <w:rPr>
                <w:rFonts w:ascii="Arial" w:cs="Arial" w:eastAsia="Arial" w:hAnsi="Arial"/>
                <w:sz w:val="18"/>
                <w:szCs w:val="18"/>
                <w:color w:val="auto"/>
              </w:rPr>
              <w:t>Governing Law; Jurisdiction; Etc.</w:t>
            </w:r>
          </w:p>
        </w:tc>
        <w:tc>
          <w:tcPr>
            <w:tcW w:w="260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50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11.15</w:t>
            </w:r>
          </w:p>
        </w:tc>
        <w:tc>
          <w:tcPr>
            <w:tcW w:w="778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5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11.16</w:t>
            </w:r>
          </w:p>
        </w:tc>
        <w:tc>
          <w:tcPr>
            <w:tcW w:w="7780" w:type="dxa"/>
            <w:vAlign w:val="bottom"/>
          </w:tcPr>
          <w:p>
            <w:pPr>
              <w:ind w:left="60"/>
              <w:spacing w:after="0"/>
              <w:rPr>
                <w:sz w:val="20"/>
                <w:szCs w:val="20"/>
                <w:color w:val="auto"/>
              </w:rPr>
            </w:pPr>
            <w:r>
              <w:rPr>
                <w:rFonts w:ascii="Arial" w:cs="Arial" w:eastAsia="Arial" w:hAnsi="Arial"/>
                <w:sz w:val="18"/>
                <w:szCs w:val="18"/>
                <w:color w:val="auto"/>
              </w:rPr>
              <w:t>No Advisory or Fiduciary Responsibility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11.17</w:t>
            </w:r>
          </w:p>
        </w:tc>
        <w:tc>
          <w:tcPr>
            <w:tcW w:w="7780" w:type="dxa"/>
            <w:vAlign w:val="bottom"/>
          </w:tcPr>
          <w:p>
            <w:pPr>
              <w:ind w:left="60"/>
              <w:spacing w:after="0"/>
              <w:rPr>
                <w:sz w:val="20"/>
                <w:szCs w:val="20"/>
                <w:color w:val="auto"/>
              </w:rPr>
            </w:pPr>
            <w:r>
              <w:rPr>
                <w:rFonts w:ascii="Arial" w:cs="Arial" w:eastAsia="Arial" w:hAnsi="Arial"/>
                <w:sz w:val="18"/>
                <w:szCs w:val="18"/>
                <w:color w:val="auto"/>
              </w:rPr>
              <w:t>No Recourse to Other Persons</w:t>
            </w:r>
          </w:p>
        </w:tc>
        <w:tc>
          <w:tcPr>
            <w:tcW w:w="25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11.18</w:t>
            </w:r>
          </w:p>
        </w:tc>
        <w:tc>
          <w:tcPr>
            <w:tcW w:w="7780" w:type="dxa"/>
            <w:vAlign w:val="bottom"/>
          </w:tcPr>
          <w:p>
            <w:pPr>
              <w:ind w:left="60"/>
              <w:spacing w:after="0"/>
              <w:rPr>
                <w:sz w:val="20"/>
                <w:szCs w:val="20"/>
                <w:color w:val="auto"/>
              </w:rPr>
            </w:pPr>
            <w:r>
              <w:rPr>
                <w:rFonts w:ascii="Arial" w:cs="Arial" w:eastAsia="Arial" w:hAnsi="Arial"/>
                <w:sz w:val="18"/>
                <w:szCs w:val="18"/>
                <w:color w:val="auto"/>
              </w:rPr>
              <w:t>Electronic Execution; Electronic Records</w:t>
            </w:r>
          </w:p>
        </w:tc>
        <w:tc>
          <w:tcPr>
            <w:tcW w:w="25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11.19</w:t>
            </w:r>
          </w:p>
        </w:tc>
        <w:tc>
          <w:tcPr>
            <w:tcW w:w="7780" w:type="dxa"/>
            <w:vAlign w:val="bottom"/>
          </w:tcPr>
          <w:p>
            <w:pPr>
              <w:ind w:left="60"/>
              <w:spacing w:after="0"/>
              <w:rPr>
                <w:sz w:val="20"/>
                <w:szCs w:val="20"/>
                <w:color w:val="auto"/>
              </w:rPr>
            </w:pPr>
            <w:r>
              <w:rPr>
                <w:rFonts w:ascii="Arial" w:cs="Arial" w:eastAsia="Arial" w:hAnsi="Arial"/>
                <w:sz w:val="18"/>
                <w:szCs w:val="18"/>
                <w:color w:val="auto"/>
              </w:rPr>
              <w:t>USA PATRIOT Act</w:t>
            </w:r>
          </w:p>
        </w:tc>
        <w:tc>
          <w:tcPr>
            <w:tcW w:w="25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11.20</w:t>
            </w:r>
          </w:p>
        </w:tc>
        <w:tc>
          <w:tcPr>
            <w:tcW w:w="7780" w:type="dxa"/>
            <w:vAlign w:val="bottom"/>
          </w:tcPr>
          <w:p>
            <w:pPr>
              <w:ind w:left="60"/>
              <w:spacing w:after="0"/>
              <w:rPr>
                <w:sz w:val="20"/>
                <w:szCs w:val="20"/>
                <w:color w:val="auto"/>
              </w:rPr>
            </w:pPr>
            <w:r>
              <w:rPr>
                <w:rFonts w:ascii="Arial" w:cs="Arial" w:eastAsia="Arial" w:hAnsi="Arial"/>
                <w:sz w:val="18"/>
                <w:szCs w:val="18"/>
                <w:color w:val="auto"/>
              </w:rPr>
              <w:t>Time of the Essence</w:t>
            </w:r>
          </w:p>
        </w:tc>
        <w:tc>
          <w:tcPr>
            <w:tcW w:w="25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11.21</w:t>
            </w:r>
          </w:p>
        </w:tc>
        <w:tc>
          <w:tcPr>
            <w:tcW w:w="7780" w:type="dxa"/>
            <w:vAlign w:val="bottom"/>
          </w:tcPr>
          <w:p>
            <w:pPr>
              <w:ind w:left="60"/>
              <w:spacing w:after="0"/>
              <w:rPr>
                <w:sz w:val="20"/>
                <w:szCs w:val="20"/>
                <w:color w:val="auto"/>
              </w:rPr>
            </w:pPr>
            <w:r>
              <w:rPr>
                <w:rFonts w:ascii="Arial" w:cs="Arial" w:eastAsia="Arial" w:hAnsi="Arial"/>
                <w:sz w:val="18"/>
                <w:szCs w:val="18"/>
                <w:color w:val="auto"/>
              </w:rPr>
              <w:t>Judgment Currency</w:t>
            </w:r>
          </w:p>
        </w:tc>
        <w:tc>
          <w:tcPr>
            <w:tcW w:w="25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11.22</w:t>
            </w:r>
          </w:p>
        </w:tc>
        <w:tc>
          <w:tcPr>
            <w:tcW w:w="778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11.23</w:t>
            </w:r>
          </w:p>
        </w:tc>
        <w:tc>
          <w:tcPr>
            <w:tcW w:w="7780" w:type="dxa"/>
            <w:vAlign w:val="bottom"/>
          </w:tcPr>
          <w:p>
            <w:pPr>
              <w:ind w:left="60"/>
              <w:spacing w:after="0"/>
              <w:rPr>
                <w:sz w:val="20"/>
                <w:szCs w:val="20"/>
                <w:color w:val="auto"/>
              </w:rPr>
            </w:pPr>
            <w:r>
              <w:rPr>
                <w:rFonts w:ascii="Arial" w:cs="Arial" w:eastAsia="Arial" w:hAnsi="Arial"/>
                <w:sz w:val="18"/>
                <w:szCs w:val="18"/>
                <w:color w:val="auto"/>
              </w:rPr>
              <w:t>Reallocation of Outstanding Loans under Existing Credit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7780" w:type="dxa"/>
            <w:vAlign w:val="bottom"/>
          </w:tcPr>
          <w:p>
            <w:pPr>
              <w:ind w:left="6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2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SIGNATURES</w:t>
      </w:r>
      <w:r>
        <w:rPr>
          <w:sz w:val="20"/>
          <w:szCs w:val="20"/>
          <w:color w:val="auto"/>
        </w:rPr>
        <w:tab/>
      </w:r>
      <w:r>
        <w:rPr>
          <w:rFonts w:ascii="Arial" w:cs="Arial" w:eastAsia="Arial" w:hAnsi="Arial"/>
          <w:sz w:val="18"/>
          <w:szCs w:val="18"/>
          <w:color w:val="auto"/>
        </w:rPr>
        <w:t>S-1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Commitments and Applicable Percentages; L/C Commitments</w:t>
      </w:r>
    </w:p>
    <w:p>
      <w:pPr>
        <w:spacing w:after="0" w:line="23"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2.01A</w:t>
      </w:r>
      <w:r>
        <w:rPr>
          <w:sz w:val="20"/>
          <w:szCs w:val="20"/>
          <w:color w:val="auto"/>
        </w:rPr>
        <w:tab/>
      </w:r>
      <w:r>
        <w:rPr>
          <w:rFonts w:ascii="Arial" w:cs="Arial" w:eastAsia="Arial" w:hAnsi="Arial"/>
          <w:sz w:val="16"/>
          <w:szCs w:val="16"/>
          <w:color w:val="auto"/>
        </w:rPr>
        <w:t>Canadian Bankers’ Acceptances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Governmental Authorization; Other Consents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7"/>
          <w:szCs w:val="17"/>
          <w:color w:val="auto"/>
        </w:rPr>
        <w:t>Litigation</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color w:val="auto"/>
        </w:rPr>
        <w:t>Environmental Matters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color w:val="auto"/>
        </w:rPr>
        <w:t>ERISA Matters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Compliance with Laws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Administrative Agent’s Office; 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100" w:hanging="606"/>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rFonts w:ascii="Arial" w:cs="Arial" w:eastAsia="Arial" w:hAnsi="Arial"/>
          <w:sz w:val="18"/>
          <w:szCs w:val="18"/>
          <w:color w:val="auto"/>
        </w:rPr>
      </w:pPr>
    </w:p>
    <w:p>
      <w:pPr>
        <w:ind w:left="500" w:right="8360"/>
        <w:spacing w:after="0" w:line="250" w:lineRule="auto"/>
        <w:rPr>
          <w:rFonts w:ascii="Arial" w:cs="Arial" w:eastAsia="Arial" w:hAnsi="Arial"/>
          <w:sz w:val="18"/>
          <w:szCs w:val="18"/>
          <w:color w:val="auto"/>
        </w:rPr>
      </w:pPr>
      <w:r>
        <w:rPr>
          <w:rFonts w:ascii="Arial" w:cs="Arial" w:eastAsia="Arial" w:hAnsi="Arial"/>
          <w:sz w:val="18"/>
          <w:szCs w:val="18"/>
          <w:color w:val="auto"/>
        </w:rPr>
        <w:t>B Swing Line Loan Notice C-1 Committed Loan Note C-2 Swing Line Note</w:t>
      </w:r>
    </w:p>
    <w:p>
      <w:pPr>
        <w:spacing w:after="0" w:line="1" w:lineRule="exact"/>
        <w:rPr>
          <w:rFonts w:ascii="Arial" w:cs="Arial" w:eastAsia="Arial" w:hAnsi="Arial"/>
          <w:sz w:val="18"/>
          <w:szCs w:val="18"/>
          <w:color w:val="auto"/>
        </w:rPr>
      </w:pPr>
    </w:p>
    <w:p>
      <w:pPr>
        <w:ind w:left="500" w:right="8000"/>
        <w:spacing w:after="0" w:line="250" w:lineRule="auto"/>
        <w:rPr>
          <w:rFonts w:ascii="Arial" w:cs="Arial" w:eastAsia="Arial" w:hAnsi="Arial"/>
          <w:sz w:val="18"/>
          <w:szCs w:val="18"/>
          <w:color w:val="auto"/>
        </w:rPr>
      </w:pPr>
      <w:r>
        <w:rPr>
          <w:rFonts w:ascii="Arial" w:cs="Arial" w:eastAsia="Arial" w:hAnsi="Arial"/>
          <w:sz w:val="18"/>
          <w:szCs w:val="18"/>
          <w:color w:val="auto"/>
        </w:rPr>
        <w:t>D Compliance Certificate E-1 Assignment and Assumption E-2 Administrative Questionnaire</w:t>
      </w:r>
    </w:p>
    <w:p>
      <w:pPr>
        <w:spacing w:after="0" w:line="1" w:lineRule="exact"/>
        <w:rPr>
          <w:rFonts w:ascii="Arial" w:cs="Arial" w:eastAsia="Arial" w:hAnsi="Arial"/>
          <w:sz w:val="18"/>
          <w:szCs w:val="18"/>
          <w:color w:val="auto"/>
        </w:rPr>
      </w:pPr>
    </w:p>
    <w:p>
      <w:pPr>
        <w:ind w:left="500" w:right="5900"/>
        <w:spacing w:after="0" w:line="250" w:lineRule="auto"/>
        <w:rPr>
          <w:rFonts w:ascii="Arial" w:cs="Arial" w:eastAsia="Arial" w:hAnsi="Arial"/>
          <w:sz w:val="18"/>
          <w:szCs w:val="18"/>
          <w:color w:val="auto"/>
        </w:rPr>
      </w:pPr>
      <w:r>
        <w:rPr>
          <w:rFonts w:ascii="Arial" w:cs="Arial" w:eastAsia="Arial" w:hAnsi="Arial"/>
          <w:sz w:val="18"/>
          <w:szCs w:val="18"/>
          <w:color w:val="auto"/>
        </w:rPr>
        <w:t>F-1 Designated Borrower Request and Assumption Agreement F-2 Designated Borrower Notice</w:t>
      </w:r>
    </w:p>
    <w:p>
      <w:pPr>
        <w:ind w:left="500"/>
        <w:spacing w:after="0"/>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Letter of Credit Report</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7"/>
          <w:szCs w:val="17"/>
          <w:color w:val="auto"/>
        </w:rPr>
        <w:t>Notice of Additional L/C Issuer</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I-1</w:t>
      </w:r>
      <w:r>
        <w:rPr>
          <w:rFonts w:ascii="Arial" w:cs="Arial" w:eastAsia="Arial" w:hAnsi="Arial"/>
          <w:sz w:val="16"/>
          <w:szCs w:val="16"/>
          <w:color w:val="auto"/>
        </w:rPr>
        <w:t>Form of U.S. Tax Compliance Certificate – Foreign Lenders (Not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I-2</w:t>
      </w:r>
      <w:r>
        <w:rPr>
          <w:rFonts w:ascii="Arial" w:cs="Arial" w:eastAsia="Arial" w:hAnsi="Arial"/>
          <w:sz w:val="16"/>
          <w:szCs w:val="16"/>
          <w:color w:val="auto"/>
        </w:rPr>
        <w:t>Form of U.S. Tax Compliance Certificate – Non-U.S. Participants (Not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I-3</w:t>
      </w:r>
      <w:r>
        <w:rPr>
          <w:rFonts w:ascii="Arial" w:cs="Arial" w:eastAsia="Arial" w:hAnsi="Arial"/>
          <w:sz w:val="16"/>
          <w:szCs w:val="16"/>
          <w:color w:val="auto"/>
        </w:rPr>
        <w:t>Form of U.S. Tax Compliance Certificate – Non-U.S. Participants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I-4</w:t>
      </w:r>
      <w:r>
        <w:rPr>
          <w:rFonts w:ascii="Arial" w:cs="Arial" w:eastAsia="Arial" w:hAnsi="Arial"/>
          <w:sz w:val="16"/>
          <w:szCs w:val="16"/>
          <w:color w:val="auto"/>
        </w:rPr>
        <w:t>Form of U.S. Tax Compliance Certificate – Foreign Lenders (Partnerships)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CREDIT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August 20, 2021, among PLAINS ALL AMERICAN PIPELINE, L.P., a Delaware limited partnership (the “</w:t>
      </w:r>
      <w:r>
        <w:rPr>
          <w:rFonts w:ascii="Arial" w:cs="Arial" w:eastAsia="Arial" w:hAnsi="Arial"/>
          <w:sz w:val="17"/>
          <w:szCs w:val="17"/>
          <w:u w:val="single" w:color="auto"/>
          <w:color w:val="auto"/>
        </w:rPr>
        <w:t>Company</w:t>
      </w:r>
      <w:r>
        <w:rPr>
          <w:rFonts w:ascii="Arial" w:cs="Arial" w:eastAsia="Arial" w:hAnsi="Arial"/>
          <w:sz w:val="17"/>
          <w:szCs w:val="17"/>
          <w:color w:val="auto"/>
        </w:rPr>
        <w:t>”), PLAINS MIDSTREAM CANADA ULC, a British Columbia unlimited liability company (“</w:t>
      </w:r>
      <w:r>
        <w:rPr>
          <w:rFonts w:ascii="Arial" w:cs="Arial" w:eastAsia="Arial" w:hAnsi="Arial"/>
          <w:sz w:val="17"/>
          <w:szCs w:val="17"/>
          <w:u w:val="single" w:color="auto"/>
          <w:color w:val="auto"/>
        </w:rPr>
        <w:t>PMCULC</w:t>
      </w:r>
      <w:r>
        <w:rPr>
          <w:rFonts w:ascii="Arial" w:cs="Arial" w:eastAsia="Arial" w:hAnsi="Arial"/>
          <w:sz w:val="17"/>
          <w:szCs w:val="17"/>
          <w:color w:val="auto"/>
        </w:rPr>
        <w:t xml:space="preserve">”), each Subsidiary of the Company from time to time and during the time it is a party hereto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(each such Subsidiary, a “</w:t>
      </w:r>
      <w:r>
        <w:rPr>
          <w:rFonts w:ascii="Arial" w:cs="Arial" w:eastAsia="Arial" w:hAnsi="Arial"/>
          <w:sz w:val="17"/>
          <w:szCs w:val="17"/>
          <w:u w:val="single" w:color="auto"/>
          <w:color w:val="auto"/>
        </w:rPr>
        <w:t>Designated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w:t>
      </w:r>
      <w:r>
        <w:rPr>
          <w:rFonts w:ascii="Arial" w:cs="Arial" w:eastAsia="Arial" w:hAnsi="Arial"/>
          <w:sz w:val="17"/>
          <w:szCs w:val="17"/>
          <w:color w:val="auto"/>
        </w:rPr>
        <w:t>” and, together with the Company and PMCULC,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BANK OF AMERICA, N.A., as Administrative Agent and Swing Line Lender, BANK OF AMERICA, N.A., CITIBANK, N.A., JPMORGAN CHASE BANK, N.A. and WELLS FARGO BANK, NATIONAL ASSOCIATION, as L/C Issuers, and CITIBANK, N.A., JPMORGAN CHASE BANK, N.A. and WELLS FARGO BANK, NATIONAL ASSOCIATION, as Co-Syndication Agents, and</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BANCO BILBAO VIZCAYA ARGENTARIA, S.A., NEW YORK BRANCH, BANK OF MONTREAL, BANK OF NOVA SCOTIA, HOUSTON BRANCH, BARCLAYS BANK PLC, CANADIAN IMPERIAL BANK OF COMMERCE, NEW YORK BRANCH, COBANK, ACB, ING CAPITAL LLC, MIZUHO BANK, LTD., MUFG BANK, LTD., PNC BANK, NATIONAL ASSOCIATION, REGIONS BANK, ROYAL BANK OF CANADA, SUMITOMO MITSUI BANKING CORPORATION, THE TORONTO-DOMINION BANK, NEW YORK BRANCH, TRUIST BANK and U.S. BANK NATIONAL ASSOCIATION, as Co-Documentation Agents.</w:t>
      </w:r>
    </w:p>
    <w:p>
      <w:pPr>
        <w:spacing w:after="0" w:line="19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requested that the Lenders provide a revolving credit facility to refinance the outstanding Indebtedness of the Company and PMCULC under the Existing Credit Agreement, and the Lenders are willing to do so on the terms and conditions set forth herein.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DEFINITIONS AND ACCOUNTING TERMS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as to any Person, Indebtedness of any other Person existing at the time such other Person is merged with or becomes a Subsidiary of such specified Person (regardless of the form of the applicable transaction by which such Person becomes a Subsidiary), in each case, existing at the time of such acquisition and not incurred in contemplation of such acquisition.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Period</w:t>
      </w:r>
      <w:r>
        <w:rPr>
          <w:rFonts w:ascii="Arial" w:cs="Arial" w:eastAsia="Arial" w:hAnsi="Arial"/>
          <w:sz w:val="18"/>
          <w:szCs w:val="18"/>
          <w:color w:val="auto"/>
        </w:rPr>
        <w:t>” means the period beginning, at the election of the Company, with the funding date of the purchase price for a Specified Acquisition and ending on the earliest of (a) the third following fiscal quarter end, (b) the Company’s receipt of proceeds of a Specified Equity Offering; and (c) the Company’s election in writing to terminate such Acquisition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has the meaning specified in Section 2.14(d).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in its capacity as administrative agent under any of the Loan Documents, or any successor administrative agent appointed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 the Company and the Lenders pursuant to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 The initial Aggregate Commitments as of the Closing Date are $1,350,000,000.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If the commitment of each Lender to make Loans and accept Canadian BA’s and the obligation of each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Rate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1"/>
              </w:rPr>
              <w:t>Eurocurrency Rate</w:t>
            </w:r>
          </w:p>
        </w:tc>
        <w:tc>
          <w:tcPr>
            <w:tcW w:w="2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Loans,</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Base Rate Loans and</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Pricing</w:t>
            </w: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Debt Ratings</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Commitment</w:t>
            </w:r>
          </w:p>
        </w:tc>
        <w:tc>
          <w:tcPr>
            <w:tcW w:w="2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Letters of Credit and</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Canadian Prime</w:t>
            </w:r>
          </w:p>
        </w:tc>
      </w:tr>
      <w:tr>
        <w:trPr>
          <w:trHeight w:val="234"/>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w:t>
            </w:r>
          </w:p>
        </w:tc>
        <w:tc>
          <w:tcPr>
            <w:tcW w:w="22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S&amp;P/Moody’s</w:t>
            </w:r>
          </w:p>
        </w:tc>
        <w:tc>
          <w:tcPr>
            <w:tcW w:w="2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38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Canadian BA’s</w:t>
            </w:r>
          </w:p>
        </w:tc>
        <w:tc>
          <w:tcPr>
            <w:tcW w:w="38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Rate Loans</w:t>
            </w:r>
          </w:p>
        </w:tc>
        <w:tc>
          <w:tcPr>
            <w:tcW w:w="160" w:type="dxa"/>
            <w:vAlign w:val="bottom"/>
            <w:tcBorders>
              <w:bottom w:val="single" w:sz="8" w:color="CCEEFF"/>
            </w:tcBorders>
          </w:tcPr>
          <w:p>
            <w:pPr>
              <w:spacing w:after="0"/>
              <w:rPr>
                <w:sz w:val="20"/>
                <w:szCs w:val="20"/>
                <w:color w:val="auto"/>
              </w:rPr>
            </w:pPr>
          </w:p>
        </w:tc>
      </w:tr>
      <w:tr>
        <w:trPr>
          <w:trHeight w:val="210"/>
        </w:trPr>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 / A3 or higher</w:t>
            </w:r>
          </w:p>
        </w:tc>
        <w:tc>
          <w:tcPr>
            <w:tcW w:w="2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0.100%</w:t>
            </w:r>
          </w:p>
        </w:tc>
        <w:tc>
          <w:tcPr>
            <w:tcW w:w="2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r>
      <w:tr>
        <w:trPr>
          <w:trHeight w:val="216"/>
        </w:trPr>
        <w:tc>
          <w:tcPr>
            <w:tcW w:w="110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BBB+ / Baa1</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0.125%</w:t>
            </w:r>
          </w:p>
        </w:tc>
        <w:tc>
          <w:tcPr>
            <w:tcW w:w="2720" w:type="dxa"/>
            <w:vAlign w:val="bottom"/>
            <w:gridSpan w:val="2"/>
          </w:tcPr>
          <w:p>
            <w:pPr>
              <w:jc w:val="right"/>
              <w:ind w:right="240"/>
              <w:spacing w:after="0"/>
              <w:rPr>
                <w:sz w:val="20"/>
                <w:szCs w:val="20"/>
                <w:color w:val="auto"/>
              </w:rPr>
            </w:pPr>
            <w:r>
              <w:rPr>
                <w:rFonts w:ascii="Arial" w:cs="Arial" w:eastAsia="Arial" w:hAnsi="Arial"/>
                <w:sz w:val="18"/>
                <w:szCs w:val="18"/>
                <w:color w:val="auto"/>
              </w:rPr>
              <w:t>1.125%</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0.125%</w:t>
            </w:r>
          </w:p>
        </w:tc>
      </w:tr>
      <w:tr>
        <w:trPr>
          <w:trHeight w:val="216"/>
        </w:trPr>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BBB / Baa2</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0.175%</w:t>
            </w:r>
          </w:p>
        </w:tc>
        <w:tc>
          <w:tcPr>
            <w:tcW w:w="2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0.250%</w:t>
            </w:r>
          </w:p>
        </w:tc>
      </w:tr>
      <w:tr>
        <w:trPr>
          <w:trHeight w:val="216"/>
        </w:trPr>
        <w:tc>
          <w:tcPr>
            <w:tcW w:w="1100" w:type="dxa"/>
            <w:vAlign w:val="bottom"/>
          </w:tcPr>
          <w:p>
            <w:pPr>
              <w:jc w:val="right"/>
              <w:ind w:right="4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BBB- / Baa3</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0.225%</w:t>
            </w:r>
          </w:p>
        </w:tc>
        <w:tc>
          <w:tcPr>
            <w:tcW w:w="272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0.500%</w:t>
            </w:r>
          </w:p>
        </w:tc>
      </w:tr>
      <w:tr>
        <w:trPr>
          <w:trHeight w:val="216"/>
        </w:trPr>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BB+ / Ba1 or lower</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0.300%</w:t>
            </w:r>
          </w:p>
        </w:tc>
        <w:tc>
          <w:tcPr>
            <w:tcW w:w="2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1.750%</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Rating</w:t>
      </w:r>
      <w:r>
        <w:rPr>
          <w:rFonts w:ascii="Arial" w:cs="Arial" w:eastAsia="Arial" w:hAnsi="Arial"/>
          <w:sz w:val="16"/>
          <w:szCs w:val="16"/>
          <w:color w:val="auto"/>
        </w:rPr>
        <w:t>” means, as of any date of determination, the rating as determined by either S&amp;P or Moody’s (collectively, the “</w:t>
      </w:r>
      <w:r>
        <w:rPr>
          <w:rFonts w:ascii="Arial" w:cs="Arial" w:eastAsia="Arial" w:hAnsi="Arial"/>
          <w:sz w:val="16"/>
          <w:szCs w:val="16"/>
          <w:u w:val="single" w:color="auto"/>
          <w:color w:val="auto"/>
        </w:rPr>
        <w:t>Debt Ratings</w:t>
      </w:r>
      <w:r>
        <w:rPr>
          <w:rFonts w:ascii="Arial" w:cs="Arial" w:eastAsia="Arial" w:hAnsi="Arial"/>
          <w:sz w:val="16"/>
          <w:szCs w:val="16"/>
          <w:color w:val="auto"/>
        </w:rPr>
        <w:t xml:space="preserve">”) of the Company’s non-credit-enhanced, senior unsecured long-term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respective Debt Ratings issued by the foregoing rating agencies differ by one Pricing Level, then the Pricing Level for the higher of such Debt Ratings shall apply (with the Debt Rating for Pricing Level 1 being the highest and the Debt Rating for Pricing Level 5 being the lowest); (b) if the respective Debt Ratings issued by the foregoing rating agencies differ by more than one Pricing Level, then the Pricing Level that is one Pricing Level lower than the Pricing Level of the higher Debt Rating shall apply; (c) if the Company has only one Debt Rating, the Pricing Level equal to that of such Debt Rating shall apply; and (d) if the Company does not have any Debt Rating, then the Administrative Agent and the Company shall negotiate in good faith to amend the definition of Applicable Rate to reflect such change in circumstances, and until such time as the Administrative Agent and the Company shall reach agreement with respect thereto, Pricing Level 5 shall apply.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Initially, the Applicable Rate shall be determined based upon the Debt Rating specified in the certificate delivered pursuant to </w:t>
      </w:r>
      <w:r>
        <w:rPr>
          <w:rFonts w:ascii="Arial" w:cs="Arial" w:eastAsia="Arial" w:hAnsi="Arial"/>
          <w:sz w:val="18"/>
          <w:szCs w:val="18"/>
          <w:u w:val="single" w:color="auto"/>
          <w:color w:val="auto"/>
        </w:rPr>
        <w:t>Section 4.01(a)(vii)</w:t>
      </w:r>
      <w:r>
        <w:rPr>
          <w:rFonts w:ascii="Arial" w:cs="Arial" w:eastAsia="Arial" w:hAnsi="Arial"/>
          <w:sz w:val="18"/>
          <w:szCs w:val="18"/>
          <w:color w:val="auto"/>
        </w:rPr>
        <w:t>. Thereafter, each change in the Applicable Rate resulting from a publicly announced change in the Debt Rating shall be effective, in the case of an upgrade, during the period commencing on the date of delivery by the Company to the Administrative Agent 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xml:space="preserve">” means, with respect to any borrowings and payments in Canadian Dollars, the local time in the place of settlement for Canadian Dollars as may be determined by the Administrative Agent or the applicable L/C Issuer, as the case may be, to be necessary for timely settlement on the relevant date in accordance with normal banking procedures in the place of payment;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local time shall be no earlier than 12:00 noon, Eastern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each of BofA Securities, Citibank, N.A., JPMorgan Chase Bank, N.A., Wells Fargo Securities, LLC, Banco Bilbao Vizcaya Argentaria, S.A., New York Branch, BMO Capital Markets, Bank of Nova Scotia, Houston Branch, Barclays Bank PLC, Canadian Imperial Bank of Commerce, New York Branch, CoBank, ACB, ING Capital LLC, Mizuho Bank, Ltd., MUFG Bank, Ltd., PNC Bank, National Association, Regions Bank, Royal Bank of Canada, Sumitomo Mitsui Banking Corporation, TD Securities (USA) LLC, Truist Bank and U.S. Bank National Association, in its capacity as joint lead arranger and joint book manager.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solely managed by the same investment advisor.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Company and its Subsidiaries for the fiscal year ended December 31, 2020, and the related consolidated statements of income or operations and cash flows for such fiscal year and partners’ capital of the Company and its Subsidiaries, including the notes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Issuers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R.S.C. 1985, c. B-3,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highest of (a) the Federal Funds Rate in effect on such day plus 1/2 of 1%, (b) the rate of interest in effect for such day as publicly announced from time to time by Bank of America as its “prime rate,” (or, as to Base Rate Loans to PMCULC or a Designated Borrower, the rate of interest publicly announced from time to time by Bank of America, Canada Branch as its reference rate of interest for loans in U.S. Dollars to Canadian customers and designated as its “prime rate”) (provided that, if such rate as so determined would be less than zero, such rate shall be deemed to be zero for purposes of this Agreement) and (c) the Eurocurrency Rate in effect on such day as determined pursuant to clause (b) of the definition thereof plus 1.00%. The “prime rate” is a rate set by Bank of America (or Bank of America, Canada Branch, as applicable) based upon various factors including Bank of America’s (or Bank of America, Canada Branch’s, as applicable) costs and desired return, general economic conditions and other factors, and is used as a reference point for pricing some loans, which may be priced at, above, or below such announced rate. Any change in such prime rate announced by Bank of America (or Bank of America, Canada Branch, as applicable) shall take effect at the opening of business on the day specified in the public announcement of such change.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Committed Loan</w:t>
      </w:r>
      <w:r>
        <w:rPr>
          <w:rFonts w:ascii="Arial" w:cs="Arial" w:eastAsia="Arial" w:hAnsi="Arial"/>
          <w:sz w:val="18"/>
          <w:szCs w:val="18"/>
          <w:color w:val="auto"/>
        </w:rPr>
        <w:t>” means a Committed Loan that is a Base Rate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(i) a Committed Loan that bears interest based on the Base Rate or (ii) a Swing Line Loan that bears interest based on the Base Rate. All Base Rate Loans shall be denominated in Dollars.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LIBOR; provided that if a replacement of the Benchmark has occurred pursuant to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w:t>
      </w:r>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For purposes of Section </w:t>
      </w:r>
      <w:r>
        <w:rPr>
          <w:rFonts w:ascii="Arial" w:cs="Arial" w:eastAsia="Arial" w:hAnsi="Arial"/>
          <w:sz w:val="18"/>
          <w:szCs w:val="18"/>
          <w:u w:val="single" w:color="auto"/>
          <w:color w:val="auto"/>
        </w:rPr>
        <w:t>3.03(c)(i)</w:t>
      </w:r>
      <w:r>
        <w:rPr>
          <w:rFonts w:ascii="Arial" w:cs="Arial" w:eastAsia="Arial" w:hAnsi="Arial"/>
          <w:sz w:val="18"/>
          <w:szCs w:val="18"/>
          <w:color w:val="auto"/>
        </w:rPr>
        <w:t>, the first alternative set forth below that can be determined by the Administrative Agent:</w:t>
      </w:r>
    </w:p>
    <w:p>
      <w:pPr>
        <w:spacing w:after="0" w:line="225" w:lineRule="exact"/>
        <w:rPr>
          <w:rFonts w:ascii="Arial" w:cs="Arial" w:eastAsia="Arial" w:hAnsi="Arial"/>
          <w:sz w:val="18"/>
          <w:szCs w:val="18"/>
          <w:color w:val="auto"/>
        </w:rPr>
      </w:pPr>
    </w:p>
    <w:p>
      <w:pPr>
        <w:jc w:val="both"/>
        <w:ind w:left="1960" w:hanging="656"/>
        <w:spacing w:after="0" w:line="311" w:lineRule="auto"/>
        <w:tabs>
          <w:tab w:leader="none" w:pos="1960" w:val="left"/>
        </w:tabs>
        <w:numPr>
          <w:ilvl w:val="1"/>
          <w:numId w:val="5"/>
        </w:numPr>
        <w:rPr>
          <w:rFonts w:ascii="Arial" w:cs="Arial" w:eastAsia="Arial" w:hAnsi="Arial"/>
          <w:sz w:val="16"/>
          <w:szCs w:val="16"/>
          <w:color w:val="010000"/>
        </w:rPr>
      </w:pPr>
      <w:r>
        <w:rPr>
          <w:rFonts w:ascii="Arial" w:cs="Arial" w:eastAsia="Arial" w:hAnsi="Arial"/>
          <w:sz w:val="16"/>
          <w:szCs w:val="16"/>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 or</w:t>
      </w:r>
    </w:p>
    <w:p>
      <w:pPr>
        <w:spacing w:after="0" w:line="148" w:lineRule="exact"/>
        <w:rPr>
          <w:rFonts w:ascii="Arial" w:cs="Arial" w:eastAsia="Arial" w:hAnsi="Arial"/>
          <w:sz w:val="16"/>
          <w:szCs w:val="16"/>
          <w:color w:val="010000"/>
        </w:rPr>
      </w:pPr>
    </w:p>
    <w:p>
      <w:pPr>
        <w:ind w:left="1960" w:hanging="656"/>
        <w:spacing w:after="0"/>
        <w:tabs>
          <w:tab w:leader="none" w:pos="1960" w:val="left"/>
        </w:tabs>
        <w:numPr>
          <w:ilvl w:val="1"/>
          <w:numId w:val="5"/>
        </w:numPr>
        <w:rPr>
          <w:rFonts w:ascii="Arial" w:cs="Arial" w:eastAsia="Arial" w:hAnsi="Arial"/>
          <w:sz w:val="18"/>
          <w:szCs w:val="18"/>
          <w:color w:val="010000"/>
        </w:rPr>
      </w:pPr>
      <w:r>
        <w:rPr>
          <w:rFonts w:ascii="Arial" w:cs="Arial" w:eastAsia="Arial" w:hAnsi="Arial"/>
          <w:sz w:val="18"/>
          <w:szCs w:val="18"/>
          <w:color w:val="auto"/>
        </w:rPr>
        <w:t>the sum of: (i) Daily Simple SOFR and (ii) 0.11448% (11.448 basis points);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Company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92" w:lineRule="exact"/>
        <w:rPr>
          <w:sz w:val="20"/>
          <w:szCs w:val="20"/>
          <w:color w:val="auto"/>
        </w:rPr>
      </w:pPr>
    </w:p>
    <w:p>
      <w:pPr>
        <w:jc w:val="both"/>
        <w:ind w:left="1300" w:hanging="644"/>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For purposes of </w:t>
      </w:r>
      <w:r>
        <w:rPr>
          <w:rFonts w:ascii="Arial" w:cs="Arial" w:eastAsia="Arial" w:hAnsi="Arial"/>
          <w:sz w:val="17"/>
          <w:szCs w:val="17"/>
          <w:u w:val="single" w:color="auto"/>
          <w:color w:val="auto"/>
        </w:rPr>
        <w:t>Section 3.03(c)(ii)</w:t>
      </w:r>
      <w:r>
        <w:rPr>
          <w:rFonts w:ascii="Arial" w:cs="Arial" w:eastAsia="Arial" w:hAnsi="Arial"/>
          <w:sz w:val="17"/>
          <w:szCs w:val="17"/>
          <w:color w:val="auto"/>
        </w:rPr>
        <w:t>, the sum of (a) the alternate benchmark rate and (b) an adjustment (which may be a positive or negative value or zero), in each case, that has been selected by the Administrative Agent and the Company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clause (1) or (2) above would be less than zero percent (0.0%), the Benchmark Replacement will be deemed to be zero percent (0.0%)% for the purposes of this Agreement and the other Loan Documents.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Benchmark Replacement shall be applied in a manner consistent with market practice; provided that to the extent such market practice is not administratively feasible for the Administrative Agent, such Benchmark Replacement shall be applied in a manner as otherwise reasonably determined by the Administrative Agent.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given that term in the last paragraph of the definition of the term “Change of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 Securities</w:t>
      </w:r>
      <w:r>
        <w:rPr>
          <w:rFonts w:ascii="Arial" w:cs="Arial" w:eastAsia="Arial" w:hAnsi="Arial"/>
          <w:sz w:val="18"/>
          <w:szCs w:val="18"/>
          <w:color w:val="auto"/>
        </w:rPr>
        <w:t>” means BofA Securities,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46" w:lineRule="exact"/>
        <w:rPr>
          <w:sz w:val="20"/>
          <w:szCs w:val="20"/>
          <w:color w:val="auto"/>
        </w:rPr>
      </w:pPr>
    </w:p>
    <w:p>
      <w:pPr>
        <w:jc w:val="both"/>
        <w:ind w:firstLine="656"/>
        <w:spacing w:after="0" w:line="259" w:lineRule="auto"/>
        <w:tabs>
          <w:tab w:leader="none" w:pos="1509" w:val="left"/>
        </w:tabs>
        <w:numPr>
          <w:ilvl w:val="0"/>
          <w:numId w:val="7"/>
        </w:numPr>
        <w:rPr>
          <w:rFonts w:ascii="Arial" w:cs="Arial" w:eastAsia="Arial" w:hAnsi="Arial"/>
          <w:sz w:val="18"/>
          <w:szCs w:val="18"/>
          <w:color w:val="010000"/>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Eurocurrency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63" w:lineRule="auto"/>
        <w:tabs>
          <w:tab w:leader="none" w:pos="1397" w:val="left"/>
        </w:tabs>
        <w:numPr>
          <w:ilvl w:val="0"/>
          <w:numId w:val="8"/>
        </w:numPr>
        <w:rPr>
          <w:rFonts w:ascii="Arial" w:cs="Arial" w:eastAsia="Arial" w:hAnsi="Arial"/>
          <w:sz w:val="18"/>
          <w:szCs w:val="18"/>
          <w:color w:val="010000"/>
        </w:rPr>
      </w:pPr>
      <w:r>
        <w:rPr>
          <w:rFonts w:ascii="Arial" w:cs="Arial" w:eastAsia="Arial" w:hAnsi="Arial"/>
          <w:sz w:val="18"/>
          <w:szCs w:val="18"/>
          <w:color w:val="auto"/>
        </w:rPr>
        <w:t>if such day relates to any interest rate settings as to a Eurocurrency Rate Loan denominated in Canadian Dollars, means any such day on which dealings in deposits in Canadian Dollars are conducted by and between banks in the London or other applicable offshore interbank market for Canadian Dollars; and</w:t>
      </w:r>
    </w:p>
    <w:p>
      <w:pPr>
        <w:spacing w:after="0" w:line="183" w:lineRule="exact"/>
        <w:rPr>
          <w:rFonts w:ascii="Arial" w:cs="Arial" w:eastAsia="Arial" w:hAnsi="Arial"/>
          <w:sz w:val="18"/>
          <w:szCs w:val="18"/>
          <w:color w:val="010000"/>
        </w:rPr>
      </w:pPr>
    </w:p>
    <w:p>
      <w:pPr>
        <w:jc w:val="both"/>
        <w:ind w:firstLine="656"/>
        <w:spacing w:after="0" w:line="272" w:lineRule="auto"/>
        <w:tabs>
          <w:tab w:leader="none" w:pos="1428" w:val="left"/>
        </w:tabs>
        <w:numPr>
          <w:ilvl w:val="0"/>
          <w:numId w:val="8"/>
        </w:numPr>
        <w:rPr>
          <w:rFonts w:ascii="Arial" w:cs="Arial" w:eastAsia="Arial" w:hAnsi="Arial"/>
          <w:sz w:val="17"/>
          <w:szCs w:val="17"/>
          <w:color w:val="010000"/>
        </w:rPr>
      </w:pPr>
      <w:r>
        <w:rPr>
          <w:rFonts w:ascii="Arial" w:cs="Arial" w:eastAsia="Arial" w:hAnsi="Arial"/>
          <w:sz w:val="17"/>
          <w:szCs w:val="17"/>
          <w:color w:val="auto"/>
        </w:rPr>
        <w:t>if such day relates to any fundings, disbursements, settlements and payments (x) in Canadian Dollars in respect of a Eurocurrency Rate Loan denominated in Canadian Dollars, or any other dealings in Canadian Dollars to be carried out pursuant to this Agreement in respect of any such Eurocurrency Rate Loan (other than any interest rate settings), or any other dealings in Canadian Dollars to be carried out pursuant to this Agreement, including Canadian BA’s, or (y) with respect to PMCULC or any Designated Borrower, in Dollars in respect of a Eurocurrency Rate Loan denominated in Dollars or any other dealings in Dollars to be carried out pursuant to this Agreement in respect of any such Eurocurrency Rate Loan (other than interest rate settings), or any other dealings in Dollars to be carried out pursuant to this Agreement, in each case, means any such day on which banks are open for foreign exchange business in Toronto, Canada.</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Proceeds</w:t>
      </w:r>
      <w:r>
        <w:rPr>
          <w:rFonts w:ascii="Arial" w:cs="Arial" w:eastAsia="Arial" w:hAnsi="Arial"/>
          <w:sz w:val="18"/>
          <w:szCs w:val="18"/>
          <w:color w:val="auto"/>
        </w:rPr>
        <w:t>” means, in respect of any Canadian Banker’s Acceptance, an amount (rounded to the nearest full cent, with one half of one cent being rounded up) calculated on the applicable funding date equal to the face amount of such Canadian Banker’s Acceptance multiplied by the price, where the price is calculated by dividing one by the sum of one plus the product of (a) the Canadian BA Discount Rate applicable thereto expressed as a decimal fraction multiplied by (b) a fraction, the numerator of which is the term of such Canadian Banker’s Acceptance and the denominator of which is 365, rounded to the nearest multiple of 0.001%.</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Rate</w:t>
      </w:r>
      <w:r>
        <w:rPr>
          <w:rFonts w:ascii="Arial" w:cs="Arial" w:eastAsia="Arial" w:hAnsi="Arial"/>
          <w:sz w:val="18"/>
          <w:szCs w:val="18"/>
          <w:color w:val="auto"/>
        </w:rPr>
        <w:t xml:space="preserve">” means, on the funding date for any Canadian BA, (a) for any Lender named on Schedule I to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the CDOR on the applicable funding date; or, if such rate is not available, the average of the rates advised by the Canadian Schedule I Reference Lenders to the Administrative Agent, determined in accordance with normal market practices, as being the discount rate of such Canadian Schedule I Reference Lenders on such funding date for Canadian bankers’ acceptances having a comparable face amount and maturity date; and (b) for any other Lender, the lesser of (i) the average of the rates advised by the Canadian Non-Schedule I Reference Lenders to the Administrative Agent, determined in accordance with normal market practices, as being the discount rate of such Canadian Non-Schedule I Reference Lenders on such funding date for banker’s acceptances of such Canadian Non-Schedule I Reference Lenders having a comparable face amount and maturity date, and (ii) the CDOR on the applicable funding date plus 0.10% per annum.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“Canadian BA Equivalent Loan” has the meaning specified in Section 4(d) of Schedule 2.01A.</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BA Fee</w:t>
      </w:r>
      <w:r>
        <w:rPr>
          <w:rFonts w:ascii="Arial" w:cs="Arial" w:eastAsia="Arial" w:hAnsi="Arial"/>
          <w:sz w:val="17"/>
          <w:szCs w:val="17"/>
          <w:color w:val="auto"/>
        </w:rPr>
        <w:t>” means, with respect to any Canadian BA, the amount calculated by multiplying the face amount of such Canadian BA by the then Applicable Rate applicable to Canadian BA’s, and then multiplying the result by a fraction, the numerator of which is the duration of its term on the basis of the actual number of days to elapse from the date of acceptance of such Canadian BA by the accepting Lender to the maturity date of such Canadian BA and the denominator of which is the number of days in the calendar year in question.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Bankers’ Acceptance</w:t>
      </w:r>
      <w:r>
        <w:rPr>
          <w:rFonts w:ascii="Arial" w:cs="Arial" w:eastAsia="Arial" w:hAnsi="Arial"/>
          <w:sz w:val="16"/>
          <w:szCs w:val="16"/>
          <w:color w:val="auto"/>
        </w:rPr>
        <w:t xml:space="preserve"> ” or “</w:t>
      </w:r>
      <w:r>
        <w:rPr>
          <w:rFonts w:ascii="Arial" w:cs="Arial" w:eastAsia="Arial" w:hAnsi="Arial"/>
          <w:sz w:val="16"/>
          <w:szCs w:val="16"/>
          <w:u w:val="single" w:color="auto"/>
          <w:color w:val="auto"/>
        </w:rPr>
        <w:t>Canadian BA</w:t>
      </w:r>
      <w:r>
        <w:rPr>
          <w:rFonts w:ascii="Arial" w:cs="Arial" w:eastAsia="Arial" w:hAnsi="Arial"/>
          <w:sz w:val="16"/>
          <w:szCs w:val="16"/>
          <w:color w:val="auto"/>
        </w:rPr>
        <w:t>” means a non-interest bearing bill of exchange on the Administrative Agent’s usual form (or a bill of exchange within the meaning of the Bills of Exchange Act Canada), R.S.C. 1985, c. B-5, as amended, or a depository bill within the meaning of the Depository Bills and Notes Act (Canada), denominated in Canadian Dollars, drawn by or on behalf of PMCULC or a Designated Borrower, for a term selected by PMCULC or such Designated Borrower of either one, two or three months (as reduced or extended by the Administrative Agent, acting reasonably, to allow the maturity thereof to fall on a Business Day) payable in Canada, and accepted by a Lender in accordance with this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Equivalent</w:t>
      </w:r>
      <w:r>
        <w:rPr>
          <w:rFonts w:ascii="Arial" w:cs="Arial" w:eastAsia="Arial" w:hAnsi="Arial"/>
          <w:sz w:val="18"/>
          <w:szCs w:val="18"/>
          <w:color w:val="auto"/>
        </w:rPr>
        <w:t>” means, at any time, with respect to any amount denominated in Dollars, the equivalent amount thereof in Canadian Dollars as reasonably determined by the Administrative Agent or the applicable L/C Issuer, as the case may be, in each case, in accordance with normal banking industry practice using the Spot Rate (determined in respect of the most recent Revaluation Date) for the purchase of Canadian Dollars with Dollars.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Sublimit</w:t>
      </w:r>
      <w:r>
        <w:rPr>
          <w:rFonts w:ascii="Arial" w:cs="Arial" w:eastAsia="Arial" w:hAnsi="Arial"/>
          <w:sz w:val="18"/>
          <w:szCs w:val="18"/>
          <w:color w:val="auto"/>
        </w:rPr>
        <w:t>” means an amount equal to the lesser of the Aggregate Commitments and $1,000,000,000. The Canadian Dollar Sublimit is part of, and not in addition to, the Aggregate Commitments.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Non-Schedule I Reference Lender</w:t>
      </w:r>
      <w:r>
        <w:rPr>
          <w:rFonts w:ascii="Arial" w:cs="Arial" w:eastAsia="Arial" w:hAnsi="Arial"/>
          <w:sz w:val="18"/>
          <w:szCs w:val="18"/>
          <w:color w:val="auto"/>
        </w:rPr>
        <w:t>” means each of Bank of America, N.A., Canada Branch, Citibank Canada, JPMorgan Chase Bank, N.A. (Toronto Branch) and Wells Fargo Bank, National Association, Canadian Branch (or such other or additional Lenders as may be designated by the Administrative Agent and reasonably acceptable to the Company).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on any day, the greater of (a) the floating annual rate of interest established from time to time by the Administrative Agent in its sole discretion as the reference rate for determining interest rates that it will charge to customers of varying degrees of credit worthiness on commercial loans made in Canada in the lawful currency of Canada and designated as its prime rate and (b) the CDOR for one month Canadian BA’s that appears on the Reuters Screen CDOR Page at 10:00 a.m. Toronto time on that day, plus 0.50% per annum; provided that, if the Canadian Prime Rate as so determined would be less than zero, such rate shall deemed to be zero for purposes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 Committed Loan</w:t>
      </w:r>
      <w:r>
        <w:rPr>
          <w:rFonts w:ascii="Arial" w:cs="Arial" w:eastAsia="Arial" w:hAnsi="Arial"/>
          <w:sz w:val="16"/>
          <w:szCs w:val="16"/>
          <w:color w:val="auto"/>
        </w:rPr>
        <w:t>” means any Committed Loan which bears interest at a rate determined by reference to the Canadian Prime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(i) a Canadian Prime Rate Committed Loan or (ii) a Swing Line Loan that bears interest at a rate based on the Canadian Prime Rate.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Schedule I Reference Lenders</w:t>
      </w:r>
      <w:r>
        <w:rPr>
          <w:rFonts w:ascii="Arial" w:cs="Arial" w:eastAsia="Arial" w:hAnsi="Arial"/>
          <w:sz w:val="18"/>
          <w:szCs w:val="18"/>
          <w:color w:val="auto"/>
        </w:rPr>
        <w:t xml:space="preserve">” means The Bank of Nova Scotia, Bank of Montreal and Royal Bank of Canada] (or such other or additional Lenders listed in Schedule I to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as may be designated by the Administrative Agent and reasonably acceptable to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and Carry Purchases</w:t>
      </w:r>
      <w:r>
        <w:rPr>
          <w:rFonts w:ascii="Arial" w:cs="Arial" w:eastAsia="Arial" w:hAnsi="Arial"/>
          <w:sz w:val="17"/>
          <w:szCs w:val="17"/>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xml:space="preserve">” (i) with respect to Canadian BA’s, has the meaning specified in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2.01A</w:t>
      </w:r>
      <w:r>
        <w:rPr>
          <w:rFonts w:ascii="Arial" w:cs="Arial" w:eastAsia="Arial" w:hAnsi="Arial"/>
          <w:sz w:val="17"/>
          <w:szCs w:val="17"/>
          <w:color w:val="auto"/>
        </w:rPr>
        <w:t xml:space="preserve"> and (ii) otherwise means to pledge and deposit with or deliver to the Administrative Agent, for the benefit of the L/C Issuers or Swing Line Lender (as applicable) and the Lenders, as collateral for L/C Obligations, payment Obligations in respect of Swing Line Loans, or obligations of Lenders to fund participations in respect of either thereof (as the context may require), cash or deposit account balances or, if the L/C Issuers or Swing Line Lender benefitting from such collateral shall agree in its sole discretion, other credit support, in each case pursuant to documentation in form and substance reasonably satisfactory to (a) the Administrative Agent and (b) the L/C Issuers or the Swing Line Lender (as applicable). “Cash Collateral” shall have a meaning correlative to the foregoing and shall include the proceeds of such cash collateral and other credit support.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w:t>
      </w:r>
      <w:r>
        <w:rPr>
          <w:rFonts w:ascii="Arial" w:cs="Arial" w:eastAsia="Arial" w:hAnsi="Arial"/>
          <w:sz w:val="17"/>
          <w:szCs w:val="17"/>
          <w:color w:val="auto"/>
        </w:rPr>
        <w:t xml:space="preserve">” means for any day, and relative to Canadian BA’s having any specified term and face amount, the discount rate per annum, calculated on the basis of a year of 365 days equal to (i) the average rate per annum (as determined by the Administrative Agent) for Canadian Dollar bankers’ acceptances having the specified term and face amount (or a term and face amount as closely as possible comparable to such specified term and face amount of the Canadian BA) that appear on the Reuters Screen CDOR page “Canadian Interbank Bid BA Fee Rates” (or such other page as the Administrative Agent shall nominate which replaces that page for the purpose of displaying rates quoted for such Canadian BA’s) at 10:00 a.m. (Toronto time) on the first day of such term, as reported by the Administrative Agent or (ii) if such rate does not appear on such CDOR page at 10:00 a.m. (Toronto time) on any such day, then CDOR will be determined by the Administrative Agent as being the arithmetic average of the annual discount rates of interest (rounded upward to the nearest whole multiple of 1/100 of 1%) as of 10:00 a.m. (Toronto time) on the date at which the Lenders named on Schedule 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are then offering to purchase bankers’ acceptances accepted by them having the specified term and face amount (or a term and face amount as closely as possible comparable to such specified term and face amount) of the Canadian BA; and if CDOR shall be less than zero, such rate shall be deemed zero for purposes of this Agreement.</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left="1100" w:hanging="444"/>
        <w:spacing w:after="0"/>
        <w:tabs>
          <w:tab w:leader="none" w:pos="110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acquisition of more than 50% of the Equity Interest in the general partner of Plains AAP by a Person that is not a Current Owner if</w:t>
      </w:r>
    </w:p>
    <w:p>
      <w:pPr>
        <w:spacing w:after="0" w:line="34" w:lineRule="exact"/>
        <w:rPr>
          <w:rFonts w:ascii="Arial" w:cs="Arial" w:eastAsia="Arial" w:hAnsi="Arial"/>
          <w:sz w:val="17"/>
          <w:szCs w:val="17"/>
          <w:color w:val="auto"/>
        </w:rPr>
      </w:pPr>
    </w:p>
    <w:p>
      <w:pPr>
        <w:jc w:val="both"/>
        <w:ind w:firstLine="8"/>
        <w:spacing w:after="0" w:line="255" w:lineRule="auto"/>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Interest held by such Person gives such Person the right to elect more than half of the members of the Board, (y) such Person exercises its right to elect more than half of the members of the Board and (z) giving effect to such election, more than half of the members of the Board are not Continuing Directors;</w:t>
      </w:r>
    </w:p>
    <w:p>
      <w:pPr>
        <w:spacing w:after="0" w:line="189" w:lineRule="exact"/>
        <w:rPr>
          <w:rFonts w:ascii="Arial" w:cs="Arial" w:eastAsia="Arial" w:hAnsi="Arial"/>
          <w:sz w:val="18"/>
          <w:szCs w:val="18"/>
          <w:color w:val="auto"/>
        </w:rPr>
      </w:pPr>
    </w:p>
    <w:p>
      <w:pPr>
        <w:ind w:firstLine="656"/>
        <w:spacing w:after="0" w:line="277" w:lineRule="auto"/>
        <w:tabs>
          <w:tab w:leader="none" w:pos="113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general partner of Plains AAP shall cease to be, directly or indirectly, the beneficial owner (within the meaning of Rule 13d-3 under the Securities Exchange Act of 1934, as amended) of a majority of the general partner interests of Plains AAP;</w:t>
      </w:r>
    </w:p>
    <w:p>
      <w:pPr>
        <w:spacing w:after="0" w:line="170" w:lineRule="exact"/>
        <w:rPr>
          <w:rFonts w:ascii="Arial" w:cs="Arial" w:eastAsia="Arial" w:hAnsi="Arial"/>
          <w:sz w:val="18"/>
          <w:szCs w:val="18"/>
          <w:color w:val="auto"/>
        </w:rPr>
      </w:pPr>
    </w:p>
    <w:p>
      <w:pPr>
        <w:ind w:firstLine="656"/>
        <w:spacing w:after="0" w:line="277" w:lineRule="auto"/>
        <w:tabs>
          <w:tab w:leader="none" w:pos="11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Plains AAP shall cease to be, directly or indirectly, the beneficial owner (as defined above) of a majority of the limited liability company interests of General Partner; or</w:t>
      </w:r>
    </w:p>
    <w:p>
      <w:pPr>
        <w:spacing w:after="0" w:line="170" w:lineRule="exact"/>
        <w:rPr>
          <w:rFonts w:ascii="Arial" w:cs="Arial" w:eastAsia="Arial" w:hAnsi="Arial"/>
          <w:sz w:val="18"/>
          <w:szCs w:val="18"/>
          <w:color w:val="auto"/>
        </w:rPr>
      </w:pPr>
    </w:p>
    <w:p>
      <w:pPr>
        <w:ind w:firstLine="656"/>
        <w:spacing w:after="0" w:line="277" w:lineRule="auto"/>
        <w:tabs>
          <w:tab w:leader="none" w:pos="11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General Partner shall cease to be, directly or indirectly, the beneficial owner (as defined above) of a majority of the general partner interest of the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or equivalent body of the general partner of Plains AAP; “</w:t>
      </w:r>
      <w:r>
        <w:rPr>
          <w:rFonts w:ascii="Arial" w:cs="Arial" w:eastAsia="Arial" w:hAnsi="Arial"/>
          <w:sz w:val="17"/>
          <w:szCs w:val="17"/>
          <w:u w:val="single" w:color="auto"/>
          <w:color w:val="auto"/>
        </w:rPr>
        <w:t>Continuing Directors</w:t>
      </w:r>
      <w:r>
        <w:rPr>
          <w:rFonts w:ascii="Arial" w:cs="Arial" w:eastAsia="Arial" w:hAnsi="Arial"/>
          <w:sz w:val="17"/>
          <w:szCs w:val="17"/>
          <w:color w:val="auto"/>
        </w:rPr>
        <w:t>” means the members of the Board elected, appointed or otherwise designated by a Current Owner or by the Current Owners; “</w:t>
      </w:r>
      <w:r>
        <w:rPr>
          <w:rFonts w:ascii="Arial" w:cs="Arial" w:eastAsia="Arial" w:hAnsi="Arial"/>
          <w:sz w:val="17"/>
          <w:szCs w:val="17"/>
          <w:u w:val="single" w:color="auto"/>
          <w:color w:val="auto"/>
        </w:rPr>
        <w:t>Current Owner</w:t>
      </w:r>
      <w:r>
        <w:rPr>
          <w:rFonts w:ascii="Arial" w:cs="Arial" w:eastAsia="Arial" w:hAnsi="Arial"/>
          <w:sz w:val="17"/>
          <w:szCs w:val="17"/>
          <w:color w:val="auto"/>
        </w:rPr>
        <w:t>” means (i) an owner, as of the effective date of this Agreement, of an Equity Interest in the general partner of Plains AAP and (ii) any Affiliate of such owner.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means the first date on which all the conditions precedent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(a) as to each Lender other than the Swing Line Lender, such Lender’s obligation to (i) make Committed Loans to the Borrowers and accept Canadian BA’s from PMCULC or Designated Borrowers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(ii) purchase participations in L/C Obligations, and (iii) purchase participations in Swing Line Loans and (b) as to the Swing Line Lender, its obligation to make Swing Line Loans to the Borrowers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in each case, in an aggregate principal amount the Dollar Equivalent of which at any one time outstanding, does not exceed the Dollar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as such amount may from time to time be increased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decreased pursuant to </w:t>
      </w:r>
      <w:r>
        <w:rPr>
          <w:rFonts w:ascii="Arial" w:cs="Arial" w:eastAsia="Arial" w:hAnsi="Arial"/>
          <w:sz w:val="17"/>
          <w:szCs w:val="17"/>
          <w:u w:val="single" w:color="auto"/>
          <w:color w:val="auto"/>
        </w:rPr>
        <w:t>Section 2.06</w:t>
      </w:r>
      <w:r>
        <w:rPr>
          <w:rFonts w:ascii="Arial" w:cs="Arial" w:eastAsia="Arial" w:hAnsi="Arial"/>
          <w:sz w:val="17"/>
          <w:szCs w:val="17"/>
          <w:color w:val="auto"/>
        </w:rPr>
        <w:t>, or in the Assignment and Assumption pursuant to which such Lender becomes a party hereto, as applicable, as such amount may be adjusted from time to time in accordance with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Borrowing</w:t>
      </w:r>
      <w:r>
        <w:rPr>
          <w:rFonts w:ascii="Arial" w:cs="Arial" w:eastAsia="Arial" w:hAnsi="Arial"/>
          <w:sz w:val="17"/>
          <w:szCs w:val="17"/>
          <w:color w:val="auto"/>
        </w:rPr>
        <w:t xml:space="preserve">” means (i) a borrowing consisting of simultaneous Committed Loans of the same Type, in the same currency and, in the case of Eurocurrency Rate Committed Loans, having the same Interest Period made by each of the Lenders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or (ii) the acceptance by Lenders of Canadian Bankers’ Acceptances issued by PMCULC or a Designated Borrower under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Note</w:t>
      </w:r>
      <w:r>
        <w:rPr>
          <w:rFonts w:ascii="Arial" w:cs="Arial" w:eastAsia="Arial" w:hAnsi="Arial"/>
          <w:sz w:val="18"/>
          <w:szCs w:val="18"/>
          <w:color w:val="auto"/>
        </w:rPr>
        <w:t xml:space="preserve">” means a promissory note made by the Borrowers in favor of a Lender evidencing Committed Loans made by such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means a notice of (a) a Committed Borrowing, (b) a conversion of Committed Loans from one Type to the other, or</w:t>
      </w:r>
    </w:p>
    <w:p>
      <w:pPr>
        <w:spacing w:after="0" w:line="35" w:lineRule="exact"/>
        <w:rPr>
          <w:sz w:val="20"/>
          <w:szCs w:val="20"/>
          <w:color w:val="auto"/>
        </w:rPr>
      </w:pPr>
    </w:p>
    <w:p>
      <w:pPr>
        <w:jc w:val="both"/>
        <w:ind w:firstLine="8"/>
        <w:spacing w:after="0" w:line="253" w:lineRule="auto"/>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continuation of Eurocurrency Rate Committed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means this Agreement, any Loan Document and any document, amendment, approval, consent, information, notice, certificate, request, statement, disclosure or authorization related to any Loan Document.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R.S.C. 1985, c. C-36,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Guaranty</w:t>
      </w:r>
      <w:r>
        <w:rPr>
          <w:rFonts w:ascii="Arial" w:cs="Arial" w:eastAsia="Arial" w:hAnsi="Arial"/>
          <w:sz w:val="18"/>
          <w:szCs w:val="18"/>
          <w:color w:val="auto"/>
        </w:rPr>
        <w:t xml:space="preserve">” means the Guaranty of the payment Obligations of PMCULC and the Designated Borrowers made by the Company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 favor of the Lender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Assets</w:t>
      </w:r>
      <w:r>
        <w:rPr>
          <w:rFonts w:ascii="Arial" w:cs="Arial" w:eastAsia="Arial" w:hAnsi="Arial"/>
          <w:sz w:val="18"/>
          <w:szCs w:val="18"/>
          <w:color w:val="auto"/>
        </w:rPr>
        <w:t>” means, as of any date of determination, the total assets of the Company and its Subsidiaries as set forth on a consolidated balance sheet of the Company and its Subsidiaries for their most recently completed fiscal quarter for which financial statements are available, prepared in accordance with GAAP.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an amount equal to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the following to the extent deducted in calculating such Consolidated Net Income for such period: (i) all interest charges and expenses, (ii) the provision for Federal, state, local and foreign income taxes (or franchise taxes, to the extent based upon net income) payable by the Company and its Subsidiaries (excluding, for the avoidance of doubt, Unrestricted Subsidiaries), (iii) depreciation, depletion and amortization expense, (iv) costs or expenses resulting from distributions or redemptions of the Company’s units issued pursuant to the Company’s long-term incentive plan, (v) any acquisition-related expenses deducted from Consolidated Net Income and associated with (A) closed acquisitions or (B) any other potential acquisitions that have not been abandoned (minus any acquisition-related expenses covered by clause (B) that relate to (x) potential acquisitions that have since been abandoned or (y) potential acquisitions that have not been consummated within one year following the date such expense was incurred (except that if the potential acquisition is the subject of a pending purchase and sale agreement as of such one-year date, such one-year period of time shall be extended until the first to occur of the termination of such purchase and sale agreement or the first day following the closing of the acquisition contemplated by such purchase and sale agreement)), and</w:t>
      </w:r>
    </w:p>
    <w:p>
      <w:pPr>
        <w:spacing w:after="0" w:line="5" w:lineRule="exact"/>
        <w:rPr>
          <w:sz w:val="20"/>
          <w:szCs w:val="20"/>
          <w:color w:val="auto"/>
        </w:rPr>
      </w:pPr>
    </w:p>
    <w:p>
      <w:pPr>
        <w:jc w:val="both"/>
        <w:ind w:firstLine="8"/>
        <w:spacing w:after="0" w:line="267" w:lineRule="auto"/>
        <w:tabs>
          <w:tab w:leader="none" w:pos="3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other non-recurring expenses of the Company and its Subsidiaries (excluding, for the avoidance of doubt, Unrestricted Subsidiaries) reducing such Consolidated Net Income which do not represent a cash item in such period or any future period and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following to the extent included in calculating such Consolidated Net Income: (i) Federal, state, local and foreign income tax credits of the Company and its Subsidiaries (excluding, for the avoidance of doubt, Unrestricted Subsidiaries) and (ii) all non-cash items increasing Consolidated Net Income;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for purposes of determining compliance with the financial covenant(s) set forth in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if, since the beginning of the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of any partial ownership interest in any other Person, Consolidated EBITDA shall be calculated giving pro forma effect thereto as if the disposition, acquisition, consolidation or merger had occurred on the first day of such period, and such calculation shall be determined in good faith by a financial officer of the Company (and the Company will provide to the Administrative Agent such supporting information as Administrative Agent may reasonably request),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Consolidated EBITDA may, as provided in </w:t>
      </w:r>
      <w:r>
        <w:rPr>
          <w:rFonts w:ascii="Arial" w:cs="Arial" w:eastAsia="Arial" w:hAnsi="Arial"/>
          <w:sz w:val="17"/>
          <w:szCs w:val="17"/>
          <w:u w:val="single" w:color="auto"/>
          <w:color w:val="auto"/>
        </w:rPr>
        <w:t>Section 7.08</w:t>
      </w:r>
      <w:r>
        <w:rPr>
          <w:rFonts w:ascii="Arial" w:cs="Arial" w:eastAsia="Arial" w:hAnsi="Arial"/>
          <w:sz w:val="17"/>
          <w:szCs w:val="17"/>
          <w:color w:val="auto"/>
        </w:rPr>
        <w:t>, include Material Project EBITDA Adjustments.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Indebtedness</w:t>
      </w:r>
      <w:r>
        <w:rPr>
          <w:rFonts w:ascii="Arial" w:cs="Arial" w:eastAsia="Arial" w:hAnsi="Arial"/>
          <w:sz w:val="17"/>
          <w:szCs w:val="17"/>
          <w:color w:val="auto"/>
        </w:rPr>
        <w:t xml:space="preserve">” means, as of any date of determination, the sum of (without duplication): (i) the outstanding principal amount of all Indebtedness which is classified as “long-term indebtedness” on a consolidated balance sheet of the Company and its Subsidiaries on a consolidated basis (excluding, for the avoidance of doubt,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the Company and its Subsidiaries on a consolidated basis (excluding, for the avoidance of doubt, Unrestricted Subsidiaries) outstanding under a revolving credit, term or similar agreement (and renewals and extensions thereof); and (iii) the outstanding principal amount of Indebtedness in respect of Capital Leases of the Company and its Subsidiaries on a consolidated basis (excluding, for the avoidance of doubt, Unrestricted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Consolidated Funded Indebtedness shall not, if otherwise applicable, include (x) Indebtedness in respect of letters of credit, (y) Indebtedness incurred to finance Cash and Carry Purchases or (z) margin deposits.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xml:space="preserve">” means, as of the end of any fiscal quarter, the ratio of (a) Consolidated Funded Indebtedness as of such date </w:t>
      </w:r>
      <w:r>
        <w:rPr>
          <w:rFonts w:ascii="Arial" w:cs="Arial" w:eastAsia="Arial" w:hAnsi="Arial"/>
          <w:sz w:val="16"/>
          <w:szCs w:val="16"/>
          <w:i w:val="1"/>
          <w:iCs w:val="1"/>
          <w:color w:val="auto"/>
        </w:rPr>
        <w:t>to</w:t>
      </w:r>
      <w:r>
        <w:rPr>
          <w:rFonts w:ascii="Arial" w:cs="Arial" w:eastAsia="Arial" w:hAnsi="Arial"/>
          <w:sz w:val="16"/>
          <w:szCs w:val="16"/>
          <w:color w:val="auto"/>
        </w:rPr>
        <w:t xml:space="preserve"> (b) Consolidated EBITDA for the trailing four quarter period ending on such date, as Consolidated EBITDA may be adjusted pursuant to </w:t>
      </w:r>
      <w:r>
        <w:rPr>
          <w:rFonts w:ascii="Arial" w:cs="Arial" w:eastAsia="Arial" w:hAnsi="Arial"/>
          <w:sz w:val="16"/>
          <w:szCs w:val="16"/>
          <w:u w:val="single" w:color="auto"/>
          <w:color w:val="auto"/>
        </w:rPr>
        <w:t>Section 7.08</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for the Company and its Subsidiaries on a consolidated basis (excluding, for the avoidance of doubt, Unrestricted Subsidiaries), the net income of the Company and its Subsidiaries (excluding, for the avoidance of doubt, Unrestricted Subsidiaries) for that period, including any cash dividends or distributions actually received from any Unrestricted Subsidiaries or other Persons during such period, limiting net income attributed to any non-wholly-owned consolidated Subsidiary to a proportional amount of such Subsidiary’s net income equal to the Company’s direct or indirect ownership interest therein. “Consolidated Net Income” shall not include (i) any gain or loss from the sale of assets other than in the ordinary course of business, (ii) any non-cash gains or losses resulting from mark to market activity as a result of the implementation of SFAS 133 or EITF 98-10 or (iii) any extraordinary gains or losses. In addition, “Consolidated Net Income” shall not include the cost or proceeds of purchasing or selling options which are used to hedge future activity, until the period in which such hedged future activity occurs.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means, as of any date of determination, the Consolidated Assets of the Company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book value (net of any applicable reserves and accumulated amortization) of all goodwill, trade names, trademarks, patents and other like intangible assets, all as set forth, or on a pro forma basis would be set forth, on the consolidated balance sheet of the Company and its Subsidiaries for the Company’s most recently completed fiscal quarter for which financial statements are available, prepared in accordance with GAAP.</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at any date of determination, the sum of (a) preferred stock (if any), (b) par value of common stock, (c) capital in excess of par value of common stock, (d) partners’ capital or equity and (e) retained earnings, less treasury stock (if any), of such Person, all as determined on a consolidated basis.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Capitalization</w:t>
      </w:r>
      <w:r>
        <w:rPr>
          <w:rFonts w:ascii="Arial" w:cs="Arial" w:eastAsia="Arial" w:hAnsi="Arial"/>
          <w:sz w:val="16"/>
          <w:szCs w:val="16"/>
          <w:color w:val="auto"/>
        </w:rPr>
        <w:t>” means the sum of (a) Consolidated Funded Indebtedness and (b) the Company’s Consolidated Net Worth.</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published on such date by the Federal Reserve Bank of New York, as the administrator of the benchmark (or a successor administrator) on the Federal Reserve Bank of New York’s website (or any successor source).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has the meaning specified in the definition of “Applicable Rate”.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at any time during a Default Rate Period, (a) when used with respect to Obligations other than Letter of Credit Fees and Canadian Prime Rate Loans,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Eurocurrency Rate Loan, the Default Rate shall be an interest rate equal to the interest rate (including any Applicable Rate) otherwise applicable to such Eurocurrency Rate Loan plus 2% per annum, (b) when used with respect to Canadian Prime Rate Loans, an interest rate equal to (i)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applicable to Canadian Prime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and (c) when used with respect to Letter of Credit Fees, a rate equal to the Applicable Rate plus 2% per annum.</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 Period</w:t>
      </w:r>
      <w:r>
        <w:rPr>
          <w:rFonts w:ascii="Arial" w:cs="Arial" w:eastAsia="Arial" w:hAnsi="Arial"/>
          <w:sz w:val="17"/>
          <w:szCs w:val="17"/>
          <w:color w:val="auto"/>
        </w:rPr>
        <w:t xml:space="preserve">” means (a) any period during which an Event of Default, other than pursuant to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is continuing, provided that such period shall not begin until notice of the commencement of the Default Rate has been given to the Company by the Administrative Agent upon the instruction by the Required Lenders and (b) any period during which any Event of Default pursuant to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is continuing unless the Company has been notified otherwise by the Administrative Agent upon the instruction by the Required Lenders.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any Lender that, as determined by the Administrative Agent, (a) has failed to fund any of its funding obligations hereunder in respect of its Loans or participations in respect of Letters of Credit or Swing Line Loans, within two Business Days of the date required to be funded by it hereunder, or has failed to make any payment to the Administrative Agent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within the time specified therein, (b) has notified the Company or the Administrative Agent that it does not intend to comply with its funding obligations hereunder or has made a public statement to that effect with respect to its funding obligations hereunder or under other agreements in which it commits to extend credit,</w:t>
      </w:r>
    </w:p>
    <w:p>
      <w:pPr>
        <w:spacing w:after="0" w:line="2" w:lineRule="exact"/>
        <w:rPr>
          <w:sz w:val="20"/>
          <w:szCs w:val="20"/>
          <w:color w:val="auto"/>
        </w:rPr>
      </w:pPr>
    </w:p>
    <w:p>
      <w:pPr>
        <w:jc w:val="both"/>
        <w:ind w:firstLine="8"/>
        <w:spacing w:after="0" w:line="268" w:lineRule="auto"/>
        <w:tabs>
          <w:tab w:leader="none" w:pos="2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has failed, within two Business Days after request by the Administrative Agent or the Company,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become the subject of a Bail-In Action or (iv) taken any action in furtherance of, or indicated its consent to, approval of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Bills and Notes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S.C. 1998, c. 13,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Jurisdiction</w:t>
      </w:r>
      <w:r>
        <w:rPr>
          <w:rFonts w:ascii="Arial" w:cs="Arial" w:eastAsia="Arial" w:hAnsi="Arial"/>
          <w:sz w:val="16"/>
          <w:szCs w:val="16"/>
          <w:color w:val="auto"/>
        </w:rPr>
        <w:t>” means any country, region or territory to the extent that such country or territory itself is the subject of any Sanction.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w:t>
      </w:r>
      <w:r>
        <w:rPr>
          <w:rFonts w:ascii="Arial" w:cs="Arial" w:eastAsia="Arial" w:hAnsi="Arial"/>
          <w:sz w:val="18"/>
          <w:szCs w:val="18"/>
          <w:color w:val="auto"/>
        </w:rPr>
        <w:t>” means each Person from time to time and at each relevant time acting in the capacity as a documentation agent, co-documentation agent, joint-documentation agent or similar documentation agent capacity in connection with this Agreement, Banco Bilbao Vizcaya Argentaria, S.A., New York Branch, Bank of Montreal, Bank of Nova Scotia, Houston Branch, Barclays Bank PLC, Canadian Imperial Bank of Commerce, New York Branch, CoBank, ACB, ING Capital LLC, Mizuho Bank, Ltd., MUFG Bank, Ltd., PNC Bank, National Association, Regions Bank, Royal Bank of Canada, Sumitomo Mitsui Banking Corporation, The Toronto-Dominion Bank, New York Branch, Truist Bank and U.S. Bank National Association, are acting in the capacity as co-documentation agents.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Canadian Dollars, the equivalent amount thereof in Dollars as reasonably determined by the Administrative Agent or the applicable L/C Issuer, as the case may be, in accordance with normal banking industry practice using the Spot Rate (determined in respect of the most recent Revaluation Date) for the purchase of Dollars with Canadian Dollars.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the United States, a State thereof or the District of Columbia.</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 determination by the Administrative Agent, or a notification by the Company to the Administrative Agent that the Company has made a determination, that U.S. dollar-denominated syndicated credit facilities currently being executed, or that include language similar to that contained in </w:t>
      </w:r>
      <w:r>
        <w:rPr>
          <w:rFonts w:ascii="Arial" w:cs="Arial" w:eastAsia="Arial" w:hAnsi="Arial"/>
          <w:sz w:val="18"/>
          <w:szCs w:val="18"/>
          <w:u w:val="single" w:color="auto"/>
          <w:color w:val="auto"/>
        </w:rPr>
        <w:t>Section 3.03(c)</w:t>
      </w:r>
      <w:r>
        <w:rPr>
          <w:rFonts w:ascii="Arial" w:cs="Arial" w:eastAsia="Arial" w:hAnsi="Arial"/>
          <w:sz w:val="18"/>
          <w:szCs w:val="18"/>
          <w:color w:val="auto"/>
        </w:rPr>
        <w:t>, are being executed or amended (as applicable) to incorporate or adopt a new benchmark interest rate to replace LIBOR, and</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Company to replace LIBOR with a Benchmark Replacement and the provision by the Administrative Agent of written notice of such election to the Lenders.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w:t>
      </w:r>
    </w:p>
    <w:p>
      <w:pPr>
        <w:ind w:left="260" w:hanging="252"/>
        <w:spacing w:after="0"/>
        <w:tabs>
          <w:tab w:leader="none" w:pos="26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definition, or (c) any financial institution established in an EEA Member Country which is a subsidiary of an institution described in </w:t>
      </w:r>
      <w:r>
        <w:rPr>
          <w:rFonts w:ascii="Arial" w:cs="Arial" w:eastAsia="Arial" w:hAnsi="Arial"/>
          <w:sz w:val="17"/>
          <w:szCs w:val="17"/>
          <w:u w:val="single" w:color="auto"/>
          <w:color w:val="auto"/>
        </w:rPr>
        <w:t>clauses</w:t>
      </w:r>
    </w:p>
    <w:p>
      <w:pPr>
        <w:spacing w:after="0" w:line="20" w:lineRule="exact"/>
        <w:rPr>
          <w:rFonts w:ascii="Arial" w:cs="Arial" w:eastAsia="Arial" w:hAnsi="Arial"/>
          <w:sz w:val="17"/>
          <w:szCs w:val="17"/>
          <w:u w:val="single" w:color="auto"/>
          <w:color w:val="auto"/>
        </w:rPr>
      </w:pPr>
    </w:p>
    <w:p>
      <w:pPr>
        <w:ind w:left="260" w:hanging="252"/>
        <w:spacing w:after="0"/>
        <w:tabs>
          <w:tab w:leader="none" w:pos="260" w:val="left"/>
        </w:tabs>
        <w:numPr>
          <w:ilvl w:val="0"/>
          <w:numId w:val="16"/>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and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shall have the meanings assigned to them, respectively, by 15 USC §7006, as it may be amended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state, local, and foreign statutes, laws, regulations, ordinances, rules, judgments, interpretations, orders, decrees, permits, concessions, grants, franchises, licenses, agreements or governmental restrictions relating to pollution and the protection of the environment and natural resources and, as such relates to exposure to Hazardous Materials, human and health and safety, or the release of any materials into the environment, including those related to hazardous substances or wastes, air emissions and discharges to waste or public systems.</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225" w:lineRule="exact"/>
        <w:rPr>
          <w:sz w:val="20"/>
          <w:szCs w:val="20"/>
          <w:color w:val="auto"/>
        </w:rPr>
      </w:pPr>
    </w:p>
    <w:p>
      <w:pPr>
        <w:ind w:left="1120" w:hanging="464"/>
        <w:spacing w:after="0"/>
        <w:tabs>
          <w:tab w:leader="none" w:pos="1120"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for any Interest Period with respect to a Eurocurrency Rate Loan:</w:t>
      </w:r>
    </w:p>
    <w:p>
      <w:pPr>
        <w:spacing w:after="0" w:line="225" w:lineRule="exact"/>
        <w:rPr>
          <w:rFonts w:ascii="Arial" w:cs="Arial" w:eastAsia="Arial" w:hAnsi="Arial"/>
          <w:sz w:val="18"/>
          <w:szCs w:val="18"/>
          <w:color w:val="010000"/>
        </w:rPr>
      </w:pPr>
    </w:p>
    <w:p>
      <w:pPr>
        <w:jc w:val="both"/>
        <w:ind w:left="660" w:firstLine="644"/>
        <w:spacing w:after="0" w:line="255" w:lineRule="auto"/>
        <w:tabs>
          <w:tab w:leader="none" w:pos="1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Eurocurrency Rate Loan denominated in Dollars, the rate per annum equal to the London Interbank Offered Rate (“LIBOR”), as published on the applicable Reuters Screen page (or such other commercially available source providing quotations of LIBOR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and if the Eurocurrency Rate shall be less than zero, such rate shall be deemed zero for purposes of this Agreement; and</w:t>
      </w:r>
    </w:p>
    <w:p>
      <w:pPr>
        <w:spacing w:after="0" w:line="192" w:lineRule="exact"/>
        <w:rPr>
          <w:rFonts w:ascii="Arial" w:cs="Arial" w:eastAsia="Arial" w:hAnsi="Arial"/>
          <w:sz w:val="18"/>
          <w:szCs w:val="18"/>
          <w:color w:val="auto"/>
        </w:rPr>
      </w:pPr>
    </w:p>
    <w:p>
      <w:pPr>
        <w:ind w:left="660" w:firstLine="644"/>
        <w:spacing w:after="0" w:line="277" w:lineRule="auto"/>
        <w:tabs>
          <w:tab w:leader="none" w:pos="17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a Eurocurrency Rate Loan denominated in Canadian Dollars, at a rate per annum equal to CDOR for a Canadian BA in such amount with a term equivalent to such Interest Period for such Loan; and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27"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for any interest calculation with respect to (i) a Base Rate Loan or a Swing Line Loan based on the Eurocurrency Rate denominated in Dollars, on any date, the rate per annum equal to LIBOR, at approximately 11:00 a.m., London time determined two London Banking Days prior to such date for Dollar deposits being delivered in the London interbank market for a term of one month commencing that day and (ii) a Swing Line Loan based on the Eurocurrency Rate denominated in Canadian Dollars, on any date, the rate per annum equal to CDOR for a Canadian BA in such amount with a term of one month commencing on that day.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Committed Loan</w:t>
      </w:r>
      <w:r>
        <w:rPr>
          <w:rFonts w:ascii="Arial" w:cs="Arial" w:eastAsia="Arial" w:hAnsi="Arial"/>
          <w:sz w:val="18"/>
          <w:szCs w:val="18"/>
          <w:color w:val="auto"/>
        </w:rPr>
        <w:t>” means a Committed Loan that bears interest at a rate based on clause (a) of the definition of “Eurocurrency Rate.” Eurocurrency Rate Loans may be denominated in Dollars or in Canadian Dollars.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means (i) a Eurocurrency Rate Committed Loan or (ii) a Swing Line Loan that bears interest at a rate based on the Eurocurrency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81" w:lineRule="auto"/>
        <w:tabs>
          <w:tab w:leader="none" w:pos="2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and Canadian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withholding Taxes imposed pursuant to FATCA.</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Agreement dated as of August 19, 2011 among the Company and PMCULC, as borrowers, Bank of America, as administrative agent, and the lenders named therein, as heretofore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means the letters of credit issued and outstanding under the Existing Credit Agreement as of the Closing Date.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has the meaning specified in Section 2.14(a).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purposes of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each of the letter agreements among the Company and the Administrative Agent and/or the Arrangers and executed in relation to this Agreement and the transactions contemplated thereby.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any Lender that is organized under the Laws of a jurisdiction other than that in which such Borrower is resident for tax purposes (including such a Lender when acting in the capacity of an L/C Issuer). For purposes of this definition, the United States, each State thereof and the District of Columbia shall constitute a single jurisdiction.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a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those generally accepted accounting principles and practices which are recognized as such by the Financial Accounting Standards Board (or any generally recognized successor) and which, in the case of the Company and its Subsidiaries on a consolidated basis, are applied for all periods after the date hereof in a manner consistent with the manner in which such principles and practices were applied to the Audited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Partner</w:t>
      </w:r>
      <w:r>
        <w:rPr>
          <w:rFonts w:ascii="Arial" w:cs="Arial" w:eastAsia="Arial" w:hAnsi="Arial"/>
          <w:sz w:val="17"/>
          <w:szCs w:val="17"/>
          <w:color w:val="auto"/>
        </w:rPr>
        <w:t>” means PAA GP LLC, a Delaware limited liability company, in its capacity as the sole general partner of the Company.</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Hedged Inventory Credit Agreement</w:t>
      </w:r>
      <w:r>
        <w:rPr>
          <w:rFonts w:ascii="Arial" w:cs="Arial" w:eastAsia="Arial" w:hAnsi="Arial"/>
          <w:sz w:val="18"/>
          <w:szCs w:val="18"/>
          <w:color w:val="auto"/>
        </w:rPr>
        <w:t>” means that certain Fourth Amended and Restated Credit Agreement of even date herewith among Plains Marketing and PMCULC, as borrowers, Bank of America, N.A., as administrative agent, and the lenders named therein, as from time to time amended, supplemented or restated.</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Hybrid Securities</w:t>
      </w:r>
      <w:r>
        <w:rPr>
          <w:rFonts w:ascii="Arial" w:cs="Arial" w:eastAsia="Arial" w:hAnsi="Arial"/>
          <w:sz w:val="16"/>
          <w:szCs w:val="16"/>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the Company,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the Company or any other Restricted Person, (b) that have been formed for the purpose of issuing trust preferred securities or deferrable interest subordinated debt, and</w:t>
      </w:r>
    </w:p>
    <w:p>
      <w:pPr>
        <w:spacing w:after="0" w:line="2" w:lineRule="exact"/>
        <w:rPr>
          <w:sz w:val="20"/>
          <w:szCs w:val="20"/>
          <w:color w:val="auto"/>
        </w:rPr>
      </w:pPr>
    </w:p>
    <w:p>
      <w:pPr>
        <w:ind w:firstLine="8"/>
        <w:spacing w:after="0" w:line="260" w:lineRule="auto"/>
        <w:tabs>
          <w:tab w:leader="none" w:pos="2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substantially all the assets of which consist of (i) subordinated debt of the Company or another Restricted Person and (ii) payments made from time to time on the subordinated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R.S.C. 1985 c. 1 (fifth supplement), as amended, including the regulations made and, from time to time, in force under that Act.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1120" w:hanging="464"/>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225" w:lineRule="exact"/>
        <w:rPr>
          <w:rFonts w:ascii="Arial" w:cs="Arial" w:eastAsia="Arial" w:hAnsi="Arial"/>
          <w:sz w:val="18"/>
          <w:szCs w:val="18"/>
          <w:color w:val="auto"/>
        </w:rPr>
      </w:pPr>
    </w:p>
    <w:p>
      <w:pPr>
        <w:ind w:firstLine="656"/>
        <w:spacing w:after="0" w:line="342" w:lineRule="auto"/>
        <w:tabs>
          <w:tab w:leader="none" w:pos="11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23" w:lineRule="exact"/>
        <w:rPr>
          <w:rFonts w:ascii="Arial" w:cs="Arial" w:eastAsia="Arial" w:hAnsi="Arial"/>
          <w:sz w:val="16"/>
          <w:szCs w:val="16"/>
          <w:color w:val="auto"/>
        </w:rPr>
      </w:pPr>
    </w:p>
    <w:p>
      <w:pPr>
        <w:ind w:right="20" w:firstLine="656"/>
        <w:spacing w:after="0" w:line="277" w:lineRule="auto"/>
        <w:tabs>
          <w:tab w:leader="none" w:pos="11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 other than surety, bid, performance, statutory and other similar bonds and instruments obtained in the ordinary course of business,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firstLine="656"/>
        <w:spacing w:after="0" w:line="277" w:lineRule="auto"/>
        <w:tabs>
          <w:tab w:leader="none" w:pos="11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Synthetic Lease Obligations, or</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Act (Canada)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Interest Act</w:t>
      </w:r>
      <w:r>
        <w:rPr>
          <w:rFonts w:ascii="Arial" w:cs="Arial" w:eastAsia="Arial" w:hAnsi="Arial"/>
          <w:sz w:val="16"/>
          <w:szCs w:val="16"/>
          <w:color w:val="auto"/>
        </w:rPr>
        <w:t>, R.S.C. 1985, c. I-15, including the regulations made and, from time to time, in force under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or a Canadian Prime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and (b) as to any Base Rate Loan or Canadian Prime Rate Loan (including a Swing Line Loan), the last Business Day of each March, June, September and December and the Maturity Date.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as to each Eurocurrency Rate Loan, the period commencing on the date of such Borrowing or the date such Eurocurrency Rate Loan is converted to or continued as a Eurocurrency Rate Loan and (x) with respect to a Eurocurrency Rate Loan denominated in Dollars, ending on the date one month, three months or six months thereafter, or (y) with respect to a Eurocurrency Rate Loan denominated in Canadian Dollars, ending on the date one month, two months or three months thereafter, in each case, as selected by the Company in its Committed Loan Notice or such other period that is twelve months or less requested by the Company and consented to by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6" w:lineRule="exact"/>
        <w:rPr>
          <w:sz w:val="20"/>
          <w:szCs w:val="20"/>
          <w:color w:val="auto"/>
        </w:rPr>
      </w:pPr>
    </w:p>
    <w:p>
      <w:pPr>
        <w:jc w:val="both"/>
        <w:ind w:left="660" w:firstLine="644"/>
        <w:spacing w:after="0" w:line="263" w:lineRule="auto"/>
        <w:tabs>
          <w:tab w:leader="none" w:pos="17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next preceding Business Day;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left="660" w:firstLine="644"/>
        <w:spacing w:after="0" w:line="263" w:lineRule="auto"/>
        <w:tabs>
          <w:tab w:leader="none" w:pos="17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3" w:lineRule="exact"/>
        <w:rPr>
          <w:rFonts w:ascii="Arial" w:cs="Arial" w:eastAsia="Arial" w:hAnsi="Arial"/>
          <w:sz w:val="18"/>
          <w:szCs w:val="18"/>
          <w:color w:val="auto"/>
        </w:rPr>
      </w:pPr>
    </w:p>
    <w:p>
      <w:pPr>
        <w:ind w:left="1800" w:hanging="496"/>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International Chamber of Commerce Publication No. 590 (or such later version thereof as may be in effect at the applicable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any L/C Issuer and the applicable Borrower (or any Subsidiary) or in favor of such L/C Issuer and relating to such Letter of Credit.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Borrowing</w:t>
      </w:r>
      <w:r>
        <w:rPr>
          <w:rFonts w:ascii="Arial" w:cs="Arial" w:eastAsia="Arial" w:hAnsi="Arial"/>
          <w:sz w:val="16"/>
          <w:szCs w:val="16"/>
          <w:color w:val="auto"/>
        </w:rPr>
        <w:t xml:space="preserve">” means an extension of credit resulting from a drawing under any Letter of Credit which has not been reimbursed on the date as required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or refinanced as a Committed Borrowing. Unless otherwise agreed by the applicable Borrower and the applicable L/C Issuer, all L/C Borrowings shall be denominated in the currency of the Letter of Credit that was drawn upon that resulted in such L/C Borrowing.</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with respect to each L/C Issuer, the commitment of such L/C Issuer to issue Letters of Credit hereunder. The initial amount of each L/C Issuer’s L/C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or if an L/C Issuer has entered into an Assignment and Assumption or has otherwise assumed an L/C Commitment after the Closing Date, the amount set forth for such L/C Issuer as its L/C Commitment in the Register maintained by the Administrative Agent. The Letter of Credit Commitment of an L/C Issuer may be modified from time to time by agreement between such L/C Issuer and the Company, and notified to the Administrative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L/C Issuer pursuant to a Letter of Credit.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Issuer</w:t>
      </w:r>
      <w:r>
        <w:rPr>
          <w:rFonts w:ascii="Arial" w:cs="Arial" w:eastAsia="Arial" w:hAnsi="Arial"/>
          <w:sz w:val="17"/>
          <w:szCs w:val="17"/>
          <w:color w:val="auto"/>
        </w:rPr>
        <w:t>” means each of (i) Bank of America, Citibank, N.A., JPMorgan Chase Bank, N.A. and Wells Fargo Bank, National Association, in its capacity as issuer of Letters of Credit hereunder, or any successor issuer of Letters of Credit hereunder and (ii) any other Lender appointed as a replacement or additional “L/C Issuer” pursuant to the immediately succeeding sentence. From time to time the Administrative Agent may, with the consent of the Company and the Lender in question, or the Company may, with the consent of the Lender in question and notice to the Administrative Agent, appoint such Lender hereunder as an L/C Issuer in place of any L/C Issuer, or in addition to the L/C Issuers as of such time. Any L/C Issuer may, in its discretion, arrange for one or more Letters of Credit to be issued by Affiliates of such L/C Issuer, in which case the term “L/C Issuer” shall include any such Affiliate with respect to Letters of Credit issued by such Affiliate. Each reference herein to the “L/C Issuer” in connection with a Letter of Credit or other matter shall be deemed to be a reference to the relevant L/C Issuer with respect thereto.</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at any time, the sum of (a) the aggregate undrawn amount of all outstanding Letters of Credit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aggregate amount of all Unreimbursed Amounts, including (without duplication) all L/C Borrowings. The L/C Obligations of any Lender at any time shall be its Applicable Percentage of the total L/C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prior to such expiration been presented but not yet honored, such Letter of Credit shall be deemed to be “outstanding” and “undrawn” in the amount so remaining available to be paid, and the obligations of the Borrower requesting such Letter of Credit and each Lender shall remain in full force and effect until the applicable L/C Issuer shall have no further obligation to make any payments or disbursements under any circumstances with respect to such Letter of Credit.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Sublimit</w:t>
      </w:r>
      <w:r>
        <w:rPr>
          <w:rFonts w:ascii="Arial" w:cs="Arial" w:eastAsia="Arial" w:hAnsi="Arial"/>
          <w:sz w:val="17"/>
          <w:szCs w:val="17"/>
          <w:color w:val="auto"/>
        </w:rPr>
        <w:t>” means an amount equal to $400,000,000. The L/C Sublimit is part of, and not in addition to, the Aggregate Commitments.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has the meaning specified in the introductory paragraph hereto and, as the context requires, includes the Swing Line Lender.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Parties</w:t>
      </w:r>
      <w:r>
        <w:rPr>
          <w:rFonts w:ascii="Arial" w:cs="Arial" w:eastAsia="Arial" w:hAnsi="Arial"/>
          <w:sz w:val="17"/>
          <w:szCs w:val="17"/>
          <w:color w:val="auto"/>
        </w:rPr>
        <w:t>” and “</w:t>
      </w:r>
      <w:r>
        <w:rPr>
          <w:rFonts w:ascii="Arial" w:cs="Arial" w:eastAsia="Arial" w:hAnsi="Arial"/>
          <w:sz w:val="17"/>
          <w:szCs w:val="17"/>
          <w:u w:val="single" w:color="auto"/>
          <w:color w:val="auto"/>
        </w:rPr>
        <w:t>Lender Recipient Parties</w:t>
      </w:r>
      <w:r>
        <w:rPr>
          <w:rFonts w:ascii="Arial" w:cs="Arial" w:eastAsia="Arial" w:hAnsi="Arial"/>
          <w:sz w:val="17"/>
          <w:szCs w:val="17"/>
          <w:color w:val="auto"/>
        </w:rPr>
        <w:t>” means, collectively, the Administrative Agent, the L/C Issuers, the Swing Line Lender and all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in accordance with the terms hereof, which office may include any Affiliate of such Lender or any domestic or foreign branch of such Lender or such Affiliate. Unless the context otherwise requires each reference to a Lender shall include its applicable Lending Office.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hereunder at the request of any Borrower providing for the payment of cash upon the honoring of a drawing thereunder and shall include the Existing Letters of Credit. A Letter of Credit may be a commercial letter of credit or a standby letter of credit;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commercial letter of credit issued hereunder shall provide solely for cash payment upon presentation of a sight draft,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agreed to by the L/C Issuer issuing such letter of credit.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“Letter of Credit Fee” has the meaning specified in Section 2.03(h).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Report</w:t>
      </w:r>
      <w:r>
        <w:rPr>
          <w:rFonts w:ascii="Arial" w:cs="Arial" w:eastAsia="Arial" w:hAnsi="Arial"/>
          <w:sz w:val="17"/>
          <w:szCs w:val="17"/>
          <w:color w:val="auto"/>
        </w:rPr>
        <w:t xml:space="preserve">” means a certificate substantially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or any other form approved by the Administrative Agent.</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means an extension of credit by a Lender to a Borrower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Committed Loan or a Swing Line Loan.</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Designated Borrower Request and Assumption Agreement, each Note, each Issuer Document, each Canadian BA, any agreement creating or perfecting rights in Cash Collateral pursuant to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this Agreement, Fee Letters and any guaranty of the Obligations delivered in connection herewith.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each of (i) the Company, (ii) PMCULC and (iii) each Designated Borrower.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properties or financial condition of the Company and its Subsidiaries taken as a whole; (b) a material adverse effect on the ability of any Loan Party to pay its obligations under any Loan Document to which it is a party; or (c) a material adverse effect on the enforceability against any Loan Party of any material terms of any Loan Document to which it is a party.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the later of (a) such date that is five years from the Closing Date and (b) if the Maturity Date then in effect is extended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such extended Maturity Date; provided, however, that if such date does not satisfy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“Business Day,” the Maturity Date shall be the next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local time shall be no earlier than 12:00 noon, Eastern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(i) with respect to Cash Collateral consisting of cash or deposit account balances, an amount equal to 102% of the Fronting Exposure of all L/C Issuers with respect to Letters of Credit issued and outstanding at such time and (ii) otherwise, an amount determined by the Administrative Agent and the L/C Issuers in their sole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any successor to the ratings agency business thereof.</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 Plan which has two or more contributing sponsors (including the Company or any ERISA Affiliate) at least two of whom are not under common control at such times and meeting the requirements of such a plan as described in Section 4064 of ERISA.</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(b) has been approved by the Required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“Non-Extending Lender” has the meaning specified in Section 2.14(b).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Committed Loan Notes and the Swing Line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Additional L/C Issuer</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or any other form approved by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or Canadian BA, whether direct or indirect (including those acquired by assumption), absolute or contingent, due or to become due, now existing or hereafter arising and including interest and fees that accrue after the commencement by or against any Loan Party or any of its Affiliates of any proceeding under any Debtor Relief Laws naming such Person as the debtor in such proceeding, regardless of whether such interest and fees are allowed claims in such proceeding.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accounted for as an operating lease under the provisions of GAAP in effect as of December 31, 2015.</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Rate Early Opt-in</w:t>
      </w:r>
      <w:r>
        <w:rPr>
          <w:rFonts w:ascii="Arial" w:cs="Arial" w:eastAsia="Arial" w:hAnsi="Arial"/>
          <w:sz w:val="18"/>
          <w:szCs w:val="18"/>
          <w:color w:val="auto"/>
        </w:rPr>
        <w:t xml:space="preserve">” means the Administrative Agent and the Company have elected to replace LIBOR with a Benchmark Replacement other than a SOFR-based rate pursuant to (1) an Early Opt-in Election and (2) </w:t>
      </w:r>
      <w:r>
        <w:rPr>
          <w:rFonts w:ascii="Arial" w:cs="Arial" w:eastAsia="Arial" w:hAnsi="Arial"/>
          <w:sz w:val="18"/>
          <w:szCs w:val="18"/>
          <w:u w:val="single" w:color="auto"/>
          <w:color w:val="auto"/>
        </w:rPr>
        <w:t>Section 3.03(c)(ii)</w:t>
      </w:r>
      <w:r>
        <w:rPr>
          <w:rFonts w:ascii="Arial" w:cs="Arial" w:eastAsia="Arial" w:hAnsi="Arial"/>
          <w:sz w:val="18"/>
          <w:szCs w:val="18"/>
          <w:color w:val="auto"/>
        </w:rPr>
        <w:t xml:space="preserve"> and paragraph (2) of the definition of “Benchmark Replacement”.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(i)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(ii) with respect to any L/C Obligations on any date, the Dollar Equivalent amount of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and (iii) with respect to any Canadian BA on any date, the Dollar Equivalent amount of the unpaid portion of the face amount thereof on such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Rate</w:t>
      </w:r>
      <w:r>
        <w:rPr>
          <w:rFonts w:ascii="Arial" w:cs="Arial" w:eastAsia="Arial" w:hAnsi="Arial"/>
          <w:sz w:val="17"/>
          <w:szCs w:val="17"/>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relevant banking industry rules on interbank compensation for major banks in the United States interbank market, and (b) with respect to any amount denominated in Canadian Dollars, the rate of interest per annum at which overnight deposits in Canadian Dollars,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 Register” has the meaning specified in Section 11.06(d)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funding standards with respect to Pension Plans and set forth in Sections 412, 430, 431, 432 and 436 of the Code and Sections 302, 303, 304 and 305 of ERISA.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w:t>
      </w:r>
      <w:r>
        <w:rPr>
          <w:rFonts w:ascii="Arial" w:cs="Arial" w:eastAsia="Arial" w:hAnsi="Arial"/>
          <w:sz w:val="18"/>
          <w:szCs w:val="18"/>
          <w:color w:val="auto"/>
        </w:rPr>
        <w:t>” means Plains Oryx Permian Basin LLC, a Delaware limited liability company, in which the Company is to indirectly own, as of the date of the closing of the Permian JV Merger Agreement, a 65% Equity Interest therein.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 Merger Agreement</w:t>
      </w:r>
      <w:r>
        <w:rPr>
          <w:rFonts w:ascii="Arial" w:cs="Arial" w:eastAsia="Arial" w:hAnsi="Arial"/>
          <w:sz w:val="18"/>
          <w:szCs w:val="18"/>
          <w:color w:val="auto"/>
        </w:rPr>
        <w:t>” means that certain Agreement and Plan of Merger dated as of July 12, 2021 by and among Plains Pipeline, Plains Marketing, Oryx Midstream Holdings LLC and certain affiliates, Permian JV, POPB Marketing and POPB Pipeline, together with all exhibits and schedules attached thereto, attached to the Company’s Form 8-K filed with the SEC on July 13,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 Transaction Documents</w:t>
      </w:r>
      <w:r>
        <w:rPr>
          <w:rFonts w:ascii="Arial" w:cs="Arial" w:eastAsia="Arial" w:hAnsi="Arial"/>
          <w:sz w:val="18"/>
          <w:szCs w:val="18"/>
          <w:color w:val="auto"/>
        </w:rPr>
        <w:t>” means:</w:t>
      </w:r>
    </w:p>
    <w:p>
      <w:pPr>
        <w:spacing w:after="0" w:line="225" w:lineRule="exact"/>
        <w:rPr>
          <w:sz w:val="20"/>
          <w:szCs w:val="20"/>
          <w:color w:val="auto"/>
        </w:rPr>
      </w:pPr>
    </w:p>
    <w:p>
      <w:pPr>
        <w:ind w:left="1740" w:hanging="436"/>
        <w:spacing w:after="0"/>
        <w:tabs>
          <w:tab w:leader="none" w:pos="1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Permian JV Merger Agreement;</w:t>
      </w:r>
    </w:p>
    <w:p>
      <w:pPr>
        <w:spacing w:after="0" w:line="225" w:lineRule="exact"/>
        <w:rPr>
          <w:rFonts w:ascii="Arial" w:cs="Arial" w:eastAsia="Arial" w:hAnsi="Arial"/>
          <w:sz w:val="18"/>
          <w:szCs w:val="18"/>
          <w:color w:val="auto"/>
        </w:rPr>
      </w:pPr>
    </w:p>
    <w:p>
      <w:pPr>
        <w:ind w:left="660" w:firstLine="644"/>
        <w:spacing w:after="0" w:line="342" w:lineRule="auto"/>
        <w:tabs>
          <w:tab w:leader="none" w:pos="17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“Divisive Merger Agreements”, the “Oryx Holdings Contribution Agreement”, the “Marketing Certificate of Merger”, the “Marketing Conversion Certificates” and the “Pipeline Conversion Certificates”, as such terms are defined in the Permian JV Merger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1800" w:hanging="496"/>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“Middle Cadence Contribution Agreement” , as such term is defined in the Permian JV Merger Agreement;</w:t>
      </w:r>
    </w:p>
    <w:p>
      <w:pPr>
        <w:spacing w:after="0" w:line="225" w:lineRule="exact"/>
        <w:rPr>
          <w:rFonts w:ascii="Arial" w:cs="Arial" w:eastAsia="Arial" w:hAnsi="Arial"/>
          <w:sz w:val="18"/>
          <w:szCs w:val="18"/>
          <w:color w:val="auto"/>
        </w:rPr>
      </w:pPr>
    </w:p>
    <w:p>
      <w:pPr>
        <w:ind w:left="660" w:firstLine="644"/>
        <w:spacing w:after="0" w:line="277" w:lineRule="auto"/>
        <w:tabs>
          <w:tab w:leader="none" w:pos="17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Amended and Restated Limited Liability Company Agreement of Permian JV, substantially in the form of Exhibit C-2 to the Permian JV Merger Agreement;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“Employee Matters Agreement”, the “Operating Agreement”, the “Marketing Services Agreement”, the “Buy/Sell Contract”, the “McCamey Capacity Lease”, the “Basin Capacity Lease”, the “Storage and Contango Agreement”, the “First Purchase Contract Assignment” and the “Secondment Agreement”, as such terms are defined in the Permian JV Merger Agreement;</w:t>
      </w:r>
    </w:p>
    <w:p>
      <w:pPr>
        <w:spacing w:after="0" w:line="183" w:lineRule="exact"/>
        <w:rPr>
          <w:rFonts w:ascii="Arial" w:cs="Arial" w:eastAsia="Arial" w:hAnsi="Arial"/>
          <w:sz w:val="18"/>
          <w:szCs w:val="18"/>
          <w:color w:val="auto"/>
        </w:rPr>
      </w:pPr>
    </w:p>
    <w:p>
      <w:pPr>
        <w:ind w:left="660" w:firstLine="644"/>
        <w:spacing w:after="0" w:line="277" w:lineRule="auto"/>
        <w:tabs>
          <w:tab w:leader="none" w:pos="17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“OMOG Services Agreement Assignment” and the “OMOG Services Agreement”, as such terms are defined in the Permian JV Merger Agreement;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capacity leases by and between POPB Marketing and POPB Pipeline for the BHT System, Iatan Gathering System, Porterville Pipeline and Scurry Pipeline,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other documents required to carry out the intention and purpose of the Permian JV Merger Agreement, including any connection agreements and shared facility use agreements;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as amended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Marketing</w:t>
      </w:r>
      <w:r>
        <w:rPr>
          <w:rFonts w:ascii="Arial" w:cs="Arial" w:eastAsia="Arial" w:hAnsi="Arial"/>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PMCULC</w:t>
      </w:r>
      <w:r>
        <w:rPr>
          <w:rFonts w:ascii="Arial" w:cs="Arial" w:eastAsia="Arial" w:hAnsi="Arial"/>
          <w:sz w:val="18"/>
          <w:szCs w:val="18"/>
          <w:color w:val="auto"/>
        </w:rPr>
        <w:t>” has the meaning specified in the introductory paragraph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POPB Marketing</w:t>
      </w:r>
      <w:r>
        <w:rPr>
          <w:rFonts w:ascii="Arial" w:cs="Arial" w:eastAsia="Arial" w:hAnsi="Arial"/>
          <w:sz w:val="16"/>
          <w:szCs w:val="16"/>
          <w:color w:val="auto"/>
        </w:rPr>
        <w:t>” means Plains Oryx Permian Basin Marketing LLC, a Texas limited liability company, a wholly-owned Subsidiary of Permian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JV.</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POPB Pipeline</w:t>
      </w:r>
      <w:r>
        <w:rPr>
          <w:rFonts w:ascii="Arial" w:cs="Arial" w:eastAsia="Arial" w:hAnsi="Arial"/>
          <w:sz w:val="16"/>
          <w:szCs w:val="16"/>
          <w:color w:val="auto"/>
        </w:rPr>
        <w:t>” means Plains Oryx Permian Basin Pipeline LLC, a Texas limited liability company, a wholly-owned Subsidiary of Permian JV.</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whether owned or leased on the date hereof or hereafter acquired:</w:t>
      </w:r>
    </w:p>
    <w:p>
      <w:pPr>
        <w:spacing w:after="0" w:line="225" w:lineRule="exact"/>
        <w:rPr>
          <w:sz w:val="20"/>
          <w:szCs w:val="20"/>
          <w:color w:val="auto"/>
        </w:rPr>
      </w:pPr>
    </w:p>
    <w:p>
      <w:pPr>
        <w:jc w:val="both"/>
        <w:ind w:firstLine="656"/>
        <w:spacing w:after="0" w:line="263" w:lineRule="auto"/>
        <w:tabs>
          <w:tab w:leader="none" w:pos="1095"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83" w:lineRule="exact"/>
        <w:rPr>
          <w:rFonts w:ascii="Arial" w:cs="Arial" w:eastAsia="Arial" w:hAnsi="Arial"/>
          <w:sz w:val="18"/>
          <w:szCs w:val="18"/>
          <w:color w:val="010000"/>
        </w:rPr>
      </w:pPr>
    </w:p>
    <w:p>
      <w:pPr>
        <w:ind w:left="1120" w:hanging="464"/>
        <w:spacing w:after="0"/>
        <w:tabs>
          <w:tab w:leader="none" w:pos="1120"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any processing or manufacturing plant or terminal owned or leased by any Restricted Person;</w:t>
      </w:r>
    </w:p>
    <w:p>
      <w:pPr>
        <w:spacing w:after="0" w:line="225" w:lineRule="exact"/>
        <w:rPr>
          <w:rFonts w:ascii="Arial" w:cs="Arial" w:eastAsia="Arial" w:hAnsi="Arial"/>
          <w:sz w:val="18"/>
          <w:szCs w:val="18"/>
          <w:color w:val="010000"/>
        </w:rPr>
      </w:pPr>
    </w:p>
    <w:p>
      <w:pPr>
        <w:jc w:val="both"/>
        <w:ind w:firstLine="656"/>
        <w:spacing w:after="0" w:line="257" w:lineRule="auto"/>
        <w:tabs>
          <w:tab w:leader="none" w:pos="1095"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any storage facility of any Restricted Person, including all storage caverns and reservoirs, injection, compression and production wells, injection and withdrawal sites and facilities, transportation and gathering pipelines, treating and processing plants and facilities, compressors and compression units, and other facilities, equipment and other assets owned or leased by any Restricted Person employed in the injection, storage, withdrawal, transportation, gathering, terminalling, treating, processing, distribution, transportation and marketing of natural gas, natural gas liquids, crude oil and refined petroleum products;</w:t>
      </w:r>
    </w:p>
    <w:p>
      <w:pPr>
        <w:spacing w:after="0" w:line="187" w:lineRule="exact"/>
        <w:rPr>
          <w:rFonts w:ascii="Arial" w:cs="Arial" w:eastAsia="Arial" w:hAnsi="Arial"/>
          <w:sz w:val="18"/>
          <w:szCs w:val="18"/>
          <w:color w:val="010000"/>
        </w:rPr>
      </w:pPr>
    </w:p>
    <w:p>
      <w:pPr>
        <w:ind w:right="20" w:firstLine="656"/>
        <w:spacing w:after="0" w:line="277" w:lineRule="auto"/>
        <w:tabs>
          <w:tab w:leader="none" w:pos="1105"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all rights, titles, interests and estates in and to oil and gas leases, oil, gas and mineral leases, or other liquid or gaseous Hydrocarbon leases, and mineral fee interests associated with the foregoing; and</w:t>
      </w:r>
    </w:p>
    <w:p>
      <w:pPr>
        <w:spacing w:after="0" w:line="170" w:lineRule="exact"/>
        <w:rPr>
          <w:rFonts w:ascii="Arial" w:cs="Arial" w:eastAsia="Arial" w:hAnsi="Arial"/>
          <w:sz w:val="18"/>
          <w:szCs w:val="18"/>
          <w:color w:val="010000"/>
        </w:rPr>
      </w:pPr>
    </w:p>
    <w:p>
      <w:pPr>
        <w:jc w:val="both"/>
        <w:ind w:firstLine="656"/>
        <w:spacing w:after="0" w:line="259" w:lineRule="auto"/>
        <w:tabs>
          <w:tab w:leader="none" w:pos="1117"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all volumes of natural gas stored at any storage facility required to remain in such storage facility (“base gas”) in order to provide necessary pressurization sufficient to extract (i) all third-party natural gas stored therein (“third-party gas”) and (ii) any other volumes of natural gas owned by the Company and its Subsidiaries and stored in such storage facility (“working gas”). For the avoidance of doubt, “Principal Property” shall not include third-party gas or working gas;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in the case of any of clauses (a) through (e):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the Company and its Subsidiaries, taken as a whole.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JV Entity</w:t>
      </w:r>
      <w:r>
        <w:rPr>
          <w:rFonts w:ascii="Arial" w:cs="Arial" w:eastAsia="Arial" w:hAnsi="Arial"/>
          <w:sz w:val="18"/>
          <w:szCs w:val="18"/>
          <w:color w:val="auto"/>
        </w:rPr>
        <w:t>” means any Person, other than a Subsidiary (a) in which the Company or a Restricted Subsidiary owns a direct or indirect Equity Interest and (b) (i) that has no Consolidated Funded Indebtedness; provided that references to “Company” in the definition thereof shall, for purposes of this definition, refer to such Person, and (ii) is not subject to any Contractual Obligation that limits the ability of such Person to make cash distributions with respect to any Equity Interest of such Person if such Person is not otherwise in default of its obligations under such Contractual Obligation.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any L/C Issuer or any other recipient of any payment to be made by or on account of any obligation of any Loan Party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(including Canadian BA’s), conversion or continuation of Committed Loans, a Committed Loan Notice, (b) with respect to an L/C Credit Extension, a Letter of Credit Application, and (c) with respect to a Swing Line Loan, a Swing Line Loan Notice.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Aggregate Commitments or, if the commitment of each Lender to make Loans and the obligation of the L/C Issuers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Outstandings held or deemed held by, any Defaulting Lender shall be excluded for purposes of making a determination of Required Lenders.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has the meaning as defined in Section 2.12(b)(ii).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the chief executive officer, president, vice president, chief financial officer, treasurer, assistant treasurer or controller of a Loan Party,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the secretary or any assistant secretary of such Loan Party, or any general partner thereof or any general partner of any such general partner or any sole member thereof, as the case may be,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or employee of such Loan Party,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a Loan Party, or any general partner thereof or any general partner of any such general partner or any sole member thereof, as the case may be, shall be conclusively presumed to have been authorized by all necessary corporate, partnership or other equivalent action on the part of such Loan Party, and such Responsible Officer shall be conclusively presumed to have acted on behalf of such Loan Party or any other officer or employee of such Loan Party, or any general partner thereof or any general partner of any such general partner or any sole member thereof, designated in or pursuant to an agreement between such Loan Party and the Administrative Agent.</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or other property, but excluding dividends or other distributions payable in Equity Interests in the Company) with respect to any Equity Interest of the Company, or any payment (whether in cash or other property, but excluding dividends or other distributions payable in Equity Interests in the Company), including any sinking fund or similar deposit, on account of the purchase, redemption, retirement, acquisition, cancellation or termination for value of any Equity Interest of the Company, or on account of any return of capital to holders of any Equity Interests of the Company.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w:t>
      </w:r>
      <w:r>
        <w:rPr>
          <w:rFonts w:ascii="Arial" w:cs="Arial" w:eastAsia="Arial" w:hAnsi="Arial"/>
          <w:sz w:val="18"/>
          <w:szCs w:val="18"/>
          <w:color w:val="auto"/>
        </w:rPr>
        <w:t>” means any of the Company and each Subsidiary of the Company, but excluding, for the avoidance of doubt, Unrestricted Subsidiaries. As of the Closing Date, each of Plains Marketing, Plains Pipeline, PMCULC and each of their respective Subsidiaries are Restricted Subsidiaries.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(iii) customary provisions restricting disposition of, or encumbrances on, real property interests set forth in any reciprocal easements of any Restricted Person, (d) restrictions imposed pursuant to (i) this Agreement and the other Loan Documents, (ii) the Hedged Inventory Credit Agreement and its related loan documents, or (iii) the Permian JV Transaction Documents as in effect as of the Closing Date, (e) restrictions on the transfer or encumbrance of property or assets which are imposed by the holder of Liens on property or assets of a Restricted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sale is consummated in compliance with any applicable provisions of this Agreement, (g) net worth provisions in leases and other agreements entered into by any Restricted Person in the ordinary course of business, (h) an agreement governing Indebtedness incurred to refinance the Indebtedness issued, assumed or incurred pursuant to an agreement referred to in clauses (d) and (e)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relating to such encumbrance or restriction contained in any such Indebtedness are no less favorable to such Restricted Person in any material respect as determined by the Board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means (a) with respect to any Loan, each of the following: (i) each date of a Borrowing of a Eurocurrency Rate Loan denominated in Canadian Dollars, (ii) each date of a continuation of a Eurocurrency Rate Loan denominated in Canadian Dollars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(iii) such additional dates as the Administrative Agent shall determine or the Required Lenders shall require; (b) with respect to any Letter of Credit, each of the following: (i) each date of issuance of a Letter of Credit denominated in Canadian Dollars, (ii) each date of an amendment of any such Letter of Credit having the effect of increasing the amount thereof (solely with respect to the increased amount), (iii) each date of any payment by the L/C Issuers under any Letter of Credit denominated in Canadian Dollars, (iv) in the case of the Existing Letters of Credit, the Closing Date, and (v) such additional dates as the Administrative Agent or the L/C Issuers shall determine or the Required Lenders shall require; (c) with respect to Loans and Letters of Credit, each date on which a Borrower would otherwise be required to make a prepayment or Cash Collateralize payment Obligations pursuant to </w:t>
      </w:r>
      <w:r>
        <w:rPr>
          <w:rFonts w:ascii="Arial" w:cs="Arial" w:eastAsia="Arial" w:hAnsi="Arial"/>
          <w:sz w:val="17"/>
          <w:szCs w:val="17"/>
          <w:u w:val="single" w:color="auto"/>
          <w:color w:val="auto"/>
        </w:rPr>
        <w:t>Section 2.05(d)</w:t>
      </w:r>
      <w:r>
        <w:rPr>
          <w:rFonts w:ascii="Arial" w:cs="Arial" w:eastAsia="Arial" w:hAnsi="Arial"/>
          <w:sz w:val="17"/>
          <w:szCs w:val="17"/>
          <w:color w:val="auto"/>
        </w:rPr>
        <w:t>; and (d) with respect to any Canadian BA, each of the following: (i) each date of the funding of such Canadian BA and (ii) such additional dates as the Administrative Agent shall determine or the Required Lenders shall require.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Financial Services LLC, a subsidiary of S&amp;P Global Inc., and any successor to the ratings agency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means (a) with respect to disbursements and payments in Dollars, immediately available funds, and (b) with respect to disbursements and payments in Canadian Dollars, same day funds as may be determined by the Administrative Agent or the applicable L/C Issuer, as the case may be, to be customary in the place of disbursement or payment for the settlement of international banking transactions in Canadian Dollars.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w:t>
      </w:r>
      <w:r>
        <w:rPr>
          <w:rFonts w:ascii="Arial" w:cs="Arial" w:eastAsia="Arial" w:hAnsi="Arial"/>
          <w:sz w:val="18"/>
          <w:szCs w:val="18"/>
          <w:color w:val="auto"/>
        </w:rPr>
        <w:t>” means any economic or trade sanction administered or enforced by the United States Government (including without limitation,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of any relevant jurisdiction where any Restricted Person maintains assets or engages in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Restricted Persons</w:t>
      </w:r>
      <w:r>
        <w:rPr>
          <w:rFonts w:ascii="Arial" w:cs="Arial" w:eastAsia="Arial" w:hAnsi="Arial"/>
          <w:sz w:val="18"/>
          <w:szCs w:val="18"/>
          <w:color w:val="auto"/>
        </w:rPr>
        <w:t>” means the Company and, as of each relevant date of determination, each Subsidiary of the Company (other than Unrestricted Subsidiaries) that owns five percent (5%) or more of the Company’s Consolidated Net Tangible Assets.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Early Opt-in</w:t>
      </w:r>
      <w:r>
        <w:rPr>
          <w:rFonts w:ascii="Arial" w:cs="Arial" w:eastAsia="Arial" w:hAnsi="Arial"/>
          <w:sz w:val="18"/>
          <w:szCs w:val="18"/>
          <w:color w:val="auto"/>
        </w:rPr>
        <w:t xml:space="preserve">” means the Administrative Agent and the Company have elected to replace LIBOR pursuant to (1) an Early Opt-in Election and (2)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and paragraph (1) of the definition of “Benchmark Replacement”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Acquisition</w:t>
      </w:r>
      <w:r>
        <w:rPr>
          <w:rFonts w:ascii="Arial" w:cs="Arial" w:eastAsia="Arial" w:hAnsi="Arial"/>
          <w:sz w:val="17"/>
          <w:szCs w:val="17"/>
          <w:color w:val="auto"/>
        </w:rPr>
        <w:t>” means one or more acquisitions of assets or entities or operating lines or divisions or Equity Interests in any rolling 12-month period, excluding any acquisitions included in a prior Specified Acquisition, for an aggregate purchase price of not less than $150,000,000.</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Offering</w:t>
      </w:r>
      <w:r>
        <w:rPr>
          <w:rFonts w:ascii="Arial" w:cs="Arial" w:eastAsia="Arial" w:hAnsi="Arial"/>
          <w:sz w:val="18"/>
          <w:szCs w:val="18"/>
          <w:color w:val="auto"/>
        </w:rPr>
        <w:t>” means one or more issuances of equity by the Company for aggregate net cash proceeds of not less than fifty percent (50%) of the aggregate purchase price of the Specified Acquisition.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12:00 p.m. on the Business Day immediately preceding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L/C Issuer, as the case may be, may obtain such spot rate from another comparable and major financial institution reasonably designated by the Administrative Agent or such L/C Issuer, as the case may be, if the Person acting in such capacity does not have as of the date of determination a spot buying rate available to it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L/C Issuer may use such spot rate quoted on the date as of which the foreign exchange computation is made in the case of any Letter of Credit denominated in Canadian Dollars.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Unrestricted Subsidiary shall be deemed to be a Subsidiary of any Restricted Person for purposes of any Loan Document except as provided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hereof. Unless otherwise specified, all references herein to a “Subsidiary” or to “Subsidiaries” shall refer to a Subsidiary or Subsidiaries of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made by a Borrower in favor of the Swing Line Lender evidencing Swing Line Loans made by the Swing Line Lender to such Borrower,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$150,000,000 and (b) the Aggregate Commitments. The Swing Line Sublimit is part of, and not in addition to, the Aggregate Commitments.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jc w:val="both"/>
        <w:ind w:firstLine="8"/>
        <w:spacing w:after="0" w:line="277" w:lineRule="auto"/>
        <w:tabs>
          <w:tab w:leader="none" w:pos="272"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included in the foregoing, Operating Leases entered into in the ordinary course of business are excluded therefrom.</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$150,000,000.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all L/C Obligations and all Canadian BA’s.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or a Swing Line Loan, its character as a Base Rate Loan, a Canadian Prime Rate Loan or a Eurocurrency Rate Loan.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International Chamber of Commerce Publication No. 600 (or such later version thereof as may be in effect at the applicable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specified in Section 2.03(c)(i).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has the meaning specified in Section 7.09.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Company, PMCULC and the Administrative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1.02 Other Interpretive Provisions</w:t>
      </w:r>
      <w:r>
        <w:rPr>
          <w:rFonts w:ascii="Arial" w:cs="Arial" w:eastAsia="Arial" w:hAnsi="Arial"/>
          <w:sz w:val="18"/>
          <w:szCs w:val="18"/>
          <w:color w:val="auto"/>
        </w:rPr>
        <w:t>. With reference to this Agreement and each other Loan Document, unless otherwise specified herein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Loan Document:</w:t>
      </w:r>
    </w:p>
    <w:p>
      <w:pPr>
        <w:spacing w:after="0" w:line="166" w:lineRule="exact"/>
        <w:rPr>
          <w:sz w:val="20"/>
          <w:szCs w:val="20"/>
          <w:color w:val="auto"/>
        </w:rPr>
      </w:pPr>
    </w:p>
    <w:p>
      <w:pPr>
        <w:jc w:val="both"/>
        <w:ind w:firstLine="656"/>
        <w:spacing w:after="0" w:line="284" w:lineRule="auto"/>
        <w:tabs>
          <w:tab w:leader="none" w:pos="1117" w:val="left"/>
        </w:tabs>
        <w:numPr>
          <w:ilvl w:val="1"/>
          <w:numId w:val="29"/>
        </w:numPr>
        <w:rPr>
          <w:rFonts w:ascii="Arial" w:cs="Arial" w:eastAsia="Arial" w:hAnsi="Arial"/>
          <w:sz w:val="16"/>
          <w:szCs w:val="16"/>
          <w:color w:val="010000"/>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 “</w:t>
      </w:r>
      <w:r>
        <w:rPr>
          <w:rFonts w:ascii="Arial" w:cs="Arial" w:eastAsia="Arial" w:hAnsi="Arial"/>
          <w:sz w:val="16"/>
          <w:szCs w:val="16"/>
          <w:u w:val="single" w:color="auto"/>
          <w:color w:val="auto"/>
        </w:rPr>
        <w:t>or</w:t>
      </w:r>
      <w:r>
        <w:rPr>
          <w:rFonts w:ascii="Arial" w:cs="Arial" w:eastAsia="Arial" w:hAnsi="Arial"/>
          <w:sz w:val="16"/>
          <w:szCs w:val="16"/>
          <w:color w:val="auto"/>
        </w:rPr>
        <w:t>” is not exclusive and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4" w:lineRule="exact"/>
        <w:rPr>
          <w:rFonts w:ascii="Arial" w:cs="Arial" w:eastAsia="Arial" w:hAnsi="Arial"/>
          <w:sz w:val="16"/>
          <w:szCs w:val="16"/>
          <w:color w:val="010000"/>
        </w:rPr>
      </w:pPr>
    </w:p>
    <w:p>
      <w:pPr>
        <w:jc w:val="both"/>
        <w:ind w:firstLine="8"/>
        <w:spacing w:after="0" w:line="281" w:lineRule="auto"/>
        <w:tabs>
          <w:tab w:leader="none" w:pos="2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reference herein to any Person shall be construed to include such Person’s successors and permitted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w:t>
      </w:r>
    </w:p>
    <w:p>
      <w:pPr>
        <w:spacing w:after="0" w:line="3" w:lineRule="exact"/>
        <w:rPr>
          <w:rFonts w:ascii="Arial" w:cs="Arial" w:eastAsia="Arial" w:hAnsi="Arial"/>
          <w:sz w:val="16"/>
          <w:szCs w:val="16"/>
          <w:color w:val="auto"/>
        </w:rPr>
      </w:pPr>
    </w:p>
    <w:p>
      <w:pPr>
        <w:ind w:firstLine="8"/>
        <w:spacing w:after="0" w:line="260" w:lineRule="auto"/>
        <w:tabs>
          <w:tab w:leader="none" w:pos="3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85" w:lineRule="exact"/>
        <w:rPr>
          <w:rFonts w:ascii="Arial" w:cs="Arial" w:eastAsia="Arial" w:hAnsi="Arial"/>
          <w:sz w:val="18"/>
          <w:szCs w:val="18"/>
          <w:color w:val="auto"/>
        </w:rPr>
      </w:pPr>
    </w:p>
    <w:p>
      <w:pPr>
        <w:ind w:firstLine="656"/>
        <w:spacing w:after="0" w:line="277" w:lineRule="auto"/>
        <w:tabs>
          <w:tab w:leader="none" w:pos="1127" w:val="left"/>
        </w:tabs>
        <w:numPr>
          <w:ilvl w:val="1"/>
          <w:numId w:val="31"/>
        </w:numPr>
        <w:rPr>
          <w:rFonts w:ascii="Arial" w:cs="Arial" w:eastAsia="Arial" w:hAnsi="Arial"/>
          <w:sz w:val="18"/>
          <w:szCs w:val="18"/>
          <w:color w:val="010000"/>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firstLine="656"/>
        <w:spacing w:after="0" w:line="277" w:lineRule="auto"/>
        <w:tabs>
          <w:tab w:leader="none" w:pos="1117" w:val="left"/>
        </w:tabs>
        <w:numPr>
          <w:ilvl w:val="1"/>
          <w:numId w:val="31"/>
        </w:numPr>
        <w:rPr>
          <w:rFonts w:ascii="Arial" w:cs="Arial" w:eastAsia="Arial" w:hAnsi="Arial"/>
          <w:sz w:val="18"/>
          <w:szCs w:val="18"/>
          <w:color w:val="010000"/>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56"/>
        <w:spacing w:after="0" w:line="255" w:lineRule="auto"/>
        <w:tabs>
          <w:tab w:leader="none" w:pos="1127"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Accounting Terms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87" w:lineRule="auto"/>
        <w:tabs>
          <w:tab w:leader="none" w:pos="1117" w:val="left"/>
        </w:tabs>
        <w:numPr>
          <w:ilvl w:val="0"/>
          <w:numId w:val="33"/>
        </w:numPr>
        <w:rPr>
          <w:rFonts w:ascii="Arial" w:cs="Arial" w:eastAsia="Arial" w:hAnsi="Arial"/>
          <w:sz w:val="16"/>
          <w:szCs w:val="16"/>
          <w:color w:val="010000"/>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spacing w:after="0" w:line="171" w:lineRule="exact"/>
        <w:rPr>
          <w:rFonts w:ascii="Arial" w:cs="Arial" w:eastAsia="Arial" w:hAnsi="Arial"/>
          <w:sz w:val="16"/>
          <w:szCs w:val="16"/>
          <w:color w:val="010000"/>
        </w:rPr>
      </w:pPr>
    </w:p>
    <w:p>
      <w:pPr>
        <w:jc w:val="both"/>
        <w:ind w:firstLine="656"/>
        <w:spacing w:after="0" w:line="270" w:lineRule="auto"/>
        <w:tabs>
          <w:tab w:leader="none" w:pos="1127" w:val="left"/>
        </w:tabs>
        <w:numPr>
          <w:ilvl w:val="0"/>
          <w:numId w:val="33"/>
        </w:numPr>
        <w:rPr>
          <w:rFonts w:ascii="Arial" w:cs="Arial" w:eastAsia="Arial" w:hAnsi="Arial"/>
          <w:sz w:val="17"/>
          <w:szCs w:val="17"/>
          <w:color w:val="010000"/>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until so amended, (i) such ratio or requirement shall continue to be computed in accordance with GAAP prior to such change therein and (ii) the Company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48"/>
        <w:spacing w:after="0" w:line="266"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Company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1.05 Times of Day</w:t>
      </w:r>
      <w:r>
        <w:rPr>
          <w:rFonts w:ascii="Arial" w:cs="Arial" w:eastAsia="Arial" w:hAnsi="Arial"/>
          <w:sz w:val="18"/>
          <w:szCs w:val="18"/>
          <w:color w:val="auto"/>
        </w:rPr>
        <w:t>. 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Exchange Rates; Currency Equivalents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0"/>
          <w:numId w:val="34"/>
        </w:numPr>
        <w:rPr>
          <w:rFonts w:ascii="Arial" w:cs="Arial" w:eastAsia="Arial" w:hAnsi="Arial"/>
          <w:sz w:val="16"/>
          <w:szCs w:val="16"/>
          <w:color w:val="010000"/>
        </w:rPr>
      </w:pPr>
      <w:r>
        <w:rPr>
          <w:rFonts w:ascii="Arial" w:cs="Arial" w:eastAsia="Arial" w:hAnsi="Arial"/>
          <w:sz w:val="16"/>
          <w:szCs w:val="16"/>
          <w:color w:val="auto"/>
        </w:rPr>
        <w:t>The Administrative Agent or the applicable L/C Issuer, as applicable, shall determine the Spot Rates as of each Revaluation Date to be used for calculating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The Administrative Agent or the applicable L/C Issuer, as applicable, shall notify the Company from time to time upon request of the Spot Rate in effect at such time and the determination thereof.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66" w:lineRule="exact"/>
        <w:rPr>
          <w:rFonts w:ascii="Arial" w:cs="Arial" w:eastAsia="Arial" w:hAnsi="Arial"/>
          <w:sz w:val="16"/>
          <w:szCs w:val="16"/>
          <w:color w:val="010000"/>
        </w:rPr>
      </w:pPr>
    </w:p>
    <w:p>
      <w:pPr>
        <w:jc w:val="both"/>
        <w:ind w:firstLine="656"/>
        <w:spacing w:after="0" w:line="257" w:lineRule="auto"/>
        <w:tabs>
          <w:tab w:leader="none" w:pos="1127"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Canadian Dollars, such amount shall be the Canadian Dollar Equivalent of such Dollar amount (rounded to the nearest unit of Canadian Dollars, with 0.5 of a unit being rounded upward), as determined by the Administrative Agent or the applicable L/C Issuer, as the case may be.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1.07 Letter of Credit Amounts</w:t>
      </w:r>
      <w:r>
        <w:rPr>
          <w:rFonts w:ascii="Arial" w:cs="Arial" w:eastAsia="Arial" w:hAnsi="Arial"/>
          <w:sz w:val="16"/>
          <w:szCs w:val="16"/>
          <w:color w:val="auto"/>
        </w:rPr>
        <w:t>. Unless otherwise specified herein, the amount of a Letter of Credit at any time shall be deemed to be the</w:t>
      </w:r>
      <w:r>
        <w:rPr>
          <w:rFonts w:ascii="Arial" w:cs="Arial" w:eastAsia="Arial" w:hAnsi="Arial"/>
          <w:sz w:val="16"/>
          <w:szCs w:val="16"/>
          <w:b w:val="1"/>
          <w:bCs w:val="1"/>
          <w:color w:val="auto"/>
        </w:rPr>
        <w:t xml:space="preserve"> </w:t>
      </w:r>
      <w:r>
        <w:rPr>
          <w:rFonts w:ascii="Arial" w:cs="Arial" w:eastAsia="Arial" w:hAnsi="Arial"/>
          <w:sz w:val="16"/>
          <w:szCs w:val="16"/>
          <w:color w:val="auto"/>
        </w:rPr>
        <w:t>Dollar Equivalent of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provided, further, that with respect to any Letter of Credit that, by its terms or the terms of any Issuer Document related thereto, provides for one or more automatic reductions in the stated amount thereof, the amount of such Letter of Credit shall be deemed to be the Dollar Equivalent of the amount available to be drawn under such Letter of Credit at such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61" w:lineRule="auto"/>
        <w:rPr>
          <w:sz w:val="20"/>
          <w:szCs w:val="20"/>
          <w:color w:val="auto"/>
        </w:rPr>
      </w:pPr>
      <w:r>
        <w:rPr>
          <w:rFonts w:ascii="Arial" w:cs="Arial" w:eastAsia="Arial" w:hAnsi="Arial"/>
          <w:sz w:val="18"/>
          <w:szCs w:val="18"/>
          <w:b w:val="1"/>
          <w:bCs w:val="1"/>
          <w:color w:val="auto"/>
        </w:rPr>
        <w:t>1.08 Interest Rates</w:t>
      </w:r>
      <w:r>
        <w:rPr>
          <w:rFonts w:ascii="Arial" w:cs="Arial" w:eastAsia="Arial" w:hAnsi="Arial"/>
          <w:sz w:val="18"/>
          <w:szCs w:val="18"/>
          <w:color w:val="auto"/>
        </w:rPr>
        <w:t>. The Administrative Agent does not warrant, nor accept responsibility, nor shall the Administrative Agent have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administration, submission or any other matter related to the rates in the definition of “Eurocurrency Rate” or with respect to any rate that is an alternative or replacement for or successor to any of such rate (including, without limitation, any Benchmark Replacement) or the effect of any of the foregoing, or of any Benchmark Replacement Conforming Changes.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THE COMMITMENTS AND CREDIT EXTENSIONS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2.01 Committed Loans</w:t>
      </w:r>
      <w:r>
        <w:rPr>
          <w:rFonts w:ascii="Arial" w:cs="Arial" w:eastAsia="Arial" w:hAnsi="Arial"/>
          <w:sz w:val="17"/>
          <w:szCs w:val="17"/>
          <w:color w:val="auto"/>
        </w:rPr>
        <w:t>. Subject to the terms and conditions set forth herein, each Lender severally agrees to make loans (each such loan, a</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Loan”) to each requesting Borrower in Dollars or in Canadian Dollars from time to time, and accept drafts of Canadian Bankers’ Acceptances issued under this Agreement by PMCULC or a requesting Designated Borrower, in each case, on a several basis, on any Business Day during the Availability Period, in an aggregate principal amount not to exceed at any time outstanding the amount of such Lender’s Commitment; provided, however, that after giving effect to any Committed Borrowing, (i) the Total Outstandings shall not exceed the Aggregate Commitments, (ii) the aggregate Outstanding Amount of the Committed Loans of any Lender, plus such Lender’s Applicable Percentage of the Outstanding Amount of all L/C Obligations, plus such Lender’s Applicable Percentage of the Outstanding Amount of all Swing Line Loans, plus such Lender’s Canadian BA’s (or Canadian BA Equivalent Loans) accepted and purchased from PMCULC and Designated Borrowers shall not exceed such Lender’s Commitment, and (iii) the aggregate Outstanding Amount of all Loans and Letters of Credit denominated in Canadian Dollars and Canadian BA’s shall not exceed the Canadian Dollar Sublimit. Within the limits of each Lender’s Commitment, and subject to the other terms and conditions hereof, each requesting Borrower may borrow under this Section 2.01, prepay under Section 2.05, and reborrow under this Section 2.01. Committed Loans may be Base Rate Loans (with respect to Loans denominated in Dollars), Canadian Prime Rate Loans (with respect to Loans denominated in Canadian Dollars), or Eurocurrency Rate Loans, as further provided herein.</w:t>
      </w:r>
    </w:p>
    <w:p>
      <w:pPr>
        <w:spacing w:after="0" w:line="1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Committed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1"/>
          <w:numId w:val="35"/>
        </w:numPr>
        <w:rPr>
          <w:rFonts w:ascii="Arial" w:cs="Arial" w:eastAsia="Arial" w:hAnsi="Arial"/>
          <w:sz w:val="16"/>
          <w:szCs w:val="16"/>
          <w:color w:val="010000"/>
        </w:rPr>
      </w:pPr>
      <w:r>
        <w:rPr>
          <w:rFonts w:ascii="Arial" w:cs="Arial" w:eastAsia="Arial" w:hAnsi="Arial"/>
          <w:sz w:val="16"/>
          <w:szCs w:val="16"/>
          <w:color w:val="auto"/>
        </w:rPr>
        <w:t xml:space="preserve">Each Committed Borrowing, each conversion of Committed Loans from one Type to the other, and each continuation of Eurocurrency Rate Committed Loans shall be made upon a Borrower’s irrevocable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notice to the Administrative Agent, which may be given by</w:t>
      </w:r>
    </w:p>
    <w:p>
      <w:pPr>
        <w:jc w:val="both"/>
        <w:ind w:firstLine="8"/>
        <w:spacing w:after="0" w:line="284" w:lineRule="auto"/>
        <w:tabs>
          <w:tab w:leader="none" w:pos="313"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telephone, or (B) a Committed Loan Notice; provided that any telephonic notice must be confirmed immediately by delivery to the Administrative Agent of a Committed Loan Notice. Each such Committed Loan Notice must be received by the Administrative Agent not later than 12:00 p.m. (i) three Business Days prior to the requested date of (A) any Borrowing of Eurocurrency Rate Committed Loans (as to Canadian Dollars), (B) any continuation of Eurocurrency Rate Committed Loans (as to Canadian Dollars) or (C) any Borrowing of Canadian BA’s, (ii) two Business Days prior to the requested date of (A) any Borrowing of Eurocurrency Rate Committed Loans (with respect to Loans denominated in Dollars), or (B) any conversion to or continuation of Eurocurrency Rate Committed Loans (with respect to Loans denominated in Dollars), and (iii) on the requested date of any Borrowing of or conversion to Base Rate Committed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Borrower wishes to request (x) Eurocurrency Rate Committed Loans (with respect to Loans denominated in Dollars) having an Interest Period other than one month, three months or six months in duration or (y) Eurocurrency Rate Committed Loans (with respect to Loans denominated in Canadian Dollars) having an Interest Period other than one month, two months or three months, in each case,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all such Lenders and (y) not later than 12:00 p.m., two Business Days before the requested date of such Borrowing, conversion or continuation, shall notify such Borrower (which notice may be by telephone) whether or not the requested Interest Period has been consented to by all the Lenders.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56"/>
        <w:spacing w:after="0" w:line="301" w:lineRule="auto"/>
        <w:tabs>
          <w:tab w:leader="none" w:pos="1127"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 xml:space="preserve">Each Borrowing of, conversion to or continuation of Eurocurrency Rate Committed Loans shall be (A) with respect to Loans denominated in Dollars, in a principal amount of $1,000,000 or a whole multiple of $100,000 in excess thereof and (B) with respect to Loans denominated in Canadian Dollars, in a principal amount of C$1,000,000 or a whole multiple of C$100,000 in excess thereof. Except as provided in </w:t>
      </w:r>
      <w:r>
        <w:rPr>
          <w:rFonts w:ascii="Arial" w:cs="Arial" w:eastAsia="Arial" w:hAnsi="Arial"/>
          <w:sz w:val="16"/>
          <w:szCs w:val="16"/>
          <w:u w:val="single" w:color="auto"/>
          <w:color w:val="auto"/>
        </w:rPr>
        <w:t>Sections 2.03(f)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Committed Loans shall be in a principal amount of $1,000,000 or a whole multiple of $100,000 in excess thereof.</w:t>
      </w:r>
    </w:p>
    <w:p>
      <w:pPr>
        <w:spacing w:after="0" w:line="157" w:lineRule="exact"/>
        <w:rPr>
          <w:rFonts w:ascii="Arial" w:cs="Arial" w:eastAsia="Arial" w:hAnsi="Arial"/>
          <w:sz w:val="16"/>
          <w:szCs w:val="16"/>
          <w:color w:val="010000"/>
        </w:rPr>
      </w:pPr>
    </w:p>
    <w:p>
      <w:pPr>
        <w:jc w:val="both"/>
        <w:ind w:firstLine="656"/>
        <w:spacing w:after="0" w:line="286" w:lineRule="auto"/>
        <w:tabs>
          <w:tab w:leader="none" w:pos="1117"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 xml:space="preserve">Each Committed Loan Notice shall specify (i) whether such Borrower is requesting a Committed Borrowing, a conversion of Committed Loans from one Type to the other, or a continuation of Eurocurrency Rate Committed Loans, (ii) the requested date of the Borrowing, conversion or continuation, as the case may be (which shall be a Business Day), (iii) the principal amount of Committed Loans to be borrowed, converted or continued (or the aggregate face amount of the Canadian BA’s to be accepted, if applicable), (iv) the Type of Committed Loans to be borrowed or to which existing Committed Loans are to be converted, (v) if applicable, the duration of the Interest Period with respect thereto (or the maturity of the Canadian BA’s, if applicable), (vi) the currency of the Committed Loans to be borrowed and (vii) the applicable Borrower. If a Borrower fails to specify a currency in a Committed Loan Notice requesting a Borrowing, then the Committed Loans so requested shall be made in Dollars. If a Borrower fails to specify a Type of Committed Loan in a Committed Loan Notice or if a Borrower fails to give a timely notice requesting a conversion or continuation, then the applicable Committed Loans shall be made as, or converted to Base Rate Loans (with respect to Loans denominated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Committed Loans denominated in Canadian Dollars,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Committed Loans. If a Borrower requests a Borrowing of, conversion to, or continuation of Eurocurrency Rate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56"/>
        <w:spacing w:after="0" w:line="286" w:lineRule="auto"/>
        <w:tabs>
          <w:tab w:leader="none" w:pos="1127"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 xml:space="preserve">Following receipt of a Committed Loan Notice, the Administrative Agent shall promptly notify each Lender of the amount (and currency) of its Applicable Percentage of the applicable Committed Loans or Canadian BA’s, and if no timely notice of a conversion or continuation is provided by the Company,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Canadian Dollars (or, in the case of Canadian BA’s, such amount with respect thereto in accordance with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2.01A)</w:t>
      </w:r>
      <w:r>
        <w:rPr>
          <w:rFonts w:ascii="Arial" w:cs="Arial" w:eastAsia="Arial" w:hAnsi="Arial"/>
          <w:sz w:val="16"/>
          <w:szCs w:val="16"/>
          <w:color w:val="auto"/>
        </w:rPr>
        <w:t xml:space="preserve">, in each case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applicable Borrower in like funds as received by the Administrative Agent, at the Company’s election, either by (i) crediting the account of such Borrower on the books of Bank of America with the amount of such funds or (ii) wire transfer of such funds, in each case in accordance with instructions provided to the Administrative Agent by the Company as set forth in the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immediately prior to delivery by the applicable Borrower of the Committed Loan Notice with respect to such Borrowing, there are L/C Borrowings in such currency outstanding, then the proceeds of such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applicable Borrower as provided above.</w:t>
      </w:r>
    </w:p>
    <w:p>
      <w:pPr>
        <w:spacing w:after="0" w:line="170" w:lineRule="exact"/>
        <w:rPr>
          <w:rFonts w:ascii="Arial" w:cs="Arial" w:eastAsia="Arial" w:hAnsi="Arial"/>
          <w:sz w:val="16"/>
          <w:szCs w:val="16"/>
          <w:color w:val="010000"/>
        </w:rPr>
      </w:pPr>
    </w:p>
    <w:p>
      <w:pPr>
        <w:jc w:val="both"/>
        <w:ind w:firstLine="656"/>
        <w:spacing w:after="0" w:line="255" w:lineRule="auto"/>
        <w:tabs>
          <w:tab w:leader="none" w:pos="1117"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Except as otherwise provided herein, a Eurocurrency Rate Committed Loan may be continued or converted only on the last day of an Interest Period for such Eurocurrency Rate Committed Loan. Upon the occurrence and during the continuation of an Event of Default, no Loans may be requested as, converted to or continued as Eurocurrency Rate Committed Loans (whether in Dollars or Canadian Dollars) without the consent of the Required Lenders, and the Required Lenders may demand that any or all of the then outstanding Eurocurrency Rate Loans denominated in Canadian Dollars be prepaid, or redenominated into Dollars in the amount of the Dollar Equivalent thereof, in each case, on the last day of the then current Interest Period with respect thereto.</w:t>
      </w:r>
    </w:p>
    <w:p>
      <w:pPr>
        <w:spacing w:after="0" w:line="192" w:lineRule="exact"/>
        <w:rPr>
          <w:rFonts w:ascii="Arial" w:cs="Arial" w:eastAsia="Arial" w:hAnsi="Arial"/>
          <w:sz w:val="18"/>
          <w:szCs w:val="18"/>
          <w:color w:val="010000"/>
        </w:rPr>
      </w:pPr>
    </w:p>
    <w:p>
      <w:pPr>
        <w:jc w:val="both"/>
        <w:ind w:firstLine="656"/>
        <w:spacing w:after="0" w:line="259" w:lineRule="auto"/>
        <w:tabs>
          <w:tab w:leader="none" w:pos="1120"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The Administrative Agent shall promptly notify the Company and the Lenders of the interest rate applicable to any Interest Period for Eurocurrency Rate Committed Loans upon determination of such interest rate. At any time that Base Rate Loans are outstanding, the Administrative Agent shall notify the Company and the Lenders of any change in Bank of America’s prime rate used in determining the Base Rate and the effective date thereof promptly following the public announcement of such change.</w:t>
      </w:r>
    </w:p>
    <w:p>
      <w:pPr>
        <w:spacing w:after="0" w:line="186" w:lineRule="exact"/>
        <w:rPr>
          <w:rFonts w:ascii="Arial" w:cs="Arial" w:eastAsia="Arial" w:hAnsi="Arial"/>
          <w:sz w:val="18"/>
          <w:szCs w:val="18"/>
          <w:color w:val="010000"/>
        </w:rPr>
      </w:pPr>
    </w:p>
    <w:p>
      <w:pPr>
        <w:ind w:firstLine="656"/>
        <w:spacing w:after="0" w:line="308" w:lineRule="auto"/>
        <w:tabs>
          <w:tab w:leader="none" w:pos="1127"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After giving effect to all Committed Borrowings, all conversions of Committed Loans from one Type to the other, and all continuations of Committed Loans as the same Type, there shall not be more than ten Interest Periods in effect at any one time with respect to Committed Loans.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spacing w:after="0"/>
        <w:tabs>
          <w:tab w:leader="none" w:pos="11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0"/>
          <w:numId w:val="39"/>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in addition to the Loans provided for in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each L/C Issuer agrees, at the request of any Borrower and in reliance 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to issue (and to renew, amend or extend) at any time and from time to time during the Availability Period, Letters of Credit denominated in Dollars or in Canadian Dollars (unless the applicable LC Issuer shall have notified the Company that such L/C Issuer does not as of such requested issuance date issue Letters of Credit in Canadian Dollars) for the account of such Borrower, for its use and the use of any of its Subsidiaries, in such form as is acceptable to the Administrative Agent and such L/C Issuer in its reasonable determination. Letters of Credit issued hereunder shall constitute utilization of the Commitments. All Existing Letters of Credit shall be deemed to have been issued pursuant hereto, and from and after the Closing Date shall be subject to and governed by the terms and conditions hereof.</w:t>
      </w:r>
    </w:p>
    <w:p>
      <w:pPr>
        <w:spacing w:after="0" w:line="166" w:lineRule="exact"/>
        <w:rPr>
          <w:rFonts w:ascii="Arial" w:cs="Arial" w:eastAsia="Arial" w:hAnsi="Arial"/>
          <w:sz w:val="16"/>
          <w:szCs w:val="16"/>
          <w:color w:val="010000"/>
        </w:rPr>
      </w:pPr>
    </w:p>
    <w:p>
      <w:pPr>
        <w:jc w:val="both"/>
        <w:ind w:firstLine="656"/>
        <w:spacing w:after="0" w:line="268" w:lineRule="auto"/>
        <w:tabs>
          <w:tab w:leader="none" w:pos="1127" w:val="left"/>
        </w:tabs>
        <w:numPr>
          <w:ilvl w:val="0"/>
          <w:numId w:val="39"/>
        </w:numPr>
        <w:rPr>
          <w:rFonts w:ascii="Arial" w:cs="Arial" w:eastAsia="Arial" w:hAnsi="Arial"/>
          <w:sz w:val="17"/>
          <w:szCs w:val="17"/>
          <w:color w:val="010000"/>
        </w:rPr>
      </w:pPr>
      <w:r>
        <w:rPr>
          <w:rFonts w:ascii="Arial" w:cs="Arial" w:eastAsia="Arial" w:hAnsi="Arial"/>
          <w:sz w:val="17"/>
          <w:szCs w:val="17"/>
          <w:u w:val="single" w:color="auto"/>
          <w:color w:val="auto"/>
        </w:rPr>
        <w:t>Notice of Issuance, Amendment, Extension, Reinstatement or Renewal</w:t>
      </w:r>
      <w:r>
        <w:rPr>
          <w:rFonts w:ascii="Arial" w:cs="Arial" w:eastAsia="Arial" w:hAnsi="Arial"/>
          <w:sz w:val="17"/>
          <w:szCs w:val="17"/>
          <w:color w:val="auto"/>
        </w:rPr>
        <w:t xml:space="preserve">. To request the issuance of a Letter of Credit (or the amendment of the terms and conditions, extension of the terms and conditions, extension of the expiration date, or reinstatement of amounts paid, or renewal of an outstanding Letter of Credit), the applicable Borrower shall deliver (or transmit by electronic communication, if arrangements for doing so have been approved by the applicable L/C Issuer) to an L/C Issuer selected by it and to the Administrative Agent not later than 12:00 p.m. at least two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clause (d)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applicable Borrower also shall submit a Letter of Credit Application in connection with any request for a Letter of Credit. In the event of any inconsistency between the terms and conditions of this Agreement and the terms and conditions of any form of letter of credit application and reimbursement agreement or other agreement submitted by the applicable Borrower to, or entered into by such Borrower with, an L/C Issuer relating to any Letter of Credit, the terms and conditions of this Agreement shall control.</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If a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such L/C Issuer to prevent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in each such twelve-month period to be agreed upon between such Borrower and the applicable L/C Issuer at the time such Letter of Credit is issued. Each L/C Issuer of any Auto-Extension Letter of Credit hereby agrees to contemporaneously furnish to the applicable Borrower a copy of any denial of the extension of such Auto-Extension Letter of Credit. Unless otherwise directed by the applicable L/C Issuer, the applicable Borrower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or otherwise), or (B) it has received notice (which may be by telephone or in writing) on or before the day that is seven Business Days before the Non-Extension Notice Date (1) from the Administrative Agent (who hereby agrees to provide contemporaneous notice to the requesting Borrower) that the Required Lenders have elected not to permit such extension or (2) from the Administrative Agent (who hereby agrees to provide contemporaneous notice to such Borrower) or such Borrower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specifying in reasonable detail the relevant condition or conditions not then satisfied, and such condition or conditions, as applicable, are unsatisfied on such extension date, and the basis for such assertion, and in each such case directing such L/C Issuer not to permit such extension.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56"/>
        <w:spacing w:after="0" w:line="287" w:lineRule="auto"/>
        <w:tabs>
          <w:tab w:leader="none" w:pos="1117" w:val="left"/>
        </w:tabs>
        <w:numPr>
          <w:ilvl w:val="0"/>
          <w:numId w:val="40"/>
        </w:numPr>
        <w:rPr>
          <w:rFonts w:ascii="Arial" w:cs="Arial" w:eastAsia="Arial" w:hAnsi="Arial"/>
          <w:sz w:val="16"/>
          <w:szCs w:val="16"/>
          <w:color w:val="010000"/>
        </w:rPr>
      </w:pPr>
      <w:r>
        <w:rPr>
          <w:rFonts w:ascii="Arial" w:cs="Arial" w:eastAsia="Arial" w:hAnsi="Arial"/>
          <w:sz w:val="16"/>
          <w:szCs w:val="16"/>
          <w:u w:val="single" w:color="auto"/>
          <w:color w:val="auto"/>
        </w:rPr>
        <w:t>Limitations on Amounts, Issuance and Amendment</w:t>
      </w:r>
      <w:r>
        <w:rPr>
          <w:rFonts w:ascii="Arial" w:cs="Arial" w:eastAsia="Arial" w:hAnsi="Arial"/>
          <w:sz w:val="16"/>
          <w:szCs w:val="16"/>
          <w:color w:val="auto"/>
        </w:rPr>
        <w:t>. A Letter of Credit shall be issued, amended, extended, reinstated or renewed only if (and upon issuance, amendment, extension, reinstatement or renewal of each Letter of Credit the applicable Borrower shall be deemed to represent and warrant that (based on the Company’s reasonable determination of the Dollar Equivalent of any such Obligations denominated in Canadian Dollars), after giving effect to such issuance, amendment, extension, reinstatement or renewal, (i) the aggregate amount of the outstanding Letters of Credit issued by any L/C Issuer shall not exceed its L/C Commitment, (ii) the aggregate L/C Obligations shall not exceed the L/C Sublimit, (iii) the Total Outstandings shall not exceed the Aggregate Commitments, (iv) the aggregate Outstanding Amount of the Committed Loans of any Lender, plus such Lender’s Applicable Percentage of the Outstanding Amount of all L/C Obligations, plus such Lender’s Applicable Percentage of the Outstanding Amount of all Swing Line Loans, plus such Lender’s Canadian BA’s (or Canadian BA Equivalent Loans) accepted and purchased from PMCULC and the Designated Borrowers shall not exceed such Lender’s Commitment, and (v) the aggregate Outstanding Amount of all Loans and Letters of Credit denominated in Canadian Dollars and Canadian BA’s shall not exceed the Canadian Dollar Sublimit. Within the foregoing limits, and subject to the terms and conditions hereof, the Borrowers’ ability to obtain Letters of Credit shall be fully revolving, and accordingly any Borrower may, during the foregoing period, obtain Letters of Credit to replace Letters of Credit that have expired or that have been drawn upon and reimbursed.</w:t>
      </w:r>
    </w:p>
    <w:p>
      <w:pPr>
        <w:spacing w:after="0" w:line="167" w:lineRule="exact"/>
        <w:rPr>
          <w:rFonts w:ascii="Arial" w:cs="Arial" w:eastAsia="Arial" w:hAnsi="Arial"/>
          <w:sz w:val="16"/>
          <w:szCs w:val="16"/>
          <w:color w:val="010000"/>
        </w:rPr>
      </w:pPr>
    </w:p>
    <w:p>
      <w:pPr>
        <w:ind w:left="1760" w:hanging="456"/>
        <w:spacing w:after="0"/>
        <w:tabs>
          <w:tab w:leader="none" w:pos="1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225" w:lineRule="exact"/>
        <w:rPr>
          <w:rFonts w:ascii="Arial" w:cs="Arial" w:eastAsia="Arial" w:hAnsi="Arial"/>
          <w:sz w:val="18"/>
          <w:szCs w:val="18"/>
          <w:color w:val="auto"/>
        </w:rPr>
      </w:pPr>
    </w:p>
    <w:p>
      <w:pPr>
        <w:jc w:val="both"/>
        <w:ind w:left="1300" w:firstLine="652"/>
        <w:spacing w:after="0" w:line="271" w:lineRule="auto"/>
        <w:tabs>
          <w:tab w:leader="none" w:pos="2468" w:val="left"/>
        </w:tabs>
        <w:numPr>
          <w:ilvl w:val="2"/>
          <w:numId w:val="40"/>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entitled to be, but is not so, compensated hereunder) not in effect on the Closing Date, or shall impose upon such L/C Issuer any loss, cost or expense which was not applicable on the Closing Date and which such L/C Issuer in good faith deems material to it (for which such L/C Issuer is entitled to be, but is not so, reimbursed 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left="1300" w:firstLine="652"/>
        <w:spacing w:after="0" w:line="263" w:lineRule="auto"/>
        <w:tabs>
          <w:tab w:leader="none" w:pos="2458"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issuance of the Letter of Credit would violate one or more policies of such L/C Issuer applicable to letters of credit generally; provided that, upon request of the applicable Borrower, the applicable L/C Issuer shall provide to such Borrower a reasonably detailed description thereof;</w:t>
      </w:r>
    </w:p>
    <w:p>
      <w:pPr>
        <w:spacing w:after="0" w:line="183" w:lineRule="exact"/>
        <w:rPr>
          <w:rFonts w:ascii="Arial" w:cs="Arial" w:eastAsia="Arial" w:hAnsi="Arial"/>
          <w:sz w:val="18"/>
          <w:szCs w:val="18"/>
          <w:color w:val="auto"/>
        </w:rPr>
      </w:pPr>
    </w:p>
    <w:p>
      <w:pPr>
        <w:ind w:left="1300" w:firstLine="652"/>
        <w:spacing w:after="0" w:line="277" w:lineRule="auto"/>
        <w:tabs>
          <w:tab w:leader="none" w:pos="2458" w:val="left"/>
        </w:tabs>
        <w:numPr>
          <w:ilvl w:val="2"/>
          <w:numId w:val="41"/>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L/C Issuer, the Letter of Credit is in an initial stated amount less than $100,000;</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 or Canadian Dollars;</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2"/>
          <w:numId w:val="41"/>
        </w:numPr>
        <w:rPr>
          <w:rFonts w:ascii="Arial" w:cs="Arial" w:eastAsia="Arial" w:hAnsi="Arial"/>
          <w:sz w:val="16"/>
          <w:szCs w:val="16"/>
          <w:color w:val="auto"/>
        </w:rPr>
      </w:pPr>
      <w:r>
        <w:rPr>
          <w:rFonts w:ascii="Arial" w:cs="Arial" w:eastAsia="Arial" w:hAnsi="Arial"/>
          <w:sz w:val="16"/>
          <w:szCs w:val="16"/>
          <w:color w:val="auto"/>
        </w:rPr>
        <w:t>such L/C Issuer does not as of the issuance date of such requested Letter of Credit issue Letters of Credit in the requested</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currency;</w:t>
      </w:r>
    </w:p>
    <w:p>
      <w:pPr>
        <w:spacing w:after="0" w:line="210" w:lineRule="exact"/>
        <w:rPr>
          <w:rFonts w:ascii="Arial" w:cs="Arial" w:eastAsia="Arial" w:hAnsi="Arial"/>
          <w:sz w:val="16"/>
          <w:szCs w:val="16"/>
          <w:color w:val="auto"/>
        </w:rPr>
      </w:pPr>
    </w:p>
    <w:p>
      <w:pPr>
        <w:jc w:val="both"/>
        <w:ind w:left="1300" w:firstLine="652"/>
        <w:spacing w:after="0" w:line="272" w:lineRule="auto"/>
        <w:tabs>
          <w:tab w:leader="none" w:pos="2460" w:val="left"/>
        </w:tabs>
        <w:numPr>
          <w:ilvl w:val="2"/>
          <w:numId w:val="41"/>
        </w:numPr>
        <w:rPr>
          <w:rFonts w:ascii="Arial" w:cs="Arial" w:eastAsia="Arial" w:hAnsi="Arial"/>
          <w:sz w:val="17"/>
          <w:szCs w:val="17"/>
          <w:color w:val="auto"/>
        </w:rPr>
      </w:pPr>
      <w:r>
        <w:rPr>
          <w:rFonts w:ascii="Arial" w:cs="Arial" w:eastAsia="Arial" w:hAnsi="Arial"/>
          <w:sz w:val="17"/>
          <w:szCs w:val="17"/>
          <w:color w:val="auto"/>
        </w:rPr>
        <w:t xml:space="preserve">any Lender is at that time a Defaulting Lender, unless either (1) the requesting Borrower has delivered to the Administrative Agent Cash Collateral in an amount equal to such L/C Issuer’s actual Fronting Exposure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xml:space="preserve"> and any other Cash Collateral provided by the Defaulting Lender) with respect to the Defaulting Lender or (2) such L/C Issuer has otherwise entered into arrangements satisfactory to such L/C Issuer (in its sole discretion) with the Company or such Lender to eliminate such L/C Issuer’s Fronting Exposure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with respect to the Defaulting Lender, in either case, arising from either the Letter of Credit then proposed to be issued or that Letter of Credit and all other L/C Obligations as to which such L/C Issuer has Fronting Exposure, as it may elect in its sole discretion; or</w:t>
      </w:r>
    </w:p>
    <w:p>
      <w:pPr>
        <w:spacing w:after="0" w:line="177" w:lineRule="exact"/>
        <w:rPr>
          <w:rFonts w:ascii="Arial" w:cs="Arial" w:eastAsia="Arial" w:hAnsi="Arial"/>
          <w:sz w:val="17"/>
          <w:szCs w:val="17"/>
          <w:color w:val="auto"/>
        </w:rPr>
      </w:pPr>
    </w:p>
    <w:p>
      <w:pPr>
        <w:ind w:left="2500" w:hanging="548"/>
        <w:spacing w:after="0"/>
        <w:tabs>
          <w:tab w:leader="none" w:pos="2500"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Letter of Credit contains any provisions for automatic reinstatement of the stated amount after any drawing</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left="660" w:firstLine="644"/>
        <w:spacing w:after="0" w:line="277" w:lineRule="auto"/>
        <w:tabs>
          <w:tab w:leader="none" w:pos="17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the Letter of Credit in its amended form under the terms hereof.</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825"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127" w:val="left"/>
        </w:tabs>
        <w:numPr>
          <w:ilvl w:val="0"/>
          <w:numId w:val="43"/>
        </w:numPr>
        <w:rPr>
          <w:rFonts w:ascii="Arial" w:cs="Arial" w:eastAsia="Arial" w:hAnsi="Arial"/>
          <w:sz w:val="17"/>
          <w:szCs w:val="17"/>
          <w:color w:val="010000"/>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have a stated expiration date no later than the earlier of (i) subject to </w:t>
      </w:r>
      <w:r>
        <w:rPr>
          <w:rFonts w:ascii="Arial" w:cs="Arial" w:eastAsia="Arial" w:hAnsi="Arial"/>
          <w:sz w:val="17"/>
          <w:szCs w:val="17"/>
          <w:u w:val="single" w:color="auto"/>
          <w:color w:val="auto"/>
        </w:rPr>
        <w:t>Section 2.03(b)</w:t>
      </w:r>
      <w:r>
        <w:rPr>
          <w:rFonts w:ascii="Arial" w:cs="Arial" w:eastAsia="Arial" w:hAnsi="Arial"/>
          <w:sz w:val="17"/>
          <w:szCs w:val="17"/>
          <w:color w:val="auto"/>
        </w:rPr>
        <w:t>, the date twelve months after the date of the issuance of such Letter of Credit (or, in the case of any extension of the expiration date thereof, whether automatic or by amendment, twelve months after the then current expiration date of such Letter of Credit) and (ii) the Letter of Credit Expiration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56"/>
        <w:spacing w:after="0" w:line="254" w:lineRule="auto"/>
        <w:tabs>
          <w:tab w:leader="none" w:pos="1117"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auto"/>
        </w:rPr>
        <w:t>Participations</w:t>
      </w:r>
      <w:r>
        <w:rPr>
          <w:rFonts w:ascii="Arial" w:cs="Arial" w:eastAsia="Arial" w:hAnsi="Arial"/>
          <w:sz w:val="18"/>
          <w:szCs w:val="18"/>
          <w:color w:val="auto"/>
        </w:rPr>
        <w:t>. By the issuance of a Letter of Credit (or an amendment to a Letter of Credit increasing the amount or extending the expiration date thereof), and without any further action on the part of the applicable L/C Issuer or the Lenders, such L/C Issuer hereby grants to each Lender, and each Lender hereby acquires from such L/C Issuer, a participation in such Letter of Credit equal to such Lender’s Applicable Percentage of the aggregate amount available to be drawn under such Letter of Credit. Each Lender acknowledges and agrees that its obligation to acquire participations pursuant to this clause (e)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Commitments.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consideration and in furtherance of the foregoing, each Lender hereby absolutely, unconditionally and irrevocably agrees to pay to the Administrative Agent, for account of the applicable L/C Issuer, such Lender’s Applicable Percentage of each L/C Disbursement made by an L/C Issuer not later than 1:00 p.m. on the Business Day specified in the notice provided by the Administrative Agent to the Lenders pursuant to </w:t>
      </w:r>
      <w:r>
        <w:rPr>
          <w:rFonts w:ascii="Arial" w:cs="Arial" w:eastAsia="Arial" w:hAnsi="Arial"/>
          <w:sz w:val="17"/>
          <w:szCs w:val="17"/>
          <w:u w:val="single" w:color="auto"/>
          <w:color w:val="auto"/>
        </w:rPr>
        <w:t>Section 2.03(f)</w:t>
      </w:r>
      <w:r>
        <w:rPr>
          <w:rFonts w:ascii="Arial" w:cs="Arial" w:eastAsia="Arial" w:hAnsi="Arial"/>
          <w:sz w:val="17"/>
          <w:szCs w:val="17"/>
          <w:color w:val="auto"/>
        </w:rPr>
        <w:t xml:space="preserve"> until such L/C Disbursement is reimbursed by the Company or at any time after any reimbursement payment is required to be refunded to the Company for any reason, including after the Maturity Date. Such payment shall be made without any offset, abatement, withholding or reduction whatsoever. Each such payment shall be made in the same manner as provided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shall apply, mutatis mutandis, to the payment obligations of the Lenders), and the Administrative Agent shall promptly pay to the applicable L/C Issuer the amounts so received by it from the Lenders. Promptly following receipt by the Administrative Agent of any payment from the Company pursuant to </w:t>
      </w:r>
      <w:r>
        <w:rPr>
          <w:rFonts w:ascii="Arial" w:cs="Arial" w:eastAsia="Arial" w:hAnsi="Arial"/>
          <w:sz w:val="17"/>
          <w:szCs w:val="17"/>
          <w:u w:val="single" w:color="auto"/>
          <w:color w:val="auto"/>
        </w:rPr>
        <w:t>Section 2.03(f)</w:t>
      </w:r>
      <w:r>
        <w:rPr>
          <w:rFonts w:ascii="Arial" w:cs="Arial" w:eastAsia="Arial" w:hAnsi="Arial"/>
          <w:sz w:val="17"/>
          <w:szCs w:val="17"/>
          <w:color w:val="auto"/>
        </w:rPr>
        <w:t>, the Administrative Agent shall distribute such payment to the applicable L/C Issuer or, to the extent that the Lenders have made payments pursuant to this clause (e) to reimburse such L/C Issuer, then to such Lenders and such L/C Issuer as their interests may appear. Any payment made by a Lender pursuant to this clause (e) to reimburse an L/C Issuer for any L/C Disbursement shall not constitute a Loan and shall not relieve the Company of its obligation to reimburse such L/C Disbursement.</w:t>
      </w:r>
    </w:p>
    <w:p>
      <w:pPr>
        <w:spacing w:after="0" w:line="17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as a result of an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or otherwise pursuant to this Agreement.</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18"/>
          <w:szCs w:val="18"/>
          <w:u w:val="single" w:color="auto"/>
          <w:color w:val="auto"/>
        </w:rPr>
        <w:t>Section 2.03(e)</w:t>
      </w:r>
      <w:r>
        <w:rPr>
          <w:rFonts w:ascii="Arial" w:cs="Arial" w:eastAsia="Arial" w:hAnsi="Arial"/>
          <w:sz w:val="18"/>
          <w:szCs w:val="18"/>
          <w:color w:val="auto"/>
        </w:rPr>
        <w:t>,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applicable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(without interest and fees as aforesaid) shall constitute such Lender’s Committed Loan included in the relevant Committed Borrowing or L/C Advance in respect of the relevant L/C Borrowing, as the case may be. A certificate of any L/C Issuer submitted to any Lender (through the Administrative Agent) with respect to any amounts owing under this clause (vi) shall be conclusive absent manifest error.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56"/>
        <w:spacing w:after="0" w:line="284" w:lineRule="auto"/>
        <w:tabs>
          <w:tab w:leader="none" w:pos="1120" w:val="left"/>
        </w:tabs>
        <w:numPr>
          <w:ilvl w:val="0"/>
          <w:numId w:val="45"/>
        </w:numPr>
        <w:rPr>
          <w:rFonts w:ascii="Arial" w:cs="Arial" w:eastAsia="Arial" w:hAnsi="Arial"/>
          <w:sz w:val="16"/>
          <w:szCs w:val="16"/>
          <w:color w:val="010000"/>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 L/C Issuer shall make any L/C Disbursement in respect of a Letter of Credit, the Borrower shall reimburse such L/C Issuer in respect of such L/C Disbursement (in the case of a Letter of Credit denominated in Canadian Dollars, the applicable Borrower shall reimburse the applicable L/C Issuer in Canadian Dollars, unless such Borrower and such L/C Issuer agree that such Borrower will reimburse such L/C Issuer in Dollars; in the case of any such reimbursement in Dollars of a drawing under a Letter of Credit denominated in Canadian Dollars, the applicable L/C Issuer shall notify the applicable Borrower of the Dollar Equivalent of the amount of the drawing promptly following the determination thereof) by paying to the Administrative Agent an amount equal to such L/C Disbursement not later than 12:00 noon on (i) the Business Day that the applicable Borrower receives notice of such L/C Disbursement, if such notice is received prior to 10:00 a.m. on the date of any payment by such L/C Issuer under a Letter of Credit to be reimbursed in Dollars, or the Applicable Time on the date of any payment by such L/C Issuer under a Letter of Credit to be reimbursed in Canadian Dollars or (ii) the Business Day immediately following the day that the applicable Borrower receives such notice, if such notice is not received prior to such time, provided that, if such L/C Disbursement is not less than $1,000,000, the applicable Borrower may, subject to the conditions to borrowing set forth herein, request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that such payment be financed with a Committed Borrowing of Base Rate Loans (with respect to Letters of Credit denominated in Dollars) or Canadian Prime Rate Loans (with respect to Letters of Credit denominated in Canadian Dollars) in an equivalent amount and, to the extent so financed, such Borrower’s obligation to make such payment shall be discharged and replaced by the resulting Borrowing of Committed Borrowing of Base Rate Loans (with respect to Letters of Credit denominated in Dollars) or Canadian Prime Rate Loans (with respect to Letters of Credit denominated in Canadian Dollars. If the applicable Borrower fails to make such payment when due, the Administrative Agent shall notify each Lender of the applicable L/C Disbursement, the payment then due from such Borrower in respect thereof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such Lender’s Applicable Percentage thereof. In such event, the applicable Borrower shall be deemed to have requested a Committed Borrowing of Base Rate Loans (with respect to Letters of Credit denominated in Dollars) or Canadian Prime Rate Loans (with respect to Letters of Credit denominated in Canadian Dollars) to be disbursed on the date of payment by the applicable L/C Issuer under a Letter of Credit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(with respect to Letters of Credit denominated in Dollars) or Canadian Prime Rate Loans (with respect to Letters of Credit denominated in Canadian Dollars), but subject to the amount of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and without giving effect to such Borrower’s failure to so reimburse such L/C Issuer as provided in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Any notice given by any L/C Issuer or the Administrative Agent pursuant to this </w:t>
      </w:r>
      <w:r>
        <w:rPr>
          <w:rFonts w:ascii="Arial" w:cs="Arial" w:eastAsia="Arial" w:hAnsi="Arial"/>
          <w:sz w:val="16"/>
          <w:szCs w:val="16"/>
          <w:u w:val="single" w:color="auto"/>
          <w:color w:val="auto"/>
        </w:rPr>
        <w:t>Section 2.03(f)</w:t>
      </w:r>
      <w:r>
        <w:rPr>
          <w:rFonts w:ascii="Arial" w:cs="Arial" w:eastAsia="Arial" w:hAnsi="Arial"/>
          <w:sz w:val="16"/>
          <w:szCs w:val="16"/>
          <w:color w:val="auto"/>
        </w:rPr>
        <w:t xml:space="preserve"> may be given by telephone if immediately confirmed in writing; provided that the lack of such an immediate confirmation shall not affect the conclusiveness or binding effect of such notice.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56"/>
        <w:spacing w:after="0" w:line="263" w:lineRule="auto"/>
        <w:tabs>
          <w:tab w:leader="none" w:pos="1127" w:val="left"/>
        </w:tabs>
        <w:numPr>
          <w:ilvl w:val="0"/>
          <w:numId w:val="46"/>
        </w:numPr>
        <w:rPr>
          <w:rFonts w:ascii="Arial" w:cs="Arial" w:eastAsia="Arial" w:hAnsi="Arial"/>
          <w:sz w:val="18"/>
          <w:szCs w:val="18"/>
          <w:color w:val="010000"/>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applicable Borrower to reimburse each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3" w:lineRule="exact"/>
        <w:rPr>
          <w:rFonts w:ascii="Arial" w:cs="Arial" w:eastAsia="Arial" w:hAnsi="Arial"/>
          <w:sz w:val="18"/>
          <w:szCs w:val="18"/>
          <w:color w:val="010000"/>
        </w:rPr>
      </w:pPr>
    </w:p>
    <w:p>
      <w:pPr>
        <w:ind w:left="1760" w:hanging="456"/>
        <w:spacing w:after="0"/>
        <w:tabs>
          <w:tab w:leader="none" w:pos="1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80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3" w:lineRule="exact"/>
        <w:rPr>
          <w:rFonts w:ascii="Arial" w:cs="Arial" w:eastAsia="Arial" w:hAnsi="Arial"/>
          <w:sz w:val="18"/>
          <w:szCs w:val="18"/>
          <w:color w:val="auto"/>
        </w:rPr>
      </w:pPr>
    </w:p>
    <w:p>
      <w:pPr>
        <w:ind w:left="660" w:firstLine="644"/>
        <w:spacing w:after="0" w:line="277" w:lineRule="auto"/>
        <w:tabs>
          <w:tab w:leader="none" w:pos="17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waiver by any L/C Issuer of any requirement that exists for such L/C Issuer’s protection and not the protection of any Borrower or any waiver by such L/C Issuer which does not in fact materially prejudice any Borrower;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required that demand be in the form of a</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draft;</w:t>
      </w:r>
    </w:p>
    <w:p>
      <w:pPr>
        <w:spacing w:after="0" w:line="210" w:lineRule="exact"/>
        <w:rPr>
          <w:rFonts w:ascii="Arial" w:cs="Arial" w:eastAsia="Arial" w:hAnsi="Arial"/>
          <w:sz w:val="17"/>
          <w:szCs w:val="17"/>
          <w:color w:val="auto"/>
        </w:rPr>
      </w:pPr>
    </w:p>
    <w:p>
      <w:pPr>
        <w:jc w:val="both"/>
        <w:ind w:left="660" w:firstLine="644"/>
        <w:spacing w:after="0" w:line="263" w:lineRule="auto"/>
        <w:tabs>
          <w:tab w:leader="none" w:pos="17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7" w:lineRule="exact"/>
        <w:rPr>
          <w:rFonts w:ascii="Arial" w:cs="Arial" w:eastAsia="Arial" w:hAnsi="Arial"/>
          <w:sz w:val="18"/>
          <w:szCs w:val="18"/>
          <w:color w:val="auto"/>
        </w:rPr>
      </w:pPr>
    </w:p>
    <w:p>
      <w:pPr>
        <w:ind w:left="660" w:firstLine="644"/>
        <w:spacing w:after="0" w:line="277" w:lineRule="auto"/>
        <w:tabs>
          <w:tab w:leader="none" w:pos="184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Canadian Dollars to the Company or any Subsidiary or in the relevant currency markets generally; or</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815"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any other event or circumstance whatsoever, whether or not similar to any of the foregoing, that might, but for the provisions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constitute a legal or equitable discharge of, or provide a right of setoff against, any Borrower’s obligations hereunder.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48"/>
        <w:spacing w:after="0" w:line="257" w:lineRule="auto"/>
        <w:rPr>
          <w:sz w:val="20"/>
          <w:szCs w:val="20"/>
          <w:color w:val="auto"/>
        </w:rPr>
      </w:pPr>
      <w:r>
        <w:rPr>
          <w:rFonts w:ascii="Arial" w:cs="Arial" w:eastAsia="Arial" w:hAnsi="Arial"/>
          <w:sz w:val="18"/>
          <w:szCs w:val="18"/>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promptly notify the applicable L/C Issuer and such L/C Issuer will correct such claim in conformity with such Borrower’s instructions or as otherwise agreed between such Borrower and such L/C Issuer, subject to the terms hereof. Each Borrower shall be conclusively deemed to have waived any such claim against each L/C Issuer and its correspondents unless such notice is given as aforesaid.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an L/C Issuer from liability to any Borrower to the extent of any direct damages (as opposed to consequential damages, claims in respect of which are hereby waived by each Borrower to the extent permitted by Applicable Law) suffered by such Borrower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spacing w:after="0" w:line="182" w:lineRule="exact"/>
        <w:rPr>
          <w:sz w:val="20"/>
          <w:szCs w:val="20"/>
          <w:color w:val="auto"/>
        </w:rPr>
      </w:pPr>
    </w:p>
    <w:p>
      <w:pPr>
        <w:ind w:left="660" w:firstLine="644"/>
        <w:spacing w:after="0" w:line="277" w:lineRule="auto"/>
        <w:tabs>
          <w:tab w:leader="none" w:pos="17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L/C Issuer may replace a purportedly lost, stolen, or destroyed original Letter of Credit or missing amendment thereto with a certified true copy marked as such or waive a requirement for its presentation;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9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6" w:lineRule="exact"/>
        <w:rPr>
          <w:rFonts w:ascii="Arial" w:cs="Arial" w:eastAsia="Arial" w:hAnsi="Arial"/>
          <w:sz w:val="18"/>
          <w:szCs w:val="18"/>
          <w:color w:val="auto"/>
        </w:rPr>
      </w:pPr>
    </w:p>
    <w:p>
      <w:pPr>
        <w:ind w:left="660" w:firstLine="644"/>
        <w:spacing w:after="0" w:line="277" w:lineRule="auto"/>
        <w:tabs>
          <w:tab w:leader="none" w:pos="18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L/C Issuer shall have the right, in its sole discretion, to decline to accept such documents and to make such payment if such documents are not in strict compliance with the terms of such Letter of Credit;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8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648"/>
        <w:spacing w:after="0" w:line="272" w:lineRule="auto"/>
        <w:rPr>
          <w:sz w:val="20"/>
          <w:szCs w:val="20"/>
          <w:color w:val="auto"/>
        </w:rPr>
      </w:pPr>
      <w:r>
        <w:rPr>
          <w:rFonts w:ascii="Arial" w:cs="Arial" w:eastAsia="Arial" w:hAnsi="Arial"/>
          <w:sz w:val="17"/>
          <w:szCs w:val="17"/>
          <w:color w:val="auto"/>
        </w:rPr>
        <w:t>Without limiting the foregoing, none of the Administrative Agent, the Lenders, any L/C Issuer, or any of their Related Parties shall have any liability or responsibility by reason of (i) any presentation that includes forged or fraudulent documents or that is otherwise affected by the fraudulent, bad faith, or illegal conduct of the beneficiary or other Person, (ii) an L/C Issuer declining to take-up documents and make payment (A) against documents that are fraudulent, forged, or for other reasons by which that it is entitled not to honor or (B) following a Borrower’s waiver of discrepancies with respect to such documents or request for honor of such documents or (iii) an L/C Issuer retaining proceeds of a Letter of Credit based on an apparently applicable attachment order, blocking regulation, or third-party claim notified to such L/C Issuer, and upon the occurrence of any of the foregoing, the applicable L/C Issuer shall promptly notify the applicable Borrower of the details thereof.</w:t>
      </w:r>
    </w:p>
    <w:p>
      <w:pPr>
        <w:spacing w:after="0" w:line="177" w:lineRule="exact"/>
        <w:rPr>
          <w:sz w:val="20"/>
          <w:szCs w:val="20"/>
          <w:color w:val="auto"/>
        </w:rPr>
      </w:pPr>
    </w:p>
    <w:p>
      <w:pPr>
        <w:jc w:val="both"/>
        <w:ind w:firstLine="656"/>
        <w:spacing w:after="0" w:line="270" w:lineRule="auto"/>
        <w:tabs>
          <w:tab w:leader="none" w:pos="1127" w:val="left"/>
        </w:tabs>
        <w:numPr>
          <w:ilvl w:val="0"/>
          <w:numId w:val="48"/>
        </w:numPr>
        <w:rPr>
          <w:rFonts w:ascii="Arial" w:cs="Arial" w:eastAsia="Arial" w:hAnsi="Arial"/>
          <w:sz w:val="17"/>
          <w:szCs w:val="17"/>
          <w:color w:val="010000"/>
        </w:rPr>
      </w:pPr>
      <w:r>
        <w:rPr>
          <w:rFonts w:ascii="Arial" w:cs="Arial" w:eastAsia="Arial" w:hAnsi="Arial"/>
          <w:sz w:val="17"/>
          <w:szCs w:val="17"/>
          <w:u w:val="single" w:color="auto"/>
          <w:color w:val="auto"/>
        </w:rPr>
        <w:t>Applicability of ISP and UCP</w:t>
      </w:r>
      <w:r>
        <w:rPr>
          <w:rFonts w:ascii="Arial" w:cs="Arial" w:eastAsia="Arial" w:hAnsi="Arial"/>
          <w:sz w:val="17"/>
          <w:szCs w:val="17"/>
          <w:color w:val="auto"/>
        </w:rPr>
        <w:t>. Unless otherwise expressly agreed by the applicable L/C Issuer and the applicable Borrower when a Letter of Credit is issued, including any such agreement applicable to an Existing Letter of Credit, (i) the rules of the ISP shall apply to each standby Letter of Credit, and (ii) the rules of the UCP, as most recently published at the time of issuance, shall apply to each commercial Letter of Credit. Notwithstanding the foregoing, no L/C Issuer shall be responsible to any Borrower for, and no L/C Issuer’s rights and remedies against a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0" w:lineRule="exact"/>
        <w:rPr>
          <w:rFonts w:ascii="Arial" w:cs="Arial" w:eastAsia="Arial" w:hAnsi="Arial"/>
          <w:sz w:val="17"/>
          <w:szCs w:val="17"/>
          <w:color w:val="010000"/>
        </w:rPr>
      </w:pPr>
    </w:p>
    <w:p>
      <w:pPr>
        <w:jc w:val="both"/>
        <w:ind w:firstLine="656"/>
        <w:spacing w:after="0" w:line="257" w:lineRule="auto"/>
        <w:tabs>
          <w:tab w:leader="none" w:pos="1110"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Each L/C Issuer shall act on behalf of the Lenders with respect to any Letters of Credit issued by it and the documents associated therewith, and each L/C Issuer shall have all of the benefits and immunities (A)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such L/C Issuer with respect to such acts or omissions, and (B) as additionally provided herein with respect to such L/C Issuer.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56"/>
        <w:spacing w:after="0" w:line="286" w:lineRule="auto"/>
        <w:tabs>
          <w:tab w:leader="none" w:pos="1110" w:val="left"/>
        </w:tabs>
        <w:numPr>
          <w:ilvl w:val="0"/>
          <w:numId w:val="49"/>
        </w:numPr>
        <w:rPr>
          <w:rFonts w:ascii="Arial" w:cs="Arial" w:eastAsia="Arial" w:hAnsi="Arial"/>
          <w:sz w:val="16"/>
          <w:szCs w:val="16"/>
          <w:color w:val="010000"/>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Company shall pay to the Administrative Agent for the account of each Lender in accordance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commercial or standby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any Letter of Credit Fees otherwise payable for the account of a Defaulting Lender with respect to any Letter of Credit as to which such Defaulting Lender or the Company has not provided Cash Collateral satisfactory to the applicable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with the balance of such fee, if any, payable to such L/C Issuer for its own account.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Such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during any Default Rate Period, all Letter of Credit Fees shall accrue at the Default Rate.</w:t>
      </w:r>
    </w:p>
    <w:p>
      <w:pPr>
        <w:spacing w:after="0" w:line="173" w:lineRule="exact"/>
        <w:rPr>
          <w:rFonts w:ascii="Arial" w:cs="Arial" w:eastAsia="Arial" w:hAnsi="Arial"/>
          <w:sz w:val="16"/>
          <w:szCs w:val="16"/>
          <w:color w:val="010000"/>
        </w:rPr>
      </w:pPr>
    </w:p>
    <w:p>
      <w:pPr>
        <w:jc w:val="both"/>
        <w:ind w:firstLine="656"/>
        <w:spacing w:after="0" w:line="268" w:lineRule="auto"/>
        <w:tabs>
          <w:tab w:leader="none" w:pos="1127" w:val="left"/>
        </w:tabs>
        <w:numPr>
          <w:ilvl w:val="0"/>
          <w:numId w:val="49"/>
        </w:numPr>
        <w:rPr>
          <w:rFonts w:ascii="Arial" w:cs="Arial" w:eastAsia="Arial" w:hAnsi="Arial"/>
          <w:sz w:val="17"/>
          <w:szCs w:val="17"/>
          <w:color w:val="010000"/>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xml:space="preserve">. The Company shall pay directly to the applicable L/C Issuer for its own account a fronting fee (i) with respect to each commercial Letter of Credit, at the rate specified in the Fee Letters, computed on the Dollar Equivalent of the amount of such Letter of Credit, and payable upon the issuance thereof, and (ii) with respect to each standby Letter of Credit, at the rate per annum specified in the Fee Letters, computed on the Dollar Equivalent of the daily amount available to be drawn under such Letter of Credit on a quarterly basis in arrears. Such fronting fee with respect to standby Letters of Credit shall be due and payable on the third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In addition, the Company shall pay directly to the applicable L/C Issuer for its own account in Dollars the customary issuance, presentation, amendment and other processing fees, and other standard costs and charges, of the such L/C Issuer relating to letters of credit as from time to time in effect, effective schedules of which will be provided to the Company upon its request. Such customary fees and standard costs and charges are due and payable quarterly in arrears on the first Business Day after the end of each March, June, September and December and are nonrefundable.</w:t>
      </w:r>
    </w:p>
    <w:p>
      <w:pPr>
        <w:spacing w:after="0" w:line="186" w:lineRule="exact"/>
        <w:rPr>
          <w:rFonts w:ascii="Arial" w:cs="Arial" w:eastAsia="Arial" w:hAnsi="Arial"/>
          <w:sz w:val="17"/>
          <w:szCs w:val="17"/>
          <w:color w:val="010000"/>
        </w:rPr>
      </w:pPr>
    </w:p>
    <w:p>
      <w:pPr>
        <w:jc w:val="both"/>
        <w:ind w:firstLine="656"/>
        <w:spacing w:after="0" w:line="275" w:lineRule="auto"/>
        <w:tabs>
          <w:tab w:leader="none" w:pos="1110" w:val="left"/>
        </w:tabs>
        <w:numPr>
          <w:ilvl w:val="0"/>
          <w:numId w:val="49"/>
        </w:numPr>
        <w:rPr>
          <w:rFonts w:ascii="Arial" w:cs="Arial" w:eastAsia="Arial" w:hAnsi="Arial"/>
          <w:sz w:val="17"/>
          <w:szCs w:val="17"/>
          <w:color w:val="010000"/>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applicable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applicable Borrower in writing of such demand for payment if such L/C Issuer has made or will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such Borrower of its obligation to reimburse such L/C Issuer and the Lenders with respect to any such L/C Disbursement.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56"/>
        <w:spacing w:after="0" w:line="272" w:lineRule="auto"/>
        <w:tabs>
          <w:tab w:leader="none" w:pos="1155"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the applicable L/C Issuer for any Letter of Credit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the rate per annum then applicable to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Borrower fails to reimburse such L/C Disbursement when due pursuant to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then </w:t>
      </w:r>
      <w:r>
        <w:rPr>
          <w:rFonts w:ascii="Arial" w:cs="Arial" w:eastAsia="Arial" w:hAnsi="Arial"/>
          <w:sz w:val="17"/>
          <w:szCs w:val="17"/>
          <w:u w:val="single" w:color="auto"/>
          <w:color w:val="auto"/>
        </w:rPr>
        <w:t>Section 2.08(b)</w:t>
      </w:r>
      <w:r>
        <w:rPr>
          <w:rFonts w:ascii="Arial" w:cs="Arial" w:eastAsia="Arial" w:hAnsi="Arial"/>
          <w:sz w:val="17"/>
          <w:szCs w:val="17"/>
          <w:color w:val="auto"/>
        </w:rPr>
        <w:t xml:space="preserve"> shall apply. Interest accrued pursuant to this </w:t>
      </w:r>
      <w:r>
        <w:rPr>
          <w:rFonts w:ascii="Arial" w:cs="Arial" w:eastAsia="Arial" w:hAnsi="Arial"/>
          <w:sz w:val="17"/>
          <w:szCs w:val="17"/>
          <w:u w:val="single" w:color="auto"/>
          <w:color w:val="auto"/>
        </w:rPr>
        <w:t>clause (m)</w:t>
      </w:r>
      <w:r>
        <w:rPr>
          <w:rFonts w:ascii="Arial" w:cs="Arial" w:eastAsia="Arial" w:hAnsi="Arial"/>
          <w:sz w:val="17"/>
          <w:szCs w:val="17"/>
          <w:color w:val="auto"/>
        </w:rPr>
        <w:t xml:space="preserve"> shall be for account of such L/C Issuer, except that interest accrued on and after the date of payment by any Lender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to reimburse such L/C Issuer shall be for account of such Lender to the extent of such payment.</w:t>
      </w:r>
    </w:p>
    <w:p>
      <w:pPr>
        <w:spacing w:after="0" w:line="177" w:lineRule="exact"/>
        <w:rPr>
          <w:rFonts w:ascii="Arial" w:cs="Arial" w:eastAsia="Arial" w:hAnsi="Arial"/>
          <w:sz w:val="17"/>
          <w:szCs w:val="17"/>
          <w:color w:val="010000"/>
        </w:rPr>
      </w:pPr>
    </w:p>
    <w:p>
      <w:pPr>
        <w:jc w:val="both"/>
        <w:ind w:firstLine="656"/>
        <w:spacing w:after="0" w:line="270" w:lineRule="auto"/>
        <w:tabs>
          <w:tab w:leader="none" w:pos="1127"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Replacement of any L/C Issuer</w:t>
      </w:r>
      <w:r>
        <w:rPr>
          <w:rFonts w:ascii="Arial" w:cs="Arial" w:eastAsia="Arial" w:hAnsi="Arial"/>
          <w:sz w:val="17"/>
          <w:szCs w:val="17"/>
          <w:color w:val="auto"/>
        </w:rPr>
        <w:t xml:space="preserve">. Any L/C Issuer may be replaced at any time by written agreement between the Company, the Administrative Agent, the replaced L/C Issuer and the successor L/C Issuer. The Administrative Agent shall notify the Lenders of any such replacement of an L/C Issuer. At the time any such replacement shall become effective, the applicable Borrower shall pay all unpaid fees accrued for the account of the replaced L/C Issuer pursuant to </w:t>
      </w:r>
      <w:r>
        <w:rPr>
          <w:rFonts w:ascii="Arial" w:cs="Arial" w:eastAsia="Arial" w:hAnsi="Arial"/>
          <w:sz w:val="17"/>
          <w:szCs w:val="17"/>
          <w:u w:val="single" w:color="auto"/>
          <w:color w:val="auto"/>
        </w:rPr>
        <w:t>Section 2.03(j)</w:t>
      </w:r>
      <w:r>
        <w:rPr>
          <w:rFonts w:ascii="Arial" w:cs="Arial" w:eastAsia="Arial" w:hAnsi="Arial"/>
          <w:sz w:val="17"/>
          <w:szCs w:val="17"/>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0" w:lineRule="exact"/>
        <w:rPr>
          <w:rFonts w:ascii="Arial" w:cs="Arial" w:eastAsia="Arial" w:hAnsi="Arial"/>
          <w:sz w:val="17"/>
          <w:szCs w:val="17"/>
          <w:color w:val="010000"/>
        </w:rPr>
      </w:pPr>
    </w:p>
    <w:p>
      <w:pPr>
        <w:jc w:val="both"/>
        <w:ind w:firstLine="656"/>
        <w:spacing w:after="0" w:line="269" w:lineRule="auto"/>
        <w:tabs>
          <w:tab w:leader="none" w:pos="1127"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If any Event of Default shall occur and be continuing, on the Business Day that the Company receives notice from the Administrative Agent or the Required Lenders (or, if the maturity of the Loans has been accelerated, Lenders with L/C Obligations representing at least 66-2/3% of the total L/C Obligations) demanding the deposit of cash collateral pursuant to this clause (o), such Borrower shall immediately deposit into an account established and maintained on the books and records of the Administrative Agent (the “</w:t>
      </w:r>
      <w:r>
        <w:rPr>
          <w:rFonts w:ascii="Arial" w:cs="Arial" w:eastAsia="Arial" w:hAnsi="Arial"/>
          <w:sz w:val="17"/>
          <w:szCs w:val="17"/>
          <w:u w:val="single" w:color="auto"/>
          <w:color w:val="auto"/>
        </w:rPr>
        <w:t>Collateral Account</w:t>
      </w:r>
      <w:r>
        <w:rPr>
          <w:rFonts w:ascii="Arial" w:cs="Arial" w:eastAsia="Arial" w:hAnsi="Arial"/>
          <w:sz w:val="17"/>
          <w:szCs w:val="17"/>
          <w:color w:val="auto"/>
        </w:rPr>
        <w:t xml:space="preserve">”) an amount in cash equal to 102% of the total L/C Obligations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such Borrower described in clause (f) of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Such deposit shall be held by the Administrative Agent as collateral for the payment and performance of the obligations of the applicable Borrower under this Agreement. In addition, and without limiting the foregoing or clause (d)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if any L/C Obligations remain outstanding after the expiration date specified in said clause (d), the applicable Borrower shall immediately deposit into the Collateral Account an amount in cash equal to 102% of such L/C Obligations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accrued and unpaid interest thereon.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648"/>
        <w:spacing w:after="0" w:line="269" w:lineRule="auto"/>
        <w:rPr>
          <w:sz w:val="20"/>
          <w:szCs w:val="20"/>
          <w:color w:val="auto"/>
        </w:rPr>
      </w:pPr>
      <w:r>
        <w:rPr>
          <w:rFonts w:ascii="Arial" w:cs="Arial" w:eastAsia="Arial" w:hAnsi="Arial"/>
          <w:sz w:val="17"/>
          <w:szCs w:val="17"/>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applicable Borrower for the L/C Obligations at such time or, if the maturity of the Loans has been accelerated (but subject to the consent of Lenders with L/C Obligations representing 66-2/3% of the total L/C Obligations), be applied to satisfy other obligations of such Borrower under this Agreement. If the applicable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w:t>
      </w:r>
    </w:p>
    <w:p>
      <w:pPr>
        <w:spacing w:after="0" w:line="185" w:lineRule="exact"/>
        <w:rPr>
          <w:sz w:val="20"/>
          <w:szCs w:val="20"/>
          <w:color w:val="auto"/>
        </w:rPr>
      </w:pPr>
    </w:p>
    <w:p>
      <w:pPr>
        <w:ind w:firstLine="656"/>
        <w:spacing w:after="0" w:line="342" w:lineRule="auto"/>
        <w:tabs>
          <w:tab w:leader="none" w:pos="1127" w:val="left"/>
        </w:tabs>
        <w:numPr>
          <w:ilvl w:val="0"/>
          <w:numId w:val="51"/>
        </w:numPr>
        <w:rPr>
          <w:rFonts w:ascii="Arial" w:cs="Arial" w:eastAsia="Arial" w:hAnsi="Arial"/>
          <w:sz w:val="16"/>
          <w:szCs w:val="16"/>
          <w:color w:val="010000"/>
        </w:rPr>
      </w:pPr>
      <w:r>
        <w:rPr>
          <w:rFonts w:ascii="Arial" w:cs="Arial" w:eastAsia="Arial" w:hAnsi="Arial"/>
          <w:sz w:val="16"/>
          <w:szCs w:val="16"/>
          <w:u w:val="single" w:color="auto"/>
          <w:color w:val="auto"/>
        </w:rPr>
        <w:t>L/C Issuer Reports to the Administrative Agent</w:t>
      </w:r>
      <w:r>
        <w:rPr>
          <w:rFonts w:ascii="Arial" w:cs="Arial" w:eastAsia="Arial" w:hAnsi="Arial"/>
          <w:sz w:val="16"/>
          <w:szCs w:val="16"/>
          <w:color w:val="auto"/>
        </w:rPr>
        <w:t xml:space="preserve">. Unless otherwise agreed by the Administrative Agent, each L/C Issuer shall, in addition to its notification obligations set forth elsewhere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provide the Administrative Agent a Letter of Credit Report, as set forth below:</w:t>
      </w:r>
    </w:p>
    <w:p>
      <w:pPr>
        <w:spacing w:after="0" w:line="123" w:lineRule="exact"/>
        <w:rPr>
          <w:rFonts w:ascii="Arial" w:cs="Arial" w:eastAsia="Arial" w:hAnsi="Arial"/>
          <w:sz w:val="16"/>
          <w:szCs w:val="16"/>
          <w:color w:val="010000"/>
        </w:rPr>
      </w:pPr>
    </w:p>
    <w:p>
      <w:pPr>
        <w:jc w:val="both"/>
        <w:ind w:left="660" w:firstLine="644"/>
        <w:spacing w:after="0" w:line="263" w:lineRule="auto"/>
        <w:tabs>
          <w:tab w:leader="none" w:pos="177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83" w:lineRule="exact"/>
        <w:rPr>
          <w:rFonts w:ascii="Arial" w:cs="Arial" w:eastAsia="Arial" w:hAnsi="Arial"/>
          <w:sz w:val="18"/>
          <w:szCs w:val="18"/>
          <w:color w:val="auto"/>
        </w:rPr>
      </w:pPr>
    </w:p>
    <w:p>
      <w:pPr>
        <w:ind w:left="1800" w:hanging="496"/>
        <w:spacing w:after="0"/>
        <w:tabs>
          <w:tab w:leader="none" w:pos="18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on each Business Day on which such L/C Issuer makes a payment pursuant to a Letter of Credit, the date and amount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payment;</w:t>
      </w:r>
    </w:p>
    <w:p>
      <w:pPr>
        <w:spacing w:after="0" w:line="210" w:lineRule="exact"/>
        <w:rPr>
          <w:rFonts w:ascii="Arial" w:cs="Arial" w:eastAsia="Arial" w:hAnsi="Arial"/>
          <w:sz w:val="16"/>
          <w:szCs w:val="16"/>
          <w:color w:val="auto"/>
        </w:rPr>
      </w:pPr>
    </w:p>
    <w:p>
      <w:pPr>
        <w:ind w:left="660" w:firstLine="644"/>
        <w:spacing w:after="0" w:line="277" w:lineRule="auto"/>
        <w:tabs>
          <w:tab w:leader="none" w:pos="18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 any Business Day on which a Borrower fails to reimburse a payment made pursuant to a Letter of Credit required to be reimbursed to such L/C Issuer on such day, the date of such failure and the amount of such payment;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815"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 any other Business Day, such other information as the Administrative Agent shall reasonably request as to the Letters of Credit issued by such L/C Issuer;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for so long as any Letter of Credit issued by an L/C Issuer is outstanding, such L/C Issuer shall deliver to the Administrative Agent</w:t>
      </w:r>
    </w:p>
    <w:p>
      <w:pPr>
        <w:spacing w:after="0" w:line="46" w:lineRule="exact"/>
        <w:rPr>
          <w:sz w:val="20"/>
          <w:szCs w:val="20"/>
          <w:color w:val="auto"/>
        </w:rPr>
      </w:pPr>
    </w:p>
    <w:p>
      <w:pPr>
        <w:jc w:val="both"/>
        <w:ind w:left="660" w:hanging="4"/>
        <w:spacing w:after="0" w:line="227" w:lineRule="auto"/>
        <w:tabs>
          <w:tab w:leader="none" w:pos="9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203" w:lineRule="exact"/>
        <w:rPr>
          <w:sz w:val="20"/>
          <w:szCs w:val="20"/>
          <w:color w:val="auto"/>
        </w:rPr>
      </w:pPr>
    </w:p>
    <w:p>
      <w:pPr>
        <w:jc w:val="both"/>
        <w:ind w:firstLine="656"/>
        <w:spacing w:after="0" w:line="279" w:lineRule="auto"/>
        <w:tabs>
          <w:tab w:leader="none" w:pos="1127" w:val="left"/>
        </w:tabs>
        <w:numPr>
          <w:ilvl w:val="0"/>
          <w:numId w:val="53"/>
        </w:numPr>
        <w:rPr>
          <w:rFonts w:ascii="Arial" w:cs="Arial" w:eastAsia="Arial" w:hAnsi="Arial"/>
          <w:sz w:val="17"/>
          <w:szCs w:val="17"/>
          <w:color w:val="010000"/>
        </w:rPr>
      </w:pPr>
      <w:r>
        <w:rPr>
          <w:rFonts w:ascii="Arial" w:cs="Arial" w:eastAsia="Arial" w:hAnsi="Arial"/>
          <w:sz w:val="17"/>
          <w:szCs w:val="17"/>
          <w:u w:val="single" w:color="auto"/>
          <w:color w:val="auto"/>
        </w:rPr>
        <w:t>Additional L/C Issuers</w:t>
      </w:r>
      <w:r>
        <w:rPr>
          <w:rFonts w:ascii="Arial" w:cs="Arial" w:eastAsia="Arial" w:hAnsi="Arial"/>
          <w:sz w:val="17"/>
          <w:szCs w:val="17"/>
          <w:color w:val="auto"/>
        </w:rPr>
        <w:t>. Any Lender hereunder may become an L/C Issuer upon receipt by the Administrative Agent of a fully executed Notice of Additional L/C Issuer which shall be signed by the Company, the Administrative Agent and the applicable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right="20" w:firstLine="656"/>
        <w:spacing w:after="0" w:line="277" w:lineRule="auto"/>
        <w:tabs>
          <w:tab w:leader="none" w:pos="1120"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010000"/>
        </w:rPr>
      </w:pPr>
    </w:p>
    <w:p>
      <w:pPr>
        <w:jc w:val="both"/>
        <w:ind w:firstLine="656"/>
        <w:spacing w:after="0" w:line="293" w:lineRule="auto"/>
        <w:tabs>
          <w:tab w:leader="none" w:pos="1108" w:val="left"/>
        </w:tabs>
        <w:numPr>
          <w:ilvl w:val="0"/>
          <w:numId w:val="54"/>
        </w:numPr>
        <w:rPr>
          <w:rFonts w:ascii="Arial" w:cs="Arial" w:eastAsia="Arial" w:hAnsi="Arial"/>
          <w:sz w:val="16"/>
          <w:szCs w:val="16"/>
          <w:color w:val="010000"/>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 issued or outstanding hereunder is in support of any obligations of a Subsidiary, the applicable Borrower (and not any such Subsidiary) that requested such Letter of Credit shall be obligated to reimburse, indemnify and compensate the applicable L/C Issuer hereunder for any and all drawings under such Letter of Credit requested by it. Each Borrower irrevocably waives any and all defenses that might otherwise be available to it as a guarantor or surety of any or all of the obligations of such Subsidiary in respect of such Letter of Credit. Each Borrower hereby acknowledges that the issuance of Letters of Credit requested by it in support of the obligations of any of its Subsidiaries inures to the benefit of such Borrower, and that such Borrower’s business derives benefits from the business of such Subsidiary.</w:t>
      </w:r>
    </w:p>
    <w:p>
      <w:pPr>
        <w:spacing w:after="0" w:line="16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Swing Line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6" w:lineRule="auto"/>
        <w:tabs>
          <w:tab w:leader="none" w:pos="1117" w:val="left"/>
        </w:tabs>
        <w:numPr>
          <w:ilvl w:val="0"/>
          <w:numId w:val="55"/>
        </w:numPr>
        <w:rPr>
          <w:rFonts w:ascii="Arial" w:cs="Arial" w:eastAsia="Arial" w:hAnsi="Arial"/>
          <w:sz w:val="16"/>
          <w:szCs w:val="16"/>
          <w:color w:val="010000"/>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agrees,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to make loans in Dollars or in Canadian Dollars from time to time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each requesting Borrower, in each case, on a several basis,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Total Outstandings shall not exceed the Aggregate Commitments, and (ii)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Canadian BA’s (or Canadian BA Equivalent Loans) accepted and purchased from PMCULC and the Designated Borrowers shall not exceed such Lender’s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Borrowers shall not use the proceeds of any Swing Line Loan to refinance any outstanding Swing Line Loan. Within the foregoing limits, and subject to the other terms and conditions hereof, each requesting Borrower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Swing Line Loans may be Base Rate Loans, Canadian Prime Rate Loans or Eurocurrency Rate Loans. Immediately upon the making of a Swing Line Loan to a Borrower,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656"/>
        <w:spacing w:after="0" w:line="283" w:lineRule="auto"/>
        <w:tabs>
          <w:tab w:leader="none" w:pos="1127" w:val="left"/>
        </w:tabs>
        <w:numPr>
          <w:ilvl w:val="1"/>
          <w:numId w:val="56"/>
        </w:numPr>
        <w:rPr>
          <w:rFonts w:ascii="Arial" w:cs="Arial" w:eastAsia="Arial" w:hAnsi="Arial"/>
          <w:sz w:val="16"/>
          <w:szCs w:val="16"/>
          <w:color w:val="010000"/>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a Borrower’s irrevocable notice to the Swing Line Lender and the Administrative Agent, which may be given by (A) telephone, or (B) a Swing Line Loan Notice; provided 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of $1,000,000 (with respect to Swing Line Loans denominated in Dollars) or C$1,000,000 (with respect to Swing Line Loans denominated in Canadian Dollars), (ii) whether such Swing Line Loan is a Base Rate Loan, a Canadian Prime Rate Loan or a Eurocurrency Rate Loan (and if a Eurocurrency Rate Loan, either (x) the applicable Interest Period thereof or (y) that the daily floating Eurocurrency Rate provided in clause (b) of the definition thereof shall apply), (iii) the requested borrowing date, which shall be a Business Day and (iv) the currency of the Swing Line Loan to be borrowed.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or</w:t>
      </w:r>
    </w:p>
    <w:p>
      <w:pPr>
        <w:spacing w:after="0" w:line="1" w:lineRule="exact"/>
        <w:rPr>
          <w:rFonts w:ascii="Arial" w:cs="Arial" w:eastAsia="Arial" w:hAnsi="Arial"/>
          <w:sz w:val="16"/>
          <w:szCs w:val="16"/>
          <w:color w:val="010000"/>
        </w:rPr>
      </w:pPr>
    </w:p>
    <w:p>
      <w:pPr>
        <w:jc w:val="both"/>
        <w:ind w:firstLine="8"/>
        <w:spacing w:after="0" w:line="268" w:lineRule="auto"/>
        <w:tabs>
          <w:tab w:leader="none" w:pos="289"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that it believes in good faith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Swing Line Lender will, not later than 3:00 p.m., in the case of any Swing Line Loan denominated in Dollars, and not later than the Applicable Time specified by the Administrative Agent in the case of any Swing Line Loan in Canadian Dollars, in each case on the borrowing date specified in such Swing Line Loan Notice, make the amount of its Swing Line Loan available to such Borrower, at such Borrower’s election, either by (i) crediting the account of such Borrower on the books of Bank of America with the amount of such funds or (ii) wire transfer of such funds, in each case in accordance with instructions provided to the Administrative Agent by such Borrower as set forth in the Swing Line Loan Notice.</w:t>
      </w:r>
    </w:p>
    <w:p>
      <w:pPr>
        <w:spacing w:after="0" w:line="183" w:lineRule="exact"/>
        <w:rPr>
          <w:rFonts w:ascii="Arial" w:cs="Arial" w:eastAsia="Arial" w:hAnsi="Arial"/>
          <w:sz w:val="17"/>
          <w:szCs w:val="17"/>
          <w:color w:val="auto"/>
        </w:rPr>
      </w:pPr>
    </w:p>
    <w:p>
      <w:pPr>
        <w:ind w:left="1120" w:hanging="464"/>
        <w:spacing w:after="0"/>
        <w:tabs>
          <w:tab w:leader="none" w:pos="1120" w:val="left"/>
        </w:tabs>
        <w:numPr>
          <w:ilvl w:val="1"/>
          <w:numId w:val="57"/>
        </w:numPr>
        <w:rPr>
          <w:rFonts w:ascii="Arial" w:cs="Arial" w:eastAsia="Arial" w:hAnsi="Arial"/>
          <w:sz w:val="18"/>
          <w:szCs w:val="18"/>
          <w:color w:val="010000"/>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644"/>
        <w:spacing w:after="0" w:line="286" w:lineRule="auto"/>
        <w:tabs>
          <w:tab w:leader="none" w:pos="1748" w:val="left"/>
        </w:tabs>
        <w:numPr>
          <w:ilvl w:val="2"/>
          <w:numId w:val="57"/>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discretion may request, on behalf of the applicable Borrower (which hereby irrevocably authorizes the Swing Line Lender to so request on its behalf), that each Lender make a Base Rate Committed Loan (with respect to Swing Line Loans denominated in Dollars) or a Canadian Prime Rate Loan (with respect to Swing Line Loans denominated in Canadian Dollars), in each case, in an amount equal to such Lender’s Applicable Percentage of the amount of Swing Line Loans denominated in such currency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or Canadian Prime Rate Loans, but subject to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applicable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Committed Loan (with respect Swing Line Loans denominated in Dollars) or Canadian Prime Rate Loan (with respect Swing Line Loans denominated in Canadian Dollars) to the applicable Borrower in such amount. The Administrative Agent shall remit the funds so received to the Swing Line Lender.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ind w:left="1124" w:hanging="476"/>
        <w:spacing w:after="0"/>
        <w:tabs>
          <w:tab w:leader="none" w:pos="1124"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Committed Borrowing in accordance with </w:t>
      </w:r>
      <w:r>
        <w:rPr>
          <w:rFonts w:ascii="Arial" w:cs="Arial" w:eastAsia="Arial" w:hAnsi="Arial"/>
          <w:sz w:val="16"/>
          <w:szCs w:val="16"/>
          <w:u w:val="single" w:color="auto"/>
          <w:color w:val="auto"/>
        </w:rPr>
        <w:t>Section 2.04(c)</w:t>
      </w:r>
    </w:p>
    <w:p>
      <w:pPr>
        <w:spacing w:after="0" w:line="46" w:lineRule="exact"/>
        <w:rPr>
          <w:rFonts w:ascii="Arial" w:cs="Arial" w:eastAsia="Arial" w:hAnsi="Arial"/>
          <w:sz w:val="16"/>
          <w:szCs w:val="16"/>
          <w:color w:val="auto"/>
        </w:rPr>
      </w:pPr>
    </w:p>
    <w:p>
      <w:pPr>
        <w:jc w:val="both"/>
        <w:ind w:left="4" w:hanging="4"/>
        <w:spacing w:after="0" w:line="273" w:lineRule="auto"/>
        <w:tabs>
          <w:tab w:leader="none" w:pos="238" w:val="left"/>
        </w:tabs>
        <w:numPr>
          <w:ilvl w:val="0"/>
          <w:numId w:val="59"/>
        </w:numPr>
        <w:rPr>
          <w:rFonts w:ascii="Arial" w:cs="Arial" w:eastAsia="Arial" w:hAnsi="Arial"/>
          <w:sz w:val="17"/>
          <w:szCs w:val="17"/>
          <w:u w:val="single" w:color="auto"/>
          <w:color w:val="auto"/>
        </w:rPr>
      </w:pPr>
      <w:r>
        <w:rPr>
          <w:rFonts w:ascii="Arial" w:cs="Arial" w:eastAsia="Arial" w:hAnsi="Arial"/>
          <w:sz w:val="17"/>
          <w:szCs w:val="17"/>
          <w:color w:val="auto"/>
        </w:rPr>
        <w:t xml:space="preserve">or pursuant to a Borrowing requested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as the case may be, the request for Base Rate Committed Loans or Canadian Prime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shall be deemed payment in respect of such participation.</w:t>
      </w:r>
    </w:p>
    <w:p>
      <w:pPr>
        <w:spacing w:after="0" w:line="176" w:lineRule="exact"/>
        <w:rPr>
          <w:rFonts w:ascii="Arial" w:cs="Arial" w:eastAsia="Arial" w:hAnsi="Arial"/>
          <w:sz w:val="17"/>
          <w:szCs w:val="17"/>
          <w:u w:val="single" w:color="auto"/>
          <w:color w:val="auto"/>
        </w:rPr>
      </w:pPr>
    </w:p>
    <w:p>
      <w:pPr>
        <w:jc w:val="both"/>
        <w:ind w:left="4" w:firstLine="644"/>
        <w:spacing w:after="0" w:line="269" w:lineRule="auto"/>
        <w:tabs>
          <w:tab w:leader="none" w:pos="1147"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applicable Overnight Rate from time to time in effect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portion thereof equal to such Lender’s Applicable Percentage of the Outstanding Amount of all Swing Line Loans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81" w:lineRule="exact"/>
        <w:rPr>
          <w:rFonts w:ascii="Arial" w:cs="Arial" w:eastAsia="Arial" w:hAnsi="Arial"/>
          <w:sz w:val="17"/>
          <w:szCs w:val="17"/>
          <w:color w:val="auto"/>
        </w:rPr>
      </w:pPr>
    </w:p>
    <w:p>
      <w:pPr>
        <w:jc w:val="both"/>
        <w:ind w:left="4" w:firstLine="644"/>
        <w:spacing w:after="0" w:line="254" w:lineRule="auto"/>
        <w:tabs>
          <w:tab w:leader="none" w:pos="11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Each Lender’s obligation to make Committed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any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Committed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Company to repay Swing Line Loans, together with interest as provided herein.</w:t>
      </w:r>
    </w:p>
    <w:p>
      <w:pPr>
        <w:spacing w:after="0" w:line="200" w:lineRule="exact"/>
        <w:rPr>
          <w:sz w:val="20"/>
          <w:szCs w:val="20"/>
          <w:color w:val="auto"/>
        </w:rPr>
      </w:pPr>
    </w:p>
    <w:p>
      <w:pPr>
        <w:spacing w:after="0" w:line="21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7" w:name="page68"/>
    <w:bookmarkEnd w:id="67"/>
    <w:p>
      <w:pPr>
        <w:ind w:left="1140" w:hanging="484"/>
        <w:spacing w:after="0"/>
        <w:tabs>
          <w:tab w:leader="none" w:pos="1140"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644"/>
        <w:spacing w:after="0" w:line="259" w:lineRule="auto"/>
        <w:tabs>
          <w:tab w:leader="none" w:pos="17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186" w:lineRule="exact"/>
        <w:rPr>
          <w:rFonts w:ascii="Arial" w:cs="Arial" w:eastAsia="Arial" w:hAnsi="Arial"/>
          <w:sz w:val="18"/>
          <w:szCs w:val="18"/>
          <w:color w:val="auto"/>
        </w:rPr>
      </w:pPr>
    </w:p>
    <w:p>
      <w:pPr>
        <w:jc w:val="both"/>
        <w:ind w:left="660" w:firstLine="644"/>
        <w:spacing w:after="0" w:line="293" w:lineRule="auto"/>
        <w:tabs>
          <w:tab w:leader="none" w:pos="1775"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payment Obligations and the termination of this Agreement.</w:t>
      </w:r>
    </w:p>
    <w:p>
      <w:pPr>
        <w:spacing w:after="0" w:line="164" w:lineRule="exact"/>
        <w:rPr>
          <w:rFonts w:ascii="Arial" w:cs="Arial" w:eastAsia="Arial" w:hAnsi="Arial"/>
          <w:sz w:val="16"/>
          <w:szCs w:val="16"/>
          <w:color w:val="auto"/>
        </w:rPr>
      </w:pPr>
    </w:p>
    <w:p>
      <w:pPr>
        <w:jc w:val="both"/>
        <w:ind w:firstLine="656"/>
        <w:spacing w:after="0" w:line="259" w:lineRule="auto"/>
        <w:tabs>
          <w:tab w:leader="none" w:pos="1117"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applicable Borrower for interest on the Swing Line Loans. Until each Lender funds its Base Rate Committed Loan or Canadian Prime Rate Committed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186" w:lineRule="exact"/>
        <w:rPr>
          <w:rFonts w:ascii="Arial" w:cs="Arial" w:eastAsia="Arial" w:hAnsi="Arial"/>
          <w:sz w:val="18"/>
          <w:szCs w:val="18"/>
          <w:color w:val="010000"/>
        </w:rPr>
      </w:pPr>
    </w:p>
    <w:p>
      <w:pPr>
        <w:ind w:right="20" w:firstLine="656"/>
        <w:spacing w:after="0" w:line="277" w:lineRule="auto"/>
        <w:tabs>
          <w:tab w:leader="none" w:pos="1098"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applicable Borrower shall make all payments of principal and interest in respect of the Swing Line Loans directly to the Swing Line Lender.</w:t>
      </w:r>
    </w:p>
    <w:p>
      <w:pPr>
        <w:spacing w:after="0" w:line="16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color w:val="auto"/>
        </w:rPr>
        <w:t>Prepayments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7" w:lineRule="auto"/>
        <w:tabs>
          <w:tab w:leader="none" w:pos="1117"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 xml:space="preserve">Each Borrower may, upon notice from such Borrower to the Administrative Agent, at any time or from time to time voluntarily prepay Committed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Administrative Agent not later than 12:00 p.m. (A) three (with respect to Committed Loans denominated in Canadian Dollars) or two (with respect to Committed Loans denominated in Dollars) Business Days prior to any date of prepayment of Eurocurrency Rate Committed Loans and (B) on the date of prepayment of Base Rate Committed Loans or Canadian Prime Rate Loans; (ii) any prepayment of Eurocurrency Rate Committed Loans denominated in Dollars shall be in a principal amount of $2,500,000 or a whole multiple of $250,000 in excess thereof; (iii) any prepayment of Eurocurrency Rate Loans denominated in Canadian Dollars shall be in a minimum principal amount of C$2,500,000 or a whole multiple of C$500,000 in excess thereof, (iv) any prepayment of Base Rate Committed Loans shall be in a principal amount of $250,000 or a whole multiple of $50,000 in excess thereof and (v) any prepayment of Canadian Prime Rate Loans shall be in a principal amount of C$250,000 or a whole multiple of C$50,000 in excess thereof, or, in each case, if less, the entire principal amount thereof then outstanding. Each such notice shall specify the date and amount of such prepayment and the Type(s) of Committed Loans to be prepaid and, if Eurocurrency Rate Committed Loans are to be prepaid, the Interest Period(s) of such Loans. The Administrative Agent will promptly notify each Lender of its receipt of each such notice, and of the amount of such Lender’s Applicable Percentage of such prepayment. If such notice is given by a Borrower, such Borrower shall make such prepayment and the payment amount specified in such notice shall be due and payable on the date specified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delivered by such Borrower may state that such notice is conditioned upon the effectiveness of other credit facilities or the closing of a securities offering, and the receipt of proceeds thereunder, in which case such notice may be revoked by such Borrower (by notice to the Administrative Agent on or prior to the specified effective date) if such conditions are not satisfied. Any prepayment of a Eurocurrency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each such prepayment shall be applied to the Committed Loans of the Lenders in accordance with their respective Applicable Percentages. No Canadian BA may be prepaid except by depositing the full face amount of such Canadian BA with the Administrative Agent in accordance with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2.01A</w:t>
      </w:r>
      <w:r>
        <w:rPr>
          <w:rFonts w:ascii="Arial" w:cs="Arial" w:eastAsia="Arial" w:hAnsi="Arial"/>
          <w:sz w:val="17"/>
          <w:szCs w:val="17"/>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56"/>
        <w:spacing w:after="0" w:line="275" w:lineRule="auto"/>
        <w:tabs>
          <w:tab w:leader="none" w:pos="1127"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 xml:space="preserve">Each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176" w:lineRule="exact"/>
        <w:rPr>
          <w:rFonts w:ascii="Arial" w:cs="Arial" w:eastAsia="Arial" w:hAnsi="Arial"/>
          <w:sz w:val="17"/>
          <w:szCs w:val="17"/>
          <w:color w:val="010000"/>
        </w:rPr>
      </w:pPr>
    </w:p>
    <w:p>
      <w:pPr>
        <w:jc w:val="both"/>
        <w:ind w:firstLine="656"/>
        <w:spacing w:after="0" w:line="301" w:lineRule="auto"/>
        <w:tabs>
          <w:tab w:leader="none" w:pos="1117" w:val="left"/>
        </w:tabs>
        <w:numPr>
          <w:ilvl w:val="0"/>
          <w:numId w:val="62"/>
        </w:numPr>
        <w:rPr>
          <w:rFonts w:ascii="Arial" w:cs="Arial" w:eastAsia="Arial" w:hAnsi="Arial"/>
          <w:sz w:val="16"/>
          <w:szCs w:val="16"/>
          <w:color w:val="010000"/>
        </w:rPr>
      </w:pPr>
      <w:r>
        <w:rPr>
          <w:rFonts w:ascii="Arial" w:cs="Arial" w:eastAsia="Arial" w:hAnsi="Arial"/>
          <w:sz w:val="16"/>
          <w:szCs w:val="16"/>
          <w:color w:val="auto"/>
        </w:rPr>
        <w:t xml:space="preserve">If for any reason the Total Outstandings at any time exceed the Aggregate Commitments then in effect, the Borrowers shall immediately upon demand prepay Loans and/or Cash Collateralize the L/C Obligations or Canadian BA’s in an aggregate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Borrowers shall not be required to Cash Collateralize the L/C Obligations or Canadian BA’s pursuant to this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unless after the prepayment in full of the Committed Loans and Swing Line Loans the Total Outstandings exceed the Aggregate Commitments then in effect.</w:t>
      </w:r>
    </w:p>
    <w:p>
      <w:pPr>
        <w:spacing w:after="0" w:line="157" w:lineRule="exact"/>
        <w:rPr>
          <w:rFonts w:ascii="Arial" w:cs="Arial" w:eastAsia="Arial" w:hAnsi="Arial"/>
          <w:sz w:val="16"/>
          <w:szCs w:val="16"/>
          <w:color w:val="010000"/>
        </w:rPr>
      </w:pPr>
    </w:p>
    <w:p>
      <w:pPr>
        <w:jc w:val="both"/>
        <w:ind w:firstLine="656"/>
        <w:spacing w:after="0" w:line="255" w:lineRule="auto"/>
        <w:tabs>
          <w:tab w:leader="none" w:pos="1127"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 xml:space="preserve">If for any reason the Outstanding Amount of all Loans and Letters of Credit denominated in Canadian Dollars at such time exceeds an amount equal to 105% of the Canadian Dollar Sublimit then in effect, then the Borrowers shall immediately upon demand prepay Loans and/or Cash Collateralize the L/C Obligations and/or Canadian BA’s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Borrowers shall not be required to Cash Collateralize the L/C Obligations or Canadian BA’s pursuant to this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unless after the prepayment in full of the Committed Loans and Swing Line Loans in Canadian Dollars the Outstanding Amount of all Letters of Credit denominated in Canadian Dollars and Canadian BA’s exceeds the Canadian Dollar Sublimit.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88" w:lineRule="auto"/>
        <w:rPr>
          <w:sz w:val="20"/>
          <w:szCs w:val="20"/>
          <w:color w:val="auto"/>
        </w:rPr>
      </w:pPr>
      <w:r>
        <w:rPr>
          <w:rFonts w:ascii="Arial" w:cs="Arial" w:eastAsia="Arial" w:hAnsi="Arial"/>
          <w:sz w:val="16"/>
          <w:szCs w:val="16"/>
          <w:b w:val="1"/>
          <w:bCs w:val="1"/>
          <w:color w:val="auto"/>
        </w:rPr>
        <w:t>2.06 Termination or Reduction of Commitments</w:t>
      </w:r>
      <w:r>
        <w:rPr>
          <w:rFonts w:ascii="Arial" w:cs="Arial" w:eastAsia="Arial" w:hAnsi="Arial"/>
          <w:sz w:val="16"/>
          <w:szCs w:val="16"/>
          <w:color w:val="auto"/>
        </w:rPr>
        <w:t>. The Company may, upon notice to the Administrative Agent, terminate the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(iii) the Company shall not terminate or reduce the Aggregate Commitments if, after giving effect thereto and to any concurrent prepayments hereunder, the Total Outstandings would exceed the Aggregate Commitments, and (iv) if, after giving effect to any reduction of the Aggregate Commitments, the Canadian Dollar Sublimit, the L/C Sublimit or the Swing Line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Canadian Dollar Sublimit or the Swing Line Sublimit unless otherwise specified by the Company.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6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7" w:lineRule="auto"/>
        <w:tabs>
          <w:tab w:leader="none" w:pos="1117"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Each Borrower shall repay to the Lenders on the Maturity Date the aggregate principal amount of Committed Loans made to such Borrower outstanding on such date.</w:t>
      </w:r>
    </w:p>
    <w:p>
      <w:pPr>
        <w:spacing w:after="0" w:line="170" w:lineRule="exact"/>
        <w:rPr>
          <w:rFonts w:ascii="Arial" w:cs="Arial" w:eastAsia="Arial" w:hAnsi="Arial"/>
          <w:sz w:val="18"/>
          <w:szCs w:val="18"/>
          <w:color w:val="010000"/>
        </w:rPr>
      </w:pPr>
    </w:p>
    <w:p>
      <w:pPr>
        <w:jc w:val="both"/>
        <w:ind w:firstLine="656"/>
        <w:spacing w:after="0" w:line="301" w:lineRule="auto"/>
        <w:tabs>
          <w:tab w:leader="none" w:pos="1127"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 xml:space="preserve">Each Borrower shall repay each Swing Line Loan made to such Borrower on the earlier to occur of (i) the date ten Business Days after such Loan is made and (ii) the Maturity Date. At any time that there shall exist a Defaulting Lender, immediately upon the request of the Swing Line Lender and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and any Cash Collateral then held by the Swing Line Lender, the Company shall repay the outstanding Swing Line Loans made by such Swing Line Lender in an amount sufficient to eliminate any Fronting Exposure in respect of such Swing Line Loans.</w:t>
      </w:r>
    </w:p>
    <w:p>
      <w:pPr>
        <w:spacing w:after="0" w:line="15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Subject to the provisions of subsection (b) below, (i) each Eurocurrency Rate Committed Loan shall bear interest on the outstanding principal amount thereof for each Interest Period at a rate per annum equal to the Eurocurrency Rate for such Interest Period plus the Applicable Rate;</w:t>
      </w:r>
    </w:p>
    <w:p>
      <w:pPr>
        <w:jc w:val="both"/>
        <w:ind w:firstLine="8"/>
        <w:spacing w:after="0" w:line="268" w:lineRule="auto"/>
        <w:tabs>
          <w:tab w:leader="none" w:pos="268"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Base Rate Committed Loan shall bear interest on the outstanding principal amount thereof from the applicable borrowing date at a rate per annum equal to the Base Rate plus the Applicable Rate; (iii) each Canadian Prime Rate Committed Loan shall bear interest on the outstanding principal amount thereof from the applicable borrowing date at a rate per annum equal to the Canadian Prime Rate plus the Applicable Rate; (iv) each Eurocurrency Rate Swing Line Loan shall bear interest on the outstanding principal amount thereof for each Interest Period at a rate per annum equal to the daily floating Eurocurrency Rate provided in clause (b) of the definition thereof for such Interest Period plus the Applicable Rate; (v) each Base Rate Swing Line Loan shall bear interest on the outstanding principal amount thereof from the applicable borrowing date at a rate per annum equal to the Base Rate plus the Applicable Rate; and (vi) each Canadian Prime Rate Swing Line Loan shall bear interest on the outstanding principal amount thereof from the applicable borrowing date at a rate per annum equal to the Canadian Prime Rate plus the Applicable Rate.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56"/>
        <w:spacing w:after="0" w:line="263" w:lineRule="auto"/>
        <w:tabs>
          <w:tab w:leader="none" w:pos="1105"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3" w:lineRule="exact"/>
        <w:rPr>
          <w:rFonts w:ascii="Arial" w:cs="Arial" w:eastAsia="Arial" w:hAnsi="Arial"/>
          <w:sz w:val="18"/>
          <w:szCs w:val="18"/>
          <w:color w:val="010000"/>
        </w:rPr>
      </w:pPr>
    </w:p>
    <w:p>
      <w:pPr>
        <w:jc w:val="both"/>
        <w:ind w:left="660" w:firstLine="644"/>
        <w:spacing w:after="0" w:line="286" w:lineRule="auto"/>
        <w:tabs>
          <w:tab w:leader="none" w:pos="1775" w:val="left"/>
        </w:tabs>
        <w:numPr>
          <w:ilvl w:val="2"/>
          <w:numId w:val="66"/>
        </w:numPr>
        <w:rPr>
          <w:rFonts w:ascii="Arial" w:cs="Arial" w:eastAsia="Arial" w:hAnsi="Arial"/>
          <w:sz w:val="17"/>
          <w:szCs w:val="17"/>
          <w:color w:val="auto"/>
        </w:rPr>
      </w:pPr>
      <w:r>
        <w:rPr>
          <w:rFonts w:ascii="Arial" w:cs="Arial" w:eastAsia="Arial" w:hAnsi="Arial"/>
          <w:sz w:val="17"/>
          <w:szCs w:val="17"/>
          <w:color w:val="auto"/>
        </w:rPr>
        <w:t>If any amount (other than principal of any Loan) payable by any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65" w:lineRule="exact"/>
        <w:rPr>
          <w:rFonts w:ascii="Arial" w:cs="Arial" w:eastAsia="Arial" w:hAnsi="Arial"/>
          <w:sz w:val="17"/>
          <w:szCs w:val="17"/>
          <w:color w:val="auto"/>
        </w:rPr>
      </w:pPr>
    </w:p>
    <w:p>
      <w:pPr>
        <w:ind w:left="660" w:firstLine="644"/>
        <w:spacing w:after="0" w:line="308" w:lineRule="auto"/>
        <w:tabs>
          <w:tab w:leader="none" w:pos="1803" w:val="left"/>
        </w:tabs>
        <w:numPr>
          <w:ilvl w:val="2"/>
          <w:numId w:val="66"/>
        </w:numPr>
        <w:rPr>
          <w:rFonts w:ascii="Arial" w:cs="Arial" w:eastAsia="Arial" w:hAnsi="Arial"/>
          <w:sz w:val="17"/>
          <w:szCs w:val="17"/>
          <w:color w:val="auto"/>
        </w:rPr>
      </w:pPr>
      <w:r>
        <w:rPr>
          <w:rFonts w:ascii="Arial" w:cs="Arial" w:eastAsia="Arial" w:hAnsi="Arial"/>
          <w:sz w:val="17"/>
          <w:szCs w:val="17"/>
          <w:color w:val="auto"/>
        </w:rPr>
        <w:t>During any Default Rate Period, the Borrowers shall pay interest on the principal amount of all outstanding Obligations hereunder at a fluctuating interest rate per annum at all times equal to the Default Rate to the fullest extent permitted by Applicable Laws.</w:t>
      </w:r>
    </w:p>
    <w:p>
      <w:pPr>
        <w:spacing w:after="0" w:line="146" w:lineRule="exact"/>
        <w:rPr>
          <w:rFonts w:ascii="Arial" w:cs="Arial" w:eastAsia="Arial" w:hAnsi="Arial"/>
          <w:sz w:val="17"/>
          <w:szCs w:val="17"/>
          <w:color w:val="auto"/>
        </w:rPr>
      </w:pPr>
    </w:p>
    <w:p>
      <w:pPr>
        <w:ind w:left="1760" w:hanging="456"/>
        <w:spacing w:after="0"/>
        <w:tabs>
          <w:tab w:leader="none" w:pos="1760" w:val="left"/>
        </w:tabs>
        <w:numPr>
          <w:ilvl w:val="2"/>
          <w:numId w:val="66"/>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117"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3" w:lineRule="exact"/>
        <w:rPr>
          <w:rFonts w:ascii="Arial" w:cs="Arial" w:eastAsia="Arial" w:hAnsi="Arial"/>
          <w:sz w:val="18"/>
          <w:szCs w:val="18"/>
          <w:color w:val="010000"/>
        </w:rPr>
      </w:pPr>
    </w:p>
    <w:p>
      <w:pPr>
        <w:jc w:val="both"/>
        <w:ind w:firstLine="656"/>
        <w:spacing w:after="0" w:line="286" w:lineRule="auto"/>
        <w:tabs>
          <w:tab w:leader="none" w:pos="1127" w:val="left"/>
        </w:tabs>
        <w:numPr>
          <w:ilvl w:val="1"/>
          <w:numId w:val="66"/>
        </w:numPr>
        <w:rPr>
          <w:rFonts w:ascii="Arial" w:cs="Arial" w:eastAsia="Arial" w:hAnsi="Arial"/>
          <w:sz w:val="16"/>
          <w:szCs w:val="16"/>
          <w:color w:val="010000"/>
        </w:rPr>
      </w:pPr>
      <w:r>
        <w:rPr>
          <w:rFonts w:ascii="Arial" w:cs="Arial" w:eastAsia="Arial" w:hAnsi="Arial"/>
          <w:sz w:val="16"/>
          <w:szCs w:val="16"/>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w:t>
      </w:r>
    </w:p>
    <w:p>
      <w:pPr>
        <w:spacing w:after="0" w:line="1" w:lineRule="exact"/>
        <w:rPr>
          <w:rFonts w:ascii="Arial" w:cs="Arial" w:eastAsia="Arial" w:hAnsi="Arial"/>
          <w:sz w:val="16"/>
          <w:szCs w:val="16"/>
          <w:color w:val="010000"/>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rates of interest stipulated herein are intended to be nominal rates and not effective rates or yields.</w:t>
      </w:r>
    </w:p>
    <w:p>
      <w:pPr>
        <w:spacing w:after="0" w:line="20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(j) and (k)</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117" w:val="left"/>
        </w:tabs>
        <w:numPr>
          <w:ilvl w:val="0"/>
          <w:numId w:val="68"/>
        </w:numPr>
        <w:rPr>
          <w:rFonts w:ascii="Arial" w:cs="Arial" w:eastAsia="Arial" w:hAnsi="Arial"/>
          <w:sz w:val="17"/>
          <w:szCs w:val="17"/>
          <w:color w:val="010000"/>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The Company shall pay to the Administrative Agent for the account of each Lender in accordance with its Applicable Percentage, a commitment fee in Dollars equal to the Applicable Rate times the actual daily amount by which the Aggregate Commitments exceed the sum of (i) the Outstanding Amount of Committed Loans, and (ii) the Outstanding Amount of L/C Obligations, subject to adjustment as provided in </w:t>
      </w:r>
      <w:r>
        <w:rPr>
          <w:rFonts w:ascii="Arial" w:cs="Arial" w:eastAsia="Arial" w:hAnsi="Arial"/>
          <w:sz w:val="17"/>
          <w:szCs w:val="17"/>
          <w:u w:val="single" w:color="auto"/>
          <w:color w:val="auto"/>
        </w:rPr>
        <w:t>Section 2.18</w:t>
      </w:r>
      <w:r>
        <w:rPr>
          <w:rFonts w:ascii="Arial" w:cs="Arial" w:eastAsia="Arial" w:hAnsi="Arial"/>
          <w:sz w:val="17"/>
          <w:szCs w:val="17"/>
          <w:color w:val="auto"/>
        </w:rPr>
        <w:t>.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Section 4.02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1140" w:hanging="484"/>
        <w:spacing w:after="0"/>
        <w:tabs>
          <w:tab w:leader="none" w:pos="1140" w:val="left"/>
        </w:tabs>
        <w:numPr>
          <w:ilvl w:val="0"/>
          <w:numId w:val="69"/>
        </w:numPr>
        <w:rPr>
          <w:rFonts w:ascii="Arial" w:cs="Arial" w:eastAsia="Arial" w:hAnsi="Arial"/>
          <w:sz w:val="18"/>
          <w:szCs w:val="18"/>
          <w:color w:val="010000"/>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644"/>
        <w:spacing w:after="0" w:line="263" w:lineRule="auto"/>
        <w:tabs>
          <w:tab w:leader="none" w:pos="17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shall pay to the Arrangers and the Administrative Agent for their own respective accounts in Dollars fees in the amounts and at the times specified in their respective Fee Letters. Such fees shall be fully earned when paid and shall not be refundable for any reason whatsoever, except as expressly set forth therein.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9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shall pay to the Lenders such fees as shall have been separately agreed upon between the Company and the Administrative Agent and/or Lenders, as the case may be, in writing in the amounts and at the times so specified. Such fees shall be fully earned when paid and shall not be refundable for any reason whatsoever, except as expressly agreed to in writing.</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2.10 Computation of Interest and Fees</w:t>
      </w:r>
      <w:r>
        <w:rPr>
          <w:rFonts w:ascii="Arial" w:cs="Arial" w:eastAsia="Arial" w:hAnsi="Arial"/>
          <w:sz w:val="16"/>
          <w:szCs w:val="16"/>
          <w:color w:val="auto"/>
        </w:rPr>
        <w:t>. All computations of interest for Base Rate Loans (including Base Rate Loans determined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Eurocurrency Rate), Canadian Prime Rate Loans and Eurocurrency Rate Loans denominated in Canadian Dollars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16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Evidence of Debt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8" w:lineRule="auto"/>
        <w:tabs>
          <w:tab w:leader="none" w:pos="1117" w:val="left"/>
        </w:tabs>
        <w:numPr>
          <w:ilvl w:val="0"/>
          <w:numId w:val="70"/>
        </w:numPr>
        <w:rPr>
          <w:rFonts w:ascii="Arial" w:cs="Arial" w:eastAsia="Arial" w:hAnsi="Arial"/>
          <w:sz w:val="16"/>
          <w:szCs w:val="16"/>
          <w:color w:val="010000"/>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each Borrower and the interest and payments thereon. Any failure to so record or any error in doing so shall not, however, limit or otherwise affect the obligation of the Borrowers hereunder to pay any amount owing on their respective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Committed Loan Note and/or a Swing Line Note, as applicable,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56"/>
        <w:spacing w:after="0" w:line="279" w:lineRule="auto"/>
        <w:tabs>
          <w:tab w:leader="none" w:pos="1127"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6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Payments Generally; Administrative Agent’s Clawback</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8" w:lineRule="auto"/>
        <w:tabs>
          <w:tab w:leader="none" w:pos="1117" w:val="left"/>
        </w:tabs>
        <w:numPr>
          <w:ilvl w:val="0"/>
          <w:numId w:val="72"/>
        </w:numPr>
        <w:rPr>
          <w:rFonts w:ascii="Arial" w:cs="Arial" w:eastAsia="Arial" w:hAnsi="Arial"/>
          <w:sz w:val="17"/>
          <w:szCs w:val="17"/>
          <w:color w:val="010000"/>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Borrowers shall be made without condition or deduction for any counterclaim, defense, recoupment or setoff. Except as otherwise expressly provided herein and except with respect to principal of and interest on Loans denominated in Canadian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Lenders to which such payment is owed, at the applicable Administrative Agent’s Office in Canadian Dollars and in Same Day Funds not later than the Applicable Time specified by the Administrative Agent on the dates specified herein. If, for any reason, any Borrower is prohibited by any Law from making any required payment hereunder in Canadian Dollars, such Borrower shall make such payment in Dollars in the Dollar Equivalent of the Canadian Dollars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left="660" w:hanging="4"/>
        <w:spacing w:after="0" w:line="285" w:lineRule="auto"/>
        <w:tabs>
          <w:tab w:leader="none" w:pos="1139" w:val="left"/>
        </w:tabs>
        <w:numPr>
          <w:ilvl w:val="0"/>
          <w:numId w:val="73"/>
        </w:numPr>
        <w:rPr>
          <w:rFonts w:ascii="Arial" w:cs="Arial" w:eastAsia="Arial" w:hAnsi="Arial"/>
          <w:sz w:val="16"/>
          <w:szCs w:val="16"/>
          <w:color w:val="010000"/>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Eurocurrency Rate Loans (or, in the case of any Committed Borrowing of Base Rate Loans or Canadian Prime Rate Loans prior to 1:00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or Canadian Prime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Lender shall pay such principal or interest to the Administrative Agent for the same or an overlapping period, the Administrative Agent shall promptly remit to such Borrower the amount of such principal and interest paid by such Borrower for such period. If such Lender pays its share of the applicable Committed Borrowing to the Administrative Agent, then the amount so paid (excluding interest and fees as aforesaid)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68" w:lineRule="exact"/>
        <w:rPr>
          <w:rFonts w:ascii="Arial" w:cs="Arial" w:eastAsia="Arial" w:hAnsi="Arial"/>
          <w:sz w:val="16"/>
          <w:szCs w:val="16"/>
          <w:color w:val="010000"/>
        </w:rPr>
      </w:pPr>
    </w:p>
    <w:p>
      <w:pPr>
        <w:jc w:val="both"/>
        <w:ind w:left="660" w:firstLine="644"/>
        <w:spacing w:after="0" w:line="257" w:lineRule="auto"/>
        <w:tabs>
          <w:tab w:leader="none" w:pos="177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Payments by Borrowers; Presumptions by Administrative Agent</w:t>
      </w:r>
      <w:r>
        <w:rPr>
          <w:rFonts w:ascii="Arial" w:cs="Arial" w:eastAsia="Arial" w:hAnsi="Arial"/>
          <w:sz w:val="18"/>
          <w:szCs w:val="18"/>
          <w:color w:val="auto"/>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the applicable L/C Issuers, as the case may be, the amount due.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Arial" w:cs="Arial" w:eastAsia="Arial" w:hAnsi="Arial"/>
          <w:sz w:val="16"/>
          <w:szCs w:val="16"/>
          <w:u w:val="single" w:color="auto"/>
          <w:color w:val="auto"/>
        </w:rPr>
        <w:t>Rescindable Amount</w:t>
      </w:r>
      <w:r>
        <w:rPr>
          <w:rFonts w:ascii="Arial" w:cs="Arial" w:eastAsia="Arial" w:hAnsi="Arial"/>
          <w:sz w:val="16"/>
          <w:szCs w:val="16"/>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notice of the Administrative Agent to any Lender or Borrower with respect to any amount owing under this subsection (b) shall be conclusive, absent manifest error.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56"/>
        <w:spacing w:after="0" w:line="279" w:lineRule="auto"/>
        <w:tabs>
          <w:tab w:leader="none" w:pos="1117" w:val="left"/>
        </w:tabs>
        <w:numPr>
          <w:ilvl w:val="0"/>
          <w:numId w:val="74"/>
        </w:numPr>
        <w:rPr>
          <w:rFonts w:ascii="Arial" w:cs="Arial" w:eastAsia="Arial" w:hAnsi="Arial"/>
          <w:sz w:val="17"/>
          <w:szCs w:val="17"/>
          <w:color w:val="010000"/>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such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010000"/>
        </w:rPr>
      </w:pPr>
    </w:p>
    <w:p>
      <w:pPr>
        <w:jc w:val="both"/>
        <w:ind w:firstLine="656"/>
        <w:spacing w:after="0" w:line="254" w:lineRule="auto"/>
        <w:tabs>
          <w:tab w:leader="none" w:pos="1127" w:val="left"/>
        </w:tabs>
        <w:numPr>
          <w:ilvl w:val="0"/>
          <w:numId w:val="74"/>
        </w:numPr>
        <w:rPr>
          <w:rFonts w:ascii="Arial" w:cs="Arial" w:eastAsia="Arial" w:hAnsi="Arial"/>
          <w:sz w:val="18"/>
          <w:szCs w:val="18"/>
          <w:color w:val="010000"/>
        </w:rPr>
      </w:pPr>
      <w:r>
        <w:rPr>
          <w:rFonts w:ascii="Arial" w:cs="Arial" w:eastAsia="Arial" w:hAnsi="Arial"/>
          <w:sz w:val="18"/>
          <w:szCs w:val="18"/>
          <w:u w:val="single" w:color="auto"/>
          <w:color w:val="auto"/>
        </w:rPr>
        <w:t>Obligations of Lenders and L/C Issuers Several</w:t>
      </w:r>
      <w:r>
        <w:rPr>
          <w:rFonts w:ascii="Arial" w:cs="Arial" w:eastAsia="Arial" w:hAnsi="Arial"/>
          <w:sz w:val="18"/>
          <w:szCs w:val="18"/>
          <w:color w:val="auto"/>
        </w:rPr>
        <w:t xml:space="preserve">. The obligations of (i) the Lenders hereunder to make Committed Loans, to fund participations in Letters of Credit and Swing Line Loans and to make payments pursuant to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 and (ii) the L/C Issuers hereunder to issue (and to renew, amend or extend) Letters of Credit, are in each case several and not joint. The failure of (i) any Lender to make any Committed Loan, to fund any such participation or to make any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or (ii) any L/C Issuer to issue (or renew, amend or extend) any Letter of Credit, on any date required hereunder shall not in either case relieve any other Lender or L/C Issuer, as applicable, of its corresponding obligation to do so on such date, and (x) no Lender shall be responsible for the failure of any other Lender to so make its Committed Loan, to purchase its participation or to make its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and (y) no L/C Issuer shall be responsible for the failure of any other L/C Issuer to so issue (or renew, amend or extend) any such Letter of Credit.</w:t>
      </w:r>
    </w:p>
    <w:p>
      <w:pPr>
        <w:spacing w:after="0" w:line="191" w:lineRule="exact"/>
        <w:rPr>
          <w:rFonts w:ascii="Arial" w:cs="Arial" w:eastAsia="Arial" w:hAnsi="Arial"/>
          <w:sz w:val="18"/>
          <w:szCs w:val="18"/>
          <w:color w:val="010000"/>
        </w:rPr>
      </w:pPr>
    </w:p>
    <w:p>
      <w:pPr>
        <w:ind w:right="20" w:firstLine="656"/>
        <w:spacing w:after="0" w:line="308" w:lineRule="auto"/>
        <w:tabs>
          <w:tab w:leader="none" w:pos="1117" w:val="left"/>
        </w:tabs>
        <w:numPr>
          <w:ilvl w:val="0"/>
          <w:numId w:val="74"/>
        </w:numPr>
        <w:rPr>
          <w:rFonts w:ascii="Arial" w:cs="Arial" w:eastAsia="Arial" w:hAnsi="Arial"/>
          <w:sz w:val="17"/>
          <w:szCs w:val="17"/>
          <w:color w:val="010000"/>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2.13 Sharing of Payments by Lenders</w:t>
      </w:r>
      <w:r>
        <w:rPr>
          <w:rFonts w:ascii="Arial" w:cs="Arial" w:eastAsia="Arial" w:hAnsi="Arial"/>
          <w:sz w:val="16"/>
          <w:szCs w:val="16"/>
          <w:color w:val="auto"/>
        </w:rPr>
        <w:t>. Subject to Section 11.08 with respect to a Defaulting Lender, if any Lender shall, by exercising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right of setoff or counterclaim or otherwise, obtain payment in respect of any principal of or interest on any of the Committed Loans made by it or Canadian BA’s accepted by it, or the participations in L/C Obligations or in Swing Line Loans held by it resulting in such Lender’s receiving payment of a proportion of the aggregate amount of such Committed Loans or participations and accrued interest thereon greater than its Applicable Percentage thereof as provided herein, then the Lender receiving such greater proportion shall (a) notify the Administrative Agent of such fact, and (b) purchase (for cash at face value) participations in the Committed Loans and Canadian BA’s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provided that:</w:t>
      </w:r>
    </w:p>
    <w:p>
      <w:pPr>
        <w:spacing w:after="0" w:line="163" w:lineRule="exact"/>
        <w:rPr>
          <w:sz w:val="20"/>
          <w:szCs w:val="20"/>
          <w:color w:val="auto"/>
        </w:rPr>
      </w:pPr>
    </w:p>
    <w:p>
      <w:pPr>
        <w:ind w:left="660" w:firstLine="644"/>
        <w:spacing w:after="0" w:line="342" w:lineRule="auto"/>
        <w:tabs>
          <w:tab w:leader="none" w:pos="1748"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left="660" w:firstLine="644"/>
        <w:spacing w:after="0" w:line="291" w:lineRule="auto"/>
        <w:tabs>
          <w:tab w:leader="none" w:pos="1775"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provisions of this Section shall not be construed to apply to (x) any payment made by or on behalf of a Borrower pursuant to and in accordance with the express terms of this Agreement (including the application of funds arising from the existence of a Defaulting Lender),</w:t>
      </w:r>
    </w:p>
    <w:p>
      <w:pPr>
        <w:jc w:val="both"/>
        <w:ind w:left="660" w:hanging="4"/>
        <w:spacing w:after="0" w:line="253" w:lineRule="auto"/>
        <w:tabs>
          <w:tab w:leader="none" w:pos="916" w:val="left"/>
        </w:tabs>
        <w:numPr>
          <w:ilvl w:val="0"/>
          <w:numId w:val="77"/>
        </w:numPr>
        <w:rPr>
          <w:rFonts w:ascii="Arial" w:cs="Arial" w:eastAsia="Arial" w:hAnsi="Arial"/>
          <w:sz w:val="18"/>
          <w:szCs w:val="18"/>
          <w:color w:val="191919"/>
        </w:rPr>
      </w:pPr>
      <w:r>
        <w:rPr>
          <w:rFonts w:ascii="Arial" w:cs="Arial" w:eastAsia="Arial" w:hAnsi="Arial"/>
          <w:sz w:val="18"/>
          <w:szCs w:val="18"/>
          <w:color w:val="191919"/>
        </w:rPr>
        <w:t xml:space="preserve">the application of Cash Collateral provided for in </w:t>
      </w:r>
      <w:r>
        <w:rPr>
          <w:rFonts w:ascii="Arial" w:cs="Arial" w:eastAsia="Arial" w:hAnsi="Arial"/>
          <w:sz w:val="18"/>
          <w:szCs w:val="18"/>
          <w:u w:val="single" w:color="auto"/>
          <w:color w:val="191919"/>
        </w:rPr>
        <w:t>Section 2.17</w:t>
      </w:r>
      <w:r>
        <w:rPr>
          <w:rFonts w:ascii="Arial" w:cs="Arial" w:eastAsia="Arial" w:hAnsi="Arial"/>
          <w:sz w:val="18"/>
          <w:szCs w:val="18"/>
          <w:color w:val="191919"/>
        </w:rPr>
        <w:t xml:space="preserve">, or (z) </w:t>
      </w:r>
      <w:r>
        <w:rPr>
          <w:rFonts w:ascii="Arial" w:cs="Arial" w:eastAsia="Arial" w:hAnsi="Arial"/>
          <w:sz w:val="18"/>
          <w:szCs w:val="18"/>
          <w:color w:val="000000"/>
        </w:rPr>
        <w:t>any payment obtained by a Lender as consideration for the assignment of</w:t>
      </w:r>
      <w:r>
        <w:rPr>
          <w:rFonts w:ascii="Arial" w:cs="Arial" w:eastAsia="Arial" w:hAnsi="Arial"/>
          <w:sz w:val="18"/>
          <w:szCs w:val="18"/>
          <w:color w:val="191919"/>
        </w:rPr>
        <w:t xml:space="preserve"> </w:t>
      </w:r>
      <w:r>
        <w:rPr>
          <w:rFonts w:ascii="Arial" w:cs="Arial" w:eastAsia="Arial" w:hAnsi="Arial"/>
          <w:sz w:val="18"/>
          <w:szCs w:val="18"/>
          <w:color w:val="000000"/>
        </w:rPr>
        <w:t>or sale of a participation in any of its Committed Loans or Canadian BA’s or subparticipations in L/C Obligations or Swing Line Loans to any permitted assignee or participant, other than an assignment to the Company or any Subsidiary thereof (as to which the provisions of this Section shall apply).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Extension of Maturity Date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9" w:lineRule="auto"/>
        <w:tabs>
          <w:tab w:leader="none" w:pos="1117" w:val="left"/>
        </w:tabs>
        <w:numPr>
          <w:ilvl w:val="0"/>
          <w:numId w:val="78"/>
        </w:numPr>
        <w:rPr>
          <w:rFonts w:ascii="Arial" w:cs="Arial" w:eastAsia="Arial" w:hAnsi="Arial"/>
          <w:sz w:val="18"/>
          <w:szCs w:val="18"/>
          <w:color w:val="010000"/>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once each calendar year during the Availability Period, by notice to the Administrative Agent (who shall promptly notify the Lenders) not earlier than 30 days prior to the first anniversary of the Closing Date and not later than 30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one additional year from the Existing Maturity Date.</w:t>
      </w:r>
    </w:p>
    <w:p>
      <w:pPr>
        <w:spacing w:after="0" w:line="186" w:lineRule="exact"/>
        <w:rPr>
          <w:rFonts w:ascii="Arial" w:cs="Arial" w:eastAsia="Arial" w:hAnsi="Arial"/>
          <w:sz w:val="18"/>
          <w:szCs w:val="18"/>
          <w:color w:val="010000"/>
        </w:rPr>
      </w:pPr>
    </w:p>
    <w:p>
      <w:pPr>
        <w:jc w:val="both"/>
        <w:ind w:firstLine="656"/>
        <w:spacing w:after="0" w:line="272" w:lineRule="auto"/>
        <w:tabs>
          <w:tab w:leader="none" w:pos="1127" w:val="left"/>
        </w:tabs>
        <w:numPr>
          <w:ilvl w:val="0"/>
          <w:numId w:val="78"/>
        </w:numPr>
        <w:rPr>
          <w:rFonts w:ascii="Arial" w:cs="Arial" w:eastAsia="Arial" w:hAnsi="Arial"/>
          <w:sz w:val="17"/>
          <w:szCs w:val="17"/>
          <w:color w:val="010000"/>
        </w:rPr>
      </w:pPr>
      <w:r>
        <w:rPr>
          <w:rFonts w:ascii="Arial" w:cs="Arial" w:eastAsia="Arial" w:hAnsi="Arial"/>
          <w:sz w:val="17"/>
          <w:szCs w:val="17"/>
          <w:u w:val="single" w:color="auto"/>
          <w:color w:val="auto"/>
        </w:rPr>
        <w:t>Lender Elections to Extend</w:t>
      </w:r>
      <w:r>
        <w:rPr>
          <w:rFonts w:ascii="Arial" w:cs="Arial" w:eastAsia="Arial" w:hAnsi="Arial"/>
          <w:sz w:val="17"/>
          <w:szCs w:val="17"/>
          <w:color w:val="auto"/>
        </w:rPr>
        <w:t>. Each Lender, acting in its sole and individual discretion, shall, by notice to the Administrative Agent given not later than the date (the “</w:t>
      </w:r>
      <w:r>
        <w:rPr>
          <w:rFonts w:ascii="Arial" w:cs="Arial" w:eastAsia="Arial" w:hAnsi="Arial"/>
          <w:sz w:val="17"/>
          <w:szCs w:val="17"/>
          <w:u w:val="single" w:color="auto"/>
          <w:color w:val="auto"/>
        </w:rPr>
        <w:t>Notice Date</w:t>
      </w:r>
      <w:r>
        <w:rPr>
          <w:rFonts w:ascii="Arial" w:cs="Arial" w:eastAsia="Arial" w:hAnsi="Arial"/>
          <w:sz w:val="17"/>
          <w:szCs w:val="17"/>
          <w:color w:val="auto"/>
        </w:rPr>
        <w:t>”) that is 15 days after the date of the Company’s notice to the Administrative Agent under subsection (a) above, advise the Administrative Agent (and the Administrative Agent shall upon the Company’s request prior to the Notice Date advise the Company as to Lenders’ responses) whether or not such Lender agrees to such extension, and each Lender that determines not to so extend its Maturity Date (a “</w:t>
      </w:r>
      <w:r>
        <w:rPr>
          <w:rFonts w:ascii="Arial" w:cs="Arial" w:eastAsia="Arial" w:hAnsi="Arial"/>
          <w:sz w:val="17"/>
          <w:szCs w:val="17"/>
          <w:u w:val="single" w:color="auto"/>
          <w:color w:val="auto"/>
        </w:rPr>
        <w:t>Non-Extending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shall notify the Administrative Agent of such fact promptly after such determination (but in any event no later than the Notice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Lender that does not so advise the Administrative Agent on or before the Notice Date shall be deemed to be a Non-Extending Lender. The election of any Lender to agree to such extension shall not obligate any other Lender to so agree.</w:t>
      </w:r>
    </w:p>
    <w:p>
      <w:pPr>
        <w:spacing w:after="0" w:line="177" w:lineRule="exact"/>
        <w:rPr>
          <w:rFonts w:ascii="Arial" w:cs="Arial" w:eastAsia="Arial" w:hAnsi="Arial"/>
          <w:sz w:val="17"/>
          <w:szCs w:val="17"/>
          <w:color w:val="010000"/>
        </w:rPr>
      </w:pPr>
    </w:p>
    <w:p>
      <w:pPr>
        <w:ind w:firstLine="656"/>
        <w:spacing w:after="0" w:line="277" w:lineRule="auto"/>
        <w:tabs>
          <w:tab w:leader="none" w:pos="1117" w:val="left"/>
        </w:tabs>
        <w:numPr>
          <w:ilvl w:val="0"/>
          <w:numId w:val="78"/>
        </w:numPr>
        <w:rPr>
          <w:rFonts w:ascii="Arial" w:cs="Arial" w:eastAsia="Arial" w:hAnsi="Arial"/>
          <w:sz w:val="18"/>
          <w:szCs w:val="18"/>
          <w:color w:val="010000"/>
        </w:rPr>
      </w:pPr>
      <w:r>
        <w:rPr>
          <w:rFonts w:ascii="Arial" w:cs="Arial" w:eastAsia="Arial" w:hAnsi="Arial"/>
          <w:sz w:val="18"/>
          <w:szCs w:val="18"/>
          <w:u w:val="single" w:color="auto"/>
          <w:color w:val="auto"/>
        </w:rPr>
        <w:t>Notification by the Administrative Agent</w:t>
      </w:r>
      <w:r>
        <w:rPr>
          <w:rFonts w:ascii="Arial" w:cs="Arial" w:eastAsia="Arial" w:hAnsi="Arial"/>
          <w:sz w:val="18"/>
          <w:szCs w:val="18"/>
          <w:color w:val="auto"/>
        </w:rPr>
        <w:t>. The Administrative Agent shall notify the Company of each Lender’s determination under this Section on the Notice Date (or, if such date is not a Business Day, on the next following Business Day).</w:t>
      </w:r>
    </w:p>
    <w:p>
      <w:pPr>
        <w:spacing w:after="0" w:line="170" w:lineRule="exact"/>
        <w:rPr>
          <w:rFonts w:ascii="Arial" w:cs="Arial" w:eastAsia="Arial" w:hAnsi="Arial"/>
          <w:sz w:val="18"/>
          <w:szCs w:val="18"/>
          <w:color w:val="010000"/>
        </w:rPr>
      </w:pPr>
    </w:p>
    <w:p>
      <w:pPr>
        <w:jc w:val="both"/>
        <w:ind w:firstLine="656"/>
        <w:spacing w:after="0" w:line="289" w:lineRule="auto"/>
        <w:tabs>
          <w:tab w:leader="none" w:pos="1127" w:val="left"/>
        </w:tabs>
        <w:numPr>
          <w:ilvl w:val="0"/>
          <w:numId w:val="78"/>
        </w:numPr>
        <w:rPr>
          <w:rFonts w:ascii="Arial" w:cs="Arial" w:eastAsia="Arial" w:hAnsi="Arial"/>
          <w:sz w:val="16"/>
          <w:szCs w:val="16"/>
          <w:color w:val="010000"/>
        </w:rPr>
      </w:pPr>
      <w:r>
        <w:rPr>
          <w:rFonts w:ascii="Arial" w:cs="Arial" w:eastAsia="Arial" w:hAnsi="Arial"/>
          <w:sz w:val="16"/>
          <w:szCs w:val="16"/>
          <w:u w:val="single" w:color="auto"/>
          <w:color w:val="auto"/>
        </w:rPr>
        <w:t>Additional Commitment Lenders</w:t>
      </w:r>
      <w:r>
        <w:rPr>
          <w:rFonts w:ascii="Arial" w:cs="Arial" w:eastAsia="Arial" w:hAnsi="Arial"/>
          <w:sz w:val="16"/>
          <w:szCs w:val="16"/>
          <w:color w:val="auto"/>
        </w:rPr>
        <w:t xml:space="preserve">. The Company shall have the right, both before and after the effectiveness of a requested extension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to replace any Non-Extending Lender (with respect to all or any portion of its Commitment) with, and add as “Lenders” under this Agreement in place thereof, one or more Eligible Assignees (each such Eligible Assignee replacing a Non-Extending Lender on or before the effectiveness of a requested extension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an “</w:t>
      </w:r>
      <w:r>
        <w:rPr>
          <w:rFonts w:ascii="Arial" w:cs="Arial" w:eastAsia="Arial" w:hAnsi="Arial"/>
          <w:sz w:val="16"/>
          <w:szCs w:val="16"/>
          <w:u w:val="single" w:color="auto"/>
          <w:color w:val="auto"/>
        </w:rPr>
        <w:t>Additional Commitment Lender</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Section 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Additional Commitment Lender shall enter into an Assignment and Assumption pursuant to which such Additional Commitment Lender shall, effective as of the effectiveness of such requested extension, undertake a Commitment (and, if any such Additional Commitment Lender is a Lender on the effective date referenced in the immediately succeeding clause (e),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left="-20" w:firstLine="656"/>
        <w:spacing w:after="0" w:line="270" w:lineRule="auto"/>
        <w:tabs>
          <w:tab w:leader="none" w:pos="1097" w:val="left"/>
        </w:tabs>
        <w:numPr>
          <w:ilvl w:val="0"/>
          <w:numId w:val="79"/>
        </w:numPr>
        <w:rPr>
          <w:rFonts w:ascii="Arial" w:cs="Arial" w:eastAsia="Arial" w:hAnsi="Arial"/>
          <w:sz w:val="17"/>
          <w:szCs w:val="17"/>
          <w:color w:val="010000"/>
        </w:rPr>
      </w:pPr>
      <w:r>
        <w:rPr>
          <w:rFonts w:ascii="Arial" w:cs="Arial" w:eastAsia="Arial" w:hAnsi="Arial"/>
          <w:sz w:val="17"/>
          <w:szCs w:val="17"/>
          <w:u w:val="single" w:color="auto"/>
          <w:color w:val="auto"/>
        </w:rPr>
        <w:t>Minimum Extension Requirement</w:t>
      </w:r>
      <w:r>
        <w:rPr>
          <w:rFonts w:ascii="Arial" w:cs="Arial" w:eastAsia="Arial" w:hAnsi="Arial"/>
          <w:sz w:val="17"/>
          <w:szCs w:val="17"/>
          <w:color w:val="auto"/>
        </w:rPr>
        <w:t>. If (and only if) the total of the Commitments of the Lenders that have agreed so to extend their Maturity Date (each an “</w:t>
      </w:r>
      <w:r>
        <w:rPr>
          <w:rFonts w:ascii="Arial" w:cs="Arial" w:eastAsia="Arial" w:hAnsi="Arial"/>
          <w:sz w:val="17"/>
          <w:szCs w:val="17"/>
          <w:u w:val="single" w:color="auto"/>
          <w:color w:val="auto"/>
        </w:rPr>
        <w:t>Extending Lender</w:t>
      </w:r>
      <w:r>
        <w:rPr>
          <w:rFonts w:ascii="Arial" w:cs="Arial" w:eastAsia="Arial" w:hAnsi="Arial"/>
          <w:sz w:val="17"/>
          <w:szCs w:val="17"/>
          <w:color w:val="auto"/>
        </w:rPr>
        <w:t xml:space="preserve">”) and the additional Commitments of the Additional Commitment Lenders shall be more than 50% of the aggregate amount of the Commitments in effect on the Notice Date, then, subject to the conditions set forth in </w:t>
      </w:r>
      <w:r>
        <w:rPr>
          <w:rFonts w:ascii="Arial" w:cs="Arial" w:eastAsia="Arial" w:hAnsi="Arial"/>
          <w:sz w:val="17"/>
          <w:szCs w:val="17"/>
          <w:u w:val="single" w:color="auto"/>
          <w:color w:val="auto"/>
        </w:rPr>
        <w:t>Section 2.14(d)</w:t>
      </w:r>
      <w:r>
        <w:rPr>
          <w:rFonts w:ascii="Arial" w:cs="Arial" w:eastAsia="Arial" w:hAnsi="Arial"/>
          <w:sz w:val="17"/>
          <w:szCs w:val="17"/>
          <w:color w:val="auto"/>
        </w:rPr>
        <w:t xml:space="preserve">, effective as of the Notice Date, or such later date as the Administrative Agent and the Company shall agree, the Maturity Date of each Extending Lender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shall continue to have the right to replace any such Non-Extending Lender (with respect to all or any portion of its Commitment) following the effectiveness of any such extension as provided in </w:t>
      </w:r>
      <w:r>
        <w:rPr>
          <w:rFonts w:ascii="Arial" w:cs="Arial" w:eastAsia="Arial" w:hAnsi="Arial"/>
          <w:sz w:val="17"/>
          <w:szCs w:val="17"/>
          <w:u w:val="single" w:color="auto"/>
          <w:color w:val="auto"/>
        </w:rPr>
        <w:t>Section 2.14(d)</w:t>
      </w:r>
      <w:r>
        <w:rPr>
          <w:rFonts w:ascii="Arial" w:cs="Arial" w:eastAsia="Arial" w:hAnsi="Arial"/>
          <w:sz w:val="17"/>
          <w:szCs w:val="17"/>
          <w:color w:val="auto"/>
        </w:rPr>
        <w:t>.</w:t>
      </w:r>
    </w:p>
    <w:p>
      <w:pPr>
        <w:spacing w:after="0" w:line="180" w:lineRule="exact"/>
        <w:rPr>
          <w:rFonts w:ascii="Arial" w:cs="Arial" w:eastAsia="Arial" w:hAnsi="Arial"/>
          <w:sz w:val="17"/>
          <w:szCs w:val="17"/>
          <w:color w:val="010000"/>
        </w:rPr>
      </w:pPr>
    </w:p>
    <w:p>
      <w:pPr>
        <w:jc w:val="both"/>
        <w:ind w:left="-20" w:firstLine="656"/>
        <w:spacing w:after="0" w:line="288" w:lineRule="auto"/>
        <w:tabs>
          <w:tab w:leader="none" w:pos="1078" w:val="left"/>
        </w:tabs>
        <w:numPr>
          <w:ilvl w:val="0"/>
          <w:numId w:val="79"/>
        </w:numPr>
        <w:rPr>
          <w:rFonts w:ascii="Arial" w:cs="Arial" w:eastAsia="Arial" w:hAnsi="Arial"/>
          <w:sz w:val="16"/>
          <w:szCs w:val="16"/>
          <w:color w:val="010000"/>
        </w:rPr>
      </w:pPr>
      <w:r>
        <w:rPr>
          <w:rFonts w:ascii="Arial" w:cs="Arial" w:eastAsia="Arial" w:hAnsi="Arial"/>
          <w:sz w:val="16"/>
          <w:szCs w:val="16"/>
          <w:u w:val="single" w:color="auto"/>
          <w:color w:val="auto"/>
        </w:rPr>
        <w:t>Conditions to Effectiveness of Extensions</w:t>
      </w:r>
      <w:r>
        <w:rPr>
          <w:rFonts w:ascii="Arial" w:cs="Arial" w:eastAsia="Arial" w:hAnsi="Arial"/>
          <w:sz w:val="16"/>
          <w:szCs w:val="16"/>
          <w:color w:val="auto"/>
        </w:rPr>
        <w:t xml:space="preserve">. As a condition precedent to such extension, the Company shall deliver to the Administrative Agent a certificate dated as of the Notice Date signed by a Responsible Officer of the Company (i) certifying and attaching the resolutions adopted by the Company approving or consenting to such extension and (ii) certifying that, before and immediately after giving effect to such extension,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(2) any Loan Party in any other Loan Document are true and correct in all material respects on and as of the Notice Date,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or Event of Default exists. In addition, on the Maturity Date of each Non-Extending Lender, each Borrower shall prepay the Loans made to such Borrower and outstanding on such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outstanding Loans ratable with any revised Applicable Percentages of the Lenders effective as of such date.</w:t>
      </w:r>
    </w:p>
    <w:p>
      <w:pPr>
        <w:spacing w:after="0" w:line="168" w:lineRule="exact"/>
        <w:rPr>
          <w:rFonts w:ascii="Arial" w:cs="Arial" w:eastAsia="Arial" w:hAnsi="Arial"/>
          <w:sz w:val="16"/>
          <w:szCs w:val="16"/>
          <w:color w:val="010000"/>
        </w:rPr>
      </w:pPr>
    </w:p>
    <w:p>
      <w:pPr>
        <w:ind w:left="1120" w:hanging="484"/>
        <w:spacing w:after="0"/>
        <w:tabs>
          <w:tab w:leader="none" w:pos="1120" w:val="left"/>
        </w:tabs>
        <w:numPr>
          <w:ilvl w:val="0"/>
          <w:numId w:val="79"/>
        </w:numPr>
        <w:rPr>
          <w:rFonts w:ascii="Arial" w:cs="Arial" w:eastAsia="Arial" w:hAnsi="Arial"/>
          <w:sz w:val="18"/>
          <w:szCs w:val="18"/>
          <w:color w:val="010000"/>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77" w:name="page78"/>
    <w:bookmarkEnd w:id="77"/>
    <w:p>
      <w:pPr>
        <w:ind w:left="660"/>
        <w:spacing w:after="0"/>
        <w:tabs>
          <w:tab w:leader="none" w:pos="114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5"/>
          <w:szCs w:val="15"/>
          <w:b w:val="1"/>
          <w:bCs w:val="1"/>
          <w:color w:val="auto"/>
        </w:rPr>
        <w:t>Designated Borrower</w:t>
      </w:r>
      <w:r>
        <w:rPr>
          <w:rFonts w:ascii="Arial" w:cs="Arial" w:eastAsia="Arial" w:hAnsi="Arial"/>
          <w:sz w:val="15"/>
          <w:szCs w:val="15"/>
          <w:color w:val="auto"/>
        </w:rPr>
        <w:t>s.</w:t>
      </w:r>
    </w:p>
    <w:p>
      <w:pPr>
        <w:spacing w:after="0" w:line="229" w:lineRule="exact"/>
        <w:rPr>
          <w:sz w:val="20"/>
          <w:szCs w:val="20"/>
          <w:color w:val="auto"/>
        </w:rPr>
      </w:pPr>
    </w:p>
    <w:p>
      <w:pPr>
        <w:jc w:val="both"/>
        <w:ind w:firstLine="656"/>
        <w:spacing w:after="0" w:line="284" w:lineRule="auto"/>
        <w:tabs>
          <w:tab w:leader="none" w:pos="1117"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 may at any time, upon not less than 10 Business Days’ notice from the Company to the Administrative Agent (or such shorter period as may be agreed by the Administrative Agent in its sole discretion), designate any wholly-owned Canadian Subsidiary of the Company (an “</w:t>
      </w:r>
      <w:r>
        <w:rPr>
          <w:rFonts w:ascii="Arial" w:cs="Arial" w:eastAsia="Arial" w:hAnsi="Arial"/>
          <w:sz w:val="16"/>
          <w:szCs w:val="16"/>
          <w:u w:val="single" w:color="auto"/>
          <w:color w:val="auto"/>
        </w:rPr>
        <w:t>Applicant Borrower</w:t>
      </w:r>
      <w:r>
        <w:rPr>
          <w:rFonts w:ascii="Arial" w:cs="Arial" w:eastAsia="Arial" w:hAnsi="Arial"/>
          <w:sz w:val="16"/>
          <w:szCs w:val="16"/>
          <w:color w:val="auto"/>
        </w:rPr>
        <w:t xml:space="preserve">”) as a Designated Borrower hereunder by delivering to the Administrative Agent (which shall promptly deliver counterparts thereof to each Lender) a duly executed notice and agreement in substantially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Request and Assumption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The parties hereto acknowledge and agree that prior to any Applicant Borrower becoming entitled to utilize the credit facilities provided for herein the Administrative Agent shall have received (i) such supporting resolutions, incumbency certificates, certification as to Canadian corporate access number, opinions of counsel and other documents or information, in form, content and scope reasonably satisfactory to the Administrative Agent, as may be reasonably requested by the Administrative Agent or the Required Lenders, and Notes signed by such new Borrowers to the extent any Lenders so request, and (ii) upon the reasonable request of any Lender made within five days of the date of the applicable Designated Borrower Request and Assumption Agreement, the Applicant Borrowers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within eight days of the date of such Designated Borrower Request and Assumption Agreement, and any Applicant Borrower that qualifies as a “legal entity customer” under the Beneficial Ownership Regulation shall have delivered, to each Lender that so requests, a Beneficial Ownership Certification in relation to such Applicant Borrower. Promptly following receipt of all such requested resolutions, incumbency certificates, certification, opinions of counsel and other documents or information, the Administrative Agent shall send a notice in substantially the form of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Notice</w:t>
      </w:r>
      <w:r>
        <w:rPr>
          <w:rFonts w:ascii="Arial" w:cs="Arial" w:eastAsia="Arial" w:hAnsi="Arial"/>
          <w:sz w:val="16"/>
          <w:szCs w:val="16"/>
          <w:color w:val="auto"/>
        </w:rPr>
        <w:t>”) to the Company and the Lenders specifying the date of such notice (or such later date as the Company and the Administrative Agent may agree) as the effective date upon which the Applicant Borrower shall constitute a Designated Borrower for purposes hereof. From such effective date to the date on which such Person’s status as a Designated Borrower is terminated pursuant to the immediately succeeding clause (c), (y) each of the parties agrees that such Designated Borrower shall be a Borrower for all purposes of this Agreement and the other Loan Documents and shall be entitled to request extensions of credit hereunder and (z) each Lender and the L/C Issuer agree to extend credit to such Designated Borrower, in each case, on the terms and subject to the conditions set forth herein. Notwithstanding the foregoing procedure for designating a Person as a Designated Borrower, effective as of the Closing Date, PMCULC shall be a “Designated Borrower” hereunder.</w:t>
      </w:r>
    </w:p>
    <w:p>
      <w:pPr>
        <w:spacing w:after="0" w:line="178" w:lineRule="exact"/>
        <w:rPr>
          <w:rFonts w:ascii="Arial" w:cs="Arial" w:eastAsia="Arial" w:hAnsi="Arial"/>
          <w:sz w:val="16"/>
          <w:szCs w:val="16"/>
          <w:color w:val="auto"/>
        </w:rPr>
      </w:pPr>
    </w:p>
    <w:p>
      <w:pPr>
        <w:jc w:val="both"/>
        <w:ind w:firstLine="656"/>
        <w:spacing w:after="0" w:line="286" w:lineRule="auto"/>
        <w:tabs>
          <w:tab w:leader="none" w:pos="1127"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Each Subsidiary of the Company that is or becomes a “Designated Borrower”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hereby irrevocably appoints the Company as its agent for purposes of (i) requesting Committed Borrowings, conversions of Committed Loans from one Type to the other, and continuations of Eurocurrency Rate Committed Loans on its behalf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requesting Letters of Credit on its behalf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requesting Swing Line Loans on its behalf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which requests may also be made by such Designated Borrower and</w:t>
      </w:r>
    </w:p>
    <w:p>
      <w:pPr>
        <w:spacing w:after="0" w:line="1" w:lineRule="exact"/>
        <w:rPr>
          <w:rFonts w:ascii="Arial" w:cs="Arial" w:eastAsia="Arial" w:hAnsi="Arial"/>
          <w:sz w:val="16"/>
          <w:szCs w:val="16"/>
          <w:color w:val="auto"/>
        </w:rPr>
      </w:pPr>
    </w:p>
    <w:p>
      <w:pPr>
        <w:ind w:firstLine="8"/>
        <w:spacing w:after="0" w:line="290" w:lineRule="auto"/>
        <w:tabs>
          <w:tab w:leader="none" w:pos="269"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receiving any notice, demand, consent, acknowledgement, direction, certification or other communication to be delivered by the Administrative Agent, any L/C Issuer or the Swingline Lender to any Designated Borrower under this Agreement or any other Loan Document.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56"/>
        <w:spacing w:after="0" w:line="254" w:lineRule="auto"/>
        <w:tabs>
          <w:tab w:leader="none" w:pos="111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upon not less than 5 Business Days’ notice from the Company to the Administrative Agent and Lenders (or such shorter period as may be agreed by the Administrative Agent in its sole discretion), terminate a Subsidiary’s status as a Designated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are no outstanding Loans payable by such Designated Borrower, or other amounts payable by such Designated Borrower on account of any Loans made to it, any outstanding Canadian BA’s issued by such Designated Borrower that are not Cash Collateralized pursuant to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or any outstanding Letters of Credit for the account of such Designated Borrower as of the effective date of such termination, which in any such event have not been assumed by the Company or one or more other Designated Borrowers. From and after the date of such termination and until the date such Person is re-designated a Designated Borrower, references to the term “Designated Borrower” shall exclude such Person.</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Increase in Commitments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117" w:val="left"/>
        </w:tabs>
        <w:numPr>
          <w:ilvl w:val="0"/>
          <w:numId w:val="83"/>
        </w:numPr>
        <w:rPr>
          <w:rFonts w:ascii="Arial" w:cs="Arial" w:eastAsia="Arial" w:hAnsi="Arial"/>
          <w:sz w:val="17"/>
          <w:szCs w:val="17"/>
          <w:color w:val="010000"/>
        </w:rPr>
      </w:pPr>
      <w:r>
        <w:rPr>
          <w:rFonts w:ascii="Arial" w:cs="Arial" w:eastAsia="Arial" w:hAnsi="Arial"/>
          <w:sz w:val="17"/>
          <w:szCs w:val="17"/>
          <w:u w:val="single" w:color="auto"/>
          <w:color w:val="auto"/>
        </w:rPr>
        <w:t>Request for Increase</w:t>
      </w:r>
      <w:r>
        <w:rPr>
          <w:rFonts w:ascii="Arial" w:cs="Arial" w:eastAsia="Arial" w:hAnsi="Arial"/>
          <w:sz w:val="17"/>
          <w:szCs w:val="17"/>
          <w:color w:val="auto"/>
        </w:rPr>
        <w:t>. Provided there exists no Default, upon (i) notice to the Administrative Agent (which shall promptly notify the Lenders) and (ii) substantially contemporaneous notice (with copy thereof to the Administrative Agent) to Eligible Assignees not then Lenders (each such Eligible Assignee, a “</w:t>
      </w:r>
      <w:r>
        <w:rPr>
          <w:rFonts w:ascii="Arial" w:cs="Arial" w:eastAsia="Arial" w:hAnsi="Arial"/>
          <w:sz w:val="17"/>
          <w:szCs w:val="17"/>
          <w:u w:val="single" w:color="auto"/>
          <w:color w:val="auto"/>
        </w:rPr>
        <w:t>Proposed Lender</w:t>
      </w:r>
      <w:r>
        <w:rPr>
          <w:rFonts w:ascii="Arial" w:cs="Arial" w:eastAsia="Arial" w:hAnsi="Arial"/>
          <w:sz w:val="17"/>
          <w:szCs w:val="17"/>
          <w:color w:val="auto"/>
        </w:rPr>
        <w:t xml:space="preserve">”), the Company shall have the right promptly to effectuate from time to time and at any time, in accordance with the terms hereof, an increase in the aggregate amount of the then Aggregate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 the aggregate amount of the Aggregate Commitments as so increased shall not at any time exceed $2,100,000,000, and (z) each such increase shall be in a minimum amount of $50,000,000. At the time of sending such notices, the Company (in consultation with the Administrative Agent) shall specify the time period within which each Lender and Proposed Lender is requested to respond (which shall in no event be less than five Business Days from the date of delivery of such notice to the Lenders, and which may be extended upon agreement by the Company and the Administrative Agent).</w:t>
      </w:r>
    </w:p>
    <w:p>
      <w:pPr>
        <w:spacing w:after="0" w:line="178" w:lineRule="exact"/>
        <w:rPr>
          <w:rFonts w:ascii="Arial" w:cs="Arial" w:eastAsia="Arial" w:hAnsi="Arial"/>
          <w:sz w:val="17"/>
          <w:szCs w:val="17"/>
          <w:color w:val="010000"/>
        </w:rPr>
      </w:pPr>
    </w:p>
    <w:p>
      <w:pPr>
        <w:jc w:val="both"/>
        <w:ind w:firstLine="656"/>
        <w:spacing w:after="0" w:line="254" w:lineRule="auto"/>
        <w:tabs>
          <w:tab w:leader="none" w:pos="1127" w:val="left"/>
        </w:tabs>
        <w:numPr>
          <w:ilvl w:val="0"/>
          <w:numId w:val="83"/>
        </w:numPr>
        <w:rPr>
          <w:rFonts w:ascii="Arial" w:cs="Arial" w:eastAsia="Arial" w:hAnsi="Arial"/>
          <w:sz w:val="18"/>
          <w:szCs w:val="18"/>
          <w:color w:val="010000"/>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Lender shall promptly notify the Administrative Agent and the Company within such time period whether or not it agrees to increase the amount of its Commitment and, if so, whether by an amount equal to, greater than, or less than its Applicable Percentage (as it existed immediately prior to such proposed increase) and the amount of such proposed increase. Each Proposed Lender shall promptly notify the Administrative Agent and the Company within such time period whether or not it agrees to participate in such increased amount of the Aggregate Commitments, and at what amount it proposes to participate in such increased amount. Any Lender or Proposed Lender not responding within such time period shall be deemed to have declined to increase its Commitment, or participate in the increase in the aggregate amount of the Aggregate Commitments, as the case may be.</w:t>
      </w:r>
    </w:p>
    <w:p>
      <w:pPr>
        <w:spacing w:after="0" w:line="194" w:lineRule="exact"/>
        <w:rPr>
          <w:rFonts w:ascii="Arial" w:cs="Arial" w:eastAsia="Arial" w:hAnsi="Arial"/>
          <w:sz w:val="18"/>
          <w:szCs w:val="18"/>
          <w:color w:val="010000"/>
        </w:rPr>
      </w:pPr>
    </w:p>
    <w:p>
      <w:pPr>
        <w:jc w:val="both"/>
        <w:ind w:firstLine="656"/>
        <w:spacing w:after="0" w:line="279" w:lineRule="auto"/>
        <w:tabs>
          <w:tab w:leader="none" w:pos="1117" w:val="left"/>
        </w:tabs>
        <w:numPr>
          <w:ilvl w:val="0"/>
          <w:numId w:val="83"/>
        </w:numPr>
        <w:rPr>
          <w:rFonts w:ascii="Arial" w:cs="Arial" w:eastAsia="Arial" w:hAnsi="Arial"/>
          <w:sz w:val="17"/>
          <w:szCs w:val="17"/>
          <w:color w:val="010000"/>
        </w:rPr>
      </w:pPr>
      <w:r>
        <w:rPr>
          <w:rFonts w:ascii="Arial" w:cs="Arial" w:eastAsia="Arial" w:hAnsi="Arial"/>
          <w:sz w:val="17"/>
          <w:szCs w:val="17"/>
          <w:u w:val="single" w:color="auto"/>
          <w:color w:val="auto"/>
        </w:rPr>
        <w:t>Effective Date and Allocations</w:t>
      </w:r>
      <w:r>
        <w:rPr>
          <w:rFonts w:ascii="Arial" w:cs="Arial" w:eastAsia="Arial" w:hAnsi="Arial"/>
          <w:sz w:val="17"/>
          <w:szCs w:val="17"/>
          <w:color w:val="auto"/>
        </w:rPr>
        <w:t xml:space="preserve">. If the aggregate amount of Aggregate Commitments are increased in accordance with this </w:t>
      </w:r>
      <w:r>
        <w:rPr>
          <w:rFonts w:ascii="Arial" w:cs="Arial" w:eastAsia="Arial" w:hAnsi="Arial"/>
          <w:sz w:val="17"/>
          <w:szCs w:val="17"/>
          <w:u w:val="single" w:color="auto"/>
          <w:color w:val="auto"/>
        </w:rPr>
        <w:t>Section 2.16</w:t>
      </w:r>
      <w:r>
        <w:rPr>
          <w:rFonts w:ascii="Arial" w:cs="Arial" w:eastAsia="Arial" w:hAnsi="Arial"/>
          <w:sz w:val="17"/>
          <w:szCs w:val="17"/>
          <w:color w:val="auto"/>
        </w:rPr>
        <w:t>, the Administrative Agent and the Company shall promptly thereafter determine the effective date thereof (the “</w:t>
      </w:r>
      <w:r>
        <w:rPr>
          <w:rFonts w:ascii="Arial" w:cs="Arial" w:eastAsia="Arial" w:hAnsi="Arial"/>
          <w:sz w:val="17"/>
          <w:szCs w:val="17"/>
          <w:u w:val="single" w:color="auto"/>
          <w:color w:val="auto"/>
        </w:rPr>
        <w:t>Increase Effective Date</w:t>
      </w:r>
      <w:r>
        <w:rPr>
          <w:rFonts w:ascii="Arial" w:cs="Arial" w:eastAsia="Arial" w:hAnsi="Arial"/>
          <w:sz w:val="17"/>
          <w:szCs w:val="17"/>
          <w:color w:val="auto"/>
        </w:rPr>
        <w:t>”) and the final allocation of such increase, and the Administrative Agent shall promptly notify the Company and the Lenders (including Proposed Lenders that have agreed to participate in such increase) of the final allocation of such increase and the Increase Effective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56"/>
        <w:spacing w:after="0" w:line="286" w:lineRule="auto"/>
        <w:tabs>
          <w:tab w:leader="none" w:pos="1127" w:val="left"/>
        </w:tabs>
        <w:numPr>
          <w:ilvl w:val="1"/>
          <w:numId w:val="84"/>
        </w:numPr>
        <w:rPr>
          <w:rFonts w:ascii="Arial" w:cs="Arial" w:eastAsia="Arial" w:hAnsi="Arial"/>
          <w:sz w:val="16"/>
          <w:szCs w:val="16"/>
          <w:color w:val="010000"/>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xml:space="preserve">. As conditions precedent to each increase, (i) the Company shall deliver to the Administrative Agent a certificate of the Company dated as of the applicable Increase Effective Date, signed by a Responsible Officer of the Company, (y) certifying and attaching the resolutions adopted by the Company authorizing or consenting to such increase, as the case may be, and (z) certifying that, immediately before and after giving effect to such increase,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and</w:t>
      </w:r>
    </w:p>
    <w:p>
      <w:pPr>
        <w:spacing w:after="0" w:line="1" w:lineRule="exact"/>
        <w:rPr>
          <w:rFonts w:ascii="Arial" w:cs="Arial" w:eastAsia="Arial" w:hAnsi="Arial"/>
          <w:sz w:val="16"/>
          <w:szCs w:val="16"/>
          <w:color w:val="010000"/>
        </w:rPr>
      </w:pPr>
    </w:p>
    <w:p>
      <w:pPr>
        <w:jc w:val="both"/>
        <w:ind w:firstLine="8"/>
        <w:spacing w:after="0" w:line="281" w:lineRule="auto"/>
        <w:tabs>
          <w:tab w:leader="none" w:pos="2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any Loan Party in any other Loan Document are true and correct in all material respects on and as of such applicable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and (B) no Default or Event of Default exists, (ii) (x) upon the reasonable request of any Lender made at least three Business Days prior to the Increase Effective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Business Days prior to the Increase Effective Date and (y) at least three Business Days prior to the Increase Effective Date, any Loan Party that qualifies as a “legal entity customer” under the Beneficial Ownership Regulation shall have delivered, to each Lender that so requests, a Beneficial Ownership Certification in relation to such Loan Party, and (iii) each Proposed Lender that is becoming a Lender shall (y) be subject to the reasonable approval of the Administrative Agent, the L/C Issuers and the Swing Line Lender, which approvals shall not be unreasonably withheld, delayed or conditioned, and</w:t>
      </w:r>
    </w:p>
    <w:p>
      <w:pPr>
        <w:spacing w:after="0" w:line="6" w:lineRule="exact"/>
        <w:rPr>
          <w:rFonts w:ascii="Arial" w:cs="Arial" w:eastAsia="Arial" w:hAnsi="Arial"/>
          <w:sz w:val="16"/>
          <w:szCs w:val="16"/>
          <w:color w:val="auto"/>
        </w:rPr>
      </w:pPr>
    </w:p>
    <w:p>
      <w:pPr>
        <w:jc w:val="both"/>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(z) execute and deliver a joinder agreement in form and substance reasonably satisfactory to the Administrative Agent, the L/C Issuers, the Swing Line Lender and the Company. The Company shall prepay any Committed Loans outstanding on such applicable Increase Effective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to the extent necessary to keep the outstanding Committed Loans ratable with the Applicable Percentages resulting from any non-ratable increase in the amount of the Aggregate Commitments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in effect after giving effect thereto.</w:t>
      </w:r>
    </w:p>
    <w:p>
      <w:pPr>
        <w:spacing w:after="0" w:line="161" w:lineRule="exact"/>
        <w:rPr>
          <w:rFonts w:ascii="Arial" w:cs="Arial" w:eastAsia="Arial" w:hAnsi="Arial"/>
          <w:sz w:val="16"/>
          <w:szCs w:val="16"/>
          <w:color w:val="auto"/>
        </w:rPr>
      </w:pPr>
    </w:p>
    <w:p>
      <w:pPr>
        <w:ind w:left="1120" w:hanging="464"/>
        <w:spacing w:after="0"/>
        <w:tabs>
          <w:tab w:leader="none" w:pos="1120" w:val="left"/>
        </w:tabs>
        <w:numPr>
          <w:ilvl w:val="1"/>
          <w:numId w:val="85"/>
        </w:numPr>
        <w:rPr>
          <w:rFonts w:ascii="Arial" w:cs="Arial" w:eastAsia="Arial" w:hAnsi="Arial"/>
          <w:sz w:val="18"/>
          <w:szCs w:val="18"/>
          <w:color w:val="010000"/>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117" w:val="left"/>
        </w:tabs>
        <w:numPr>
          <w:ilvl w:val="0"/>
          <w:numId w:val="86"/>
        </w:numPr>
        <w:rPr>
          <w:rFonts w:ascii="Arial" w:cs="Arial" w:eastAsia="Arial" w:hAnsi="Arial"/>
          <w:sz w:val="17"/>
          <w:szCs w:val="17"/>
          <w:color w:val="010000"/>
        </w:rPr>
      </w:pPr>
      <w:r>
        <w:rPr>
          <w:rFonts w:ascii="Arial" w:cs="Arial" w:eastAsia="Arial" w:hAnsi="Arial"/>
          <w:sz w:val="17"/>
          <w:szCs w:val="17"/>
          <w:u w:val="single" w:color="auto"/>
          <w:color w:val="auto"/>
        </w:rPr>
        <w:t>Obligation to Cash Collateralize</w:t>
      </w:r>
      <w:r>
        <w:rPr>
          <w:rFonts w:ascii="Arial" w:cs="Arial" w:eastAsia="Arial" w:hAnsi="Arial"/>
          <w:sz w:val="17"/>
          <w:szCs w:val="17"/>
          <w:color w:val="auto"/>
        </w:rPr>
        <w:t xml:space="preserve">. At any time that there shall exist a Defaulting Lender, within one Business Day following the written request of the Administrative Agent or any L/C Issuer (with a copy to the Administrative Agent), the Company shall Cash Collateralize each L/C Issuers’ Fronting Exposure with respect to such Defaulting Lender (determined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and any Cash Collateral provided by such Defaulting Lender) in an amount not less than the Minimum Collateral Amount. Additionally, if the Administrative Agent notifies the Company at any time that the Outstanding Amount of all L/C Obligations at such time exceeds 105% of the L/C Sublimit then in effect, then within two (2) Business Days after receipt of such notice, the Company shall provide Cash Collateral for the Outstanding Amount of the L/C Obligations in an amount not less than the amount by which the Outstanding Amount of all L/C Obligations then exceeds the L/C Sublimit.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56"/>
        <w:spacing w:after="0" w:line="287" w:lineRule="auto"/>
        <w:tabs>
          <w:tab w:leader="none" w:pos="1127" w:val="left"/>
        </w:tabs>
        <w:numPr>
          <w:ilvl w:val="0"/>
          <w:numId w:val="87"/>
        </w:numPr>
        <w:rPr>
          <w:rFonts w:ascii="Arial" w:cs="Arial" w:eastAsia="Arial" w:hAnsi="Arial"/>
          <w:sz w:val="16"/>
          <w:szCs w:val="16"/>
          <w:color w:val="010000"/>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Company,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Cash Collateral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(determined in the case of Cash Collateral provided pursuant to clause (a)(iv) above,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and any Cash Collateral provided by the Defaulting Lender). All Cash Collateral (other than credit support not constituting funds subject to deposit) shall be maintained in one or more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71" w:lineRule="exact"/>
        <w:rPr>
          <w:rFonts w:ascii="Arial" w:cs="Arial" w:eastAsia="Arial" w:hAnsi="Arial"/>
          <w:sz w:val="16"/>
          <w:szCs w:val="16"/>
          <w:color w:val="010000"/>
        </w:rPr>
      </w:pPr>
    </w:p>
    <w:p>
      <w:pPr>
        <w:jc w:val="both"/>
        <w:ind w:firstLine="656"/>
        <w:spacing w:after="0" w:line="257" w:lineRule="auto"/>
        <w:tabs>
          <w:tab w:leader="none" w:pos="1117" w:val="left"/>
        </w:tabs>
        <w:numPr>
          <w:ilvl w:val="0"/>
          <w:numId w:val="87"/>
        </w:numPr>
        <w:rPr>
          <w:rFonts w:ascii="Arial" w:cs="Arial" w:eastAsia="Arial" w:hAnsi="Arial"/>
          <w:sz w:val="18"/>
          <w:szCs w:val="18"/>
          <w:color w:val="010000"/>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but subject to subsection (d) below, Cash Collateral provided under any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or Canadian BA’s shall be held and applied to the satisfaction of the specific L/C Obligations, Swing Line Loans and obligations to fund participations therein and Canadian BA’s (including, as to Cash Collateral provided by a Defaulting Lender, any interest accrued on such obligation), prior to any other application of such property as may be provided for herein.</w:t>
      </w:r>
    </w:p>
    <w:p>
      <w:pPr>
        <w:spacing w:after="0" w:line="187" w:lineRule="exact"/>
        <w:rPr>
          <w:rFonts w:ascii="Arial" w:cs="Arial" w:eastAsia="Arial" w:hAnsi="Arial"/>
          <w:sz w:val="18"/>
          <w:szCs w:val="18"/>
          <w:color w:val="010000"/>
        </w:rPr>
      </w:pPr>
    </w:p>
    <w:p>
      <w:pPr>
        <w:jc w:val="both"/>
        <w:ind w:firstLine="656"/>
        <w:spacing w:after="0" w:line="291" w:lineRule="auto"/>
        <w:tabs>
          <w:tab w:leader="none" w:pos="1127" w:val="left"/>
        </w:tabs>
        <w:numPr>
          <w:ilvl w:val="0"/>
          <w:numId w:val="87"/>
        </w:numPr>
        <w:rPr>
          <w:rFonts w:ascii="Arial" w:cs="Arial" w:eastAsia="Arial" w:hAnsi="Arial"/>
          <w:sz w:val="16"/>
          <w:szCs w:val="16"/>
          <w:color w:val="010000"/>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11.06(b)(vi)</w:t>
      </w:r>
      <w:r>
        <w:rPr>
          <w:rFonts w:ascii="Arial" w:cs="Arial" w:eastAsia="Arial" w:hAnsi="Arial"/>
          <w:sz w:val="16"/>
          <w:szCs w:val="16"/>
          <w:color w:val="auto"/>
        </w:rPr>
        <w:t xml:space="preserve">)) or (ii) the reasonable determination by the Administrative Agent and the applicable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Defaulting Lenders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117" w:val="left"/>
        </w:tabs>
        <w:numPr>
          <w:ilvl w:val="0"/>
          <w:numId w:val="88"/>
        </w:numPr>
        <w:rPr>
          <w:rFonts w:ascii="Arial" w:cs="Arial" w:eastAsia="Arial" w:hAnsi="Arial"/>
          <w:sz w:val="18"/>
          <w:szCs w:val="18"/>
          <w:color w:val="010000"/>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not prohibited by Applicable Law:</w:t>
      </w:r>
    </w:p>
    <w:p>
      <w:pPr>
        <w:spacing w:after="0" w:line="170" w:lineRule="exact"/>
        <w:rPr>
          <w:rFonts w:ascii="Arial" w:cs="Arial" w:eastAsia="Arial" w:hAnsi="Arial"/>
          <w:sz w:val="18"/>
          <w:szCs w:val="18"/>
          <w:color w:val="010000"/>
        </w:rPr>
      </w:pPr>
    </w:p>
    <w:p>
      <w:pPr>
        <w:ind w:left="660" w:firstLine="644"/>
        <w:spacing w:after="0" w:line="277" w:lineRule="auto"/>
        <w:tabs>
          <w:tab w:leader="none" w:pos="1748"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left="4" w:firstLine="644"/>
        <w:spacing w:after="0" w:line="282" w:lineRule="auto"/>
        <w:tabs>
          <w:tab w:leader="none" w:pos="1119"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 pro rata basis of any amounts owing by such Defaulting Lender to any L/C Issuer or the Swing Line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and the Company or requested by an L/C Issuer or the Swing Line Lender (and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and any Cash Collateral then held by such L/C Issuer or the Swing Line Lender), to Cash Collateralize the Fronting Exposure with respect to such Defaulting Lender in accordance with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or, so long as the amount of the Cash Collateral at such time is equal to the actual Fronting Exposure at such time, to substitute for and release to the applicable Borrower on a dollar-for-dollar basis, Cash Collateral previously provided by the applicable Borrower with respect to the applicable Defaulting Lender (subject to documentation in form and substance reasonably satisfactory to the Administrative Agent and the applicable L/C Issuer or the Swing Line Lender, as applicable, and such substituted amounts otherwise satisfying the requirements to constitute Cash Collateral hereunder);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8.01(g)</w:t>
      </w:r>
      <w:r>
        <w:rPr>
          <w:rFonts w:ascii="Arial" w:cs="Arial" w:eastAsia="Arial" w:hAnsi="Arial"/>
          <w:sz w:val="16"/>
          <w:szCs w:val="16"/>
          <w:color w:val="auto"/>
        </w:rPr>
        <w:t xml:space="preserve"> has occurred and is continuing, to the payment of any amounts owing to any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w:t>
      </w:r>
    </w:p>
    <w:p>
      <w:pPr>
        <w:spacing w:after="0" w:line="9" w:lineRule="exact"/>
        <w:rPr>
          <w:rFonts w:ascii="Arial" w:cs="Arial" w:eastAsia="Arial" w:hAnsi="Arial"/>
          <w:sz w:val="16"/>
          <w:szCs w:val="16"/>
          <w:color w:val="auto"/>
        </w:rPr>
      </w:pPr>
    </w:p>
    <w:p>
      <w:pPr>
        <w:jc w:val="both"/>
        <w:ind w:left="4" w:hanging="4"/>
        <w:spacing w:after="0" w:line="269" w:lineRule="auto"/>
        <w:tabs>
          <w:tab w:leader="none" w:pos="274"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such Loans were made or the related Letters of Credit were issued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2.18(a)(ii)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39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2" w:name="page83"/>
    <w:bookmarkEnd w:id="82"/>
    <w:p>
      <w:pPr>
        <w:ind w:left="1144" w:hanging="496"/>
        <w:spacing w:after="0"/>
        <w:tabs>
          <w:tab w:leader="none" w:pos="114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652"/>
        <w:spacing w:after="0" w:line="263" w:lineRule="auto"/>
        <w:tabs>
          <w:tab w:leader="none" w:pos="1789"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83" w:lineRule="exact"/>
        <w:rPr>
          <w:rFonts w:ascii="Arial" w:cs="Arial" w:eastAsia="Arial" w:hAnsi="Arial"/>
          <w:sz w:val="18"/>
          <w:szCs w:val="18"/>
          <w:color w:val="auto"/>
        </w:rPr>
      </w:pPr>
    </w:p>
    <w:p>
      <w:pPr>
        <w:jc w:val="both"/>
        <w:ind w:left="644" w:firstLine="652"/>
        <w:spacing w:after="0" w:line="263" w:lineRule="auto"/>
        <w:tabs>
          <w:tab w:leader="none" w:pos="1802"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44" w:firstLine="652"/>
        <w:spacing w:after="0" w:line="272" w:lineRule="auto"/>
        <w:tabs>
          <w:tab w:leader="none" w:pos="1802" w:val="left"/>
        </w:tabs>
        <w:numPr>
          <w:ilvl w:val="2"/>
          <w:numId w:val="91"/>
        </w:numPr>
        <w:rPr>
          <w:rFonts w:ascii="Arial" w:cs="Arial" w:eastAsia="Arial" w:hAnsi="Arial"/>
          <w:sz w:val="17"/>
          <w:szCs w:val="17"/>
          <w:color w:val="auto"/>
        </w:rPr>
      </w:pPr>
      <w:r>
        <w:rPr>
          <w:rFonts w:ascii="Arial" w:cs="Arial" w:eastAsia="Arial" w:hAnsi="Arial"/>
          <w:sz w:val="17"/>
          <w:szCs w:val="17"/>
          <w:color w:val="auto"/>
        </w:rPr>
        <w:t xml:space="preserve">With respect to any fee payable under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and any Letter of Credit Fee not required to be paid to any Defaulting Lender pursuant to clause (A) or (B) above, the Company shall (x) pay to the Administrative Agent for the account of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each L/C Issuer and the Swing Line Lender, as applicable, the amount of any such fee otherwise payable to such Defaulting Lender to the extent allocable to such L/C Issuer’s or such Swing Line Lender’s Fronting Exposure to such Defaulting Lender, and (z) not be required to pay to any Person the remaining amount of any such fee.</w:t>
      </w:r>
    </w:p>
    <w:p>
      <w:pPr>
        <w:spacing w:after="0" w:line="177" w:lineRule="exact"/>
        <w:rPr>
          <w:rFonts w:ascii="Arial" w:cs="Arial" w:eastAsia="Arial" w:hAnsi="Arial"/>
          <w:sz w:val="17"/>
          <w:szCs w:val="17"/>
          <w:color w:val="auto"/>
        </w:rPr>
      </w:pPr>
    </w:p>
    <w:p>
      <w:pPr>
        <w:jc w:val="both"/>
        <w:ind w:left="4" w:firstLine="644"/>
        <w:spacing w:after="0" w:line="287" w:lineRule="auto"/>
        <w:tabs>
          <w:tab w:leader="none" w:pos="1137"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w:t>
      </w:r>
    </w:p>
    <w:p>
      <w:pPr>
        <w:spacing w:after="0" w:line="2" w:lineRule="exact"/>
        <w:rPr>
          <w:rFonts w:ascii="Arial" w:cs="Arial" w:eastAsia="Arial" w:hAnsi="Arial"/>
          <w:sz w:val="16"/>
          <w:szCs w:val="16"/>
          <w:color w:val="auto"/>
        </w:rPr>
      </w:pPr>
    </w:p>
    <w:p>
      <w:pPr>
        <w:jc w:val="both"/>
        <w:ind w:left="4" w:hanging="4"/>
        <w:spacing w:after="0" w:line="252" w:lineRule="auto"/>
        <w:tabs>
          <w:tab w:leader="none" w:pos="2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aggregate Outstanding Amount of the Committed Loans of any Non-Defaulting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Non-Defaulting Lender’s Applicable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Non-Defaulting Lender’s Applicable Percentage of the Outstanding Amount of all Swing 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Non-Defaulting Lender’s Canadian BA’s (or Canadian BA Equivalent Loans) accepted and purchased from PMCULC and the Designated Borrowers to exceed (y) such Non-Defaulting Lender’s Commitment. Subject to </w:t>
      </w:r>
      <w:r>
        <w:rPr>
          <w:rFonts w:ascii="Arial" w:cs="Arial" w:eastAsia="Arial" w:hAnsi="Arial"/>
          <w:sz w:val="18"/>
          <w:szCs w:val="18"/>
          <w:u w:val="single" w:color="auto"/>
          <w:color w:val="auto"/>
        </w:rPr>
        <w:t>Section 11.24</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3" w:name="page84"/>
    <w:bookmarkEnd w:id="83"/>
    <w:p>
      <w:pPr>
        <w:jc w:val="both"/>
        <w:ind w:left="660" w:firstLine="644"/>
        <w:spacing w:after="0" w:line="259" w:lineRule="auto"/>
        <w:tabs>
          <w:tab w:leader="none" w:pos="1743"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127" w:val="left"/>
        </w:tabs>
        <w:numPr>
          <w:ilvl w:val="0"/>
          <w:numId w:val="94"/>
        </w:numPr>
        <w:rPr>
          <w:rFonts w:ascii="Arial" w:cs="Arial" w:eastAsia="Arial" w:hAnsi="Arial"/>
          <w:sz w:val="16"/>
          <w:szCs w:val="16"/>
          <w:color w:val="010000"/>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Company, the Administrative Agent, Swing Line Lender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and reimbursement of costs and expenses to each Loan Party),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any Loan Party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8" w:lineRule="exact"/>
        <w:rPr>
          <w:rFonts w:ascii="Arial" w:cs="Arial" w:eastAsia="Arial" w:hAnsi="Arial"/>
          <w:sz w:val="16"/>
          <w:szCs w:val="16"/>
          <w:color w:val="010000"/>
        </w:rPr>
      </w:pPr>
    </w:p>
    <w:p>
      <w:pPr>
        <w:jc w:val="both"/>
        <w:ind w:firstLine="656"/>
        <w:spacing w:after="0" w:line="259" w:lineRule="auto"/>
        <w:tabs>
          <w:tab w:leader="none" w:pos="1117" w:val="left"/>
        </w:tabs>
        <w:numPr>
          <w:ilvl w:val="0"/>
          <w:numId w:val="94"/>
        </w:numPr>
        <w:rPr>
          <w:rFonts w:ascii="Arial" w:cs="Arial" w:eastAsia="Arial" w:hAnsi="Arial"/>
          <w:sz w:val="18"/>
          <w:szCs w:val="18"/>
          <w:color w:val="010000"/>
        </w:rPr>
      </w:pPr>
      <w:r>
        <w:rPr>
          <w:rFonts w:ascii="Arial" w:cs="Arial" w:eastAsia="Arial" w:hAnsi="Arial"/>
          <w:sz w:val="18"/>
          <w:szCs w:val="18"/>
          <w:u w:val="single" w:color="auto"/>
          <w:color w:val="auto"/>
        </w:rPr>
        <w:t>Rights and Remedies against a Defaulting Lender</w:t>
      </w:r>
      <w:r>
        <w:rPr>
          <w:rFonts w:ascii="Arial" w:cs="Arial" w:eastAsia="Arial" w:hAnsi="Arial"/>
          <w:sz w:val="18"/>
          <w:szCs w:val="18"/>
          <w:color w:val="auto"/>
        </w:rPr>
        <w:t xml:space="preserve">. The Company may replace any Defaulting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The rights and remedies against, and with respect to, a Defaulting Lender under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are in addition to, and cumulative and not in limitation of, all other rights and remedies that each of the Administrative Agent, the L/C Issuers, the Lenders and the Loan Parties may, at any time, have against, or with respect to, such Defaulting Lender.</w:t>
      </w:r>
    </w:p>
    <w:p>
      <w:pPr>
        <w:spacing w:after="0" w:line="186" w:lineRule="exact"/>
        <w:rPr>
          <w:rFonts w:ascii="Arial" w:cs="Arial" w:eastAsia="Arial" w:hAnsi="Arial"/>
          <w:sz w:val="18"/>
          <w:szCs w:val="18"/>
          <w:color w:val="010000"/>
        </w:rPr>
      </w:pPr>
    </w:p>
    <w:p>
      <w:pPr>
        <w:jc w:val="both"/>
        <w:ind w:firstLine="656"/>
        <w:spacing w:after="0" w:line="259" w:lineRule="auto"/>
        <w:tabs>
          <w:tab w:leader="none" w:pos="1127" w:val="left"/>
        </w:tabs>
        <w:numPr>
          <w:ilvl w:val="0"/>
          <w:numId w:val="94"/>
        </w:numPr>
        <w:rPr>
          <w:rFonts w:ascii="Arial" w:cs="Arial" w:eastAsia="Arial" w:hAnsi="Arial"/>
          <w:sz w:val="18"/>
          <w:szCs w:val="18"/>
          <w:color w:val="010000"/>
        </w:rPr>
      </w:pPr>
      <w:r>
        <w:rPr>
          <w:rFonts w:ascii="Arial" w:cs="Arial" w:eastAsia="Arial" w:hAnsi="Arial"/>
          <w:sz w:val="18"/>
          <w:szCs w:val="18"/>
          <w:u w:val="single" w:color="auto"/>
          <w:color w:val="auto"/>
        </w:rPr>
        <w:t>New Swing Line Loans/Letters of Credit</w:t>
      </w:r>
      <w:r>
        <w:rPr>
          <w:rFonts w:ascii="Arial" w:cs="Arial" w:eastAsia="Arial" w:hAnsi="Arial"/>
          <w:sz w:val="18"/>
          <w:szCs w:val="18"/>
          <w:color w:val="auto"/>
        </w:rPr>
        <w:t xml:space="preserve">.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in each such case it is satisfied that it will have no Fronting Exposure after giving effect thereto and after giving effect to </w:t>
      </w:r>
      <w:r>
        <w:rPr>
          <w:rFonts w:ascii="Arial" w:cs="Arial" w:eastAsia="Arial" w:hAnsi="Arial"/>
          <w:sz w:val="18"/>
          <w:szCs w:val="18"/>
          <w:u w:val="single" w:color="auto"/>
          <w:color w:val="auto"/>
        </w:rPr>
        <w:t>Section 2.18(b)(iv)</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TAXES, YIELD PROTECTION AND ILLEGALITY</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29" w:lineRule="exact"/>
        <w:rPr>
          <w:sz w:val="20"/>
          <w:szCs w:val="20"/>
          <w:color w:val="auto"/>
        </w:rPr>
      </w:pPr>
    </w:p>
    <w:p>
      <w:pPr>
        <w:ind w:left="5540" w:right="3240" w:hanging="4884"/>
        <w:spacing w:after="0" w:line="778" w:lineRule="auto"/>
        <w:tabs>
          <w:tab w:leader="none" w:pos="1131" w:val="left"/>
        </w:tabs>
        <w:numPr>
          <w:ilvl w:val="0"/>
          <w:numId w:val="95"/>
        </w:numPr>
        <w:rPr>
          <w:rFonts w:ascii="Arial" w:cs="Arial" w:eastAsia="Arial" w:hAnsi="Arial"/>
          <w:sz w:val="18"/>
          <w:szCs w:val="18"/>
          <w:color w:val="010000"/>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3.01, the term “Applicable Law” includes FATCA.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56"/>
        <w:spacing w:after="0" w:line="254" w:lineRule="auto"/>
        <w:tabs>
          <w:tab w:leader="none" w:pos="1127" w:val="left"/>
        </w:tabs>
        <w:numPr>
          <w:ilvl w:val="1"/>
          <w:numId w:val="96"/>
        </w:numPr>
        <w:rPr>
          <w:rFonts w:ascii="Arial" w:cs="Arial" w:eastAsia="Arial" w:hAnsi="Arial"/>
          <w:sz w:val="18"/>
          <w:szCs w:val="18"/>
          <w:color w:val="010000"/>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91" w:lineRule="exact"/>
        <w:rPr>
          <w:rFonts w:ascii="Arial" w:cs="Arial" w:eastAsia="Arial" w:hAnsi="Arial"/>
          <w:sz w:val="18"/>
          <w:szCs w:val="18"/>
          <w:color w:val="010000"/>
        </w:rPr>
      </w:pPr>
    </w:p>
    <w:p>
      <w:pPr>
        <w:ind w:firstLine="656"/>
        <w:spacing w:after="0" w:line="277" w:lineRule="auto"/>
        <w:tabs>
          <w:tab w:leader="none" w:pos="1117" w:val="left"/>
        </w:tabs>
        <w:numPr>
          <w:ilvl w:val="1"/>
          <w:numId w:val="96"/>
        </w:numPr>
        <w:rPr>
          <w:rFonts w:ascii="Arial" w:cs="Arial" w:eastAsia="Arial" w:hAnsi="Arial"/>
          <w:sz w:val="18"/>
          <w:szCs w:val="18"/>
          <w:color w:val="010000"/>
        </w:rPr>
      </w:pPr>
      <w:r>
        <w:rPr>
          <w:rFonts w:ascii="Arial" w:cs="Arial" w:eastAsia="Arial" w:hAnsi="Arial"/>
          <w:sz w:val="18"/>
          <w:szCs w:val="18"/>
          <w:u w:val="single" w:color="auto"/>
          <w:color w:val="auto"/>
        </w:rPr>
        <w:t>Payment of Other Taxes by Each of the Borrowers</w:t>
      </w:r>
      <w:r>
        <w:rPr>
          <w:rFonts w:ascii="Arial" w:cs="Arial" w:eastAsia="Arial" w:hAnsi="Arial"/>
          <w:sz w:val="18"/>
          <w:szCs w:val="18"/>
          <w:color w:val="auto"/>
        </w:rPr>
        <w:t>. The Loan Parties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010000"/>
        </w:rPr>
      </w:pPr>
    </w:p>
    <w:p>
      <w:pPr>
        <w:jc w:val="both"/>
        <w:ind w:firstLine="656"/>
        <w:spacing w:after="0" w:line="273" w:lineRule="auto"/>
        <w:tabs>
          <w:tab w:leader="none" w:pos="1127" w:val="left"/>
        </w:tabs>
        <w:numPr>
          <w:ilvl w:val="1"/>
          <w:numId w:val="96"/>
        </w:numPr>
        <w:rPr>
          <w:rFonts w:ascii="Arial" w:cs="Arial" w:eastAsia="Arial" w:hAnsi="Arial"/>
          <w:sz w:val="17"/>
          <w:szCs w:val="17"/>
          <w:color w:val="010000"/>
        </w:rPr>
      </w:pPr>
      <w:r>
        <w:rPr>
          <w:rFonts w:ascii="Arial" w:cs="Arial" w:eastAsia="Arial" w:hAnsi="Arial"/>
          <w:sz w:val="17"/>
          <w:szCs w:val="17"/>
          <w:u w:val="single" w:color="auto"/>
          <w:color w:val="auto"/>
        </w:rPr>
        <w:t>Indemnification by Borrowers</w:t>
      </w:r>
      <w:r>
        <w:rPr>
          <w:rFonts w:ascii="Arial" w:cs="Arial" w:eastAsia="Arial" w:hAnsi="Arial"/>
          <w:sz w:val="17"/>
          <w:szCs w:val="17"/>
          <w:color w:val="auto"/>
        </w:rPr>
        <w:t xml:space="preserve">. Each of the Loan Parties shall indemnify each Recipient, within 10 Business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77" w:lineRule="exact"/>
        <w:rPr>
          <w:rFonts w:ascii="Arial" w:cs="Arial" w:eastAsia="Arial" w:hAnsi="Arial"/>
          <w:sz w:val="17"/>
          <w:szCs w:val="17"/>
          <w:color w:val="010000"/>
        </w:rPr>
      </w:pPr>
    </w:p>
    <w:p>
      <w:pPr>
        <w:ind w:left="1120" w:hanging="464"/>
        <w:spacing w:after="0"/>
        <w:tabs>
          <w:tab w:leader="none" w:pos="1120" w:val="left"/>
        </w:tabs>
        <w:numPr>
          <w:ilvl w:val="1"/>
          <w:numId w:val="96"/>
        </w:numPr>
        <w:rPr>
          <w:rFonts w:ascii="Arial" w:cs="Arial" w:eastAsia="Arial" w:hAnsi="Arial"/>
          <w:sz w:val="16"/>
          <w:szCs w:val="16"/>
          <w:color w:val="010000"/>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w:t>
      </w:r>
    </w:p>
    <w:p>
      <w:pPr>
        <w:spacing w:after="0" w:line="46" w:lineRule="exact"/>
        <w:rPr>
          <w:rFonts w:ascii="Arial" w:cs="Arial" w:eastAsia="Arial" w:hAnsi="Arial"/>
          <w:sz w:val="16"/>
          <w:szCs w:val="16"/>
          <w:color w:val="010000"/>
        </w:rPr>
      </w:pPr>
    </w:p>
    <w:p>
      <w:pPr>
        <w:jc w:val="both"/>
        <w:ind w:firstLine="8"/>
        <w:spacing w:after="0" w:line="287" w:lineRule="auto"/>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6"/>
          <w:szCs w:val="16"/>
          <w:u w:val="single" w:color="auto"/>
          <w:color w:val="auto"/>
        </w:rPr>
        <w:t>Section 11.06(d)</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169" w:lineRule="exact"/>
        <w:rPr>
          <w:rFonts w:ascii="Arial" w:cs="Arial" w:eastAsia="Arial" w:hAnsi="Arial"/>
          <w:sz w:val="16"/>
          <w:szCs w:val="16"/>
          <w:color w:val="auto"/>
        </w:rPr>
      </w:pPr>
    </w:p>
    <w:p>
      <w:pPr>
        <w:jc w:val="both"/>
        <w:ind w:firstLine="656"/>
        <w:spacing w:after="0" w:line="259" w:lineRule="auto"/>
        <w:tabs>
          <w:tab w:leader="none" w:pos="1120" w:val="left"/>
        </w:tabs>
        <w:numPr>
          <w:ilvl w:val="1"/>
          <w:numId w:val="97"/>
        </w:numPr>
        <w:rPr>
          <w:rFonts w:ascii="Arial" w:cs="Arial" w:eastAsia="Arial" w:hAnsi="Arial"/>
          <w:sz w:val="18"/>
          <w:szCs w:val="18"/>
          <w:color w:val="010000"/>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the Company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464" w:hanging="464"/>
        <w:spacing w:after="0"/>
        <w:tabs>
          <w:tab w:leader="none" w:pos="464" w:val="left"/>
        </w:tabs>
        <w:numPr>
          <w:ilvl w:val="0"/>
          <w:numId w:val="98"/>
        </w:numPr>
        <w:rPr>
          <w:rFonts w:ascii="Arial" w:cs="Arial" w:eastAsia="Arial" w:hAnsi="Arial"/>
          <w:sz w:val="18"/>
          <w:szCs w:val="18"/>
          <w:color w:val="010000"/>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4" w:firstLine="644"/>
        <w:spacing w:after="0" w:line="284" w:lineRule="auto"/>
        <w:tabs>
          <w:tab w:leader="none" w:pos="1092"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w:t>
      </w:r>
      <w:r>
        <w:rPr>
          <w:rFonts w:ascii="Arial" w:cs="Arial" w:eastAsia="Arial" w:hAnsi="Arial"/>
          <w:sz w:val="16"/>
          <w:szCs w:val="16"/>
          <w:u w:val="single" w:color="auto"/>
          <w:color w:val="auto"/>
        </w:rPr>
        <w:t>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p>
    <w:p>
      <w:pPr>
        <w:ind w:left="4" w:right="20"/>
        <w:spacing w:after="0" w:line="290" w:lineRule="auto"/>
        <w:rPr>
          <w:rFonts w:ascii="Arial" w:cs="Arial" w:eastAsia="Arial" w:hAnsi="Arial"/>
          <w:sz w:val="16"/>
          <w:szCs w:val="16"/>
          <w:color w:val="auto"/>
        </w:rPr>
      </w:pPr>
      <w:r>
        <w:rPr>
          <w:rFonts w:ascii="Arial" w:cs="Arial" w:eastAsia="Arial" w:hAnsi="Arial"/>
          <w:sz w:val="17"/>
          <w:szCs w:val="17"/>
          <w:u w:val="single" w:color="auto"/>
          <w:color w:val="auto"/>
        </w:rPr>
        <w:t>(D)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rFonts w:ascii="Arial" w:cs="Arial" w:eastAsia="Arial" w:hAnsi="Arial"/>
          <w:sz w:val="16"/>
          <w:szCs w:val="16"/>
          <w:color w:val="auto"/>
        </w:rPr>
      </w:pPr>
    </w:p>
    <w:p>
      <w:pPr>
        <w:ind w:left="1124" w:hanging="476"/>
        <w:spacing w:after="0"/>
        <w:tabs>
          <w:tab w:leader="none" w:pos="11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a U.S. Person,</w:t>
      </w:r>
    </w:p>
    <w:p>
      <w:pPr>
        <w:spacing w:after="0" w:line="225" w:lineRule="exact"/>
        <w:rPr>
          <w:rFonts w:ascii="Arial" w:cs="Arial" w:eastAsia="Arial" w:hAnsi="Arial"/>
          <w:sz w:val="18"/>
          <w:szCs w:val="18"/>
          <w:color w:val="auto"/>
        </w:rPr>
      </w:pPr>
    </w:p>
    <w:p>
      <w:pPr>
        <w:jc w:val="both"/>
        <w:ind w:left="644" w:firstLine="652"/>
        <w:spacing w:after="0" w:line="259" w:lineRule="auto"/>
        <w:tabs>
          <w:tab w:leader="none" w:pos="176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86" w:lineRule="exact"/>
        <w:rPr>
          <w:rFonts w:ascii="Arial" w:cs="Arial" w:eastAsia="Arial" w:hAnsi="Arial"/>
          <w:sz w:val="18"/>
          <w:szCs w:val="18"/>
          <w:color w:val="auto"/>
        </w:rPr>
      </w:pPr>
    </w:p>
    <w:p>
      <w:pPr>
        <w:jc w:val="both"/>
        <w:ind w:left="644" w:firstLine="652"/>
        <w:spacing w:after="0" w:line="259" w:lineRule="auto"/>
        <w:tabs>
          <w:tab w:leader="none" w:pos="175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6" w:lineRule="exact"/>
        <w:rPr>
          <w:rFonts w:ascii="Arial" w:cs="Arial" w:eastAsia="Arial" w:hAnsi="Arial"/>
          <w:sz w:val="18"/>
          <w:szCs w:val="18"/>
          <w:color w:val="auto"/>
        </w:rPr>
      </w:pPr>
    </w:p>
    <w:p>
      <w:pPr>
        <w:ind w:left="2304" w:hanging="360"/>
        <w:spacing w:after="0"/>
        <w:tabs>
          <w:tab w:leader="none" w:pos="2304" w:val="left"/>
        </w:tabs>
        <w:numPr>
          <w:ilvl w:val="3"/>
          <w:numId w:val="98"/>
        </w:numPr>
        <w:rPr>
          <w:rFonts w:ascii="Arial" w:cs="Arial" w:eastAsia="Arial" w:hAnsi="Arial"/>
          <w:sz w:val="16"/>
          <w:szCs w:val="16"/>
          <w:color w:val="010000"/>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010000"/>
        </w:rPr>
      </w:pPr>
    </w:p>
    <w:p>
      <w:pPr>
        <w:jc w:val="both"/>
        <w:ind w:left="1304"/>
        <w:spacing w:after="0" w:line="253" w:lineRule="auto"/>
        <w:rPr>
          <w:rFonts w:ascii="Arial" w:cs="Arial" w:eastAsia="Arial" w:hAnsi="Arial"/>
          <w:sz w:val="16"/>
          <w:szCs w:val="16"/>
          <w:color w:val="010000"/>
        </w:rPr>
      </w:pPr>
      <w:r>
        <w:rPr>
          <w:rFonts w:ascii="Arial" w:cs="Arial" w:eastAsia="Arial" w:hAnsi="Arial"/>
          <w:sz w:val="18"/>
          <w:szCs w:val="18"/>
          <w:color w:val="auto"/>
        </w:rPr>
        <w:t>(x)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6" w:name="page87"/>
    <w:bookmarkEnd w:id="86"/>
    <w:p>
      <w:pPr>
        <w:ind w:left="1940" w:hanging="460"/>
        <w:spacing w:after="0"/>
        <w:tabs>
          <w:tab w:leader="none" w:pos="1940"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executed copies of IRS Form W-8ECI,</w:t>
      </w:r>
    </w:p>
    <w:p>
      <w:pPr>
        <w:spacing w:after="0" w:line="225" w:lineRule="exact"/>
        <w:rPr>
          <w:sz w:val="20"/>
          <w:szCs w:val="20"/>
          <w:color w:val="auto"/>
        </w:rPr>
      </w:pPr>
    </w:p>
    <w:p>
      <w:pPr>
        <w:jc w:val="both"/>
        <w:ind w:left="840" w:firstLine="640"/>
        <w:spacing w:after="0" w:line="296" w:lineRule="auto"/>
        <w:tabs>
          <w:tab w:leader="none" w:pos="1990" w:val="left"/>
        </w:tabs>
        <w:numPr>
          <w:ilvl w:val="0"/>
          <w:numId w:val="100"/>
        </w:numPr>
        <w:rPr>
          <w:rFonts w:ascii="Arial" w:cs="Arial" w:eastAsia="Arial" w:hAnsi="Arial"/>
          <w:sz w:val="16"/>
          <w:szCs w:val="16"/>
          <w:color w:val="010000"/>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Company within the meaning of Section 881(c)(3)(B) of the Code, or a “controlled foreign corporation” described in Section 881(c)(3)(C) of the Code (a “U.S. Tax Compliance Certificate”) and (y) executed copies of IRS Form W-8BEN-E (or W-8BEN, as applicable), or</w:t>
      </w:r>
    </w:p>
    <w:p>
      <w:pPr>
        <w:spacing w:after="0" w:line="161" w:lineRule="exact"/>
        <w:rPr>
          <w:sz w:val="20"/>
          <w:szCs w:val="20"/>
          <w:color w:val="auto"/>
        </w:rPr>
      </w:pPr>
    </w:p>
    <w:p>
      <w:pPr>
        <w:jc w:val="both"/>
        <w:ind w:left="840" w:firstLine="648"/>
        <w:spacing w:after="0" w:line="273" w:lineRule="auto"/>
        <w:rPr>
          <w:sz w:val="20"/>
          <w:szCs w:val="20"/>
          <w:color w:val="auto"/>
        </w:rPr>
      </w:pPr>
      <w:r>
        <w:rPr>
          <w:rFonts w:ascii="Arial" w:cs="Arial" w:eastAsia="Arial" w:hAnsi="Arial"/>
          <w:sz w:val="17"/>
          <w:szCs w:val="17"/>
          <w:color w:val="010000"/>
        </w:rPr>
        <w:t xml:space="preserve">(IV) </w:t>
      </w:r>
      <w:r>
        <w:rPr>
          <w:rFonts w:ascii="Arial" w:cs="Arial" w:eastAsia="Arial" w:hAnsi="Arial"/>
          <w:sz w:val="17"/>
          <w:szCs w:val="17"/>
          <w:color w:val="000000"/>
        </w:rPr>
        <w:t>to the extent a Foreign Lender is not the beneficial owner, executed copies of IRS Form W-8IMY, accompanied</w:t>
      </w:r>
      <w:r>
        <w:rPr>
          <w:rFonts w:ascii="Arial" w:cs="Arial" w:eastAsia="Arial" w:hAnsi="Arial"/>
          <w:sz w:val="17"/>
          <w:szCs w:val="17"/>
          <w:color w:val="010000"/>
        </w:rPr>
        <w:t xml:space="preserve"> </w:t>
      </w:r>
      <w:r>
        <w:rPr>
          <w:rFonts w:ascii="Arial" w:cs="Arial" w:eastAsia="Arial" w:hAnsi="Arial"/>
          <w:sz w:val="17"/>
          <w:szCs w:val="17"/>
          <w:color w:val="000000"/>
        </w:rPr>
        <w:t>by IRS Form W-8ECI, IRS Form W-8BEN-E (or W-8BEN, as applicable),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78" w:lineRule="exact"/>
        <w:rPr>
          <w:sz w:val="20"/>
          <w:szCs w:val="20"/>
          <w:color w:val="auto"/>
        </w:rPr>
      </w:pPr>
    </w:p>
    <w:p>
      <w:pPr>
        <w:jc w:val="both"/>
        <w:ind w:left="180" w:firstLine="652"/>
        <w:spacing w:after="0" w:line="293" w:lineRule="auto"/>
        <w:tabs>
          <w:tab w:leader="none" w:pos="161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64" w:lineRule="exact"/>
        <w:rPr>
          <w:rFonts w:ascii="Arial" w:cs="Arial" w:eastAsia="Arial" w:hAnsi="Arial"/>
          <w:sz w:val="16"/>
          <w:szCs w:val="16"/>
          <w:color w:val="auto"/>
        </w:rPr>
      </w:pPr>
    </w:p>
    <w:p>
      <w:pPr>
        <w:jc w:val="both"/>
        <w:ind w:left="180" w:firstLine="652"/>
        <w:spacing w:after="0" w:line="270" w:lineRule="auto"/>
        <w:tabs>
          <w:tab w:leader="none" w:pos="158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7" w:name="page88"/>
    <w:bookmarkEnd w:id="87"/>
    <w:p>
      <w:pPr>
        <w:jc w:val="both"/>
        <w:ind w:left="660" w:firstLine="644"/>
        <w:spacing w:after="0" w:line="263" w:lineRule="auto"/>
        <w:tabs>
          <w:tab w:leader="none" w:pos="213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083" w:val="left"/>
        </w:tabs>
        <w:numPr>
          <w:ilvl w:val="0"/>
          <w:numId w:val="103"/>
        </w:numPr>
        <w:rPr>
          <w:rFonts w:ascii="Arial" w:cs="Arial" w:eastAsia="Arial" w:hAnsi="Arial"/>
          <w:sz w:val="17"/>
          <w:szCs w:val="17"/>
          <w:color w:val="010000"/>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indemnifying party an amount equal to such refund (but only to the extent of indemnity payments made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indemnified party, agrees to repay to such indemnified party the amount paid over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in no event will the indemnified party be required to pay any amount to any indemnifying party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the payment of which would place the indemnified party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indemnifying party or any other Person.</w:t>
      </w:r>
    </w:p>
    <w:p>
      <w:pPr>
        <w:spacing w:after="0" w:line="178" w:lineRule="exact"/>
        <w:rPr>
          <w:rFonts w:ascii="Arial" w:cs="Arial" w:eastAsia="Arial" w:hAnsi="Arial"/>
          <w:sz w:val="17"/>
          <w:szCs w:val="17"/>
          <w:color w:val="010000"/>
        </w:rPr>
      </w:pPr>
    </w:p>
    <w:p>
      <w:pPr>
        <w:jc w:val="both"/>
        <w:ind w:right="20" w:firstLine="656"/>
        <w:spacing w:after="0" w:line="263" w:lineRule="auto"/>
        <w:tabs>
          <w:tab w:leader="none" w:pos="1088" w:val="left"/>
        </w:tabs>
        <w:numPr>
          <w:ilvl w:val="0"/>
          <w:numId w:val="103"/>
        </w:numPr>
        <w:rPr>
          <w:rFonts w:ascii="Arial" w:cs="Arial" w:eastAsia="Arial" w:hAnsi="Arial"/>
          <w:sz w:val="18"/>
          <w:szCs w:val="18"/>
          <w:color w:val="010000"/>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3.02 Illegality</w:t>
      </w:r>
      <w:r>
        <w:rPr>
          <w:rFonts w:ascii="Arial" w:cs="Arial" w:eastAsia="Arial" w:hAnsi="Arial"/>
          <w:sz w:val="17"/>
          <w:szCs w:val="17"/>
          <w:color w:val="auto"/>
        </w:rPr>
        <w:t>. If any Lender determines that any Change in Law has made it unlawful, or that any Governmental Authority has asserted that it</w:t>
      </w:r>
      <w:r>
        <w:rPr>
          <w:rFonts w:ascii="Arial" w:cs="Arial" w:eastAsia="Arial" w:hAnsi="Arial"/>
          <w:sz w:val="17"/>
          <w:szCs w:val="17"/>
          <w:b w:val="1"/>
          <w:bCs w:val="1"/>
          <w:color w:val="auto"/>
        </w:rPr>
        <w:t xml:space="preserve"> </w:t>
      </w:r>
      <w:r>
        <w:rPr>
          <w:rFonts w:ascii="Arial" w:cs="Arial" w:eastAsia="Arial" w:hAnsi="Arial"/>
          <w:sz w:val="17"/>
          <w:szCs w:val="17"/>
          <w:color w:val="auto"/>
        </w:rPr>
        <w:t>is unlawful, for any Lender or its applicable Lending Office to make, maintain or fund Loans whose interest is determined by reference to the Eurocurrency Rate (whether denominated in Dollars or Canadian Dollars) or to accept Canadian BA’s, or to determine or charge interest rates based upon the Eurocurrency Rate, or any Governmental Authority has imposed material restrictions on the authority of such Lender to purchase or sell, or to take deposits of, Dollars or Canadian Dollars in the applicable interbank market, then, on notice thereof by such Lender to the Company through the Administrative Agent, (i) any obligation of such Lender to make or continue Eurocurrency Rate Loans in the affected currency or currencies or, in the case of Eurocurrency Rate Loans in Dollars or to convert Base Rate Committed Loans to Eurocurrency Rate Committed Loans or accept Canadian BA’s, as the case may be,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convert all Eurocurrency Rate Loans of such Lender to Base Rate Loans (with respect to Loans denominated in Dollars) or Canadian Prime Rate Loans (with respect to Committed Loans denominated in Canadian Dollars) (the interest rate on which Base Rate Loans or Canadian Prime Rate Loans of such Lender shall, if necessary to avoid such illegality, be determined by the Administrative Agent without reference to the Eurocurrency Rate or CDOR component of the Base Rate or Canadian Prime Rate, respectively),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660"/>
        <w:spacing w:after="0"/>
        <w:tabs>
          <w:tab w:leader="none" w:pos="114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Inability to Determine Rates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5" w:lineRule="auto"/>
        <w:tabs>
          <w:tab w:leader="none" w:pos="1095" w:val="left"/>
        </w:tabs>
        <w:numPr>
          <w:ilvl w:val="0"/>
          <w:numId w:val="104"/>
        </w:numPr>
        <w:rPr>
          <w:rFonts w:ascii="Arial" w:cs="Arial" w:eastAsia="Arial" w:hAnsi="Arial"/>
          <w:sz w:val="16"/>
          <w:szCs w:val="16"/>
          <w:color w:val="010000"/>
        </w:rPr>
      </w:pPr>
      <w:r>
        <w:rPr>
          <w:rFonts w:ascii="Arial" w:cs="Arial" w:eastAsia="Arial" w:hAnsi="Arial"/>
          <w:sz w:val="16"/>
          <w:szCs w:val="16"/>
          <w:color w:val="auto"/>
        </w:rPr>
        <w:t>If in connection with any request for a Eurocurrency Rate Loan or a conversion to or continuation thereof, (i) the Administrative Agent determines that (A) deposits (whether in Dollars or Canadian Dollars) are not being offered to banks in the applicable offshore interbank Eurocurrency market for such currency for the applicable amount and Interest Period of such Eurocurrency Rate Loan, or (B) (x) adequate and reasonable means do not exist for determining the Eurocurrency Rate for any requested Interest Period with respect to a proposed Eurocurrency Rate Committed Loan (whether denominated in Dollars or Canadian Dollars) or in connection with an existing or proposed Base Rate Loan and (y) the circumstances described in Section 3.03(c)(i) do not apply (in each case with respect to this clause (i), “Impacted Loans”), or (ii) the Administrative Agent or the Required Lenders determine that for any reason (x) the Eurocurrency Rate for any requested Interest Period with respect to a proposed Eurocurrency Rate Committed Loan does not adequately and fairly reflect the cost to such Lenders of funding such Loan, or (y) with respect to Canadian BA’s that adequate and reasonable means do not exist for determining pricing with respect to such Canadian BA’s, the Administrative Agent will promptly so notify the Company and each Lender. Thereafter, (x) the obligation of the Lenders to make or maintain Eurocurrency Rate Loans in the affected currency or currencies or to issue Canadian BA’s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Lenders described in clause (ii) of Section 3.03(a), until the Administrative Agent upon instruction of the Required Lenders) revokes such notice. Upon receipt of such notice, the Company may revoke any pending request for a Borrowing of, conversion to or continuation of Eurocurrency Rate Committed Loans in the affected currency or currencies or for Canadian BA’s, as applicable, or, failing that, will be deemed to have converted such request into a request for a Committed Borrowing of Base Rate Loans in the amount specified therein or, in the case of a request for Eurocurrency Rate Loans denominated in Canadian Dollars or Canadian BA’s, a request for a Committed Borrowing of Canadian Prime Rate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56"/>
        <w:spacing w:after="0" w:line="289" w:lineRule="auto"/>
        <w:tabs>
          <w:tab w:leader="none" w:pos="1105" w:val="left"/>
        </w:tabs>
        <w:numPr>
          <w:ilvl w:val="0"/>
          <w:numId w:val="105"/>
        </w:numPr>
        <w:rPr>
          <w:rFonts w:ascii="Arial" w:cs="Arial" w:eastAsia="Arial" w:hAnsi="Arial"/>
          <w:sz w:val="16"/>
          <w:szCs w:val="16"/>
          <w:color w:val="010000"/>
        </w:rPr>
      </w:pPr>
      <w:r>
        <w:rPr>
          <w:rFonts w:ascii="Arial" w:cs="Arial" w:eastAsia="Arial" w:hAnsi="Arial"/>
          <w:sz w:val="16"/>
          <w:szCs w:val="16"/>
          <w:color w:val="auto"/>
        </w:rPr>
        <w:t xml:space="preserve">Notwithstanding the foregoing, if the Administrative Agent has made the determination described in clause (i) of </w:t>
      </w:r>
      <w:r>
        <w:rPr>
          <w:rFonts w:ascii="Arial" w:cs="Arial" w:eastAsia="Arial" w:hAnsi="Arial"/>
          <w:sz w:val="16"/>
          <w:szCs w:val="16"/>
          <w:u w:val="single" w:color="auto"/>
          <w:color w:val="auto"/>
        </w:rPr>
        <w:t>Section 3.03(a)</w:t>
      </w:r>
      <w:r>
        <w:rPr>
          <w:rFonts w:ascii="Arial" w:cs="Arial" w:eastAsia="Arial" w:hAnsi="Arial"/>
          <w:sz w:val="16"/>
          <w:szCs w:val="16"/>
          <w:color w:val="auto"/>
        </w:rPr>
        <w:t xml:space="preserve">, the Administrative Agent, in consultation with the Company and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first sentence of </w:t>
      </w:r>
      <w:r>
        <w:rPr>
          <w:rFonts w:ascii="Arial" w:cs="Arial" w:eastAsia="Arial" w:hAnsi="Arial"/>
          <w:sz w:val="16"/>
          <w:szCs w:val="16"/>
          <w:u w:val="single" w:color="auto"/>
          <w:color w:val="auto"/>
        </w:rPr>
        <w:t>Section 3.03(a)</w:t>
      </w:r>
      <w:r>
        <w:rPr>
          <w:rFonts w:ascii="Arial" w:cs="Arial" w:eastAsia="Arial" w:hAnsi="Arial"/>
          <w:sz w:val="16"/>
          <w:szCs w:val="16"/>
          <w:color w:val="auto"/>
        </w:rPr>
        <w:t>, (ii) the Administrative Agent or the Required Lenders notify the Administrative Agent and the Company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66" w:lineRule="exact"/>
        <w:rPr>
          <w:rFonts w:ascii="Arial" w:cs="Arial" w:eastAsia="Arial" w:hAnsi="Arial"/>
          <w:sz w:val="16"/>
          <w:szCs w:val="16"/>
          <w:color w:val="010000"/>
        </w:rPr>
      </w:pPr>
    </w:p>
    <w:p>
      <w:pPr>
        <w:ind w:left="1100" w:hanging="444"/>
        <w:spacing w:after="0"/>
        <w:tabs>
          <w:tab w:leader="none" w:pos="1100"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Notwithstanding anything to the contrary herein or in any other Loan Document:</w:t>
      </w:r>
    </w:p>
    <w:p>
      <w:pPr>
        <w:spacing w:after="0" w:line="225" w:lineRule="exact"/>
        <w:rPr>
          <w:rFonts w:ascii="Arial" w:cs="Arial" w:eastAsia="Arial" w:hAnsi="Arial"/>
          <w:sz w:val="18"/>
          <w:szCs w:val="18"/>
          <w:color w:val="010000"/>
        </w:rPr>
      </w:pPr>
    </w:p>
    <w:p>
      <w:pPr>
        <w:jc w:val="both"/>
        <w:ind w:left="660" w:firstLine="644"/>
        <w:spacing w:after="0" w:line="253" w:lineRule="auto"/>
        <w:tabs>
          <w:tab w:leader="none" w:pos="174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On March 5, 2021 the Financial Conduct Authority (“</w:t>
      </w:r>
      <w:r>
        <w:rPr>
          <w:rFonts w:ascii="Arial" w:cs="Arial" w:eastAsia="Arial" w:hAnsi="Arial"/>
          <w:sz w:val="18"/>
          <w:szCs w:val="18"/>
          <w:u w:val="single" w:color="auto"/>
          <w:color w:val="auto"/>
        </w:rPr>
        <w:t>FCA</w:t>
      </w:r>
      <w:r>
        <w:rPr>
          <w:rFonts w:ascii="Arial" w:cs="Arial" w:eastAsia="Arial" w:hAnsi="Arial"/>
          <w:sz w:val="18"/>
          <w:szCs w:val="18"/>
          <w:color w:val="auto"/>
        </w:rPr>
        <w:t>”), the regulatory supervisor of LIBOR’s administrator (“</w:t>
      </w:r>
      <w:r>
        <w:rPr>
          <w:rFonts w:ascii="Arial" w:cs="Arial" w:eastAsia="Arial" w:hAnsi="Arial"/>
          <w:sz w:val="18"/>
          <w:szCs w:val="18"/>
          <w:u w:val="single" w:color="auto"/>
          <w:color w:val="auto"/>
        </w:rPr>
        <w:t>IBA</w:t>
      </w:r>
      <w:r>
        <w:rPr>
          <w:rFonts w:ascii="Arial" w:cs="Arial" w:eastAsia="Arial" w:hAnsi="Arial"/>
          <w:sz w:val="18"/>
          <w:szCs w:val="18"/>
          <w:color w:val="auto"/>
        </w:rPr>
        <w:t>”),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196" w:lineRule="exact"/>
        <w:rPr>
          <w:rFonts w:ascii="Arial" w:cs="Arial" w:eastAsia="Arial" w:hAnsi="Arial"/>
          <w:sz w:val="18"/>
          <w:szCs w:val="18"/>
          <w:color w:val="auto"/>
        </w:rPr>
      </w:pPr>
    </w:p>
    <w:p>
      <w:pPr>
        <w:jc w:val="both"/>
        <w:ind w:left="1300" w:firstLine="4"/>
        <w:spacing w:after="0" w:line="269" w:lineRule="auto"/>
        <w:tabs>
          <w:tab w:leader="none" w:pos="1767" w:val="left"/>
        </w:tabs>
        <w:numPr>
          <w:ilvl w:val="1"/>
          <w:numId w:val="105"/>
        </w:numPr>
        <w:rPr>
          <w:rFonts w:ascii="Arial" w:cs="Arial" w:eastAsia="Arial" w:hAnsi="Arial"/>
          <w:sz w:val="17"/>
          <w:szCs w:val="17"/>
          <w:color w:val="auto"/>
        </w:rPr>
      </w:pPr>
      <w:r>
        <w:rPr>
          <w:rFonts w:ascii="Arial" w:cs="Arial" w:eastAsia="Arial" w:hAnsi="Arial"/>
          <w:sz w:val="17"/>
          <w:szCs w:val="17"/>
          <w:color w:val="auto"/>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provided 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left="180" w:firstLine="652"/>
        <w:spacing w:after="0" w:line="259" w:lineRule="auto"/>
        <w:tabs>
          <w:tab w:leader="none" w:pos="121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86" w:lineRule="exact"/>
        <w:rPr>
          <w:rFonts w:ascii="Arial" w:cs="Arial" w:eastAsia="Arial" w:hAnsi="Arial"/>
          <w:sz w:val="18"/>
          <w:szCs w:val="18"/>
          <w:color w:val="auto"/>
        </w:rPr>
      </w:pPr>
    </w:p>
    <w:p>
      <w:pPr>
        <w:jc w:val="both"/>
        <w:ind w:left="-460" w:firstLine="644"/>
        <w:spacing w:after="0" w:line="290" w:lineRule="auto"/>
        <w:tabs>
          <w:tab w:leader="none" w:pos="68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Company may revoke any request for a borrowing of, conversion to or continuation of Loans to be made, converted or continued that would bear interest by reference to such Benchmark until the Company’s receipt of notice from the Administrative Agent that a Benchmark Replacement has replaced such Benchmark, and, failing that, the Company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65" w:lineRule="exact"/>
        <w:rPr>
          <w:rFonts w:ascii="Arial" w:cs="Arial" w:eastAsia="Arial" w:hAnsi="Arial"/>
          <w:sz w:val="16"/>
          <w:szCs w:val="16"/>
          <w:color w:val="auto"/>
        </w:rPr>
      </w:pPr>
    </w:p>
    <w:p>
      <w:pPr>
        <w:jc w:val="both"/>
        <w:ind w:left="-460" w:firstLine="644"/>
        <w:spacing w:after="0" w:line="259" w:lineRule="auto"/>
        <w:tabs>
          <w:tab w:leader="none" w:pos="67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6" w:lineRule="exact"/>
        <w:rPr>
          <w:rFonts w:ascii="Arial" w:cs="Arial" w:eastAsia="Arial" w:hAnsi="Arial"/>
          <w:sz w:val="18"/>
          <w:szCs w:val="18"/>
          <w:color w:val="auto"/>
        </w:rPr>
      </w:pPr>
    </w:p>
    <w:p>
      <w:pPr>
        <w:jc w:val="both"/>
        <w:ind w:left="-460" w:firstLine="644"/>
        <w:spacing w:after="0" w:line="255" w:lineRule="auto"/>
        <w:tabs>
          <w:tab w:leader="none" w:pos="6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Company and the Lenders of (A) the implementation of any Benchmark Replacement and (B) the effectiveness of any Benchmark Replacement Conforming Changes. Any determination, decision or election that may be made by the Administrative Agent pursuant to this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Arial" w:cs="Arial" w:eastAsia="Arial" w:hAnsi="Arial"/>
          <w:sz w:val="18"/>
          <w:szCs w:val="18"/>
          <w:u w:val="single" w:color="auto"/>
          <w:color w:val="auto"/>
        </w:rPr>
        <w:t>Section 3.03(c)</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1" w:name="page92"/>
    <w:bookmarkEnd w:id="91"/>
    <w:p>
      <w:pPr>
        <w:jc w:val="both"/>
        <w:ind w:left="660" w:firstLine="644"/>
        <w:spacing w:after="0" w:line="259" w:lineRule="auto"/>
        <w:tabs>
          <w:tab w:leader="none" w:pos="23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8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Increased Costs; Reserves on Eurocurrency Rate Loans</w:t>
      </w:r>
      <w:r>
        <w:rPr>
          <w:rFonts w:ascii="Arial" w:cs="Arial" w:eastAsia="Arial" w:hAnsi="Arial"/>
          <w:sz w:val="15"/>
          <w:szCs w:val="15"/>
          <w:color w:val="auto"/>
        </w:rPr>
        <w:t>.</w:t>
      </w:r>
    </w:p>
    <w:p>
      <w:pPr>
        <w:spacing w:after="0" w:line="229" w:lineRule="exact"/>
        <w:rPr>
          <w:sz w:val="20"/>
          <w:szCs w:val="20"/>
          <w:color w:val="auto"/>
        </w:rPr>
      </w:pPr>
    </w:p>
    <w:p>
      <w:pPr>
        <w:ind w:left="1100" w:hanging="444"/>
        <w:spacing w:after="0"/>
        <w:tabs>
          <w:tab w:leader="none" w:pos="1100" w:val="left"/>
        </w:tabs>
        <w:numPr>
          <w:ilvl w:val="0"/>
          <w:numId w:val="109"/>
        </w:numPr>
        <w:rPr>
          <w:rFonts w:ascii="Arial" w:cs="Arial" w:eastAsia="Arial" w:hAnsi="Arial"/>
          <w:sz w:val="18"/>
          <w:szCs w:val="18"/>
          <w:color w:val="010000"/>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010000"/>
        </w:rPr>
      </w:pPr>
    </w:p>
    <w:p>
      <w:pPr>
        <w:jc w:val="both"/>
        <w:ind w:left="660" w:firstLine="644"/>
        <w:spacing w:after="0" w:line="263" w:lineRule="auto"/>
        <w:tabs>
          <w:tab w:leader="none" w:pos="174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7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left="660" w:firstLine="644"/>
        <w:spacing w:after="0" w:line="308" w:lineRule="auto"/>
        <w:tabs>
          <w:tab w:leader="none" w:pos="180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impose on any Lender or L/C Issuer or the London interbank market or the market for Canadian BA’s or any other condition, cost or expense affecting this Agreement or Eurocurrency Rate Loans made by such Lender or any Letter of Credit or participation therein;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the interest on which is determined by reference to the Eurocurrency Rate (or of maintaining its obligation to make any such Eurocurrency Rate Loan), of accepting any Canadian BA’s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in each case, by an amount deemed in good faith by such Lender or L/C Issuer to be material, then, within 10 days after written demand therefor by such Lender or L/C Issuer, the Company will pay (or cause PMCULC or the applicable Designated Borrower to pay) to such Lender or L/C Issuer, as the case may be, such additional amount or amounts as will compensate such Lender or L/C Issuer, as the case may be, for such additional costs incurred or reduction suffered.</w:t>
      </w:r>
    </w:p>
    <w:p>
      <w:pPr>
        <w:spacing w:after="0" w:line="178" w:lineRule="exact"/>
        <w:rPr>
          <w:sz w:val="20"/>
          <w:szCs w:val="20"/>
          <w:color w:val="auto"/>
        </w:rPr>
      </w:pPr>
    </w:p>
    <w:p>
      <w:pPr>
        <w:jc w:val="both"/>
        <w:ind w:firstLine="656"/>
        <w:spacing w:after="0" w:line="269" w:lineRule="auto"/>
        <w:tabs>
          <w:tab w:leader="none" w:pos="1105" w:val="left"/>
        </w:tabs>
        <w:numPr>
          <w:ilvl w:val="0"/>
          <w:numId w:val="110"/>
        </w:numPr>
        <w:rPr>
          <w:rFonts w:ascii="Arial" w:cs="Arial" w:eastAsia="Arial" w:hAnsi="Arial"/>
          <w:sz w:val="17"/>
          <w:szCs w:val="17"/>
          <w:color w:val="010000"/>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such L/C Issuer, or the acceptance by such Lender of any Canadian BA, by an amount deemed in good faith by such Lender or L/C Issuer to be material based on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within 10 days after written demand therefor, the Company will pay (or cause PMCULC or the applicable Designated Borrower to pay) to such Lender or L/C Issuer, as the case may be, such additional amount or amounts as will compensate such Lender or L/C Issuer or such Lender’s or L/C Issuer’s holding company, if any, for any such reduction suffered.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56"/>
        <w:spacing w:after="0" w:line="255" w:lineRule="auto"/>
        <w:tabs>
          <w:tab w:leader="none" w:pos="1117" w:val="left"/>
        </w:tabs>
        <w:numPr>
          <w:ilvl w:val="0"/>
          <w:numId w:val="111"/>
        </w:numPr>
        <w:rPr>
          <w:rFonts w:ascii="Arial" w:cs="Arial" w:eastAsia="Arial" w:hAnsi="Arial"/>
          <w:sz w:val="18"/>
          <w:szCs w:val="18"/>
          <w:color w:val="010000"/>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L/C Issuer setting forth the amount or amounts necessary to compensate such Lender or L/C Issuer or its holding company, as the case may be, as specified in subsection (a) or (b) of this Section and delivered to the Company shall be conclusive absent manifest error. The Company shall pay (or cause PMCULC or the applicable Designated Borrower to pay) such Lender or L/C Issuer, as the case may be, the amount shown as due on any such certificate within 10 days after receipt thereof. Upon request by the Company, a Lender or L/C Issuer, as the case may be, shall also provide a certificate that such Lender or L/C Issuer is generally requesting such compensation from its other borrowers.</w:t>
      </w:r>
    </w:p>
    <w:p>
      <w:pPr>
        <w:spacing w:after="0" w:line="192" w:lineRule="exact"/>
        <w:rPr>
          <w:rFonts w:ascii="Arial" w:cs="Arial" w:eastAsia="Arial" w:hAnsi="Arial"/>
          <w:sz w:val="18"/>
          <w:szCs w:val="18"/>
          <w:color w:val="010000"/>
        </w:rPr>
      </w:pPr>
    </w:p>
    <w:p>
      <w:pPr>
        <w:jc w:val="both"/>
        <w:ind w:firstLine="656"/>
        <w:spacing w:after="0" w:line="293" w:lineRule="auto"/>
        <w:tabs>
          <w:tab w:leader="none" w:pos="1105" w:val="left"/>
        </w:tabs>
        <w:numPr>
          <w:ilvl w:val="0"/>
          <w:numId w:val="111"/>
        </w:numPr>
        <w:rPr>
          <w:rFonts w:ascii="Arial" w:cs="Arial" w:eastAsia="Arial" w:hAnsi="Arial"/>
          <w:sz w:val="16"/>
          <w:szCs w:val="16"/>
          <w:color w:val="010000"/>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L/C Issuer pursuant to the foregoing provisions of this Section for any increased costs incurred or reductions suffered more than six months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64" w:lineRule="exact"/>
        <w:rPr>
          <w:rFonts w:ascii="Arial" w:cs="Arial" w:eastAsia="Arial" w:hAnsi="Arial"/>
          <w:sz w:val="16"/>
          <w:szCs w:val="16"/>
          <w:color w:val="010000"/>
        </w:rPr>
      </w:pPr>
    </w:p>
    <w:p>
      <w:pPr>
        <w:jc w:val="both"/>
        <w:ind w:firstLine="656"/>
        <w:spacing w:after="0" w:line="269" w:lineRule="auto"/>
        <w:tabs>
          <w:tab w:leader="none" w:pos="1095" w:val="left"/>
        </w:tabs>
        <w:numPr>
          <w:ilvl w:val="0"/>
          <w:numId w:val="111"/>
        </w:numPr>
        <w:rPr>
          <w:rFonts w:ascii="Arial" w:cs="Arial" w:eastAsia="Arial" w:hAnsi="Arial"/>
          <w:sz w:val="17"/>
          <w:szCs w:val="17"/>
          <w:color w:val="010000"/>
        </w:rPr>
      </w:pPr>
      <w:r>
        <w:rPr>
          <w:rFonts w:ascii="Arial" w:cs="Arial" w:eastAsia="Arial" w:hAnsi="Arial"/>
          <w:sz w:val="17"/>
          <w:szCs w:val="17"/>
          <w:u w:val="single" w:color="auto"/>
          <w:color w:val="auto"/>
        </w:rPr>
        <w:t>Reserves on Eurocurrency Rate Loans</w:t>
      </w:r>
      <w:r>
        <w:rPr>
          <w:rFonts w:ascii="Arial" w:cs="Arial" w:eastAsia="Arial" w:hAnsi="Arial"/>
          <w:sz w:val="17"/>
          <w:szCs w:val="17"/>
          <w:color w:val="auto"/>
        </w:rPr>
        <w:t>. The Company shall pay (or cause PMCULC or the applicable Designated Borrower to pay) to each Lender, (i) as long as such Lender shall be required to maintain reserves with respect to liabilities or assets consisting of or including Eurocurrency funds or deposits (currently known as “</w:t>
      </w:r>
      <w:r>
        <w:rPr>
          <w:rFonts w:ascii="Arial" w:cs="Arial" w:eastAsia="Arial" w:hAnsi="Arial"/>
          <w:sz w:val="17"/>
          <w:szCs w:val="17"/>
          <w:u w:val="single" w:color="auto"/>
          <w:color w:val="auto"/>
        </w:rPr>
        <w:t>Eurocurrency liabilities</w:t>
      </w:r>
      <w:r>
        <w:rPr>
          <w:rFonts w:ascii="Arial" w:cs="Arial" w:eastAsia="Arial" w:hAnsi="Arial"/>
          <w:sz w:val="17"/>
          <w:szCs w:val="17"/>
          <w:color w:val="auto"/>
        </w:rPr>
        <w:t xml:space="preserve">”), additional interest on the unpaid principal amount of each Eurocurrency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6" w:lineRule="auto"/>
        <w:rPr>
          <w:sz w:val="20"/>
          <w:szCs w:val="20"/>
          <w:color w:val="auto"/>
        </w:rPr>
      </w:pPr>
      <w:r>
        <w:rPr>
          <w:rFonts w:ascii="Arial" w:cs="Arial" w:eastAsia="Arial" w:hAnsi="Arial"/>
          <w:sz w:val="18"/>
          <w:szCs w:val="18"/>
          <w:b w:val="1"/>
          <w:bCs w:val="1"/>
          <w:color w:val="auto"/>
        </w:rPr>
        <w:t>3.05 Compensation for Losses</w:t>
      </w:r>
      <w:r>
        <w:rPr>
          <w:rFonts w:ascii="Arial" w:cs="Arial" w:eastAsia="Arial" w:hAnsi="Arial"/>
          <w:sz w:val="18"/>
          <w:szCs w:val="18"/>
          <w:color w:val="auto"/>
        </w:rPr>
        <w:t>. Upon demand of any Lender (with a copy to the Administrative Agent) from time to time,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compensate (or cause PMCULC or the applicable Designated Borrower to compensate) such Lender for and hold such Lender harmless from any loss, cost or expense incurred by it as a result of:</w:t>
      </w:r>
    </w:p>
    <w:p>
      <w:pPr>
        <w:spacing w:after="0" w:line="180" w:lineRule="exact"/>
        <w:rPr>
          <w:sz w:val="20"/>
          <w:szCs w:val="20"/>
          <w:color w:val="auto"/>
        </w:rPr>
      </w:pPr>
    </w:p>
    <w:p>
      <w:pPr>
        <w:ind w:firstLine="656"/>
        <w:spacing w:after="0" w:line="308" w:lineRule="auto"/>
        <w:tabs>
          <w:tab w:leader="none" w:pos="1095" w:val="left"/>
        </w:tabs>
        <w:numPr>
          <w:ilvl w:val="0"/>
          <w:numId w:val="112"/>
        </w:numPr>
        <w:rPr>
          <w:rFonts w:ascii="Arial" w:cs="Arial" w:eastAsia="Arial" w:hAnsi="Arial"/>
          <w:sz w:val="17"/>
          <w:szCs w:val="17"/>
          <w:color w:val="010000"/>
        </w:rPr>
      </w:pPr>
      <w:r>
        <w:rPr>
          <w:rFonts w:ascii="Arial" w:cs="Arial" w:eastAsia="Arial" w:hAnsi="Arial"/>
          <w:sz w:val="17"/>
          <w:szCs w:val="17"/>
          <w:color w:val="auto"/>
        </w:rPr>
        <w:t>any continuation, conversion, payment or prepayment of any Loan other than a Base Rate Loan or a Canadian Prime Rate Loan on a day other than the last day of the Interest Period for such Loan (whether voluntary, mandatory, automatic, by reason of acceleration, or otherwise);</w:t>
      </w:r>
    </w:p>
    <w:p>
      <w:pPr>
        <w:spacing w:after="0" w:line="146" w:lineRule="exact"/>
        <w:rPr>
          <w:rFonts w:ascii="Arial" w:cs="Arial" w:eastAsia="Arial" w:hAnsi="Arial"/>
          <w:sz w:val="17"/>
          <w:szCs w:val="17"/>
          <w:color w:val="010000"/>
        </w:rPr>
      </w:pPr>
    </w:p>
    <w:p>
      <w:pPr>
        <w:ind w:firstLine="656"/>
        <w:spacing w:after="0" w:line="277" w:lineRule="auto"/>
        <w:tabs>
          <w:tab w:leader="none" w:pos="1105"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any failure by any Borrower (for a reason other than the failure of such Lender to make a Loan) to prepay, borrow, continue or convert any Loan other than a Base Rate Loan or a Canadian Prime Rate Loan on the date or in the amount notified by such Borrower; or</w:t>
      </w:r>
    </w:p>
    <w:p>
      <w:pPr>
        <w:spacing w:after="0" w:line="170" w:lineRule="exact"/>
        <w:rPr>
          <w:rFonts w:ascii="Arial" w:cs="Arial" w:eastAsia="Arial" w:hAnsi="Arial"/>
          <w:sz w:val="18"/>
          <w:szCs w:val="18"/>
          <w:color w:val="010000"/>
        </w:rPr>
      </w:pPr>
    </w:p>
    <w:p>
      <w:pPr>
        <w:ind w:firstLine="656"/>
        <w:spacing w:after="0" w:line="277" w:lineRule="auto"/>
        <w:tabs>
          <w:tab w:leader="none" w:pos="1095"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any failure by any Borrower to make payment of any Loan or drawing under any Letter of Credit (or interest due thereon) denominated in Canadian Dollars on its scheduled due date or any payment thereof in a different currency, or</w:t>
      </w:r>
    </w:p>
    <w:p>
      <w:pPr>
        <w:spacing w:after="0" w:line="170" w:lineRule="exact"/>
        <w:rPr>
          <w:rFonts w:ascii="Arial" w:cs="Arial" w:eastAsia="Arial" w:hAnsi="Arial"/>
          <w:sz w:val="18"/>
          <w:szCs w:val="18"/>
          <w:color w:val="010000"/>
        </w:rPr>
      </w:pPr>
    </w:p>
    <w:p>
      <w:pPr>
        <w:ind w:firstLine="656"/>
        <w:spacing w:after="0" w:line="277" w:lineRule="auto"/>
        <w:tabs>
          <w:tab w:leader="none" w:pos="1105"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 xml:space="preserve">any assignment of a Eurocurrency Rate Loan on a day other than the last day of the Interest Period therefor as a result of a request by the Company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Company shall also pay (or cause PMCULC or the applicable Designated Borrower to pay) any customary administrative fees charged by such Lender in connection with the foregoing.</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 certificate of such Lender setting forth the amount of any such loss, cost or expense, including reasonably detailed calculations thereof, shall be delivered to the Company and the Administrative Agent and be conclusive absent manifest error. For purposes of calculating amounts payable by the Company (or the applicable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Eurocurrency Rate Committed Loan made by it at the Eurocurrency Rate for such Loan by a matching deposit or other borrowing in the offshore interbank eurocurrency market for such currency for a comparable amount and for a comparable period, whether or not such Eurocurrency Rate Committed Loan was in fact so funded.</w:t>
      </w:r>
    </w:p>
    <w:p>
      <w:pPr>
        <w:spacing w:after="0" w:line="15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3" w:lineRule="auto"/>
        <w:tabs>
          <w:tab w:leader="none" w:pos="1095" w:val="left"/>
        </w:tabs>
        <w:numPr>
          <w:ilvl w:val="0"/>
          <w:numId w:val="113"/>
        </w:numPr>
        <w:rPr>
          <w:rFonts w:ascii="Arial" w:cs="Arial" w:eastAsia="Arial" w:hAnsi="Arial"/>
          <w:sz w:val="18"/>
          <w:szCs w:val="18"/>
          <w:color w:val="010000"/>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any Borrower is required to pay any additional amount to any Lender, any L/C Issuer, or any Governmental Authority for the account of any Lender or any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or such L/C Issuer shall, as applicable, use reasonable efforts to designate a different Lending Office for funding or booking its Loans or accepting Canadian BA’s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(or to cause PMCULC or the applicable Designated Borrower to pay) all reasonable costs and expenses incurred by any Lender or such L/C Issuer in connection with any such designation or assignment.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56"/>
        <w:spacing w:after="0" w:line="255" w:lineRule="auto"/>
        <w:tabs>
          <w:tab w:leader="none" w:pos="1105" w:val="left"/>
        </w:tabs>
        <w:numPr>
          <w:ilvl w:val="0"/>
          <w:numId w:val="114"/>
        </w:numPr>
        <w:rPr>
          <w:rFonts w:ascii="Arial" w:cs="Arial" w:eastAsia="Arial" w:hAnsi="Arial"/>
          <w:sz w:val="18"/>
          <w:szCs w:val="18"/>
          <w:color w:val="010000"/>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(i)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does not subsequently designate a different Lending Office or assign its rights and obligations hereunder to another of its offices, branches or affiliates as provided above, (ii) any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(iii) any Lender becomes a Defaulting Lender, (iv) other than as set forth in the immediately succeeding clause (v), any Lender becomes a Non-Consenting Lender, or (v) any Lender becomes a Non-Extending Lender, then in each case, the Company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3.07 Survival</w:t>
      </w:r>
      <w:r>
        <w:rPr>
          <w:rFonts w:ascii="Arial" w:cs="Arial" w:eastAsia="Arial" w:hAnsi="Arial"/>
          <w:sz w:val="18"/>
          <w:szCs w:val="18"/>
          <w:color w:val="auto"/>
        </w:rPr>
        <w:t>. All of the Borrower’s obligations under this Article III shall survive termination of the Aggregate Commitments,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Obligations hereunder, and resignation of the Administrative Agent.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CONDITIONS PRECEDENT TO CREDIT EXTENSIONS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4.01 Conditions Precedent to Initial Credit Extension</w:t>
      </w:r>
      <w:r>
        <w:rPr>
          <w:rFonts w:ascii="Arial" w:cs="Arial" w:eastAsia="Arial" w:hAnsi="Arial"/>
          <w:sz w:val="18"/>
          <w:szCs w:val="18"/>
          <w:color w:val="auto"/>
        </w:rPr>
        <w:t>. The obligation of each L/C Issuer and each Lender to make its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hereunder is subject to satisfaction of the following conditions precedent:</w:t>
      </w:r>
    </w:p>
    <w:p>
      <w:pPr>
        <w:spacing w:after="0" w:line="166" w:lineRule="exact"/>
        <w:rPr>
          <w:sz w:val="20"/>
          <w:szCs w:val="20"/>
          <w:color w:val="auto"/>
        </w:rPr>
      </w:pPr>
    </w:p>
    <w:p>
      <w:pPr>
        <w:jc w:val="both"/>
        <w:ind w:firstLine="656"/>
        <w:spacing w:after="0" w:line="279" w:lineRule="auto"/>
        <w:tabs>
          <w:tab w:leader="none" w:pos="1027" w:val="left"/>
        </w:tabs>
        <w:numPr>
          <w:ilvl w:val="0"/>
          <w:numId w:val="115"/>
        </w:numPr>
        <w:rPr>
          <w:rFonts w:ascii="Arial" w:cs="Arial" w:eastAsia="Arial" w:hAnsi="Arial"/>
          <w:sz w:val="17"/>
          <w:szCs w:val="17"/>
          <w:color w:val="010000"/>
        </w:rPr>
      </w:pPr>
      <w:r>
        <w:rPr>
          <w:rFonts w:ascii="Arial" w:cs="Arial" w:eastAsia="Arial" w:hAnsi="Arial"/>
          <w:sz w:val="17"/>
          <w:szCs w:val="17"/>
          <w:color w:val="auto"/>
        </w:rPr>
        <w:t>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Closing Date (or, in the case of certificates of governmental officials, a recent date before the Closing Date and in the case of financial statements, the date or period of such financial statements) and each in form and substance reasonably satisfactory to the Administrative Agent:</w:t>
      </w:r>
    </w:p>
    <w:p>
      <w:pPr>
        <w:spacing w:after="0" w:line="171" w:lineRule="exact"/>
        <w:rPr>
          <w:rFonts w:ascii="Arial" w:cs="Arial" w:eastAsia="Arial" w:hAnsi="Arial"/>
          <w:sz w:val="17"/>
          <w:szCs w:val="17"/>
          <w:color w:val="010000"/>
        </w:rPr>
      </w:pPr>
    </w:p>
    <w:p>
      <w:pPr>
        <w:ind w:left="1740" w:hanging="436"/>
        <w:spacing w:after="0"/>
        <w:tabs>
          <w:tab w:leader="none" w:pos="174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executed counterparts of this Agreement, sufficient in number for distribution to the Administrative Agent, each Lender and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660" w:firstLine="644"/>
        <w:spacing w:after="0" w:line="277" w:lineRule="auto"/>
        <w:tabs>
          <w:tab w:leader="none" w:pos="179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so requested at least three Business Days prior to the Closing Date, Swing Line Notes executed by each Borrower in favor of the Swing Line Lender and a Committed Loan Note executed by each Borrower in favor of each requesting Lender;</w:t>
      </w:r>
    </w:p>
    <w:p>
      <w:pPr>
        <w:spacing w:after="0" w:line="170" w:lineRule="exact"/>
        <w:rPr>
          <w:rFonts w:ascii="Arial" w:cs="Arial" w:eastAsia="Arial" w:hAnsi="Arial"/>
          <w:sz w:val="18"/>
          <w:szCs w:val="18"/>
          <w:color w:val="auto"/>
        </w:rPr>
      </w:pPr>
    </w:p>
    <w:p>
      <w:pPr>
        <w:jc w:val="both"/>
        <w:ind w:left="660" w:firstLine="644"/>
        <w:spacing w:after="0" w:line="311" w:lineRule="auto"/>
        <w:tabs>
          <w:tab w:leader="none" w:pos="180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left="660" w:firstLine="644"/>
        <w:spacing w:after="0" w:line="263" w:lineRule="auto"/>
        <w:tabs>
          <w:tab w:leader="none" w:pos="179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and General Partner is duly organized or formed, and that each of the Company, PMCULC and each Designated Borrower is validly existing and in good standing in its jurisdiction of organization, issued by the appropriate authorities of such jurisdiction;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favorable opinions of Richard McGee, Esq., General Counsel for the Company and PMCULC, Shearman &amp; Sterling, LLP, special New York counsel to the Company and PMCULC, and Cox Taylor, special Canadian counsel to PMCULC, in each case addressed to the Administrative Agent and each Lender;</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Audited Financial Statements;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Company certifying (A) that the conditions specified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jc w:val="both"/>
        <w:ind w:left="660" w:hanging="4"/>
        <w:spacing w:after="0" w:line="281" w:lineRule="auto"/>
        <w:tabs>
          <w:tab w:leader="none" w:pos="925" w:val="left"/>
        </w:tabs>
        <w:numPr>
          <w:ilvl w:val="0"/>
          <w:numId w:val="117"/>
        </w:numPr>
        <w:rPr>
          <w:rFonts w:ascii="Arial" w:cs="Arial" w:eastAsia="Arial" w:hAnsi="Arial"/>
          <w:sz w:val="16"/>
          <w:szCs w:val="16"/>
          <w:u w:val="single" w:color="auto"/>
          <w:color w:val="auto"/>
        </w:rPr>
      </w:pPr>
      <w:r>
        <w:rPr>
          <w:rFonts w:ascii="Arial" w:cs="Arial" w:eastAsia="Arial" w:hAnsi="Arial"/>
          <w:sz w:val="16"/>
          <w:szCs w:val="16"/>
          <w:color w:val="auto"/>
        </w:rPr>
        <w:t>have been satisfied, (B) that there has been no event or circumstance since the date of the most recent Audited Financial Statements that has had or could be reasonably expected to have, either individually or in the aggregate, a Material Adverse Effect, (C) the current Debt Ratings, and</w:t>
      </w:r>
    </w:p>
    <w:p>
      <w:pPr>
        <w:spacing w:after="0" w:line="1" w:lineRule="exact"/>
        <w:rPr>
          <w:rFonts w:ascii="Arial" w:cs="Arial" w:eastAsia="Arial" w:hAnsi="Arial"/>
          <w:sz w:val="16"/>
          <w:szCs w:val="16"/>
          <w:u w:val="single" w:color="auto"/>
          <w:color w:val="auto"/>
        </w:rPr>
      </w:pPr>
    </w:p>
    <w:p>
      <w:pPr>
        <w:ind w:left="660"/>
        <w:spacing w:after="0"/>
        <w:rPr>
          <w:rFonts w:ascii="Arial" w:cs="Arial" w:eastAsia="Arial" w:hAnsi="Arial"/>
          <w:sz w:val="16"/>
          <w:szCs w:val="16"/>
          <w:u w:val="single" w:color="auto"/>
          <w:color w:val="auto"/>
        </w:rPr>
      </w:pPr>
      <w:r>
        <w:rPr>
          <w:rFonts w:ascii="Arial" w:cs="Arial" w:eastAsia="Arial" w:hAnsi="Arial"/>
          <w:sz w:val="16"/>
          <w:szCs w:val="16"/>
          <w:color w:val="auto"/>
        </w:rPr>
        <w:t>(D) the Company’s true and correct U.S. taxpayer identification number and PMCULC’s true and correct Canadian corporate access number;</w:t>
      </w:r>
    </w:p>
    <w:p>
      <w:pPr>
        <w:spacing w:after="0" w:line="233" w:lineRule="exact"/>
        <w:rPr>
          <w:rFonts w:ascii="Arial" w:cs="Arial" w:eastAsia="Arial" w:hAnsi="Arial"/>
          <w:sz w:val="16"/>
          <w:szCs w:val="16"/>
          <w:u w:val="single" w:color="auto"/>
          <w:color w:val="auto"/>
        </w:rPr>
      </w:pPr>
    </w:p>
    <w:p>
      <w:pPr>
        <w:ind w:left="660" w:right="20" w:firstLine="644"/>
        <w:spacing w:after="0" w:line="277" w:lineRule="auto"/>
        <w:tabs>
          <w:tab w:leader="none" w:pos="184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confirmation from the administrative agent under the Existing Credit Agreement that the Existing Credit Agreement has been replaced hereby; and</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may reasonably require.</w:t>
      </w:r>
    </w:p>
    <w:p>
      <w:pPr>
        <w:spacing w:after="0" w:line="237" w:lineRule="exact"/>
        <w:rPr>
          <w:sz w:val="20"/>
          <w:szCs w:val="20"/>
          <w:color w:val="auto"/>
        </w:rPr>
      </w:pPr>
    </w:p>
    <w:p>
      <w:pPr>
        <w:ind w:right="20" w:firstLine="656"/>
        <w:spacing w:after="0" w:line="308" w:lineRule="auto"/>
        <w:tabs>
          <w:tab w:leader="none" w:pos="1105"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All consents, licenses and approvals required in connection with the execution, delivery and performance by each Loan Party and the validity against each Loan Party of the Loan Documents to which it is a party shall have been obtained and shall be in full force and effect.</w:t>
      </w:r>
    </w:p>
    <w:p>
      <w:pPr>
        <w:spacing w:after="0" w:line="146" w:lineRule="exact"/>
        <w:rPr>
          <w:rFonts w:ascii="Arial" w:cs="Arial" w:eastAsia="Arial" w:hAnsi="Arial"/>
          <w:sz w:val="17"/>
          <w:szCs w:val="17"/>
          <w:color w:val="010000"/>
        </w:rPr>
      </w:pPr>
    </w:p>
    <w:p>
      <w:pPr>
        <w:jc w:val="both"/>
        <w:ind w:firstLine="656"/>
        <w:spacing w:after="0" w:line="254" w:lineRule="auto"/>
        <w:tabs>
          <w:tab w:leader="none" w:pos="1095"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(i) No Default shall have occurred and be continuing as of the Closing Date, or would immediately result from the closing of the transactions hereunder and under the other Loan Documents and (ii) there shall not have occurred during the period from the date of the most recent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94" w:lineRule="exact"/>
        <w:rPr>
          <w:rFonts w:ascii="Arial" w:cs="Arial" w:eastAsia="Arial" w:hAnsi="Arial"/>
          <w:sz w:val="18"/>
          <w:szCs w:val="18"/>
          <w:color w:val="010000"/>
        </w:rPr>
      </w:pPr>
    </w:p>
    <w:p>
      <w:pPr>
        <w:ind w:firstLine="656"/>
        <w:spacing w:after="0" w:line="308" w:lineRule="auto"/>
        <w:tabs>
          <w:tab w:leader="none" w:pos="1083"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Any fees, including any arrangement fees, agency fees and upfront fees, and any expenses of the Arrangers and Administrative Agent, in each case, as agreed in writing by the Company, required to be paid on or before the Closing Date shall have been paid.</w:t>
      </w:r>
    </w:p>
    <w:p>
      <w:pPr>
        <w:spacing w:after="0" w:line="146" w:lineRule="exact"/>
        <w:rPr>
          <w:rFonts w:ascii="Arial" w:cs="Arial" w:eastAsia="Arial" w:hAnsi="Arial"/>
          <w:sz w:val="17"/>
          <w:szCs w:val="17"/>
          <w:color w:val="010000"/>
        </w:rPr>
      </w:pPr>
    </w:p>
    <w:p>
      <w:pPr>
        <w:ind w:right="20" w:firstLine="656"/>
        <w:spacing w:after="0" w:line="277" w:lineRule="auto"/>
        <w:tabs>
          <w:tab w:leader="none" w:pos="1072"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The Company shall have paid all reasonable fees, charges and disbursements of counsel to the Administrative Agent to the extent invoiced prior to or on the Closing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56"/>
        <w:spacing w:after="0" w:line="275" w:lineRule="auto"/>
        <w:tabs>
          <w:tab w:leader="none" w:pos="1098" w:val="left"/>
        </w:tabs>
        <w:numPr>
          <w:ilvl w:val="0"/>
          <w:numId w:val="119"/>
        </w:numPr>
        <w:rPr>
          <w:rFonts w:ascii="Arial" w:cs="Arial" w:eastAsia="Arial" w:hAnsi="Arial"/>
          <w:sz w:val="17"/>
          <w:szCs w:val="17"/>
          <w:color w:val="010000"/>
        </w:rPr>
      </w:pPr>
      <w:r>
        <w:rPr>
          <w:rFonts w:ascii="Arial" w:cs="Arial" w:eastAsia="Arial" w:hAnsi="Arial"/>
          <w:sz w:val="17"/>
          <w:szCs w:val="17"/>
          <w:color w:val="auto"/>
        </w:rPr>
        <w:t>(i) Upon the reasonable request of any Lender made at least seven days prior to the Closing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days prior to the Closing Date and (ii) any Loan Party that qualifies as a “legal entity customer” under the Beneficial Ownership Regulation shall have delivered to each Lender that so requests, a Beneficial Ownership Certification in relation to such Loan Party.</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Company with a copy of any such notice received by the Administrative Agent.</w:t>
      </w:r>
    </w:p>
    <w:p>
      <w:pPr>
        <w:spacing w:after="0" w:line="15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4.02 Conditions to all Credit Extensions</w:t>
      </w:r>
      <w:r>
        <w:rPr>
          <w:rFonts w:ascii="Arial" w:cs="Arial" w:eastAsia="Arial" w:hAnsi="Arial"/>
          <w:sz w:val="18"/>
          <w:szCs w:val="18"/>
          <w:color w:val="auto"/>
        </w:rPr>
        <w:t>. The obligation of each Lender to honor any Request for Credit Extension (other than a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Notice requesting only a conversion of Committed Loans to the other Type, or a continuation of Eurocurrency Rate Committed Loans) is subject to the following conditions precedent:</w:t>
      </w:r>
    </w:p>
    <w:p>
      <w:pPr>
        <w:spacing w:after="0" w:line="180" w:lineRule="exact"/>
        <w:rPr>
          <w:sz w:val="20"/>
          <w:szCs w:val="20"/>
          <w:color w:val="auto"/>
        </w:rPr>
      </w:pPr>
    </w:p>
    <w:p>
      <w:pPr>
        <w:jc w:val="both"/>
        <w:ind w:firstLine="656"/>
        <w:spacing w:after="0" w:line="275" w:lineRule="auto"/>
        <w:tabs>
          <w:tab w:leader="none" w:pos="1117" w:val="left"/>
        </w:tabs>
        <w:numPr>
          <w:ilvl w:val="0"/>
          <w:numId w:val="120"/>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(i) the Company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(ii) each Loan Party in any other Loan Document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subsections (a)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clauses (a)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6" w:lineRule="exact"/>
        <w:rPr>
          <w:rFonts w:ascii="Arial" w:cs="Arial" w:eastAsia="Arial" w:hAnsi="Arial"/>
          <w:sz w:val="17"/>
          <w:szCs w:val="17"/>
          <w:color w:val="010000"/>
        </w:rPr>
      </w:pPr>
    </w:p>
    <w:p>
      <w:pPr>
        <w:ind w:firstLine="656"/>
        <w:spacing w:after="0" w:line="277" w:lineRule="auto"/>
        <w:tabs>
          <w:tab w:leader="none" w:pos="1127"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No Default shall have occurred and be continuing, or would immediately result from such proposed Credit Extension or from the application of the proceeds thereof.</w:t>
      </w:r>
    </w:p>
    <w:p>
      <w:pPr>
        <w:spacing w:after="0" w:line="170" w:lineRule="exact"/>
        <w:rPr>
          <w:rFonts w:ascii="Arial" w:cs="Arial" w:eastAsia="Arial" w:hAnsi="Arial"/>
          <w:sz w:val="18"/>
          <w:szCs w:val="18"/>
          <w:color w:val="010000"/>
        </w:rPr>
      </w:pPr>
    </w:p>
    <w:p>
      <w:pPr>
        <w:ind w:firstLine="656"/>
        <w:spacing w:after="0" w:line="277" w:lineRule="auto"/>
        <w:tabs>
          <w:tab w:leader="none" w:pos="1117"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The Administrative Agent and, if applicable, the applicable L/C Issuer or the Swing Line Lender shall have received a Request for Credit Extension in accordance with the requirements hereof.</w:t>
      </w:r>
    </w:p>
    <w:p>
      <w:pPr>
        <w:spacing w:after="0" w:line="170" w:lineRule="exact"/>
        <w:rPr>
          <w:rFonts w:ascii="Arial" w:cs="Arial" w:eastAsia="Arial" w:hAnsi="Arial"/>
          <w:sz w:val="18"/>
          <w:szCs w:val="18"/>
          <w:color w:val="010000"/>
        </w:rPr>
      </w:pPr>
    </w:p>
    <w:p>
      <w:pPr>
        <w:ind w:firstLine="656"/>
        <w:spacing w:after="0" w:line="277" w:lineRule="auto"/>
        <w:tabs>
          <w:tab w:leader="none" w:pos="1127"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 xml:space="preserve">If the applicable Borrower is a Designated Borrower, then the conditions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to the designation of such Borrower as a Designated Borrower shall have been met to the reasonable satisfaction of the Administrative Agent.</w:t>
      </w:r>
    </w:p>
    <w:p>
      <w:pPr>
        <w:spacing w:after="0" w:line="170" w:lineRule="exact"/>
        <w:rPr>
          <w:rFonts w:ascii="Arial" w:cs="Arial" w:eastAsia="Arial" w:hAnsi="Arial"/>
          <w:sz w:val="18"/>
          <w:szCs w:val="18"/>
          <w:color w:val="010000"/>
        </w:rPr>
      </w:pPr>
    </w:p>
    <w:p>
      <w:pPr>
        <w:jc w:val="both"/>
        <w:ind w:firstLine="656"/>
        <w:spacing w:after="0" w:line="254" w:lineRule="auto"/>
        <w:tabs>
          <w:tab w:leader="none" w:pos="1117"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In the case of a Credit Extension to be denominated in Canadian Dollars, there shall not have occurred, and the effect thereof be then continuing, any change in currency controls or exchange regulations, or any change in the national or international financial, political or economic conditions is imposed in Canada, that results in, in the reasonable opinion of the Administrative Agent (in the case of any Committed Loans to be denominated in Canadian Dollars) or any L/C Issuer (in the case of any Letter of Credit to be denominated in Canadian Dollars (i) Canadian Dollars no longer being readily available, freely transferable and convertible into Dollars, (ii) a Dollar Equivalent is no longer readily calculable with respect to Canadian Dollars, (iii) providing Canadian Dollars are impracticable for the Lenders or (iv) no longer a currency in which the Required Lenders are willing to make such Credit Extensions.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left="3380"/>
        <w:spacing w:after="0"/>
        <w:rPr>
          <w:sz w:val="20"/>
          <w:szCs w:val="20"/>
          <w:color w:val="auto"/>
        </w:rPr>
      </w:pPr>
      <w:r>
        <w:rPr>
          <w:rFonts w:ascii="Arial" w:cs="Arial" w:eastAsia="Arial" w:hAnsi="Arial"/>
          <w:sz w:val="18"/>
          <w:szCs w:val="18"/>
          <w:b w:val="1"/>
          <w:bCs w:val="1"/>
          <w:color w:val="auto"/>
        </w:rPr>
        <w:t>ARTICLE V.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the Administrative Agent and the Lenders that:</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5.01 Existence, Qualification and Power</w:t>
      </w:r>
      <w:r>
        <w:rPr>
          <w:rFonts w:ascii="Arial" w:cs="Arial" w:eastAsia="Arial" w:hAnsi="Arial"/>
          <w:sz w:val="17"/>
          <w:szCs w:val="17"/>
          <w:color w:val="auto"/>
        </w:rPr>
        <w:t>. Each Loan Party and each Significant Restricted Person (a) is duly organized or formed, validly</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and, as applicable, in good 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17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5.02 Authorization; No Contravention</w:t>
      </w:r>
      <w:r>
        <w:rPr>
          <w:rFonts w:ascii="Arial" w:cs="Arial" w:eastAsia="Arial" w:hAnsi="Arial"/>
          <w:sz w:val="16"/>
          <w:szCs w:val="16"/>
          <w:color w:val="auto"/>
        </w:rPr>
        <w:t>. The execution, delivery and performance by each Loan Party of each Loan Document to which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5.03 Governmental Authorization; Other Consents</w:t>
      </w:r>
      <w:r>
        <w:rPr>
          <w:rFonts w:ascii="Arial" w:cs="Arial" w:eastAsia="Arial" w:hAnsi="Arial"/>
          <w:sz w:val="18"/>
          <w:szCs w:val="18"/>
          <w:color w:val="auto"/>
        </w:rPr>
        <w:t>. Except as expressly contemplated in or permitted by the Loan Documents, disclosed in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5.03 or disclosed pursuant to Section 6.03, no approval, consent, exemption or authorization of, or other action by, or notice to, or filing with, any Governmental Authority or any other Person is required in connection with the execution, delivery or performance by, or enforcement against, any Loan Party of this Agreement or any other Loan Document.</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5.04 Binding Effect</w:t>
      </w:r>
      <w:r>
        <w:rPr>
          <w:rFonts w:ascii="Arial" w:cs="Arial" w:eastAsia="Arial" w:hAnsi="Arial"/>
          <w:sz w:val="16"/>
          <w:szCs w:val="16"/>
          <w:color w:val="auto"/>
        </w:rPr>
        <w:t>. This Agreement has been, and each other Loan Document to which a Loan Party is a party, when delivered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will have been, duly executed and delivered by such Loan Party. This Agreement constitutes, and each other such Loan Document when so executed and delivered will constitute, a legal, valid and binding obligation of the Loan Party a party hereto or thereto, as the case may be, enforceable against such Loan Party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660"/>
        <w:spacing w:after="0"/>
        <w:tabs>
          <w:tab w:leader="none" w:pos="132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color w:val="auto"/>
        </w:rPr>
        <w:t>Financial Statements; No Material Adverse Effect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9" w:lineRule="auto"/>
        <w:tabs>
          <w:tab w:leader="none" w:pos="1095"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the financial condition of the Company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186" w:lineRule="exact"/>
        <w:rPr>
          <w:rFonts w:ascii="Arial" w:cs="Arial" w:eastAsia="Arial" w:hAnsi="Arial"/>
          <w:sz w:val="18"/>
          <w:szCs w:val="18"/>
          <w:color w:val="010000"/>
        </w:rPr>
      </w:pPr>
    </w:p>
    <w:p>
      <w:pPr>
        <w:jc w:val="both"/>
        <w:ind w:firstLine="656"/>
        <w:spacing w:after="0" w:line="275" w:lineRule="auto"/>
        <w:tabs>
          <w:tab w:leader="none" w:pos="1105"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The unaudited consolidated balance sheets of the Company and its Subsidiaries dated June 30, 2021,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on a consolidated basis as of the date thereof and their results of operations for the period covered thereby, subject, in the case of clauses (i) and (ii), to the absence of footnotes and to normal year-end audit adjustments.</w:t>
      </w:r>
    </w:p>
    <w:p>
      <w:pPr>
        <w:spacing w:after="0" w:line="176" w:lineRule="exact"/>
        <w:rPr>
          <w:rFonts w:ascii="Arial" w:cs="Arial" w:eastAsia="Arial" w:hAnsi="Arial"/>
          <w:sz w:val="17"/>
          <w:szCs w:val="17"/>
          <w:color w:val="010000"/>
        </w:rPr>
      </w:pPr>
    </w:p>
    <w:p>
      <w:pPr>
        <w:ind w:firstLine="656"/>
        <w:spacing w:after="0" w:line="342" w:lineRule="auto"/>
        <w:tabs>
          <w:tab w:leader="none" w:pos="1095"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As of the Closing Date, for the period from December 31, 2020 through the Closing Date, there exists no event or circumstance with respect to the Company and its Subsidiaries taken as a whole, either individually or in the aggregate, that has then resulted in a Material Adverse Effect.</w:t>
      </w:r>
    </w:p>
    <w:p>
      <w:pPr>
        <w:spacing w:after="0" w:line="1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5.06 Litigation</w:t>
      </w:r>
      <w:r>
        <w:rPr>
          <w:rFonts w:ascii="Arial" w:cs="Arial" w:eastAsia="Arial" w:hAnsi="Arial"/>
          <w:sz w:val="18"/>
          <w:szCs w:val="18"/>
          <w:color w:val="auto"/>
        </w:rPr>
        <w:t>. Except as disclosed in the Audited Financial Statements, in Schedule 5.06 or pursuant to Section 6.03, there are no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suits, proceedings, claims or disputes pending or, to the knowledge of the Company, overtly threatened in writing, at law, in equity, in arbitration or before any Governmental Authority, by or against the Company or any of its Subsidiaries or against any of their properties or revenues that (a) purport to affect or pertain to the validity or enforceability of, or otherwise seek to invalidate, this Agreement or any other Loan Document, or (b) either individually or in the aggregate could reasonably be expected to have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5.07 Environmental Compliance</w:t>
      </w:r>
      <w:r>
        <w:rPr>
          <w:rFonts w:ascii="Arial" w:cs="Arial" w:eastAsia="Arial" w:hAnsi="Arial"/>
          <w:sz w:val="18"/>
          <w:szCs w:val="18"/>
          <w:color w:val="auto"/>
        </w:rPr>
        <w:t>. Except as disclosed in Schedule 5.07 or pursuant to Section 6.03, the Company and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their 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tabs>
          <w:tab w:leader="none" w:pos="132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6"/>
          <w:szCs w:val="16"/>
          <w:b w:val="1"/>
          <w:bCs w:val="1"/>
          <w:color w:val="auto"/>
        </w:rPr>
        <w:t>ERISA Compliance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095" w:val="left"/>
        </w:tabs>
        <w:numPr>
          <w:ilvl w:val="1"/>
          <w:numId w:val="122"/>
        </w:numPr>
        <w:rPr>
          <w:rFonts w:ascii="Arial" w:cs="Arial" w:eastAsia="Arial" w:hAnsi="Arial"/>
          <w:sz w:val="17"/>
          <w:szCs w:val="17"/>
          <w:color w:val="010000"/>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each Plan is in compliance in all material respects with the applicable provisions of ERISA, the Code and other applicable Federal or state laws, to the extent that any non-compliance therewith could reasonably be expected to result in a Material Adverse Effect.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Company, nothing has occurred with respect to the Company or any ERISA Affiliate that would prevent or cause the loss of such tax-qualified status.</w:t>
      </w:r>
    </w:p>
    <w:p>
      <w:pPr>
        <w:spacing w:after="0" w:line="177" w:lineRule="exact"/>
        <w:rPr>
          <w:rFonts w:ascii="Arial" w:cs="Arial" w:eastAsia="Arial" w:hAnsi="Arial"/>
          <w:sz w:val="17"/>
          <w:szCs w:val="17"/>
          <w:color w:val="010000"/>
        </w:rPr>
      </w:pPr>
    </w:p>
    <w:p>
      <w:pPr>
        <w:jc w:val="both"/>
        <w:ind w:firstLine="656"/>
        <w:spacing w:after="0" w:line="275" w:lineRule="auto"/>
        <w:tabs>
          <w:tab w:leader="none" w:pos="1105" w:val="left"/>
        </w:tabs>
        <w:numPr>
          <w:ilvl w:val="1"/>
          <w:numId w:val="122"/>
        </w:numPr>
        <w:rPr>
          <w:rFonts w:ascii="Arial" w:cs="Arial" w:eastAsia="Arial" w:hAnsi="Arial"/>
          <w:sz w:val="17"/>
          <w:szCs w:val="17"/>
          <w:color w:val="010000"/>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there are no pending or, to the knowledge of the Company, overtly threatened in writing, claims, actions or lawsuits, or action by any Governmental Authority, with respect to any Plan that could reasonably be expected to have a Material Adverse Effect. 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there has been no prohibited transaction or violation of the fiduciary responsibility rules with respect to any Plan that has resulted or, actually known to the Company, could reasonably be expected to result in a Material Adverse Effect.</w:t>
      </w:r>
    </w:p>
    <w:p>
      <w:pPr>
        <w:spacing w:after="0" w:line="176" w:lineRule="exact"/>
        <w:rPr>
          <w:rFonts w:ascii="Arial" w:cs="Arial" w:eastAsia="Arial" w:hAnsi="Arial"/>
          <w:sz w:val="17"/>
          <w:szCs w:val="17"/>
          <w:color w:val="010000"/>
        </w:rPr>
      </w:pPr>
    </w:p>
    <w:p>
      <w:pPr>
        <w:jc w:val="both"/>
        <w:ind w:firstLine="656"/>
        <w:spacing w:after="0" w:line="283" w:lineRule="auto"/>
        <w:tabs>
          <w:tab w:leader="none" w:pos="1095" w:val="left"/>
        </w:tabs>
        <w:numPr>
          <w:ilvl w:val="1"/>
          <w:numId w:val="122"/>
        </w:numPr>
        <w:rPr>
          <w:rFonts w:ascii="Arial" w:cs="Arial" w:eastAsia="Arial" w:hAnsi="Arial"/>
          <w:sz w:val="16"/>
          <w:szCs w:val="16"/>
          <w:color w:val="010000"/>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5.08</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(i) no ERISA Event has occurred, and neither the Company nor any ERISA Affiliate has actual knowledge of any fact, event or circumstance that could reasonably be expected to constitute or result in an ERISA Event with respect to any Pension Plan, (ii) the Company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has actual knowledge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or obligations of immaterial amounts, and there are no premium payments which have become due that are delinquent or are being contested in good faith,</w:t>
      </w:r>
    </w:p>
    <w:p>
      <w:pPr>
        <w:spacing w:after="0" w:line="5" w:lineRule="exact"/>
        <w:rPr>
          <w:rFonts w:ascii="Arial" w:cs="Arial" w:eastAsia="Arial" w:hAnsi="Arial"/>
          <w:sz w:val="16"/>
          <w:szCs w:val="16"/>
          <w:color w:val="010000"/>
        </w:rPr>
      </w:pPr>
    </w:p>
    <w:p>
      <w:pPr>
        <w:jc w:val="both"/>
        <w:ind w:firstLine="8"/>
        <w:spacing w:after="0" w:line="253" w:lineRule="auto"/>
        <w:tabs>
          <w:tab w:leader="none" w:pos="29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neither the Company nor any ERISA Affiliate has, to its actual knowledge, engaged in a transaction that could be subject to Section 4069 or Section 4212(c) of ERISA, and (vi) to the Company’s actual knowledge, no Pension Plan has been terminated by the plan administrator thereof nor by the PBGC, and no event or circumstance has occurred or exists that could reasonably be expected to cause the PBGC to institute proceedings under Title IV of ERISA to terminate any Pension Plan, in each case with respect to each of the foregoing clauses (i) through (vi) of this </w:t>
      </w:r>
      <w:r>
        <w:rPr>
          <w:rFonts w:ascii="Arial" w:cs="Arial" w:eastAsia="Arial" w:hAnsi="Arial"/>
          <w:sz w:val="18"/>
          <w:szCs w:val="18"/>
          <w:u w:val="single" w:color="auto"/>
          <w:color w:val="auto"/>
        </w:rPr>
        <w:t>Section 5.08(c)</w:t>
      </w:r>
      <w:r>
        <w:rPr>
          <w:rFonts w:ascii="Arial" w:cs="Arial" w:eastAsia="Arial" w:hAnsi="Arial"/>
          <w:sz w:val="18"/>
          <w:szCs w:val="18"/>
          <w:color w:val="auto"/>
        </w:rPr>
        <w:t xml:space="preserve">, except as disclosed in the Audited Financial Statements, in </w:t>
      </w:r>
      <w:r>
        <w:rPr>
          <w:rFonts w:ascii="Arial" w:cs="Arial" w:eastAsia="Arial" w:hAnsi="Arial"/>
          <w:sz w:val="18"/>
          <w:szCs w:val="18"/>
          <w:u w:val="single" w:color="auto"/>
          <w:color w:val="auto"/>
        </w:rPr>
        <w:t>Schedule 5.08</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represents and warrants as of the Closing Date that the Company is not and will not be using “plan assets” (within the meaning of 29 CFR § 2510.3-101, as modified by Section 3(42) of ERISA or otherwise) of one or more Benefit Plans in connection with the Loans, the Letters of Credit or the Commitments.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spacing w:after="0"/>
        <w:tabs>
          <w:tab w:leader="none" w:pos="1320" w:val="left"/>
        </w:tabs>
        <w:rPr>
          <w:sz w:val="20"/>
          <w:szCs w:val="20"/>
          <w:color w:val="auto"/>
        </w:rPr>
      </w:pPr>
      <w:r>
        <w:rPr>
          <w:rFonts w:ascii="Arial" w:cs="Arial" w:eastAsia="Arial" w:hAnsi="Arial"/>
          <w:sz w:val="18"/>
          <w:szCs w:val="18"/>
          <w:b w:val="1"/>
          <w:bCs w:val="1"/>
          <w:color w:val="auto"/>
        </w:rPr>
        <w:t>5.09</w:t>
      </w:r>
      <w:r>
        <w:rPr>
          <w:sz w:val="20"/>
          <w:szCs w:val="20"/>
          <w:color w:val="auto"/>
        </w:rPr>
        <w:tab/>
      </w:r>
      <w:r>
        <w:rPr>
          <w:rFonts w:ascii="Arial" w:cs="Arial" w:eastAsia="Arial" w:hAnsi="Arial"/>
          <w:sz w:val="16"/>
          <w:szCs w:val="16"/>
          <w:b w:val="1"/>
          <w:bCs w:val="1"/>
          <w:color w:val="auto"/>
        </w:rPr>
        <w:t>Margin Regulations; Investment Company Act</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308" w:lineRule="auto"/>
        <w:tabs>
          <w:tab w:leader="none" w:pos="1095" w:val="left"/>
        </w:tabs>
        <w:numPr>
          <w:ilvl w:val="0"/>
          <w:numId w:val="124"/>
        </w:numPr>
        <w:rPr>
          <w:rFonts w:ascii="Arial" w:cs="Arial" w:eastAsia="Arial" w:hAnsi="Arial"/>
          <w:sz w:val="17"/>
          <w:szCs w:val="17"/>
          <w:color w:val="010000"/>
        </w:rPr>
      </w:pPr>
      <w:r>
        <w:rPr>
          <w:rFonts w:ascii="Arial" w:cs="Arial" w:eastAsia="Arial" w:hAnsi="Arial"/>
          <w:sz w:val="17"/>
          <w:szCs w:val="17"/>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46" w:lineRule="exact"/>
        <w:rPr>
          <w:rFonts w:ascii="Arial" w:cs="Arial" w:eastAsia="Arial" w:hAnsi="Arial"/>
          <w:sz w:val="17"/>
          <w:szCs w:val="17"/>
          <w:color w:val="010000"/>
        </w:rPr>
      </w:pPr>
    </w:p>
    <w:p>
      <w:pPr>
        <w:ind w:left="1120" w:hanging="464"/>
        <w:spacing w:after="0"/>
        <w:tabs>
          <w:tab w:leader="none" w:pos="1120"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No Loan Party is required to be registered as an “investment company” under the Investment Company Act of 1940.</w:t>
      </w:r>
    </w:p>
    <w:p>
      <w:pPr>
        <w:spacing w:after="0" w:line="22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color w:val="auto"/>
        </w:rPr>
        <w:t>Disclosure</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90" w:lineRule="auto"/>
        <w:tabs>
          <w:tab w:leader="none" w:pos="1117" w:val="left"/>
        </w:tabs>
        <w:numPr>
          <w:ilvl w:val="0"/>
          <w:numId w:val="125"/>
        </w:numPr>
        <w:rPr>
          <w:rFonts w:ascii="Arial" w:cs="Arial" w:eastAsia="Arial" w:hAnsi="Arial"/>
          <w:sz w:val="16"/>
          <w:szCs w:val="16"/>
          <w:color w:val="010000"/>
        </w:rPr>
      </w:pPr>
      <w:r>
        <w:rPr>
          <w:rFonts w:ascii="Arial" w:cs="Arial" w:eastAsia="Arial" w:hAnsi="Arial"/>
          <w:sz w:val="16"/>
          <w:szCs w:val="16"/>
          <w:color w:val="auto"/>
        </w:rPr>
        <w:t>No report, financial statement, certificate or other information (excluding any projected and forecast financial information and information of a general economic or general industry nature) furnished by or on behalf of any Loan Party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when taken as a whole, contains any material misstatement of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provided that, with respect to projected and forecast financial information, the Company represents only that such projections and forecasts were prepared in good faith based upon assumptions deemed reasonable by it at the time.</w:t>
      </w:r>
    </w:p>
    <w:p>
      <w:pPr>
        <w:spacing w:after="0" w:line="165" w:lineRule="exact"/>
        <w:rPr>
          <w:rFonts w:ascii="Arial" w:cs="Arial" w:eastAsia="Arial" w:hAnsi="Arial"/>
          <w:sz w:val="16"/>
          <w:szCs w:val="16"/>
          <w:color w:val="010000"/>
        </w:rPr>
      </w:pPr>
    </w:p>
    <w:p>
      <w:pPr>
        <w:ind w:left="1120" w:hanging="464"/>
        <w:spacing w:after="0"/>
        <w:tabs>
          <w:tab w:leader="none" w:pos="1120" w:val="left"/>
        </w:tabs>
        <w:numPr>
          <w:ilvl w:val="0"/>
          <w:numId w:val="125"/>
        </w:numPr>
        <w:rPr>
          <w:rFonts w:ascii="Arial" w:cs="Arial" w:eastAsia="Arial" w:hAnsi="Arial"/>
          <w:sz w:val="16"/>
          <w:szCs w:val="16"/>
          <w:color w:val="010000"/>
        </w:rPr>
      </w:pPr>
      <w:r>
        <w:rPr>
          <w:rFonts w:ascii="Arial" w:cs="Arial" w:eastAsia="Arial" w:hAnsi="Arial"/>
          <w:sz w:val="16"/>
          <w:szCs w:val="16"/>
          <w:color w:val="auto"/>
        </w:rPr>
        <w:t>The information included in the Beneficial Ownership Certification, if applicable, is true and correct in all respects as of the Closing Date.</w:t>
      </w:r>
    </w:p>
    <w:p>
      <w:pPr>
        <w:spacing w:after="0" w:line="2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5.11 Compliance with Laws</w:t>
      </w:r>
      <w:r>
        <w:rPr>
          <w:rFonts w:ascii="Arial" w:cs="Arial" w:eastAsia="Arial" w:hAnsi="Arial"/>
          <w:sz w:val="18"/>
          <w:szCs w:val="18"/>
          <w:color w:val="auto"/>
        </w:rPr>
        <w:t>. Except as set forth in Schedule 5.11 or in accordance with Section 6.03, each Loan Party and each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5.12 OFAC</w:t>
      </w:r>
      <w:r>
        <w:rPr>
          <w:rFonts w:ascii="Arial" w:cs="Arial" w:eastAsia="Arial" w:hAnsi="Arial"/>
          <w:sz w:val="16"/>
          <w:szCs w:val="16"/>
          <w:color w:val="auto"/>
        </w:rPr>
        <w:t>. Neither the Company, nor any of its Subsidiaries, nor, to the knowledge of the Company and its Subsidiaries, any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employee, agent, affiliate or representative thereof that will act in any capacity in connection with or benefit from the credit facility established hereby, is an individual or entity that is, or is owned or controlled by one or more individuals or entities that are (a) currently the subject or target of any Sanctions, (b) included on OFAC’s List of Specially Designated Nationals or HMT’s Consolidated List of Financial Sanctions Targets, or any similar list enforced by any other relevant sanctions authority of any relevant jurisdiction where any Restricted Person maintains assets or engages in business or</w:t>
      </w:r>
    </w:p>
    <w:p>
      <w:pPr>
        <w:spacing w:after="0" w:line="2" w:lineRule="exact"/>
        <w:rPr>
          <w:sz w:val="20"/>
          <w:szCs w:val="20"/>
          <w:color w:val="auto"/>
        </w:rPr>
      </w:pPr>
    </w:p>
    <w:p>
      <w:pPr>
        <w:jc w:val="both"/>
        <w:ind w:firstLine="8"/>
        <w:spacing w:after="0" w:line="252" w:lineRule="auto"/>
        <w:tabs>
          <w:tab w:leader="none" w:pos="2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operating, organized or resident in a Designated Jurisdiction (each Person referred to in any of the preceding clauses (a) – (c), a “</w:t>
      </w:r>
      <w:r>
        <w:rPr>
          <w:rFonts w:ascii="Arial" w:cs="Arial" w:eastAsia="Arial" w:hAnsi="Arial"/>
          <w:sz w:val="18"/>
          <w:szCs w:val="18"/>
          <w:u w:val="single" w:color="auto"/>
          <w:color w:val="auto"/>
        </w:rPr>
        <w:t>Designated Person</w:t>
      </w:r>
      <w:r>
        <w:rPr>
          <w:rFonts w:ascii="Arial" w:cs="Arial" w:eastAsia="Arial" w:hAnsi="Arial"/>
          <w:sz w:val="18"/>
          <w:szCs w:val="18"/>
          <w:color w:val="auto"/>
        </w:rPr>
        <w:t>”). The Company and its Subsidiaries have (y) conducted their businesses in compliance in all material respects with all applicable Sanctions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(z) instituted and maintained policies and procedures designed to promote and achieve compliance with such Sanctions.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5" w:lineRule="auto"/>
        <w:rPr>
          <w:sz w:val="20"/>
          <w:szCs w:val="20"/>
          <w:color w:val="auto"/>
        </w:rPr>
      </w:pPr>
      <w:r>
        <w:rPr>
          <w:rFonts w:ascii="Arial" w:cs="Arial" w:eastAsia="Arial" w:hAnsi="Arial"/>
          <w:sz w:val="18"/>
          <w:szCs w:val="18"/>
          <w:b w:val="1"/>
          <w:bCs w:val="1"/>
          <w:color w:val="auto"/>
        </w:rPr>
        <w:t>5.13 Anti-Corruption Laws</w:t>
      </w:r>
      <w:r>
        <w:rPr>
          <w:rFonts w:ascii="Arial" w:cs="Arial" w:eastAsia="Arial" w:hAnsi="Arial"/>
          <w:sz w:val="18"/>
          <w:szCs w:val="18"/>
          <w:color w:val="auto"/>
        </w:rPr>
        <w:t>. The Company and its Subsidiaries have (a) conducted their businesses in compliance in all material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United States Foreign Corrupt Practices Act of 1977, the UK Bribery Act 2010, and other applicable anti-corruption legislation in other jurisdictions and applicable anti-money laundering rules and regulations (collectively, the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(b) instituted and maintained policies and procedures designed to promote and achieve compliance with such laws.</w:t>
      </w:r>
    </w:p>
    <w:p>
      <w:pPr>
        <w:spacing w:after="0" w:line="18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Affected Financial Institution</w:t>
      </w:r>
      <w:r>
        <w:rPr>
          <w:rFonts w:ascii="Arial" w:cs="Arial" w:eastAsia="Arial" w:hAnsi="Arial"/>
          <w:sz w:val="16"/>
          <w:szCs w:val="16"/>
          <w:color w:val="auto"/>
        </w:rPr>
        <w:t>. No Loan Party is an Affected Financial Institution.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AFFIRMATIVE COVENANTS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So long as any Lender shall have any Commitment hereunder, any Loan or other Obligation hereunder shall remain unpaid or unsatisfied, or (unless a collateral arrangement satisfactory to the applicable L/C Issuers has been entered into) any Letter of Credit shall remain outstanding, the Company shall, and shall (except in the case of the covenants set forth in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6.03</w:t>
      </w:r>
      <w:r>
        <w:rPr>
          <w:rFonts w:ascii="Arial" w:cs="Arial" w:eastAsia="Arial" w:hAnsi="Arial"/>
          <w:sz w:val="17"/>
          <w:szCs w:val="17"/>
          <w:color w:val="auto"/>
        </w:rPr>
        <w:t xml:space="preserve">, and except in the case of the covenants set forth in </w:t>
      </w:r>
      <w:r>
        <w:rPr>
          <w:rFonts w:ascii="Arial" w:cs="Arial" w:eastAsia="Arial" w:hAnsi="Arial"/>
          <w:sz w:val="17"/>
          <w:szCs w:val="17"/>
          <w:u w:val="single" w:color="auto"/>
          <w:color w:val="auto"/>
        </w:rPr>
        <w:t>Sections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6</w:t>
      </w:r>
      <w:r>
        <w:rPr>
          <w:rFonts w:ascii="Arial" w:cs="Arial" w:eastAsia="Arial" w:hAnsi="Arial"/>
          <w:sz w:val="17"/>
          <w:szCs w:val="17"/>
          <w:u w:val="single" w:color="auto"/>
          <w:color w:val="auto"/>
        </w:rPr>
        <w:t>.07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6.08</w:t>
      </w:r>
      <w:r>
        <w:rPr>
          <w:rFonts w:ascii="Arial" w:cs="Arial" w:eastAsia="Arial" w:hAnsi="Arial"/>
          <w:sz w:val="17"/>
          <w:szCs w:val="17"/>
          <w:color w:val="auto"/>
        </w:rPr>
        <w:t>, which shall be limited to Significant Restricted Persons) cause each Subsidiary to:</w:t>
      </w:r>
    </w:p>
    <w:p>
      <w:pPr>
        <w:spacing w:after="0" w:line="16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color w:val="auto"/>
        </w:rPr>
        <w:t>Financial Statements</w:t>
      </w:r>
      <w:r>
        <w:rPr>
          <w:rFonts w:ascii="Arial" w:cs="Arial" w:eastAsia="Arial" w:hAnsi="Arial"/>
          <w:sz w:val="16"/>
          <w:szCs w:val="16"/>
          <w:color w:val="auto"/>
        </w:rPr>
        <w:t>. Deliver to the Administrative Agent, the following statements and reports, at the Company’s expense:</w:t>
      </w:r>
    </w:p>
    <w:p>
      <w:pPr>
        <w:spacing w:after="0" w:line="229" w:lineRule="exact"/>
        <w:rPr>
          <w:sz w:val="20"/>
          <w:szCs w:val="20"/>
          <w:color w:val="auto"/>
        </w:rPr>
      </w:pPr>
    </w:p>
    <w:p>
      <w:pPr>
        <w:jc w:val="both"/>
        <w:ind w:firstLine="656"/>
        <w:spacing w:after="0" w:line="254" w:lineRule="auto"/>
        <w:tabs>
          <w:tab w:leader="none" w:pos="1095"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promptly upon the filing thereof, and in any event within ninety (90) days after the end of each fiscal year, a copy of the Company’s Form 10-K, which report shall include the Company’s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w:t>
      </w:r>
    </w:p>
    <w:p>
      <w:pPr>
        <w:spacing w:after="0" w:line="194" w:lineRule="exact"/>
        <w:rPr>
          <w:rFonts w:ascii="Arial" w:cs="Arial" w:eastAsia="Arial" w:hAnsi="Arial"/>
          <w:sz w:val="18"/>
          <w:szCs w:val="18"/>
          <w:color w:val="010000"/>
        </w:rPr>
      </w:pPr>
    </w:p>
    <w:p>
      <w:pPr>
        <w:jc w:val="both"/>
        <w:ind w:firstLine="656"/>
        <w:spacing w:after="0" w:line="259" w:lineRule="auto"/>
        <w:tabs>
          <w:tab w:leader="none" w:pos="1083"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promptly upon the filing thereof, and in any event within sixty (60) days after the end of each of the first three fiscal quarters of each fiscal year, a copy of the Company’s Form 10-Q, which report shall include the Company’s unaudited consolidated balance sheet as of the end of such fiscal quarter and consolidated statements of the Company’s earnings and cash flows for such fiscal quarter and for the period from the beginning of the then current fiscal year to the end of such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spacing w:after="0" w:line="263"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8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7"/>
          <w:szCs w:val="17"/>
          <w:b w:val="1"/>
          <w:bCs w:val="1"/>
          <w:color w:val="auto"/>
        </w:rPr>
        <w:t>Certificates; Other Information</w:t>
      </w:r>
      <w:r>
        <w:rPr>
          <w:rFonts w:ascii="Arial" w:cs="Arial" w:eastAsia="Arial" w:hAnsi="Arial"/>
          <w:sz w:val="17"/>
          <w:szCs w:val="17"/>
          <w:color w:val="auto"/>
        </w:rPr>
        <w:t>. Deliver to the Administrative Agent and each Lender (except as otherwise provided in subsection</w:t>
      </w:r>
    </w:p>
    <w:p>
      <w:pPr>
        <w:spacing w:after="0" w:line="27" w:lineRule="exact"/>
        <w:rPr>
          <w:sz w:val="20"/>
          <w:szCs w:val="20"/>
          <w:color w:val="auto"/>
        </w:rPr>
      </w:pPr>
    </w:p>
    <w:p>
      <w:pPr>
        <w:ind w:left="260" w:hanging="252"/>
        <w:spacing w:after="0"/>
        <w:tabs>
          <w:tab w:leader="none" w:pos="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below), in form and detail reasonably satisfactory to the Administrative Agent:</w:t>
      </w:r>
    </w:p>
    <w:p>
      <w:pPr>
        <w:spacing w:after="0" w:line="210" w:lineRule="exact"/>
        <w:rPr>
          <w:rFonts w:ascii="Arial" w:cs="Arial" w:eastAsia="Arial" w:hAnsi="Arial"/>
          <w:sz w:val="18"/>
          <w:szCs w:val="18"/>
          <w:color w:val="auto"/>
        </w:rPr>
      </w:pPr>
    </w:p>
    <w:p>
      <w:pPr>
        <w:jc w:val="both"/>
        <w:ind w:firstLine="656"/>
        <w:spacing w:after="0" w:line="287" w:lineRule="auto"/>
        <w:tabs>
          <w:tab w:leader="none" w:pos="1095" w:val="left"/>
        </w:tabs>
        <w:numPr>
          <w:ilvl w:val="1"/>
          <w:numId w:val="128"/>
        </w:numPr>
        <w:rPr>
          <w:rFonts w:ascii="Arial" w:cs="Arial" w:eastAsia="Arial" w:hAnsi="Arial"/>
          <w:sz w:val="16"/>
          <w:szCs w:val="16"/>
          <w:color w:val="010000"/>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 duly completed Compliance Certificate signed by the chief financial officer, principal accounting officer or treasurer of General Partner (i) stating that such Consolidated financial statements are accurate and complete in all material respects (subject to normal year-end adjustments), (ii) stating that such Person has reviewed the Loan Documents,</w:t>
      </w:r>
    </w:p>
    <w:p>
      <w:pPr>
        <w:spacing w:after="0" w:line="2" w:lineRule="exact"/>
        <w:rPr>
          <w:rFonts w:ascii="Arial" w:cs="Arial" w:eastAsia="Arial" w:hAnsi="Arial"/>
          <w:sz w:val="16"/>
          <w:szCs w:val="16"/>
          <w:color w:val="010000"/>
        </w:rPr>
      </w:pPr>
    </w:p>
    <w:p>
      <w:pPr>
        <w:jc w:val="both"/>
        <w:ind w:firstLine="8"/>
        <w:spacing w:after="0" w:line="271" w:lineRule="auto"/>
        <w:tabs>
          <w:tab w:leader="none" w:pos="32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containing calculations showing compliance (or non compliance) at the end of such fiscal quarter with the requirements of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(iv) stating that, to the best of such Person’s knowledge, no Default exists at the end of such fiscal quarter or at the time of such certificate or specifying the nature and period of existence of any such Default, and (v) identifying any Subsidiary designated as an Unrestricted Subsidiary since the date of the most-recently delivered prior certificate under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(which delivery may, unless the Administrative Agent requests executed originals, be by electronic communication including fax or email and shall be deemed to be an original authentic counterpart thereof for all purposes);</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105"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promptly after the same are publicly available, copies of each annual report, proxy or financial statement or other report or communication sent to the unit holders of the Company, and copies of all annual, regular, periodic and special reports and registration statements which the Company filed with the SEC under Section 13 or 15(d) of the Securities Exchange Act of 1934, and not otherwise required to be delivered to the Administrative Agent pursuant hereto;</w:t>
      </w:r>
    </w:p>
    <w:p>
      <w:pPr>
        <w:spacing w:after="0" w:line="186" w:lineRule="exact"/>
        <w:rPr>
          <w:rFonts w:ascii="Arial" w:cs="Arial" w:eastAsia="Arial" w:hAnsi="Arial"/>
          <w:sz w:val="18"/>
          <w:szCs w:val="18"/>
          <w:color w:val="010000"/>
        </w:rPr>
      </w:pPr>
    </w:p>
    <w:p>
      <w:pPr>
        <w:jc w:val="both"/>
        <w:ind w:firstLine="656"/>
        <w:spacing w:after="0" w:line="263" w:lineRule="auto"/>
        <w:tabs>
          <w:tab w:leader="none" w:pos="1095"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promptly, to the Administrative Agent, upon written request, such additional information regarding the business, financial, legal or corporate affairs of the Company or any Subsidiary, or compliance with the terms of the Loan Documents, in each case which are reasonably requested by the Administrative Agent or any Lender and not subject to confidentiality restrictions or attorney-client privilege;</w:t>
      </w:r>
    </w:p>
    <w:p>
      <w:pPr>
        <w:spacing w:after="0" w:line="183" w:lineRule="exact"/>
        <w:rPr>
          <w:rFonts w:ascii="Arial" w:cs="Arial" w:eastAsia="Arial" w:hAnsi="Arial"/>
          <w:sz w:val="18"/>
          <w:szCs w:val="18"/>
          <w:color w:val="010000"/>
        </w:rPr>
      </w:pPr>
    </w:p>
    <w:p>
      <w:pPr>
        <w:ind w:left="1120" w:hanging="464"/>
        <w:spacing w:after="0"/>
        <w:tabs>
          <w:tab w:leader="none" w:pos="1120"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notice of any public announcement by Moody’s or S&amp;P of any downgrade in a Debt Rating; and</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095"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48"/>
        <w:spacing w:after="0" w:line="287"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w:t>
      </w:r>
    </w:p>
    <w:p>
      <w:pPr>
        <w:spacing w:after="0" w:line="2" w:lineRule="exact"/>
        <w:rPr>
          <w:sz w:val="20"/>
          <w:szCs w:val="20"/>
          <w:color w:val="auto"/>
        </w:rPr>
      </w:pPr>
    </w:p>
    <w:p>
      <w:pPr>
        <w:jc w:val="both"/>
        <w:ind w:firstLine="8"/>
        <w:spacing w:after="0" w:line="270" w:lineRule="auto"/>
        <w:tabs>
          <w:tab w:leader="none" w:pos="28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on which such documents are delivered to the Administrative Agent for posting to the Platform or (iii) on which such documents are posted on the Company’s behalf on any other Internet or intranet website, if any, to which each Lender and the Administrative Agent have access (whether a commercial, third-party website or whether sponsored by the Administrative Agent), and in either case, the Company notifies the Administrative Agent of such posting or link.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Each Borrower hereby acknowledges that (a) the Administrative Agent or its authorized Affiliates will make available to the Lenders and the L/C Issuers materials and/or information provided by or on behalf of such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Syndtrak, ClearPar or another substantially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it instructs to be made available to Public Lenders shall be clearly and conspicuously marked “PUBLIC” which, at a minimum, shall mean that the word “PUBLIC” shall appear prominently on the first page thereof,</w:t>
      </w:r>
    </w:p>
    <w:p>
      <w:pPr>
        <w:spacing w:after="0" w:line="2" w:lineRule="exact"/>
        <w:rPr>
          <w:sz w:val="20"/>
          <w:szCs w:val="20"/>
          <w:color w:val="auto"/>
        </w:rPr>
      </w:pPr>
    </w:p>
    <w:p>
      <w:pPr>
        <w:jc w:val="both"/>
        <w:ind w:firstLine="8"/>
        <w:spacing w:after="0" w:line="288" w:lineRule="auto"/>
        <w:tabs>
          <w:tab w:leader="none" w:pos="25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by marking Borrower Materials “PUBLIC,” the Borrowers shall be deemed to have authorized the Administrative Agent or its authorized Affiliates, the L/C Issuers and the Lenders to treat such Borrower Materials as not containing any material non-public information with respect to the Borrowers or their respective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so marked “PUBLIC” are permitted to 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 Notwithstanding the foregoing, Borrowers shall be under no obligation to mark any Borrower Materials “PUBLIC”.</w:t>
      </w:r>
    </w:p>
    <w:p>
      <w:pPr>
        <w:spacing w:after="0" w:line="16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7"/>
          <w:szCs w:val="17"/>
          <w:b w:val="1"/>
          <w:bCs w:val="1"/>
          <w:color w:val="auto"/>
        </w:rPr>
        <w:t>Notices</w:t>
      </w:r>
      <w:r>
        <w:rPr>
          <w:rFonts w:ascii="Arial" w:cs="Arial" w:eastAsia="Arial" w:hAnsi="Arial"/>
          <w:sz w:val="17"/>
          <w:szCs w:val="17"/>
          <w:color w:val="auto"/>
        </w:rPr>
        <w:t>. Promptly notify the Administrative Agent and each Lender not later than five Business Days after any executive officer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has knowledge:</w:t>
      </w:r>
    </w:p>
    <w:p>
      <w:pPr>
        <w:spacing w:after="0" w:line="211" w:lineRule="exact"/>
        <w:rPr>
          <w:sz w:val="20"/>
          <w:szCs w:val="20"/>
          <w:color w:val="auto"/>
        </w:rPr>
      </w:pPr>
    </w:p>
    <w:p>
      <w:pPr>
        <w:ind w:left="1100" w:hanging="444"/>
        <w:spacing w:after="0"/>
        <w:tabs>
          <w:tab w:leader="none" w:pos="1100"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of the occurrence of any Default;</w:t>
      </w:r>
    </w:p>
    <w:p>
      <w:pPr>
        <w:spacing w:after="0" w:line="225" w:lineRule="exact"/>
        <w:rPr>
          <w:rFonts w:ascii="Arial" w:cs="Arial" w:eastAsia="Arial" w:hAnsi="Arial"/>
          <w:sz w:val="18"/>
          <w:szCs w:val="18"/>
          <w:color w:val="010000"/>
        </w:rPr>
      </w:pPr>
    </w:p>
    <w:p>
      <w:pPr>
        <w:ind w:left="1100" w:hanging="444"/>
        <w:spacing w:after="0"/>
        <w:tabs>
          <w:tab w:leader="none" w:pos="1100"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of any matter that has resulted or could reasonably be expected to result in a Material Adverse Effect;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firstLine="656"/>
        <w:spacing w:after="0" w:line="277" w:lineRule="auto"/>
        <w:tabs>
          <w:tab w:leader="none" w:pos="1095"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any change in the information provided in the Beneficial Ownership Certification that would result in a change to the list of beneficial owners identified in parts (c) or (d) of such certification.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Each notice pursuant to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6.04 Payment of Taxes, Etc. </w:t>
      </w:r>
      <w:r>
        <w:rPr>
          <w:rFonts w:ascii="Arial" w:cs="Arial" w:eastAsia="Arial" w:hAnsi="Arial"/>
          <w:sz w:val="18"/>
          <w:szCs w:val="18"/>
          <w:color w:val="auto"/>
        </w:rPr>
        <w:t>Pay and discharge as the same shall become due and payable, all Tax liabilities, assessments and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or levies imposed upon it or its properties or assets, unless (i) the same are being contested in good faith by appropriate proceedings diligently conducted and adequate reserves in accordance with GAAP are being maintained by the Company or such Subsidiary, or (ii) such failure would not reasonably be expected to result in a Material Adverse Effect.</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6.05 Preservation of Existence, Etc</w:t>
      </w:r>
      <w:r>
        <w:rPr>
          <w:rFonts w:ascii="Arial" w:cs="Arial" w:eastAsia="Arial" w:hAnsi="Arial"/>
          <w:sz w:val="17"/>
          <w:szCs w:val="17"/>
          <w:color w:val="auto"/>
        </w:rPr>
        <w:t>. (a) Preserve, renew and maintain in full force and effect its legal existence and good standing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jurisdiction of its organization and (b)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Section 7.03 or as a result of statutory conversions.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6.06 Maintenance of Properties</w:t>
      </w:r>
      <w:r>
        <w:rPr>
          <w:rFonts w:ascii="Arial" w:cs="Arial" w:eastAsia="Arial" w:hAnsi="Arial"/>
          <w:sz w:val="18"/>
          <w:szCs w:val="18"/>
          <w:color w:val="auto"/>
        </w:rPr>
        <w:t>. (a) Maintain, preserve and protect all of its material properties and equipment that are necessary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its business in good working order and condition, ordinary wear and tear and casualty or condemnation excepted, except where the failure to do so could not reasonably be expected to have a Material Adverse Effect.</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6.07 Maintenance of Insurance</w:t>
      </w:r>
      <w:r>
        <w:rPr>
          <w:rFonts w:ascii="Arial" w:cs="Arial" w:eastAsia="Arial" w:hAnsi="Arial"/>
          <w:sz w:val="16"/>
          <w:szCs w:val="16"/>
          <w:color w:val="auto"/>
        </w:rPr>
        <w:t>. Maintain, with financially sound and reputable insurance companies, insurance or, at its option, self-insure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amounts (after giving effect to any self-insurance compatible with the following standards) and against such risks as are customarily insured by other Persons engaged in the same or similar businesses and owning similar properties; provided, however, that notwithstanding the foregoing provisions of this Section 6.07, the Company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Company, based on coverages carried by prudent owners of similar property, and with respect to each other Significant Restricted Person, may be maintained by the Company.</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6.08 Compliance with Laws</w:t>
      </w:r>
      <w:r>
        <w:rPr>
          <w:rFonts w:ascii="Arial" w:cs="Arial" w:eastAsia="Arial" w:hAnsi="Arial"/>
          <w:sz w:val="18"/>
          <w:szCs w:val="18"/>
          <w:color w:val="auto"/>
        </w:rPr>
        <w:t>. Comply in all material respects with the requirements of all Laws (including Anti-Corruption Laws and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Sanctions)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The Company and its Subsidiaries will institute and maintain commercially reasonably policies and procedures which they reasonably believe are designed to promote and achieve their respective compliance with Anti-Corruption Laws and applicable Sanctions.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firstLine="648"/>
        <w:spacing w:after="0" w:line="266" w:lineRule="auto"/>
        <w:rPr>
          <w:sz w:val="20"/>
          <w:szCs w:val="20"/>
          <w:color w:val="auto"/>
        </w:rPr>
      </w:pPr>
      <w:r>
        <w:rPr>
          <w:rFonts w:ascii="Arial" w:cs="Arial" w:eastAsia="Arial" w:hAnsi="Arial"/>
          <w:sz w:val="18"/>
          <w:szCs w:val="18"/>
          <w:b w:val="1"/>
          <w:bCs w:val="1"/>
          <w:color w:val="auto"/>
        </w:rPr>
        <w:t>6.09 Books and Records</w:t>
      </w:r>
      <w:r>
        <w:rPr>
          <w:rFonts w:ascii="Arial" w:cs="Arial" w:eastAsia="Arial" w:hAnsi="Arial"/>
          <w:sz w:val="18"/>
          <w:szCs w:val="18"/>
          <w:color w:val="auto"/>
        </w:rPr>
        <w:t>. Maintain proper books of record and account, in which full, true and correct entries in conformity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consistently applied shall be made of all financial transactions and matters involving the assets and business of the Company or such Subsidiary, as the case may be.</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6.10 Inspection Rights</w:t>
      </w:r>
      <w:r>
        <w:rPr>
          <w:rFonts w:ascii="Arial" w:cs="Arial" w:eastAsia="Arial" w:hAnsi="Arial"/>
          <w:sz w:val="17"/>
          <w:szCs w:val="17"/>
          <w:color w:val="auto"/>
        </w:rPr>
        <w:t>. Permit representatives and independent contractors of the Administrative Agent (and, during the continuance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representatives and independent contractors of any Lender) to visit and inspect any of its properties, to 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Company; provided, (i) all such visits and inspections during the continuance of an Event of Default shall be coordinated through the Administrative Agent and (ii) unless an Event of Default has occurred and is continuing, such visits and inspections can occur no more frequently than once per year.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all copies and abstracts of all information, books and records and all discussion conducted with any officer, employee or representative of any Restricted Person, in each case, shall be subject to any applicable attorney-client privilege exceptions which the Company or such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11.07 of this Agreement. The Administrative Agent and the Lenders shall give the Company the opportunity to participate in any discussions with the Company’s independent public accountants.</w:t>
      </w:r>
    </w:p>
    <w:p>
      <w:pPr>
        <w:spacing w:after="0" w:line="18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6.11 Use of Proceeds</w:t>
      </w:r>
      <w:r>
        <w:rPr>
          <w:rFonts w:ascii="Arial" w:cs="Arial" w:eastAsia="Arial" w:hAnsi="Arial"/>
          <w:sz w:val="18"/>
          <w:szCs w:val="18"/>
          <w:color w:val="auto"/>
        </w:rPr>
        <w:t>. Use the proceeds of the Credit Extensions for refinancing outstanding indebtedness under the Existing Credit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capital, capital expenditures, repayment of intercompany debt, acquisitions and other general corporate purposes not in violation of any Law applicable to it and not resulting in a Default or Event of Default.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NEGATIVE COVENANTS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(unless collateral arrangements satisfactory to the applicable L/C Issuers have been entered into) any Letter of Credit shall remain outstanding, the Company shall not (except in the case of the covenant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which shall be limited to Subsidiaries), nor shall it permit any Subsidiary (except in the case of the covenants set forth in </w:t>
      </w:r>
      <w:r>
        <w:rPr>
          <w:rFonts w:ascii="Arial" w:cs="Arial" w:eastAsia="Arial" w:hAnsi="Arial"/>
          <w:sz w:val="18"/>
          <w:szCs w:val="18"/>
          <w:u w:val="single" w:color="auto"/>
          <w:color w:val="auto"/>
        </w:rPr>
        <w:t>Sections 7.03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which shall be limited to Significant Restricted Persons, and in the case of the covenant in </w:t>
      </w:r>
      <w:r>
        <w:rPr>
          <w:rFonts w:ascii="Arial" w:cs="Arial" w:eastAsia="Arial" w:hAnsi="Arial"/>
          <w:sz w:val="18"/>
          <w:szCs w:val="18"/>
          <w:u w:val="single" w:color="auto"/>
          <w:color w:val="auto"/>
        </w:rPr>
        <w:t>Section 7.04</w:t>
      </w:r>
      <w:r>
        <w:rPr>
          <w:rFonts w:ascii="Arial" w:cs="Arial" w:eastAsia="Arial" w:hAnsi="Arial"/>
          <w:sz w:val="18"/>
          <w:szCs w:val="18"/>
          <w:color w:val="auto"/>
        </w:rPr>
        <w:t>, which shall be limited to the Company) to:</w:t>
      </w:r>
    </w:p>
    <w:p>
      <w:pPr>
        <w:spacing w:after="0" w:line="18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7.01 Liens</w:t>
      </w:r>
      <w:r>
        <w:rPr>
          <w:rFonts w:ascii="Arial" w:cs="Arial" w:eastAsia="Arial" w:hAnsi="Arial"/>
          <w:sz w:val="16"/>
          <w:szCs w:val="16"/>
          <w:color w:val="auto"/>
        </w:rPr>
        <w:t>. Create, incur, assume or permit to exist any Lien upon any of its Principal Property or upon the Equity Interests of any Subsidiary to</w:t>
      </w:r>
      <w:r>
        <w:rPr>
          <w:rFonts w:ascii="Arial" w:cs="Arial" w:eastAsia="Arial" w:hAnsi="Arial"/>
          <w:sz w:val="16"/>
          <w:szCs w:val="16"/>
          <w:b w:val="1"/>
          <w:bCs w:val="1"/>
          <w:color w:val="auto"/>
        </w:rPr>
        <w:t xml:space="preserve"> </w:t>
      </w:r>
      <w:r>
        <w:rPr>
          <w:rFonts w:ascii="Arial" w:cs="Arial" w:eastAsia="Arial" w:hAnsi="Arial"/>
          <w:sz w:val="16"/>
          <w:szCs w:val="16"/>
          <w:color w:val="auto"/>
        </w:rPr>
        <w:t>secure Indebtedness (other than, for the avoidance of doubt, Unrestricted Subsidiaries), whether now owned or hereafter acquired, other than the following:</w:t>
      </w:r>
    </w:p>
    <w:p>
      <w:pPr>
        <w:spacing w:after="0" w:line="120" w:lineRule="exact"/>
        <w:rPr>
          <w:sz w:val="20"/>
          <w:szCs w:val="20"/>
          <w:color w:val="auto"/>
        </w:rPr>
      </w:pPr>
    </w:p>
    <w:p>
      <w:pPr>
        <w:ind w:firstLine="656"/>
        <w:spacing w:after="0" w:line="277" w:lineRule="auto"/>
        <w:tabs>
          <w:tab w:leader="none" w:pos="1117"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 xml:space="preserve">Liens pursuant to any Loan Document or securing any of the Obligations (which Liens may, if required as a condition to the granting or acceptance thereof, also secure, on a </w:t>
      </w:r>
      <w:r>
        <w:rPr>
          <w:rFonts w:ascii="Arial" w:cs="Arial" w:eastAsia="Arial" w:hAnsi="Arial"/>
          <w:sz w:val="18"/>
          <w:szCs w:val="18"/>
          <w:i w:val="1"/>
          <w:iCs w:val="1"/>
          <w:color w:val="auto"/>
        </w:rPr>
        <w:t>pari-passu</w:t>
      </w:r>
      <w:r>
        <w:rPr>
          <w:rFonts w:ascii="Arial" w:cs="Arial" w:eastAsia="Arial" w:hAnsi="Arial"/>
          <w:sz w:val="18"/>
          <w:szCs w:val="18"/>
          <w:color w:val="auto"/>
        </w:rPr>
        <w:t xml:space="preserve"> basis, any Swap Contracts with Lenders or their Affiliates);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6" w:name="page107"/>
    <w:bookmarkEnd w:id="106"/>
    <w:p>
      <w:pPr>
        <w:jc w:val="both"/>
        <w:ind w:firstLine="656"/>
        <w:spacing w:after="0" w:line="342" w:lineRule="auto"/>
        <w:tabs>
          <w:tab w:leader="none" w:pos="1127" w:val="left"/>
        </w:tabs>
        <w:numPr>
          <w:ilvl w:val="0"/>
          <w:numId w:val="135"/>
        </w:numPr>
        <w:rPr>
          <w:rFonts w:ascii="Arial" w:cs="Arial" w:eastAsia="Arial" w:hAnsi="Arial"/>
          <w:sz w:val="16"/>
          <w:szCs w:val="16"/>
          <w:color w:val="010000"/>
        </w:rPr>
      </w:pPr>
      <w:r>
        <w:rPr>
          <w:rFonts w:ascii="Arial" w:cs="Arial" w:eastAsia="Arial" w:hAnsi="Arial"/>
          <w:sz w:val="16"/>
          <w:szCs w:val="16"/>
          <w:color w:val="auto"/>
        </w:rPr>
        <w:t>Liens for taxes, assessments, charges and levies not yet delinquent or which are being contested in good faith and by appropriate proceedings diligently conducted, if adequate reserves with respect thereto are maintained on the books of the applicable Person in accordance with GAAP;</w:t>
      </w:r>
    </w:p>
    <w:p>
      <w:pPr>
        <w:spacing w:after="0" w:line="123" w:lineRule="exact"/>
        <w:rPr>
          <w:rFonts w:ascii="Arial" w:cs="Arial" w:eastAsia="Arial" w:hAnsi="Arial"/>
          <w:sz w:val="16"/>
          <w:szCs w:val="16"/>
          <w:color w:val="010000"/>
        </w:rPr>
      </w:pPr>
    </w:p>
    <w:p>
      <w:pPr>
        <w:jc w:val="both"/>
        <w:ind w:firstLine="656"/>
        <w:spacing w:after="0" w:line="279" w:lineRule="auto"/>
        <w:tabs>
          <w:tab w:leader="none" w:pos="1117" w:val="left"/>
        </w:tabs>
        <w:numPr>
          <w:ilvl w:val="0"/>
          <w:numId w:val="135"/>
        </w:numPr>
        <w:rPr>
          <w:rFonts w:ascii="Arial" w:cs="Arial" w:eastAsia="Arial" w:hAnsi="Arial"/>
          <w:sz w:val="17"/>
          <w:szCs w:val="17"/>
          <w:color w:val="010000"/>
        </w:rPr>
      </w:pPr>
      <w:r>
        <w:rPr>
          <w:rFonts w:ascii="Arial" w:cs="Arial" w:eastAsia="Arial" w:hAnsi="Arial"/>
          <w:sz w:val="17"/>
          <w:szCs w:val="17"/>
          <w:color w:val="auto"/>
        </w:rPr>
        <w:t>carriers’, warehousemen’s, mechanics’, materialmen’s, repairmen’s or other like Liens (including Liens on property of any Restricted Person in the possession of storage facilities, pipelines or barges) arising in the ordinary course of business for amounts which are not overdue for a period of more than 60 days or which are being contested in good faith and by appropriate proceedings, if necessary, diligently conducted, if adequate reserves with respect thereto are maintained on the books of the applicable Person in accordance with GAAP;</w:t>
      </w:r>
    </w:p>
    <w:p>
      <w:pPr>
        <w:spacing w:after="0" w:line="171" w:lineRule="exact"/>
        <w:rPr>
          <w:rFonts w:ascii="Arial" w:cs="Arial" w:eastAsia="Arial" w:hAnsi="Arial"/>
          <w:sz w:val="17"/>
          <w:szCs w:val="17"/>
          <w:color w:val="010000"/>
        </w:rPr>
      </w:pPr>
    </w:p>
    <w:p>
      <w:pPr>
        <w:ind w:firstLine="656"/>
        <w:spacing w:after="0" w:line="308" w:lineRule="auto"/>
        <w:tabs>
          <w:tab w:leader="none" w:pos="1127" w:val="left"/>
        </w:tabs>
        <w:numPr>
          <w:ilvl w:val="0"/>
          <w:numId w:val="135"/>
        </w:numPr>
        <w:rPr>
          <w:rFonts w:ascii="Arial" w:cs="Arial" w:eastAsia="Arial" w:hAnsi="Arial"/>
          <w:sz w:val="17"/>
          <w:szCs w:val="17"/>
          <w:color w:val="010000"/>
        </w:rPr>
      </w:pPr>
      <w:r>
        <w:rPr>
          <w:rFonts w:ascii="Arial" w:cs="Arial" w:eastAsia="Arial" w:hAnsi="Arial"/>
          <w:sz w:val="17"/>
          <w:szCs w:val="17"/>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146" w:lineRule="exact"/>
        <w:rPr>
          <w:rFonts w:ascii="Arial" w:cs="Arial" w:eastAsia="Arial" w:hAnsi="Arial"/>
          <w:sz w:val="17"/>
          <w:szCs w:val="17"/>
          <w:color w:val="010000"/>
        </w:rPr>
      </w:pPr>
    </w:p>
    <w:p>
      <w:pPr>
        <w:ind w:right="20" w:firstLine="656"/>
        <w:spacing w:after="0" w:line="277" w:lineRule="auto"/>
        <w:tabs>
          <w:tab w:leader="none" w:pos="1117"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 or to secure letters of credit issued with respect thereto;</w:t>
      </w:r>
    </w:p>
    <w:p>
      <w:pPr>
        <w:spacing w:after="0" w:line="170" w:lineRule="exact"/>
        <w:rPr>
          <w:rFonts w:ascii="Arial" w:cs="Arial" w:eastAsia="Arial" w:hAnsi="Arial"/>
          <w:sz w:val="18"/>
          <w:szCs w:val="18"/>
          <w:color w:val="010000"/>
        </w:rPr>
      </w:pPr>
    </w:p>
    <w:p>
      <w:pPr>
        <w:jc w:val="both"/>
        <w:ind w:firstLine="656"/>
        <w:spacing w:after="0" w:line="263" w:lineRule="auto"/>
        <w:tabs>
          <w:tab w:leader="none" w:pos="112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deposits to secure the performance of bids, trade contracts, leases (other than for borrowed money), statutory obligations, surety and appeal bonds, performance bonds and other obligations of a like nature incurred in the ordinary course of business (or to secure letters of credit issued in connection therewith);</w:t>
      </w:r>
    </w:p>
    <w:p>
      <w:pPr>
        <w:spacing w:after="0" w:line="183" w:lineRule="exact"/>
        <w:rPr>
          <w:rFonts w:ascii="Arial" w:cs="Arial" w:eastAsia="Arial" w:hAnsi="Arial"/>
          <w:sz w:val="18"/>
          <w:szCs w:val="18"/>
          <w:color w:val="010000"/>
        </w:rPr>
      </w:pPr>
    </w:p>
    <w:p>
      <w:pPr>
        <w:jc w:val="both"/>
        <w:ind w:firstLine="656"/>
        <w:spacing w:after="0" w:line="263" w:lineRule="auto"/>
        <w:tabs>
          <w:tab w:leader="none" w:pos="1127"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easements, rights-of-way, restrictions and other similar encumbrances affecting real property or minor imperfections in title thereto which, in the aggregate, are not material in amount, and which do not in any case materially detract from the value of the property subject thereto or materially interfere with the ordinary conduct of the business of the applicable Person;</w:t>
      </w:r>
    </w:p>
    <w:p>
      <w:pPr>
        <w:spacing w:after="0" w:line="183" w:lineRule="exact"/>
        <w:rPr>
          <w:rFonts w:ascii="Arial" w:cs="Arial" w:eastAsia="Arial" w:hAnsi="Arial"/>
          <w:sz w:val="18"/>
          <w:szCs w:val="18"/>
          <w:color w:val="010000"/>
        </w:rPr>
      </w:pPr>
    </w:p>
    <w:p>
      <w:pPr>
        <w:ind w:right="20" w:firstLine="656"/>
        <w:spacing w:after="0" w:line="277" w:lineRule="auto"/>
        <w:tabs>
          <w:tab w:leader="none" w:pos="1127"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 xml:space="preserve">inchoate Liens in respect of pending litigation, or Liens securing judgments for the payment of money (or securing letters of credit, appeal or other surety bonds related to such judgments)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firstLine="656"/>
        <w:spacing w:after="0" w:line="257" w:lineRule="auto"/>
        <w:tabs>
          <w:tab w:leader="none" w:pos="111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Company or any Subsidiary in excess of those set forth by regulations promulgated by the Board of Governors of the Federal Reserve System or pursuant to the Security Documents, and (ii) such deposit account is not intended by the Company or any Subsidiary to provide collateral to the depository institution;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656"/>
        <w:spacing w:after="0" w:line="272" w:lineRule="auto"/>
        <w:tabs>
          <w:tab w:leader="none" w:pos="1110" w:val="left"/>
        </w:tabs>
        <w:numPr>
          <w:ilvl w:val="0"/>
          <w:numId w:val="136"/>
        </w:numPr>
        <w:rPr>
          <w:rFonts w:ascii="Arial" w:cs="Arial" w:eastAsia="Arial" w:hAnsi="Arial"/>
          <w:sz w:val="17"/>
          <w:szCs w:val="17"/>
          <w:color w:val="010000"/>
        </w:rPr>
      </w:pPr>
      <w:r>
        <w:rPr>
          <w:rFonts w:ascii="Arial" w:cs="Arial" w:eastAsia="Arial" w:hAnsi="Arial"/>
          <w:sz w:val="17"/>
          <w:szCs w:val="17"/>
          <w:color w:val="auto"/>
        </w:rPr>
        <w:t>Liens arising out of all presently existing and future division and transfer orders, advance payment agreements, processing contracts, gas 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salt water or other disposal agreements, leases or rental agreements, farm-out and farm-in agreements, exploration and development agreements, and any and all other contracts or agreements covering, arising out, used or useful in connection with or pertaining to the exploration, development, operation, production, sale, use, purchase, exchange, storage, separation, dehydration, treatment, compression, gathering, transportation, processing, improvement, marketing, disposal, or handling of any oil and gas property of any Loan Party;</w:t>
      </w:r>
    </w:p>
    <w:p>
      <w:pPr>
        <w:spacing w:after="0" w:line="177" w:lineRule="exact"/>
        <w:rPr>
          <w:rFonts w:ascii="Arial" w:cs="Arial" w:eastAsia="Arial" w:hAnsi="Arial"/>
          <w:sz w:val="17"/>
          <w:szCs w:val="17"/>
          <w:color w:val="010000"/>
        </w:rPr>
      </w:pPr>
    </w:p>
    <w:p>
      <w:pPr>
        <w:ind w:left="1140" w:hanging="484"/>
        <w:spacing w:after="0"/>
        <w:tabs>
          <w:tab w:leader="none" w:pos="1140"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Liens in respect of Operating Leases;</w:t>
      </w:r>
    </w:p>
    <w:p>
      <w:pPr>
        <w:spacing w:after="0" w:line="225" w:lineRule="exact"/>
        <w:rPr>
          <w:rFonts w:ascii="Arial" w:cs="Arial" w:eastAsia="Arial" w:hAnsi="Arial"/>
          <w:sz w:val="18"/>
          <w:szCs w:val="18"/>
          <w:color w:val="010000"/>
        </w:rPr>
      </w:pPr>
    </w:p>
    <w:p>
      <w:pPr>
        <w:jc w:val="both"/>
        <w:ind w:firstLine="656"/>
        <w:spacing w:after="0" w:line="255" w:lineRule="auto"/>
        <w:tabs>
          <w:tab w:leader="none" w:pos="1110"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 xml:space="preserve">Liens securing Acquired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Lien (A) existed at the time of its acquisition and was not created in anticipation thereof, or (B) was created solely for the purpose of securing Indebtedness representing, or incurred to finance, refinance or refund, the cost (including the cost of construction) of such property or asset, (ii)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and (iii) such Lien shall not secure any additional Indebtedness and obligations;</w:t>
      </w:r>
    </w:p>
    <w:p>
      <w:pPr>
        <w:spacing w:after="0" w:line="192" w:lineRule="exact"/>
        <w:rPr>
          <w:rFonts w:ascii="Arial" w:cs="Arial" w:eastAsia="Arial" w:hAnsi="Arial"/>
          <w:sz w:val="18"/>
          <w:szCs w:val="18"/>
          <w:color w:val="010000"/>
        </w:rPr>
      </w:pPr>
    </w:p>
    <w:p>
      <w:pPr>
        <w:jc w:val="both"/>
        <w:ind w:firstLine="656"/>
        <w:spacing w:after="0" w:line="263" w:lineRule="auto"/>
        <w:tabs>
          <w:tab w:leader="none" w:pos="1155"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83" w:lineRule="exact"/>
        <w:rPr>
          <w:rFonts w:ascii="Arial" w:cs="Arial" w:eastAsia="Arial" w:hAnsi="Arial"/>
          <w:sz w:val="18"/>
          <w:szCs w:val="18"/>
          <w:color w:val="010000"/>
        </w:rPr>
      </w:pPr>
    </w:p>
    <w:p>
      <w:pPr>
        <w:ind w:firstLine="656"/>
        <w:spacing w:after="0" w:line="342" w:lineRule="auto"/>
        <w:tabs>
          <w:tab w:leader="none" w:pos="1127" w:val="left"/>
        </w:tabs>
        <w:numPr>
          <w:ilvl w:val="0"/>
          <w:numId w:val="136"/>
        </w:numPr>
        <w:rPr>
          <w:rFonts w:ascii="Arial" w:cs="Arial" w:eastAsia="Arial" w:hAnsi="Arial"/>
          <w:sz w:val="16"/>
          <w:szCs w:val="16"/>
          <w:color w:val="010000"/>
        </w:rPr>
      </w:pPr>
      <w:r>
        <w:rPr>
          <w:rFonts w:ascii="Arial" w:cs="Arial" w:eastAsia="Arial" w:hAnsi="Arial"/>
          <w:sz w:val="16"/>
          <w:szCs w:val="16"/>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23" w:lineRule="exact"/>
        <w:rPr>
          <w:rFonts w:ascii="Arial" w:cs="Arial" w:eastAsia="Arial" w:hAnsi="Arial"/>
          <w:sz w:val="16"/>
          <w:szCs w:val="16"/>
          <w:color w:val="010000"/>
        </w:rPr>
      </w:pPr>
    </w:p>
    <w:p>
      <w:pPr>
        <w:jc w:val="both"/>
        <w:ind w:firstLine="656"/>
        <w:spacing w:after="0" w:line="263" w:lineRule="auto"/>
        <w:tabs>
          <w:tab w:leader="none" w:pos="1127"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 and</w:t>
      </w:r>
    </w:p>
    <w:p>
      <w:pPr>
        <w:spacing w:after="0" w:line="183" w:lineRule="exact"/>
        <w:rPr>
          <w:rFonts w:ascii="Arial" w:cs="Arial" w:eastAsia="Arial" w:hAnsi="Arial"/>
          <w:sz w:val="18"/>
          <w:szCs w:val="18"/>
          <w:color w:val="010000"/>
        </w:rPr>
      </w:pPr>
    </w:p>
    <w:p>
      <w:pPr>
        <w:ind w:firstLine="656"/>
        <w:spacing w:after="0" w:line="277" w:lineRule="auto"/>
        <w:tabs>
          <w:tab w:leader="none" w:pos="1127"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Liens otherwise not permitted herein which secure obligations in an aggregate principal amount not to exceed at any time outstanding 10% of the Company’s Consolidated Net Tangible Assets.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left="660"/>
        <w:spacing w:after="0"/>
        <w:tabs>
          <w:tab w:leader="none" w:pos="114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5"/>
          <w:szCs w:val="15"/>
          <w:b w:val="1"/>
          <w:bCs w:val="1"/>
          <w:color w:val="auto"/>
        </w:rPr>
        <w:t>Indebtedness</w:t>
      </w:r>
      <w:r>
        <w:rPr>
          <w:rFonts w:ascii="Arial" w:cs="Arial" w:eastAsia="Arial" w:hAnsi="Arial"/>
          <w:sz w:val="15"/>
          <w:szCs w:val="15"/>
          <w:color w:val="auto"/>
        </w:rPr>
        <w:t>. Create, incur, assume or permit to exist any Indebtedness, except:</w:t>
      </w:r>
    </w:p>
    <w:p>
      <w:pPr>
        <w:spacing w:after="0" w:line="229" w:lineRule="exact"/>
        <w:rPr>
          <w:sz w:val="20"/>
          <w:szCs w:val="20"/>
          <w:color w:val="auto"/>
        </w:rPr>
      </w:pPr>
    </w:p>
    <w:p>
      <w:pPr>
        <w:ind w:left="1120" w:hanging="464"/>
        <w:spacing w:after="0"/>
        <w:tabs>
          <w:tab w:leader="none" w:pos="112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010000"/>
        </w:rPr>
      </w:pPr>
    </w:p>
    <w:p>
      <w:pPr>
        <w:ind w:left="1140" w:hanging="484"/>
        <w:spacing w:after="0"/>
        <w:tabs>
          <w:tab w:leader="none" w:pos="114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Indebtedness of any Restricted Person owing to another Restricted Person;</w:t>
      </w:r>
    </w:p>
    <w:p>
      <w:pPr>
        <w:spacing w:after="0" w:line="225" w:lineRule="exact"/>
        <w:rPr>
          <w:rFonts w:ascii="Arial" w:cs="Arial" w:eastAsia="Arial" w:hAnsi="Arial"/>
          <w:sz w:val="18"/>
          <w:szCs w:val="18"/>
          <w:color w:val="010000"/>
        </w:rPr>
      </w:pPr>
    </w:p>
    <w:p>
      <w:pPr>
        <w:ind w:left="1120" w:hanging="464"/>
        <w:spacing w:after="0"/>
        <w:tabs>
          <w:tab w:leader="none" w:pos="112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Acquired Indebtedness;</w:t>
      </w:r>
    </w:p>
    <w:p>
      <w:pPr>
        <w:spacing w:after="0" w:line="225" w:lineRule="exact"/>
        <w:rPr>
          <w:rFonts w:ascii="Arial" w:cs="Arial" w:eastAsia="Arial" w:hAnsi="Arial"/>
          <w:sz w:val="18"/>
          <w:szCs w:val="18"/>
          <w:color w:val="010000"/>
        </w:rPr>
      </w:pPr>
    </w:p>
    <w:p>
      <w:pPr>
        <w:ind w:firstLine="656"/>
        <w:spacing w:after="0" w:line="277" w:lineRule="auto"/>
        <w:tabs>
          <w:tab w:leader="none" w:pos="1127"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Indebtedness of (i) Plains Marketing (and guarantees thereof by its Subsidiaries) and PMCULC (and guarantees thereof by its Subsidiaries) under the Hedged Inventory Credit Agreement; and</w:t>
      </w:r>
    </w:p>
    <w:p>
      <w:pPr>
        <w:spacing w:after="0" w:line="170" w:lineRule="exact"/>
        <w:rPr>
          <w:rFonts w:ascii="Arial" w:cs="Arial" w:eastAsia="Arial" w:hAnsi="Arial"/>
          <w:sz w:val="18"/>
          <w:szCs w:val="18"/>
          <w:color w:val="010000"/>
        </w:rPr>
      </w:pPr>
    </w:p>
    <w:p>
      <w:pPr>
        <w:ind w:firstLine="656"/>
        <w:spacing w:after="0" w:line="277" w:lineRule="auto"/>
        <w:tabs>
          <w:tab w:leader="none" w:pos="1117"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other Indebtedness not otherwise permitted pursuant to the foregoing clauses (a), (b), (c) and (d) in an aggregate principal amount at any time outstanding not to exceed 15% of the Company’s Consolidated Net Tangible Assets.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7.03 Fundamental Changes; Dispositions</w:t>
      </w:r>
      <w:r>
        <w:rPr>
          <w:rFonts w:ascii="Arial" w:cs="Arial" w:eastAsia="Arial" w:hAnsi="Arial"/>
          <w:sz w:val="18"/>
          <w:szCs w:val="18"/>
          <w:color w:val="auto"/>
        </w:rPr>
        <w:t>. Merge, dissolve, liquidate, consolidate with or into another Person, or Dispose of (whether in one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in a series of related transactions) all or substantially all of its assets (whether now owned or hereafter acquired) to or in favor of any Person (including, in each case, pursuant to a Division), except that, so long as no Default exists or, upon giving pro forma effect thereto, would immediately result therefrom:</w:t>
      </w:r>
    </w:p>
    <w:p>
      <w:pPr>
        <w:spacing w:after="0" w:line="184" w:lineRule="exact"/>
        <w:rPr>
          <w:sz w:val="20"/>
          <w:szCs w:val="20"/>
          <w:color w:val="auto"/>
        </w:rPr>
      </w:pPr>
    </w:p>
    <w:p>
      <w:pPr>
        <w:jc w:val="both"/>
        <w:ind w:firstLine="656"/>
        <w:spacing w:after="0" w:line="254" w:lineRule="auto"/>
        <w:tabs>
          <w:tab w:leader="none" w:pos="1117"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 xml:space="preserve">any Significant Restricted Person may merge, consolidate or amalgamate with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such Significant Restricted Person is the Company, the Company shall be the acquiring, surviving or continuing entity, (ii) if such Significant Restricted Person is PMCULC or a Designated Borrower, (A) a Borrower shall be the acquiring, surviving or continuing entity, or (B) the Obligations of such Designated Borrower are assumed by a Borrower pursuant to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11.06(a)</w:t>
      </w:r>
      <w:r>
        <w:rPr>
          <w:rFonts w:ascii="Arial" w:cs="Arial" w:eastAsia="Arial" w:hAnsi="Arial"/>
          <w:sz w:val="18"/>
          <w:szCs w:val="18"/>
          <w:color w:val="auto"/>
        </w:rPr>
        <w:t>, and (iii) as to any other Significant Restricted Person, (x) the Company or such Significant Restricted Person is the acquiring, surviving or continuing entity (or, with respect to any merger, consolidation or amalgamation involving such Significant Restricted Person, the surviving or continuing entity becomes a Significant Restricted Person in the transaction) or (y) such merger, consolidation or amalgamation is in connection with the sale, transfer, lease, exchange or other disposition of all or substantially all of such Significant Restricted Person’s Equity Interests;</w:t>
      </w:r>
    </w:p>
    <w:p>
      <w:pPr>
        <w:spacing w:after="0" w:line="191" w:lineRule="exact"/>
        <w:rPr>
          <w:rFonts w:ascii="Arial" w:cs="Arial" w:eastAsia="Arial" w:hAnsi="Arial"/>
          <w:sz w:val="18"/>
          <w:szCs w:val="18"/>
          <w:color w:val="010000"/>
        </w:rPr>
      </w:pPr>
    </w:p>
    <w:p>
      <w:pPr>
        <w:ind w:left="1140" w:hanging="484"/>
        <w:spacing w:after="0"/>
        <w:tabs>
          <w:tab w:leader="none" w:pos="1140" w:val="left"/>
        </w:tabs>
        <w:numPr>
          <w:ilvl w:val="0"/>
          <w:numId w:val="138"/>
        </w:numPr>
        <w:rPr>
          <w:rFonts w:ascii="Arial" w:cs="Arial" w:eastAsia="Arial" w:hAnsi="Arial"/>
          <w:sz w:val="16"/>
          <w:szCs w:val="16"/>
          <w:color w:val="010000"/>
        </w:rPr>
      </w:pPr>
      <w:r>
        <w:rPr>
          <w:rFonts w:ascii="Arial" w:cs="Arial" w:eastAsia="Arial" w:hAnsi="Arial"/>
          <w:sz w:val="16"/>
          <w:szCs w:val="16"/>
          <w:color w:val="auto"/>
        </w:rPr>
        <w:t>any Significant Restricted Person other than a Borrower may Dispose of all or substantially all of its assets (upon voluntary liquidation or</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otherwise);</w:t>
      </w:r>
    </w:p>
    <w:p>
      <w:pPr>
        <w:spacing w:after="0" w:line="210" w:lineRule="exact"/>
        <w:rPr>
          <w:rFonts w:ascii="Arial" w:cs="Arial" w:eastAsia="Arial" w:hAnsi="Arial"/>
          <w:sz w:val="16"/>
          <w:szCs w:val="16"/>
          <w:color w:val="010000"/>
        </w:rPr>
      </w:pPr>
    </w:p>
    <w:p>
      <w:pPr>
        <w:ind w:right="20" w:firstLine="656"/>
        <w:spacing w:after="0" w:line="277" w:lineRule="auto"/>
        <w:tabs>
          <w:tab w:leader="none" w:pos="1117"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any Significant Restricted Person other than a Borrower may dissolve or liquidate if such dissolution or liquidation results from dispositions not prohibited by this Agreement; and</w:t>
      </w:r>
    </w:p>
    <w:p>
      <w:pPr>
        <w:spacing w:after="0" w:line="170" w:lineRule="exact"/>
        <w:rPr>
          <w:rFonts w:ascii="Arial" w:cs="Arial" w:eastAsia="Arial" w:hAnsi="Arial"/>
          <w:sz w:val="18"/>
          <w:szCs w:val="18"/>
          <w:color w:val="010000"/>
        </w:rPr>
      </w:pPr>
    </w:p>
    <w:p>
      <w:pPr>
        <w:ind w:left="660" w:right="20" w:hanging="4"/>
        <w:spacing w:after="0" w:line="277" w:lineRule="auto"/>
        <w:tabs>
          <w:tab w:leader="none" w:pos="1139"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(i) Plains Marketing and POPB Marketing, and Plains Pipeline and POPB Pipeline, may undertake the divisive mergers pursuant to the “Divisive Merger Agreements” (as such term is defined in the Permian JV Merger Agreement);</w:t>
      </w:r>
    </w:p>
    <w:p>
      <w:pPr>
        <w:spacing w:after="0" w:line="170" w:lineRule="exact"/>
        <w:rPr>
          <w:rFonts w:ascii="Arial" w:cs="Arial" w:eastAsia="Arial" w:hAnsi="Arial"/>
          <w:sz w:val="18"/>
          <w:szCs w:val="18"/>
          <w:color w:val="010000"/>
        </w:rPr>
      </w:pPr>
    </w:p>
    <w:p>
      <w:pPr>
        <w:jc w:val="both"/>
        <w:ind w:left="660" w:firstLine="644"/>
        <w:spacing w:after="0" w:line="263" w:lineRule="auto"/>
        <w:tabs>
          <w:tab w:leader="none" w:pos="18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POPB Marketing and POPB Pipeline may convert to Delaware limited liability companies pursuant to the “Marketing Conversion Certificates” and the “Pipeline Conversion Certificates” (as such terms are defined in the Permian JV Merger Agreement) for the purpose of domesticating POPB Marketing and POPB Pipeline in Delaware;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660" w:firstLine="644"/>
        <w:spacing w:after="0" w:line="277" w:lineRule="auto"/>
        <w:tabs>
          <w:tab w:leader="none" w:pos="18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POPB Marketing and POPB Pipeline may enter into the “Marketing Sub Merger” and the “Pipeline Sub Merger” respectively (as such terms are defined in the Permian JV Merger Agreement).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7.04 Restricted Payments</w:t>
      </w:r>
      <w:r>
        <w:rPr>
          <w:rFonts w:ascii="Arial" w:cs="Arial" w:eastAsia="Arial" w:hAnsi="Arial"/>
          <w:sz w:val="18"/>
          <w:szCs w:val="18"/>
          <w:color w:val="auto"/>
        </w:rPr>
        <w:t>. Declare or make any Restricted Payment unless no Default or Event of Default has occurred and is continuing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after giving effect thereto, would result therefrom.</w:t>
      </w:r>
    </w:p>
    <w:p>
      <w:pPr>
        <w:spacing w:after="0" w:line="1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7.05 Transactions with Affiliates</w:t>
      </w:r>
      <w:r>
        <w:rPr>
          <w:rFonts w:ascii="Arial" w:cs="Arial" w:eastAsia="Arial" w:hAnsi="Arial"/>
          <w:sz w:val="16"/>
          <w:szCs w:val="16"/>
          <w:color w:val="auto"/>
        </w:rPr>
        <w:t>. Enter into any material transaction of any kind with any Affiliate of the Company, whether or not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course of business, other than on terms that are no less favorable to the Company or such Restricted Person as would be obtainable by the Company or such Restricted Person at the time in an arm’s length transaction with a Person other than an Affiliate, provided that the foregoing restriction shall not apply to any of the following transactions: (a) transactions between or among the Company and any of its Subsidiaries or between and among any Subsidiaries; (b) if and to the extent any of them constitute transactions with Affiliates, transactions governed by (x) the Omnibus Agreement by and among PAA GP Holdings, LLC, Plains GP Holdings, L.P., Plains All American GP LLC, Plains AAP, L.P., General Partner and the Company, dated November 15, 2016, as amended and in effect, or (y) the Amended and Restated Administrative Agreement by and among PAA GP Holdings, LLC, Plains GP Holdings, L.P., Plains All American GP LLC, Plains AAP, L.P., General Partner and the Company, dated November 15, 2016, as amended and in effect,</w:t>
      </w:r>
    </w:p>
    <w:p>
      <w:pPr>
        <w:spacing w:after="0" w:line="5" w:lineRule="exact"/>
        <w:rPr>
          <w:sz w:val="20"/>
          <w:szCs w:val="20"/>
          <w:color w:val="auto"/>
        </w:rPr>
      </w:pPr>
    </w:p>
    <w:p>
      <w:pPr>
        <w:jc w:val="both"/>
        <w:ind w:firstLine="8"/>
        <w:spacing w:after="0" w:line="270" w:lineRule="auto"/>
        <w:tabs>
          <w:tab w:leader="none" w:pos="25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employment, equity award, equity option or equity appreciation agreement or plan entered into by the Company or any of its Subsidiaries in the ordinary course of business of the Company or such Subsidiary; (d) transactions effected in accordance with the terms of agreements as in effect on the Closing Date; (e) customary compensation, indemnification and other benefits made available to officers, directors or employees of the Company, any of its Subsidiaries or the General Partner, including reimbursement or advancement of out-of-pocket expenses and provisions of officers’ and directors’ liability insurance; (f) transactions as contemplated by the Company’s agreement of limited partnership; (g) if and to the extent constituting transactions with Affiliates, transactions governed by the Permian JV Transaction Documents as in effect on the Closing Date.</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7.06 Burdensome Agreements</w:t>
      </w:r>
      <w:r>
        <w:rPr>
          <w:rFonts w:ascii="Arial" w:cs="Arial" w:eastAsia="Arial" w:hAnsi="Arial"/>
          <w:sz w:val="18"/>
          <w:szCs w:val="18"/>
          <w:color w:val="auto"/>
        </w:rPr>
        <w:t>. Except as expressly provided for in the Loan Documents, as described in any Schedule hereto or pursuant to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 Exception, the substance of which, in detail reasonably satisfactory to the Administrative Agent, is promptly reported to Administrative Agent, enter into any Contractual Obligation that limits the ability (a) of any Significant Restricted Person to make Restricted Payments to the Company or otherwise to transfer property to the Company, (b) of any Significant Restricted Person to redeem Equity Interests held in it by the Company, (c) of any Significant Restricted Person to repay loans and other Indebtedness owing by it to the Company, or (d) of any Significant Restricted Person to guarantee the payment of Indebtedness of the Company.</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7.07 Use of Proceeds</w:t>
      </w:r>
      <w:r>
        <w:rPr>
          <w:rFonts w:ascii="Arial" w:cs="Arial" w:eastAsia="Arial" w:hAnsi="Arial"/>
          <w:sz w:val="17"/>
          <w:szCs w:val="17"/>
          <w:color w:val="auto"/>
        </w:rPr>
        <w:t>. Use the proceeds of any Loans, whether directly or indirectly, and whether immediately, incidentally or ultimately, (a)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Company or its Subsidiaries, or (d) in furtherance of an offer, payment, promise to pay, or authorization of the payment or giving of money, or anything else of value, to any Person in violation of any Anti-Corruption 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48"/>
        <w:spacing w:after="0" w:line="312" w:lineRule="auto"/>
        <w:rPr>
          <w:sz w:val="20"/>
          <w:szCs w:val="20"/>
          <w:color w:val="auto"/>
        </w:rPr>
      </w:pPr>
      <w:r>
        <w:rPr>
          <w:rFonts w:ascii="Arial" w:cs="Arial" w:eastAsia="Arial" w:hAnsi="Arial"/>
          <w:sz w:val="17"/>
          <w:szCs w:val="17"/>
          <w:b w:val="1"/>
          <w:bCs w:val="1"/>
          <w:color w:val="auto"/>
        </w:rPr>
        <w:t>7.08 Consolidated Leverage Ratio</w:t>
      </w:r>
      <w:r>
        <w:rPr>
          <w:rFonts w:ascii="Arial" w:cs="Arial" w:eastAsia="Arial" w:hAnsi="Arial"/>
          <w:sz w:val="17"/>
          <w:szCs w:val="17"/>
          <w:color w:val="auto"/>
        </w:rPr>
        <w:t>. Permit the Consolidated Leverage Ratio as of the end of any fiscal quarter of the Company to be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than the ratio set forth below opposite such period, calculated, with respect to Consolidated EBITDA, on a trailing four-quarter basis:</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6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ind w:left="620"/>
              <w:spacing w:after="0"/>
              <w:rPr>
                <w:sz w:val="20"/>
                <w:szCs w:val="20"/>
                <w:color w:val="auto"/>
              </w:rPr>
            </w:pPr>
            <w:r>
              <w:rPr>
                <w:rFonts w:ascii="Arial" w:cs="Arial" w:eastAsia="Arial" w:hAnsi="Arial"/>
                <w:sz w:val="18"/>
                <w:szCs w:val="18"/>
                <w:b w:val="1"/>
                <w:bCs w:val="1"/>
                <w:color w:val="auto"/>
              </w:rPr>
              <w:t>Consolidated</w:t>
            </w:r>
          </w:p>
        </w:tc>
      </w:tr>
      <w:tr>
        <w:trPr>
          <w:trHeight w:val="234"/>
        </w:trPr>
        <w:tc>
          <w:tcPr>
            <w:tcW w:w="6660" w:type="dxa"/>
            <w:vAlign w:val="bottom"/>
            <w:gridSpan w:val="2"/>
          </w:tcPr>
          <w:p>
            <w:pPr>
              <w:ind w:left="2540"/>
              <w:spacing w:after="0"/>
              <w:rPr>
                <w:sz w:val="20"/>
                <w:szCs w:val="20"/>
                <w:color w:val="auto"/>
              </w:rPr>
            </w:pPr>
            <w:r>
              <w:rPr>
                <w:rFonts w:ascii="Arial" w:cs="Arial" w:eastAsia="Arial" w:hAnsi="Arial"/>
                <w:sz w:val="18"/>
                <w:szCs w:val="18"/>
                <w:b w:val="1"/>
                <w:bCs w:val="1"/>
                <w:color w:val="auto"/>
              </w:rPr>
              <w:t>Applicable Period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Leverage Ratio</w:t>
            </w:r>
          </w:p>
        </w:tc>
      </w:tr>
      <w:tr>
        <w:trPr>
          <w:trHeight w:val="195"/>
        </w:trPr>
        <w:tc>
          <w:tcPr>
            <w:tcW w:w="6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 During an Acquisition Period</w:t>
            </w:r>
          </w:p>
        </w:tc>
        <w:tc>
          <w:tcPr>
            <w:tcW w:w="20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5.50:1.0</w:t>
            </w:r>
          </w:p>
        </w:tc>
      </w:tr>
      <w:tr>
        <w:trPr>
          <w:trHeight w:val="230"/>
        </w:trPr>
        <w:tc>
          <w:tcPr>
            <w:tcW w:w="6660" w:type="dxa"/>
            <w:vAlign w:val="bottom"/>
            <w:gridSpan w:val="2"/>
          </w:tcPr>
          <w:p>
            <w:pPr>
              <w:ind w:left="100"/>
              <w:spacing w:after="0"/>
              <w:rPr>
                <w:sz w:val="20"/>
                <w:szCs w:val="20"/>
                <w:color w:val="auto"/>
              </w:rPr>
            </w:pPr>
            <w:r>
              <w:rPr>
                <w:rFonts w:ascii="Arial" w:cs="Arial" w:eastAsia="Arial" w:hAnsi="Arial"/>
                <w:sz w:val="18"/>
                <w:szCs w:val="18"/>
                <w:color w:val="auto"/>
              </w:rPr>
              <w:t>(ii) Other than during an Acquisition Period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5.00:1.0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Consolidated EBITDA may include, at the Company’s option any Material Project EBITDA Adjustments as provided below, limited in each case with respect to any non-wholly-owned Subsidiary or Qualifying JV Entity to a proportional amount of such adjustments equal to the Company’s direct or indirect ownership interest therein.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Material Project EBITDA Adjustments</w:t>
      </w:r>
      <w:r>
        <w:rPr>
          <w:rFonts w:ascii="Arial" w:cs="Arial" w:eastAsia="Arial" w:hAnsi="Arial"/>
          <w:sz w:val="18"/>
          <w:szCs w:val="18"/>
          <w:color w:val="auto"/>
        </w:rPr>
        <w:t>” means, with respect to the construction or expansion of any capital project of the Company, any of its Subsidiaries or any Qualifying JV Entity (excluding, for the avoidance of doubt, Unrestricted Subsidiaries), the aggregate capital cost of which (inclusive of capital costs expended prior to the acquisition thereof) is reasonably expected by Company to exceed, or exceeds, $50,000,000 (a “</w:t>
      </w:r>
      <w:r>
        <w:rPr>
          <w:rFonts w:ascii="Arial" w:cs="Arial" w:eastAsia="Arial" w:hAnsi="Arial"/>
          <w:sz w:val="18"/>
          <w:szCs w:val="18"/>
          <w:u w:val="single" w:color="auto"/>
          <w:color w:val="auto"/>
        </w:rPr>
        <w:t>Material Project</w:t>
      </w:r>
      <w:r>
        <w:rPr>
          <w:rFonts w:ascii="Arial" w:cs="Arial" w:eastAsia="Arial" w:hAnsi="Arial"/>
          <w:sz w:val="18"/>
          <w:szCs w:val="18"/>
          <w:color w:val="auto"/>
        </w:rPr>
        <w:t>”):</w:t>
      </w:r>
    </w:p>
    <w:p>
      <w:pPr>
        <w:spacing w:after="0" w:line="187" w:lineRule="exact"/>
        <w:rPr>
          <w:sz w:val="20"/>
          <w:szCs w:val="20"/>
          <w:color w:val="auto"/>
        </w:rPr>
      </w:pPr>
    </w:p>
    <w:p>
      <w:pPr>
        <w:jc w:val="both"/>
        <w:ind w:left="660" w:firstLine="644"/>
        <w:spacing w:after="0" w:line="268" w:lineRule="auto"/>
        <w:tabs>
          <w:tab w:leader="none" w:pos="182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prior to the date on which a Material Project has achieved commercial operation (the “</w:t>
      </w:r>
      <w:r>
        <w:rPr>
          <w:rFonts w:ascii="Arial" w:cs="Arial" w:eastAsia="Arial" w:hAnsi="Arial"/>
          <w:sz w:val="17"/>
          <w:szCs w:val="17"/>
          <w:u w:val="single" w:color="auto"/>
          <w:color w:val="auto"/>
        </w:rPr>
        <w:t>Commercial Operation Date</w:t>
      </w:r>
      <w:r>
        <w:rPr>
          <w:rFonts w:ascii="Arial" w:cs="Arial" w:eastAsia="Arial" w:hAnsi="Arial"/>
          <w:sz w:val="17"/>
          <w:szCs w:val="17"/>
          <w:color w:val="auto"/>
        </w:rPr>
        <w:t xml:space="preserve">”) (but including the fiscal quarter in which such Commercial Operation Date occurs), a percentage (based on the then-current completion percentage of such Material Project) of an amount to be approved by the Administrative Agent as the projected Consolidated EBITDA attributable to such Material Project for the first 12-month period following the scheduled Commercial Operation Date of such Material Project, such amount based only on (i) projected revenues from firm fixed-fee contracts (subject to adjustments for customer creditworthiness) and tariffs relating to such Material Project, less expenses, (ii) projected Commercial Operations Date (to be no more than 18 months from the fiscal quarter in which such Material Project EBITDA Adjustment is initially proposed), and (iii) other factors reasonably deemed appropriate by the Administrative Agent, which may, at Company’s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Arial" w:cs="Arial" w:eastAsia="Arial" w:hAnsi="Arial"/>
          <w:sz w:val="17"/>
          <w:szCs w:val="17"/>
          <w:b w:val="1"/>
          <w:bCs w:val="1"/>
          <w:color w:val="auto"/>
        </w:rPr>
        <w:t>,</w:t>
      </w:r>
      <w:r>
        <w:rPr>
          <w:rFonts w:ascii="Arial" w:cs="Arial" w:eastAsia="Arial" w:hAnsi="Arial"/>
          <w:sz w:val="17"/>
          <w:szCs w:val="17"/>
          <w:color w:val="auto"/>
        </w:rPr>
        <w:t xml:space="preserve"> (iii) longer than 180 days but not more than 270 days, 50%, (iv) longer than 270 days but not more than 365 days, 75%, and (v) longer than 365 days, 100%;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left="660" w:firstLine="644"/>
        <w:spacing w:after="0" w:line="259" w:lineRule="auto"/>
        <w:tabs>
          <w:tab w:leader="none" w:pos="181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for the balance of the four full fiscal quarter period following such Commercial Operation Date, which may, at Company’s option, be added to actual Consolidated EBITDA for such fiscal quarters; and</w:t>
      </w:r>
    </w:p>
    <w:p>
      <w:pPr>
        <w:spacing w:after="0" w:line="186" w:lineRule="exact"/>
        <w:rPr>
          <w:rFonts w:ascii="Arial" w:cs="Arial" w:eastAsia="Arial" w:hAnsi="Arial"/>
          <w:sz w:val="18"/>
          <w:szCs w:val="18"/>
          <w:color w:val="auto"/>
        </w:rPr>
      </w:pPr>
    </w:p>
    <w:p>
      <w:pPr>
        <w:jc w:val="both"/>
        <w:ind w:left="660" w:firstLine="644"/>
        <w:spacing w:after="0" w:line="268" w:lineRule="auto"/>
        <w:tabs>
          <w:tab w:leader="none" w:pos="181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 xml:space="preserve">the aggregate amount of (i) all Material Project EBITDA Adjustments (including any Material Project EBITDA Adjustments attributable to Material Projects of Qualifying JV Entities) during any four-quarter period ending on the relevant date of determination shall be limited in the aggregate to 15% of the total actual Consolidated EBITDA for such period and (ii) all Material Project EBITDA Adjustments attributable to Material Projects of Qualifying JV Entities during any such period shall be limited to 7.5% of the total actual Consolidated EBITDA for such period; provided, that total actual Consolidated EBITDA shall, in the case of each of the immediately preceding </w:t>
      </w:r>
      <w:r>
        <w:rPr>
          <w:rFonts w:ascii="Arial" w:cs="Arial" w:eastAsia="Arial" w:hAnsi="Arial"/>
          <w:sz w:val="17"/>
          <w:szCs w:val="17"/>
          <w:u w:val="single" w:color="auto"/>
          <w:color w:val="auto"/>
        </w:rPr>
        <w:t>subclauses</w:t>
      </w:r>
    </w:p>
    <w:p>
      <w:pPr>
        <w:spacing w:after="0" w:line="2" w:lineRule="exact"/>
        <w:rPr>
          <w:rFonts w:ascii="Arial" w:cs="Arial" w:eastAsia="Arial" w:hAnsi="Arial"/>
          <w:sz w:val="17"/>
          <w:szCs w:val="17"/>
          <w:color w:val="auto"/>
        </w:rPr>
      </w:pPr>
    </w:p>
    <w:p>
      <w:pPr>
        <w:ind w:left="880" w:hanging="224"/>
        <w:spacing w:after="0"/>
        <w:tabs>
          <w:tab w:leader="none" w:pos="880"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(ii)</w:t>
      </w:r>
      <w:r>
        <w:rPr>
          <w:rFonts w:ascii="Arial" w:cs="Arial" w:eastAsia="Arial" w:hAnsi="Arial"/>
          <w:sz w:val="18"/>
          <w:szCs w:val="18"/>
          <w:color w:val="auto"/>
        </w:rPr>
        <w:t>, be determined without including any Material Project EBITDA Adjustments.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addition, for purposes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Hybrid Securities up to an aggregate principal amount of 15% of Consolidated Total Capitalization shall be excluded from Consolidated Funded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Deliverables for Material Project EBITDA Adjustments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shall, no later than three Business Days (or such shorter period as permitted by the Administrative Agent) prior to its delivery of a Compliance Certificate for any fiscal quarter for which the Company desires to include Material Project EBITDA Adjustments, deliver to Administrative Agent, in form and substance reasonably satisfactory to Administrative Agent and certified by a financial officer of the Company, written pro forma projections of Consolidated EBITDA attributable to such Material Project EBITDA Adjustments, and such other related information and documentation reasonably requested by and reasonably satisfactory to Administrative Agent in all respects, including with respect to Material Project EBITDA Adjustments, certification as to Material Project completion percentage, expected Commercial Operations Date and no material delays with respect thereto.</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7.09 Unrestricted Subsidiaries</w:t>
      </w:r>
      <w:r>
        <w:rPr>
          <w:rFonts w:ascii="Arial" w:cs="Arial" w:eastAsia="Arial" w:hAnsi="Arial"/>
          <w:sz w:val="18"/>
          <w:szCs w:val="18"/>
          <w:color w:val="auto"/>
        </w:rPr>
        <w:t>. So long as no Default or Event of Default has occurred and is continuing, and immediately after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designation on a pro forma basis, no Default or Event of Default would result therefrom, the Company or any wholly-owned Subsidiary of the Company may designate one or more Subsidiaries as Unrestricted Subsidiaries (each such Subsidiary, and each of its Subsidiaries, an “Unrestricted Subsidiary”), which Unrestricted Subsidiaries shall be subject to the following:</w:t>
      </w:r>
    </w:p>
    <w:p>
      <w:pPr>
        <w:spacing w:after="0" w:line="184" w:lineRule="exact"/>
        <w:rPr>
          <w:sz w:val="20"/>
          <w:szCs w:val="20"/>
          <w:color w:val="auto"/>
        </w:rPr>
      </w:pPr>
    </w:p>
    <w:p>
      <w:pPr>
        <w:jc w:val="both"/>
        <w:ind w:firstLine="656"/>
        <w:spacing w:after="0" w:line="259" w:lineRule="auto"/>
        <w:tabs>
          <w:tab w:leader="none" w:pos="1117"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 xml:space="preserve">No Unrestricted Subsidiary shall be deemed to be a “Restricted Person” or a “Subsidiary” of the Company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656"/>
        <w:spacing w:after="0" w:line="293" w:lineRule="auto"/>
        <w:tabs>
          <w:tab w:leader="none" w:pos="1127" w:val="left"/>
        </w:tabs>
        <w:numPr>
          <w:ilvl w:val="0"/>
          <w:numId w:val="145"/>
        </w:numPr>
        <w:rPr>
          <w:rFonts w:ascii="Arial" w:cs="Arial" w:eastAsia="Arial" w:hAnsi="Arial"/>
          <w:sz w:val="16"/>
          <w:szCs w:val="16"/>
          <w:color w:val="010000"/>
        </w:rPr>
      </w:pPr>
      <w:r>
        <w:rPr>
          <w:rFonts w:ascii="Arial" w:cs="Arial" w:eastAsia="Arial" w:hAnsi="Arial"/>
          <w:sz w:val="16"/>
          <w:szCs w:val="16"/>
          <w:color w:val="auto"/>
        </w:rPr>
        <w:t xml:space="preserve">No Restricted Person shall guarantee or otherwise become liable in respect of any Indebtedness of, grant any Lien on any of its property (other than its Equity Interests in an Unrestricted Subsidiary)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Arial" w:cs="Arial" w:eastAsia="Arial" w:hAnsi="Arial"/>
          <w:sz w:val="16"/>
          <w:szCs w:val="16"/>
          <w:u w:val="single" w:color="auto"/>
          <w:color w:val="auto"/>
        </w:rPr>
        <w:t>provided</w:t>
      </w:r>
      <w:r>
        <w:rPr>
          <w:rFonts w:ascii="Arial" w:cs="Arial" w:eastAsia="Arial" w:hAnsi="Arial"/>
          <w:sz w:val="16"/>
          <w:szCs w:val="16"/>
          <w:color w:val="auto"/>
        </w:rPr>
        <w:t>, Restricted Persons may guarantee trade accounts payable of Unrestricted Subsidiaries that arise in the ordinary course of business in an amount not to exceed five percent (5%) of the Company’s Consolidated Net Tangible Assets.</w:t>
      </w:r>
    </w:p>
    <w:p>
      <w:pPr>
        <w:spacing w:after="0" w:line="164" w:lineRule="exact"/>
        <w:rPr>
          <w:rFonts w:ascii="Arial" w:cs="Arial" w:eastAsia="Arial" w:hAnsi="Arial"/>
          <w:sz w:val="16"/>
          <w:szCs w:val="16"/>
          <w:color w:val="010000"/>
        </w:rPr>
      </w:pPr>
    </w:p>
    <w:p>
      <w:pPr>
        <w:ind w:firstLine="656"/>
        <w:spacing w:after="0" w:line="277" w:lineRule="auto"/>
        <w:tabs>
          <w:tab w:leader="none" w:pos="1117"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The Company shall at all times maintain, as between Restricted Persons and Unrestricted Subsidiaries, the separate existence of each Unrestricted Subsidiary.</w:t>
      </w:r>
    </w:p>
    <w:p>
      <w:pPr>
        <w:spacing w:after="0" w:line="170" w:lineRule="exact"/>
        <w:rPr>
          <w:rFonts w:ascii="Arial" w:cs="Arial" w:eastAsia="Arial" w:hAnsi="Arial"/>
          <w:sz w:val="18"/>
          <w:szCs w:val="18"/>
          <w:color w:val="010000"/>
        </w:rPr>
      </w:pPr>
    </w:p>
    <w:p>
      <w:pPr>
        <w:jc w:val="both"/>
        <w:ind w:firstLine="656"/>
        <w:spacing w:after="0" w:line="259" w:lineRule="auto"/>
        <w:tabs>
          <w:tab w:leader="none" w:pos="1127"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 xml:space="preserve">Restricted Persons shall notify each Lender Party, not later than five (5) Business Days after any executive officer of Restricted Persons has 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Effect, stating that such notice is being given pursuant to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Company may designate any Unrestricted Subsidiary to become a Restricted Person if a Default or Event of Default is not continuing, such designation would not, immediately after giving effect thereto, result in a Default or an Event of Default, and immediately thereafter such Subsidiary has no outstanding Indebtedness other than Indebtedness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Immediately thereafter, Company shall promptly notify Administrative Agent of such designation and provide to it an officer’s certificate that such designation was made in compliance with this </w:t>
      </w:r>
      <w:r>
        <w:rPr>
          <w:rFonts w:ascii="Arial" w:cs="Arial" w:eastAsia="Arial" w:hAnsi="Arial"/>
          <w:sz w:val="16"/>
          <w:szCs w:val="16"/>
          <w:u w:val="single" w:color="auto"/>
          <w:color w:val="auto"/>
        </w:rPr>
        <w:t>Section 7.09</w:t>
      </w:r>
      <w:r>
        <w:rPr>
          <w:rFonts w:ascii="Arial" w:cs="Arial" w:eastAsia="Arial" w:hAnsi="Arial"/>
          <w:sz w:val="16"/>
          <w:szCs w:val="16"/>
          <w:color w:val="auto"/>
        </w:rPr>
        <w:t>.</w:t>
      </w:r>
    </w:p>
    <w:p>
      <w:pPr>
        <w:spacing w:after="0" w:line="15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ARTICLE VIII. EVENTS OF DEFAULT AND REMEDIES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Any of the following shall constitute an Event of Default:</w:t>
      </w:r>
    </w:p>
    <w:p>
      <w:pPr>
        <w:spacing w:after="0" w:line="229" w:lineRule="exact"/>
        <w:rPr>
          <w:sz w:val="20"/>
          <w:szCs w:val="20"/>
          <w:color w:val="auto"/>
        </w:rPr>
      </w:pPr>
    </w:p>
    <w:p>
      <w:pPr>
        <w:jc w:val="both"/>
        <w:ind w:firstLine="656"/>
        <w:spacing w:after="0" w:line="259" w:lineRule="auto"/>
        <w:tabs>
          <w:tab w:leader="none" w:pos="1117" w:val="left"/>
        </w:tabs>
        <w:numPr>
          <w:ilvl w:val="0"/>
          <w:numId w:val="146"/>
        </w:numPr>
        <w:rPr>
          <w:rFonts w:ascii="Arial" w:cs="Arial" w:eastAsia="Arial" w:hAnsi="Arial"/>
          <w:sz w:val="18"/>
          <w:szCs w:val="18"/>
          <w:color w:val="010000"/>
        </w:rPr>
      </w:pPr>
      <w:r>
        <w:rPr>
          <w:rFonts w:ascii="Arial" w:cs="Arial" w:eastAsia="Arial" w:hAnsi="Arial"/>
          <w:sz w:val="18"/>
          <w:szCs w:val="18"/>
          <w:u w:val="single" w:color="auto"/>
          <w:color w:val="auto"/>
        </w:rPr>
        <w:t>Non-Payment</w:t>
      </w:r>
      <w:r>
        <w:rPr>
          <w:rFonts w:ascii="Arial" w:cs="Arial" w:eastAsia="Arial" w:hAnsi="Arial"/>
          <w:sz w:val="18"/>
          <w:szCs w:val="18"/>
          <w:color w:val="auto"/>
        </w:rPr>
        <w:t xml:space="preserve">. Any Borrower or any other Loan Party fails to pay (i) when due and payable, any amount of principal of any Loan or any L/C Obligation, or (ii) within three Business Days after the same becomes due and payable, any interest on any Loan or on any L/C Obligation, or any fee due hereunder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or (iii) within five Business Days after the same becomes due, any other amount payable hereunder or under any other Loan Document; or</w:t>
      </w:r>
    </w:p>
    <w:p>
      <w:pPr>
        <w:spacing w:after="0" w:line="186" w:lineRule="exact"/>
        <w:rPr>
          <w:rFonts w:ascii="Arial" w:cs="Arial" w:eastAsia="Arial" w:hAnsi="Arial"/>
          <w:sz w:val="18"/>
          <w:szCs w:val="18"/>
          <w:color w:val="010000"/>
        </w:rPr>
      </w:pPr>
    </w:p>
    <w:p>
      <w:pPr>
        <w:ind w:left="1140" w:hanging="484"/>
        <w:spacing w:after="0"/>
        <w:tabs>
          <w:tab w:leader="none" w:pos="1140" w:val="left"/>
        </w:tabs>
        <w:numPr>
          <w:ilvl w:val="0"/>
          <w:numId w:val="146"/>
        </w:numPr>
        <w:rPr>
          <w:rFonts w:ascii="Arial" w:cs="Arial" w:eastAsia="Arial" w:hAnsi="Arial"/>
          <w:sz w:val="17"/>
          <w:szCs w:val="17"/>
          <w:color w:val="010000"/>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The Company fails to perform or observe any term, covenant or agreement contained in any of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ind w:firstLine="656"/>
        <w:spacing w:after="0" w:line="263" w:lineRule="auto"/>
        <w:tabs>
          <w:tab w:leader="none" w:pos="1117" w:val="left"/>
        </w:tabs>
        <w:numPr>
          <w:ilvl w:val="0"/>
          <w:numId w:val="147"/>
        </w:numPr>
        <w:rPr>
          <w:rFonts w:ascii="Arial" w:cs="Arial" w:eastAsia="Arial" w:hAnsi="Arial"/>
          <w:sz w:val="18"/>
          <w:szCs w:val="18"/>
          <w:color w:val="010000"/>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Company; or</w:t>
      </w:r>
    </w:p>
    <w:p>
      <w:pPr>
        <w:spacing w:after="0" w:line="183" w:lineRule="exact"/>
        <w:rPr>
          <w:rFonts w:ascii="Arial" w:cs="Arial" w:eastAsia="Arial" w:hAnsi="Arial"/>
          <w:sz w:val="18"/>
          <w:szCs w:val="18"/>
          <w:color w:val="010000"/>
        </w:rPr>
      </w:pPr>
    </w:p>
    <w:p>
      <w:pPr>
        <w:ind w:right="20" w:firstLine="656"/>
        <w:spacing w:after="0" w:line="277" w:lineRule="auto"/>
        <w:tabs>
          <w:tab w:leader="none" w:pos="1127" w:val="left"/>
        </w:tabs>
        <w:numPr>
          <w:ilvl w:val="0"/>
          <w:numId w:val="147"/>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or deemed made by or on behalf of the Company or any other Loan Party herein or in any other Loan Document shall be incorrect when made or deemed made in any material respect; or</w:t>
      </w:r>
    </w:p>
    <w:p>
      <w:pPr>
        <w:spacing w:after="0" w:line="170" w:lineRule="exact"/>
        <w:rPr>
          <w:rFonts w:ascii="Arial" w:cs="Arial" w:eastAsia="Arial" w:hAnsi="Arial"/>
          <w:sz w:val="18"/>
          <w:szCs w:val="18"/>
          <w:color w:val="010000"/>
        </w:rPr>
      </w:pPr>
    </w:p>
    <w:p>
      <w:pPr>
        <w:jc w:val="both"/>
        <w:ind w:firstLine="656"/>
        <w:spacing w:after="0" w:line="285" w:lineRule="auto"/>
        <w:tabs>
          <w:tab w:leader="none" w:pos="1117" w:val="left"/>
        </w:tabs>
        <w:numPr>
          <w:ilvl w:val="0"/>
          <w:numId w:val="147"/>
        </w:numPr>
        <w:rPr>
          <w:rFonts w:ascii="Arial" w:cs="Arial" w:eastAsia="Arial" w:hAnsi="Arial"/>
          <w:sz w:val="16"/>
          <w:szCs w:val="16"/>
          <w:color w:val="010000"/>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Company or any Restricted Person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the Dollar Equivalent of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such Restricted Person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(1) the Swap Termination Value owed by the Company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such Restricted Person as required by GAAP), (2) after giving effect to any applicable grace, cure, extension, forbearance or similar period, the effect of such Early Termination Date is to cause such Swap Termination Value to become due, and (3) such Swap Termination Value has not been paid when due; or</w:t>
      </w:r>
    </w:p>
    <w:p>
      <w:pPr>
        <w:spacing w:after="0" w:line="171" w:lineRule="exact"/>
        <w:rPr>
          <w:rFonts w:ascii="Arial" w:cs="Arial" w:eastAsia="Arial" w:hAnsi="Arial"/>
          <w:sz w:val="16"/>
          <w:szCs w:val="16"/>
          <w:color w:val="010000"/>
        </w:rPr>
      </w:pPr>
    </w:p>
    <w:p>
      <w:pPr>
        <w:jc w:val="both"/>
        <w:ind w:firstLine="656"/>
        <w:spacing w:after="0" w:line="272" w:lineRule="auto"/>
        <w:tabs>
          <w:tab w:leader="none" w:pos="1120" w:val="left"/>
        </w:tabs>
        <w:numPr>
          <w:ilvl w:val="0"/>
          <w:numId w:val="147"/>
        </w:numPr>
        <w:rPr>
          <w:rFonts w:ascii="Arial" w:cs="Arial" w:eastAsia="Arial" w:hAnsi="Arial"/>
          <w:sz w:val="17"/>
          <w:szCs w:val="17"/>
          <w:color w:val="010000"/>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xml:space="preserve"> Any Loan Party, any other Significant Restricted Person, GP LLC, Plains AAP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656"/>
        <w:spacing w:after="0" w:line="259" w:lineRule="auto"/>
        <w:tabs>
          <w:tab w:leader="none" w:pos="1127"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The Company or any other Significant Restricted Person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186" w:lineRule="exact"/>
        <w:rPr>
          <w:rFonts w:ascii="Arial" w:cs="Arial" w:eastAsia="Arial" w:hAnsi="Arial"/>
          <w:sz w:val="18"/>
          <w:szCs w:val="18"/>
          <w:color w:val="010000"/>
        </w:rPr>
      </w:pPr>
    </w:p>
    <w:p>
      <w:pPr>
        <w:jc w:val="both"/>
        <w:ind w:firstLine="656"/>
        <w:spacing w:after="0" w:line="255" w:lineRule="auto"/>
        <w:tabs>
          <w:tab w:leader="none" w:pos="1127"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Significant Restricted Person a final judgment for the payment of money in an aggregate amount (as to all such judgments or orders), the Dollar Equivalent of which exceeds the Threshold Amount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60 consecutive days after the entry of such judgment during which a discharge, stay of enforcement of such judgment, by reason of a pending appeal or otherwise, is not in effect; or</w:t>
      </w:r>
    </w:p>
    <w:p>
      <w:pPr>
        <w:spacing w:after="0" w:line="192" w:lineRule="exact"/>
        <w:rPr>
          <w:rFonts w:ascii="Arial" w:cs="Arial" w:eastAsia="Arial" w:hAnsi="Arial"/>
          <w:sz w:val="18"/>
          <w:szCs w:val="18"/>
          <w:color w:val="010000"/>
        </w:rPr>
      </w:pPr>
    </w:p>
    <w:p>
      <w:pPr>
        <w:jc w:val="both"/>
        <w:ind w:firstLine="656"/>
        <w:spacing w:after="0" w:line="257" w:lineRule="auto"/>
        <w:tabs>
          <w:tab w:leader="none" w:pos="1110"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Company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7" w:lineRule="exact"/>
        <w:rPr>
          <w:rFonts w:ascii="Arial" w:cs="Arial" w:eastAsia="Arial" w:hAnsi="Arial"/>
          <w:sz w:val="18"/>
          <w:szCs w:val="18"/>
          <w:color w:val="010000"/>
        </w:rPr>
      </w:pPr>
    </w:p>
    <w:p>
      <w:pPr>
        <w:jc w:val="both"/>
        <w:ind w:firstLine="656"/>
        <w:spacing w:after="0" w:line="259" w:lineRule="auto"/>
        <w:tabs>
          <w:tab w:leader="none" w:pos="1110"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or satisfaction in full of all the payment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6" w:lineRule="exact"/>
        <w:rPr>
          <w:rFonts w:ascii="Arial" w:cs="Arial" w:eastAsia="Arial" w:hAnsi="Arial"/>
          <w:sz w:val="18"/>
          <w:szCs w:val="18"/>
          <w:color w:val="010000"/>
        </w:rPr>
      </w:pPr>
    </w:p>
    <w:p>
      <w:pPr>
        <w:ind w:left="1140" w:hanging="484"/>
        <w:spacing w:after="0"/>
        <w:tabs>
          <w:tab w:leader="none" w:pos="1140"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w:t>
      </w:r>
      <w:r>
        <w:rPr>
          <w:rFonts w:ascii="Arial" w:cs="Arial" w:eastAsia="Arial" w:hAnsi="Arial"/>
          <w:sz w:val="18"/>
          <w:szCs w:val="18"/>
          <w:b w:val="1"/>
          <w:bCs w:val="1"/>
          <w:color w:val="auto"/>
        </w:rPr>
        <w:t xml:space="preserve"> </w:t>
      </w:r>
      <w:r>
        <w:rPr>
          <w:rFonts w:ascii="Arial" w:cs="Arial" w:eastAsia="Arial" w:hAnsi="Arial"/>
          <w:sz w:val="18"/>
          <w:szCs w:val="18"/>
          <w:color w:val="auto"/>
        </w:rPr>
        <w:t>may, with the consent of, the Required Lenders, take any or all of the following actions:</w:t>
      </w:r>
    </w:p>
    <w:p>
      <w:pPr>
        <w:spacing w:after="0" w:line="166" w:lineRule="exact"/>
        <w:rPr>
          <w:sz w:val="20"/>
          <w:szCs w:val="20"/>
          <w:color w:val="auto"/>
        </w:rPr>
      </w:pPr>
    </w:p>
    <w:p>
      <w:pPr>
        <w:ind w:firstLine="656"/>
        <w:spacing w:after="0" w:line="342" w:lineRule="auto"/>
        <w:tabs>
          <w:tab w:leader="none" w:pos="1117" w:val="left"/>
        </w:tabs>
        <w:numPr>
          <w:ilvl w:val="0"/>
          <w:numId w:val="149"/>
        </w:numPr>
        <w:rPr>
          <w:rFonts w:ascii="Arial" w:cs="Arial" w:eastAsia="Arial" w:hAnsi="Arial"/>
          <w:sz w:val="16"/>
          <w:szCs w:val="16"/>
          <w:color w:val="010000"/>
        </w:rPr>
      </w:pPr>
      <w:r>
        <w:rPr>
          <w:rFonts w:ascii="Arial" w:cs="Arial" w:eastAsia="Arial" w:hAnsi="Arial"/>
          <w:sz w:val="16"/>
          <w:szCs w:val="16"/>
          <w:color w:val="auto"/>
        </w:rPr>
        <w:t>declare the commitment of each Lender to make Loans and any obligation of the L/C Issuers to make L/C Credit Extensions to be terminated or suspended (as the case may be), whereupon such commitments and obligation shall be terminated or suspended (as the case may be);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firstLine="656"/>
        <w:spacing w:after="0" w:line="263" w:lineRule="auto"/>
        <w:tabs>
          <w:tab w:leader="none" w:pos="1127"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3" w:lineRule="exact"/>
        <w:rPr>
          <w:rFonts w:ascii="Arial" w:cs="Arial" w:eastAsia="Arial" w:hAnsi="Arial"/>
          <w:sz w:val="18"/>
          <w:szCs w:val="18"/>
          <w:color w:val="010000"/>
        </w:rPr>
      </w:pPr>
    </w:p>
    <w:p>
      <w:pPr>
        <w:ind w:left="1120" w:hanging="464"/>
        <w:spacing w:after="0"/>
        <w:tabs>
          <w:tab w:leader="none" w:pos="1120" w:val="left"/>
        </w:tabs>
        <w:numPr>
          <w:ilvl w:val="0"/>
          <w:numId w:val="150"/>
        </w:numPr>
        <w:rPr>
          <w:rFonts w:ascii="Arial" w:cs="Arial" w:eastAsia="Arial" w:hAnsi="Arial"/>
          <w:sz w:val="16"/>
          <w:szCs w:val="16"/>
          <w:color w:val="010000"/>
        </w:rPr>
      </w:pPr>
      <w:r>
        <w:rPr>
          <w:rFonts w:ascii="Arial" w:cs="Arial" w:eastAsia="Arial" w:hAnsi="Arial"/>
          <w:sz w:val="16"/>
          <w:szCs w:val="16"/>
          <w:color w:val="auto"/>
        </w:rPr>
        <w:t>require that the Company Cash Collateralize the L/C Obligations and Canadian BA’s (in an amount equal to the then Outstanding Amount</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010000"/>
        </w:rPr>
      </w:pPr>
    </w:p>
    <w:p>
      <w:pPr>
        <w:ind w:right="20" w:firstLine="656"/>
        <w:spacing w:after="0" w:line="277" w:lineRule="auto"/>
        <w:tabs>
          <w:tab w:leader="none" w:pos="1127"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exercise on behalf of itself, the Lenders and the L/C Issuers all rights and remedies available to it, the Lenders and the L/C Issuers under the Loan Documents;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occurrence of an actual or deemed entry of an order for relief with respect to any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that have accrued and are owing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 Section 8.02 (or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due and payable and the L/C Obligations have automatically been required to be Cash Collateralized as set forth in the proviso to Section 8.02), any amounts received on account of the Obligations shall, subject to the provisions of Sections 2.17 and 2.18, be applied by the Administrative Agent in the following order: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firstLine="648"/>
        <w:spacing w:after="0" w:line="263"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Administrative Agent for the account of the L/C Issuers, to Cash Collateralize that portion of L/C Obligations comprised of the aggregate undrawn amount of Letters of Credit to the extent not otherwise Cash Collateralized by the Company pursuant to </w:t>
      </w:r>
      <w:r>
        <w:rPr>
          <w:rFonts w:ascii="Arial" w:cs="Arial" w:eastAsia="Arial" w:hAnsi="Arial"/>
          <w:sz w:val="18"/>
          <w:szCs w:val="18"/>
          <w:u w:val="single" w:color="auto"/>
          <w:color w:val="auto"/>
        </w:rPr>
        <w:t>Sections 2.04 and 2.18</w:t>
      </w:r>
      <w:r>
        <w:rPr>
          <w:rFonts w:ascii="Arial" w:cs="Arial" w:eastAsia="Arial" w:hAnsi="Arial"/>
          <w:sz w:val="18"/>
          <w:szCs w:val="18"/>
          <w:color w:val="auto"/>
        </w:rPr>
        <w:t xml:space="preserve">, ratably among the L/C Issuers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held by them;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payment Obligations have been indefeasibly paid in full, to the Company or as otherwise required by Law.</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2.04(c) and 2.18</w:t>
      </w:r>
      <w:r>
        <w:rPr>
          <w:rFonts w:ascii="Arial" w:cs="Arial" w:eastAsia="Arial" w:hAnsi="Arial"/>
          <w:sz w:val="18"/>
          <w:szCs w:val="18"/>
          <w:color w:val="auto"/>
        </w:rPr>
        <w:t xml:space="preserve">, (x) amounts used to Cash Collateralize the aggregate undrawn amount of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shall be applied to satisfy drawings under such Letters of Credit as they occur and (y) if any amount remains on deposit as Cash Collateral after all Letters of Credit have either been fully drawn or expired, such remaining amount shall be applied to the other payment Obligations, if any, in the order set forth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ADMINISTRATIVE AGENT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9.01 Appointment and Authority</w:t>
      </w:r>
      <w:r>
        <w:rPr>
          <w:rFonts w:ascii="Arial" w:cs="Arial" w:eastAsia="Arial" w:hAnsi="Arial"/>
          <w:sz w:val="18"/>
          <w:szCs w:val="18"/>
          <w:color w:val="auto"/>
        </w:rPr>
        <w:t>. Each of the Lenders and the L/C Issuers hereby irrevocably appoints Bank of America to act on its behalf as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no Borrower shall have rights as a third party beneficiary of any of such provisions (other than the right to reasonably approve a successor Administrative Agent pursuant to Section 9.06).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9.02 Rights as a Lender</w:t>
      </w:r>
      <w:r>
        <w:rPr>
          <w:rFonts w:ascii="Arial" w:cs="Arial" w:eastAsia="Arial" w:hAnsi="Arial"/>
          <w:sz w:val="17"/>
          <w:szCs w:val="17"/>
          <w:color w:val="auto"/>
        </w:rPr>
        <w:t>. The Person serving as the Administrative Agent hereunder shall have the same rights and powers in its capacity as a</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 underwriting or other of business with any Loan Party or any Subsidiary or other Affiliate thereof as if such Person were not the Administrative Agent hereunder and without any duty to account therefor to the Lenders or to provide notice or consent of the Lenders with respect thereto.</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9.03 Exculpatory Provisions</w:t>
      </w:r>
      <w:r>
        <w:rPr>
          <w:rFonts w:ascii="Arial" w:cs="Arial" w:eastAsia="Arial" w:hAnsi="Arial"/>
          <w:sz w:val="18"/>
          <w:szCs w:val="18"/>
          <w:color w:val="auto"/>
        </w:rPr>
        <w:t>. The Administrative Agent or any Arranger, as applicable, shall not have any duties or obligations except those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set forth herein and in the other Loan Documents, and its duties hereunder shall be administrative in nature. Without limiting the generality of the foregoing, the Administrative Agent or any Arranger, as applicable, and its Related Parties:</w:t>
      </w:r>
    </w:p>
    <w:p>
      <w:pPr>
        <w:spacing w:after="0" w:line="180" w:lineRule="exact"/>
        <w:rPr>
          <w:sz w:val="20"/>
          <w:szCs w:val="20"/>
          <w:color w:val="auto"/>
        </w:rPr>
      </w:pPr>
    </w:p>
    <w:p>
      <w:pPr>
        <w:ind w:left="1120" w:hanging="464"/>
        <w:spacing w:after="0"/>
        <w:tabs>
          <w:tab w:leader="none" w:pos="1120" w:val="left"/>
        </w:tabs>
        <w:numPr>
          <w:ilvl w:val="0"/>
          <w:numId w:val="151"/>
        </w:numPr>
        <w:rPr>
          <w:rFonts w:ascii="Arial" w:cs="Arial" w:eastAsia="Arial" w:hAnsi="Arial"/>
          <w:sz w:val="18"/>
          <w:szCs w:val="18"/>
          <w:color w:val="010000"/>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00" w:lineRule="exact"/>
        <w:rPr>
          <w:rFonts w:ascii="Arial" w:cs="Arial" w:eastAsia="Arial" w:hAnsi="Arial"/>
          <w:sz w:val="18"/>
          <w:szCs w:val="18"/>
          <w:color w:val="010000"/>
        </w:rPr>
      </w:pPr>
    </w:p>
    <w:p>
      <w:pPr>
        <w:spacing w:after="0" w:line="241" w:lineRule="exact"/>
        <w:rPr>
          <w:rFonts w:ascii="Arial" w:cs="Arial" w:eastAsia="Arial" w:hAnsi="Arial"/>
          <w:sz w:val="18"/>
          <w:szCs w:val="18"/>
          <w:color w:val="010000"/>
        </w:rPr>
      </w:pPr>
    </w:p>
    <w:p>
      <w:pPr>
        <w:ind w:left="5480"/>
        <w:spacing w:after="0"/>
        <w:rPr>
          <w:rFonts w:ascii="Arial" w:cs="Arial" w:eastAsia="Arial" w:hAnsi="Arial"/>
          <w:sz w:val="18"/>
          <w:szCs w:val="18"/>
          <w:color w:val="010000"/>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56"/>
        <w:spacing w:after="0" w:line="254" w:lineRule="auto"/>
        <w:tabs>
          <w:tab w:leader="none" w:pos="1127" w:val="left"/>
        </w:tabs>
        <w:numPr>
          <w:ilvl w:val="1"/>
          <w:numId w:val="152"/>
        </w:numPr>
        <w:rPr>
          <w:rFonts w:ascii="Arial" w:cs="Arial" w:eastAsia="Arial" w:hAnsi="Arial"/>
          <w:sz w:val="18"/>
          <w:szCs w:val="18"/>
          <w:color w:val="010000"/>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4" w:lineRule="exact"/>
        <w:rPr>
          <w:rFonts w:ascii="Arial" w:cs="Arial" w:eastAsia="Arial" w:hAnsi="Arial"/>
          <w:sz w:val="18"/>
          <w:szCs w:val="18"/>
          <w:color w:val="010000"/>
        </w:rPr>
      </w:pPr>
    </w:p>
    <w:p>
      <w:pPr>
        <w:jc w:val="both"/>
        <w:ind w:firstLine="656"/>
        <w:spacing w:after="0" w:line="275" w:lineRule="auto"/>
        <w:tabs>
          <w:tab w:leader="none" w:pos="1117" w:val="left"/>
        </w:tabs>
        <w:numPr>
          <w:ilvl w:val="1"/>
          <w:numId w:val="152"/>
        </w:numPr>
        <w:rPr>
          <w:rFonts w:ascii="Arial" w:cs="Arial" w:eastAsia="Arial" w:hAnsi="Arial"/>
          <w:sz w:val="17"/>
          <w:szCs w:val="17"/>
          <w:color w:val="010000"/>
        </w:rPr>
      </w:pPr>
      <w:r>
        <w:rPr>
          <w:rFonts w:ascii="Arial" w:cs="Arial" w:eastAsia="Arial" w:hAnsi="Arial"/>
          <w:sz w:val="17"/>
          <w:szCs w:val="17"/>
          <w:color w:val="auto"/>
        </w:rPr>
        <w:t>shall not, except as expressly set forth herein and in the other Loan Documents, have any duty or responsibility to disclose, and shall not be liable for the failure to disclose to any Lender or any L/C Issuer, any credit or other information concerning the business, prospects, operations, property, financial and other condition or creditworthiness of any Borrower or any of their respective Affiliates that is communicated to or obtained by the Person serving as the Administrative Agent or an Arranger or any of their Related Parties in any capacity, except for notices, reports and other documents expressly required to be furnished to the Lenders by the Administrative Agent herein;</w:t>
      </w:r>
    </w:p>
    <w:p>
      <w:pPr>
        <w:spacing w:after="0" w:line="176" w:lineRule="exact"/>
        <w:rPr>
          <w:rFonts w:ascii="Arial" w:cs="Arial" w:eastAsia="Arial" w:hAnsi="Arial"/>
          <w:sz w:val="17"/>
          <w:szCs w:val="17"/>
          <w:color w:val="010000"/>
        </w:rPr>
      </w:pPr>
    </w:p>
    <w:p>
      <w:pPr>
        <w:jc w:val="both"/>
        <w:ind w:firstLine="656"/>
        <w:spacing w:after="0" w:line="273" w:lineRule="auto"/>
        <w:tabs>
          <w:tab w:leader="none" w:pos="1127" w:val="left"/>
        </w:tabs>
        <w:numPr>
          <w:ilvl w:val="1"/>
          <w:numId w:val="152"/>
        </w:numPr>
        <w:rPr>
          <w:rFonts w:ascii="Arial" w:cs="Arial" w:eastAsia="Arial" w:hAnsi="Arial"/>
          <w:sz w:val="17"/>
          <w:szCs w:val="17"/>
          <w:color w:val="010000"/>
        </w:rPr>
      </w:pPr>
      <w:r>
        <w:rPr>
          <w:rFonts w:ascii="Arial" w:cs="Arial" w:eastAsia="Arial" w:hAnsi="Arial"/>
          <w:sz w:val="17"/>
          <w:szCs w:val="17"/>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11.01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w:t>
      </w:r>
      <w:r>
        <w:rPr>
          <w:rFonts w:ascii="Arial" w:cs="Arial" w:eastAsia="Arial" w:hAnsi="Arial"/>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the Company, a Lender or an L/C Issuer; and</w:t>
      </w:r>
    </w:p>
    <w:p>
      <w:pPr>
        <w:spacing w:after="0" w:line="177" w:lineRule="exact"/>
        <w:rPr>
          <w:rFonts w:ascii="Arial" w:cs="Arial" w:eastAsia="Arial" w:hAnsi="Arial"/>
          <w:sz w:val="17"/>
          <w:szCs w:val="17"/>
          <w:color w:val="010000"/>
        </w:rPr>
      </w:pPr>
    </w:p>
    <w:p>
      <w:pPr>
        <w:ind w:left="1120" w:hanging="464"/>
        <w:spacing w:after="0"/>
        <w:tabs>
          <w:tab w:leader="none" w:pos="1120" w:val="left"/>
        </w:tabs>
        <w:numPr>
          <w:ilvl w:val="1"/>
          <w:numId w:val="152"/>
        </w:numPr>
        <w:rPr>
          <w:rFonts w:ascii="Arial" w:cs="Arial" w:eastAsia="Arial" w:hAnsi="Arial"/>
          <w:sz w:val="17"/>
          <w:szCs w:val="17"/>
          <w:color w:val="010000"/>
        </w:rPr>
      </w:pPr>
      <w:r>
        <w:rPr>
          <w:rFonts w:ascii="Arial" w:cs="Arial" w:eastAsia="Arial" w:hAnsi="Arial"/>
          <w:sz w:val="17"/>
          <w:szCs w:val="17"/>
          <w:color w:val="auto"/>
        </w:rPr>
        <w:t>shall not be responsible for or have any duty or obligation to any Lender or participant or any other Person to ascertain or inquire into</w:t>
      </w:r>
    </w:p>
    <w:p>
      <w:pPr>
        <w:spacing w:after="0" w:line="34" w:lineRule="exact"/>
        <w:rPr>
          <w:rFonts w:ascii="Arial" w:cs="Arial" w:eastAsia="Arial" w:hAnsi="Arial"/>
          <w:sz w:val="17"/>
          <w:szCs w:val="17"/>
          <w:color w:val="010000"/>
        </w:rPr>
      </w:pPr>
    </w:p>
    <w:p>
      <w:pPr>
        <w:jc w:val="both"/>
        <w:ind w:firstLine="8"/>
        <w:spacing w:after="0" w:line="292" w:lineRule="auto"/>
        <w:tabs>
          <w:tab w:leader="none" w:pos="21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48"/>
        <w:spacing w:after="0" w:line="289" w:lineRule="auto"/>
        <w:rPr>
          <w:sz w:val="20"/>
          <w:szCs w:val="20"/>
          <w:color w:val="auto"/>
        </w:rPr>
      </w:pPr>
      <w:r>
        <w:rPr>
          <w:rFonts w:ascii="Arial" w:cs="Arial" w:eastAsia="Arial" w:hAnsi="Arial"/>
          <w:sz w:val="16"/>
          <w:szCs w:val="16"/>
          <w:b w:val="1"/>
          <w:bCs w:val="1"/>
          <w:color w:val="auto"/>
        </w:rPr>
        <w:t>9.04 Reliance by Administrative Agent</w:t>
      </w:r>
      <w:r>
        <w:rPr>
          <w:rFonts w:ascii="Arial" w:cs="Arial" w:eastAsia="Arial" w:hAnsi="Arial"/>
          <w:sz w:val="16"/>
          <w:szCs w:val="16"/>
          <w:color w:val="auto"/>
        </w:rPr>
        <w:t>. The Administrative Agent shall be entitled to rely upon, and shall not incur any liability for relying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9.05 Delegation of Duties</w:t>
      </w:r>
      <w:r>
        <w:rPr>
          <w:rFonts w:ascii="Arial" w:cs="Arial" w:eastAsia="Arial" w:hAnsi="Arial"/>
          <w:sz w:val="18"/>
          <w:szCs w:val="18"/>
          <w:color w:val="auto"/>
        </w:rPr>
        <w:t>. The Administrative Agent may perform any and all of its duties and exercise its rights and powers 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60"/>
        <w:spacing w:after="0"/>
        <w:tabs>
          <w:tab w:leader="none" w:pos="1140" w:val="left"/>
        </w:tabs>
        <w:rPr>
          <w:sz w:val="20"/>
          <w:szCs w:val="20"/>
          <w:color w:val="auto"/>
        </w:rPr>
      </w:pPr>
      <w:r>
        <w:rPr>
          <w:rFonts w:ascii="Arial" w:cs="Arial" w:eastAsia="Arial" w:hAnsi="Arial"/>
          <w:sz w:val="18"/>
          <w:szCs w:val="18"/>
          <w:b w:val="1"/>
          <w:bCs w:val="1"/>
          <w:color w:val="auto"/>
        </w:rPr>
        <w:t>9.06</w:t>
      </w:r>
      <w:r>
        <w:rPr>
          <w:sz w:val="20"/>
          <w:szCs w:val="20"/>
          <w:color w:val="auto"/>
        </w:rPr>
        <w:tab/>
      </w:r>
      <w:r>
        <w:rPr>
          <w:rFonts w:ascii="Arial" w:cs="Arial" w:eastAsia="Arial" w:hAnsi="Arial"/>
          <w:sz w:val="16"/>
          <w:szCs w:val="16"/>
          <w:b w:val="1"/>
          <w:bCs w:val="1"/>
          <w:color w:val="auto"/>
        </w:rPr>
        <w:t>Resignation or Removal of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4" w:lineRule="auto"/>
        <w:tabs>
          <w:tab w:leader="none" w:pos="1117" w:val="left"/>
        </w:tabs>
        <w:numPr>
          <w:ilvl w:val="1"/>
          <w:numId w:val="154"/>
        </w:numPr>
        <w:rPr>
          <w:rFonts w:ascii="Arial" w:cs="Arial" w:eastAsia="Arial" w:hAnsi="Arial"/>
          <w:sz w:val="16"/>
          <w:szCs w:val="16"/>
          <w:color w:val="010000"/>
        </w:rPr>
      </w:pPr>
      <w:r>
        <w:rPr>
          <w:rFonts w:ascii="Arial" w:cs="Arial" w:eastAsia="Arial" w:hAnsi="Arial"/>
          <w:sz w:val="16"/>
          <w:szCs w:val="16"/>
          <w:color w:val="auto"/>
        </w:rPr>
        <w:t>The Administrative Agent may at any time give notice of its resignation to the Lenders, the L/C Issuers and the Company,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Company and such Person, remove such Person as Administrative Agent. Upon receipt of any such notice of resignation or issuance of notice of removal, the Required Lenders shall have the right to appoint a successor (subject to consultation with the Company, unless an Event of Default has occurred and is 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then the retiring or removed Administrative Agent may on behalf of the Lenders and the L/C Issuers, appoint a successor Administrative Agent meeting the qualifications set forth above (subject to consultation with the Company, unless an Event of Default has occurred and is continuing); provided that if the Administrative Agent shall notify the Company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(other than as provided in Section 3.01(g) and other than any rights to indemnity payments or other amounts owed to the retiring or removed Administrative Agent as of the resignation date or removal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169" w:lineRule="exact"/>
        <w:rPr>
          <w:rFonts w:ascii="Arial" w:cs="Arial" w:eastAsia="Arial" w:hAnsi="Arial"/>
          <w:sz w:val="16"/>
          <w:szCs w:val="16"/>
          <w:color w:val="010000"/>
        </w:rPr>
      </w:pPr>
    </w:p>
    <w:p>
      <w:pPr>
        <w:jc w:val="both"/>
        <w:ind w:firstLine="656"/>
        <w:spacing w:after="0" w:line="283" w:lineRule="auto"/>
        <w:tabs>
          <w:tab w:leader="none" w:pos="1127" w:val="left"/>
        </w:tabs>
        <w:numPr>
          <w:ilvl w:val="1"/>
          <w:numId w:val="154"/>
        </w:numPr>
        <w:rPr>
          <w:rFonts w:ascii="Arial" w:cs="Arial" w:eastAsia="Arial" w:hAnsi="Arial"/>
          <w:sz w:val="16"/>
          <w:szCs w:val="16"/>
          <w:color w:val="010000"/>
        </w:rPr>
      </w:pPr>
      <w:r>
        <w:rPr>
          <w:rFonts w:ascii="Arial" w:cs="Arial" w:eastAsia="Arial" w:hAnsi="Arial"/>
          <w:sz w:val="16"/>
          <w:szCs w:val="16"/>
          <w:color w:val="auto"/>
        </w:rPr>
        <w:t xml:space="preserve">Any resignation by, or removal of, Bank of America as Administrative Agent pursuant to this Section shall also constitute its resignation or removal as an L/C Issuer and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Canadian Prime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Canadian Prime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acceptance of a successor’s appointment as Administrative Agent hereunder, (a) such successor may succeed to and become vested with all of the rights, powers, privileges and duties of the retiring or removed L/C Issuer and Swing Line Lender, (b) the retiring or removed L/C Issuer and Swing Line Lender shall be discharged from all of their respective duties and obligations hereunder or under the other Loan Documents, and</w:t>
      </w:r>
    </w:p>
    <w:p>
      <w:pPr>
        <w:spacing w:after="0" w:line="4" w:lineRule="exact"/>
        <w:rPr>
          <w:rFonts w:ascii="Arial" w:cs="Arial" w:eastAsia="Arial" w:hAnsi="Arial"/>
          <w:sz w:val="16"/>
          <w:szCs w:val="16"/>
          <w:color w:val="010000"/>
        </w:rPr>
      </w:pPr>
    </w:p>
    <w:p>
      <w:pPr>
        <w:jc w:val="both"/>
        <w:ind w:firstLine="8"/>
        <w:spacing w:after="0" w:line="255" w:lineRule="auto"/>
        <w:tabs>
          <w:tab w:leader="none" w:pos="26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successor L/C Issuer shall issue letters of credit in substitution for or in support of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84" w:lineRule="auto"/>
        <w:rPr>
          <w:sz w:val="20"/>
          <w:szCs w:val="20"/>
          <w:color w:val="auto"/>
        </w:rPr>
      </w:pPr>
      <w:r>
        <w:rPr>
          <w:rFonts w:ascii="Arial" w:cs="Arial" w:eastAsia="Arial" w:hAnsi="Arial"/>
          <w:sz w:val="16"/>
          <w:szCs w:val="16"/>
          <w:b w:val="1"/>
          <w:bCs w:val="1"/>
          <w:color w:val="auto"/>
        </w:rPr>
        <w:t>9.07 Non-Reliance on Administrative Agent, the Arrangers and Other Lenders</w:t>
      </w:r>
      <w:r>
        <w:rPr>
          <w:rFonts w:ascii="Arial" w:cs="Arial" w:eastAsia="Arial" w:hAnsi="Arial"/>
          <w:sz w:val="16"/>
          <w:szCs w:val="16"/>
          <w:color w:val="auto"/>
        </w:rPr>
        <w:t>. Each Lender and each L/C Issuer expressly acknowledges</w:t>
      </w:r>
      <w:r>
        <w:rPr>
          <w:rFonts w:ascii="Arial" w:cs="Arial" w:eastAsia="Arial" w:hAnsi="Arial"/>
          <w:sz w:val="16"/>
          <w:szCs w:val="16"/>
          <w:b w:val="1"/>
          <w:bCs w:val="1"/>
          <w:color w:val="auto"/>
        </w:rPr>
        <w:t xml:space="preserve"> </w:t>
      </w:r>
      <w:r>
        <w:rPr>
          <w:rFonts w:ascii="Arial" w:cs="Arial" w:eastAsia="Arial" w:hAnsi="Arial"/>
          <w:sz w:val="16"/>
          <w:szCs w:val="16"/>
          <w:color w:val="auto"/>
        </w:rPr>
        <w:t>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such Arranger have disclosed material information in their (or their Related Parties’) possession. Each Lender and each 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39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9.08 No Other Duties, Etc</w:t>
      </w:r>
      <w:r>
        <w:rPr>
          <w:rFonts w:ascii="Arial" w:cs="Arial" w:eastAsia="Arial" w:hAnsi="Arial"/>
          <w:sz w:val="18"/>
          <w:szCs w:val="18"/>
          <w:color w:val="auto"/>
        </w:rPr>
        <w:t>. Anything herein to the contrary notwithstanding, none of the Arrangers or Syndication Agents listed on the cover</w:t>
      </w:r>
      <w:r>
        <w:rPr>
          <w:rFonts w:ascii="Arial" w:cs="Arial" w:eastAsia="Arial" w:hAnsi="Arial"/>
          <w:sz w:val="18"/>
          <w:szCs w:val="18"/>
          <w:b w:val="1"/>
          <w:bCs w:val="1"/>
          <w:color w:val="auto"/>
        </w:rPr>
        <w:t xml:space="preserve"> </w:t>
      </w:r>
      <w:r>
        <w:rPr>
          <w:rFonts w:ascii="Arial" w:cs="Arial" w:eastAsia="Arial" w:hAnsi="Arial"/>
          <w:sz w:val="18"/>
          <w:szCs w:val="18"/>
          <w:color w:val="auto"/>
        </w:rPr>
        <w:t>page hereof shall have any powers, duties or responsibilities under this Agreement or any of the other Loan Documents, except in its capacity, as applicable, as the Administrative Agent, a Lender or an L/C Issuer hereunder.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61" w:lineRule="auto"/>
        <w:rPr>
          <w:sz w:val="20"/>
          <w:szCs w:val="20"/>
          <w:color w:val="auto"/>
        </w:rPr>
      </w:pPr>
      <w:r>
        <w:rPr>
          <w:rFonts w:ascii="Arial" w:cs="Arial" w:eastAsia="Arial" w:hAnsi="Arial"/>
          <w:sz w:val="18"/>
          <w:szCs w:val="18"/>
          <w:b w:val="1"/>
          <w:bCs w:val="1"/>
          <w:color w:val="auto"/>
        </w:rPr>
        <w:t>9.09 Administrative Agent May File Proofs of Claim</w:t>
      </w:r>
      <w:r>
        <w:rPr>
          <w:rFonts w:ascii="Arial" w:cs="Arial" w:eastAsia="Arial" w:hAnsi="Arial"/>
          <w:sz w:val="18"/>
          <w:szCs w:val="18"/>
          <w:color w:val="auto"/>
        </w:rPr>
        <w:t>. In case of the pendency of any proceeding under any Debtor Relief Law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jc w:val="both"/>
        <w:ind w:firstLine="656"/>
        <w:spacing w:after="0" w:line="275" w:lineRule="auto"/>
        <w:tabs>
          <w:tab w:leader="none" w:pos="1117" w:val="left"/>
        </w:tabs>
        <w:numPr>
          <w:ilvl w:val="0"/>
          <w:numId w:val="156"/>
        </w:numPr>
        <w:rPr>
          <w:rFonts w:ascii="Arial" w:cs="Arial" w:eastAsia="Arial" w:hAnsi="Arial"/>
          <w:sz w:val="17"/>
          <w:szCs w:val="17"/>
          <w:color w:val="010000"/>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7"/>
          <w:szCs w:val="17"/>
          <w:u w:val="single" w:color="auto"/>
          <w:color w:val="auto"/>
        </w:rPr>
        <w:t>Sections 2.04(h)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allowed in such judicial proceeding; and</w:t>
      </w:r>
    </w:p>
    <w:p>
      <w:pPr>
        <w:spacing w:after="0" w:line="176" w:lineRule="exact"/>
        <w:rPr>
          <w:rFonts w:ascii="Arial" w:cs="Arial" w:eastAsia="Arial" w:hAnsi="Arial"/>
          <w:sz w:val="17"/>
          <w:szCs w:val="17"/>
          <w:color w:val="010000"/>
        </w:rPr>
      </w:pPr>
    </w:p>
    <w:p>
      <w:pPr>
        <w:ind w:left="1140" w:hanging="484"/>
        <w:spacing w:after="0"/>
        <w:tabs>
          <w:tab w:leader="none" w:pos="1140" w:val="left"/>
        </w:tabs>
        <w:numPr>
          <w:ilvl w:val="0"/>
          <w:numId w:val="156"/>
        </w:numPr>
        <w:rPr>
          <w:rFonts w:ascii="Arial" w:cs="Arial" w:eastAsia="Arial" w:hAnsi="Arial"/>
          <w:sz w:val="16"/>
          <w:szCs w:val="16"/>
          <w:color w:val="010000"/>
        </w:rPr>
      </w:pPr>
      <w:r>
        <w:rPr>
          <w:rFonts w:ascii="Arial" w:cs="Arial" w:eastAsia="Arial" w:hAnsi="Arial"/>
          <w:sz w:val="16"/>
          <w:szCs w:val="16"/>
          <w:color w:val="auto"/>
        </w:rPr>
        <w:t>to collect and receive any monies or other property payable or deliverable on any such claims and to distribute the same in accordance with</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in each case,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Lender or any L/C Issuer any plan of reorganization, arrangement, adjustment or composition affecting the Obligations or the rights of any Lender 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L/C Issuer to authorize the Administrative Agent to vote in respect of the claim of any Lender or any L/C Issuer in any such proceeding.</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9.10 Collateral Matters</w:t>
      </w:r>
      <w:r>
        <w:rPr>
          <w:rFonts w:ascii="Arial" w:cs="Arial" w:eastAsia="Arial" w:hAnsi="Arial"/>
          <w:sz w:val="16"/>
          <w:szCs w:val="16"/>
          <w:color w:val="auto"/>
        </w:rPr>
        <w:t>. The Lenders and the L/C Issuers irrevocably authorize the Administrative Agent, at its option and in its discretion, to</w:t>
      </w:r>
      <w:r>
        <w:rPr>
          <w:rFonts w:ascii="Arial" w:cs="Arial" w:eastAsia="Arial" w:hAnsi="Arial"/>
          <w:sz w:val="16"/>
          <w:szCs w:val="16"/>
          <w:b w:val="1"/>
          <w:bCs w:val="1"/>
          <w:color w:val="auto"/>
        </w:rPr>
        <w:t xml:space="preserve"> </w:t>
      </w:r>
      <w:r>
        <w:rPr>
          <w:rFonts w:ascii="Arial" w:cs="Arial" w:eastAsia="Arial" w:hAnsi="Arial"/>
          <w:sz w:val="16"/>
          <w:szCs w:val="16"/>
          <w:color w:val="auto"/>
        </w:rPr>
        <w:t>release any Lien on any property granted to or held by the Administrative Agent under any Loan Document (i) upon termination of the Aggregate Commitments and payment in full of all payment Obligations (other than contingent indemnification obligations) and the expiration or termination of all Letters of Credit (other than Letters of Credit as to which other arrangements satisfactory to the Administrative Agent and the applicable L/C Issuers shall have been made), (ii) that is sold or to be sold as part of or in connection with any sale not prohibited hereunder or under any other Loan Document, or</w:t>
      </w:r>
    </w:p>
    <w:p>
      <w:pPr>
        <w:spacing w:after="0" w:line="2" w:lineRule="exact"/>
        <w:rPr>
          <w:sz w:val="20"/>
          <w:szCs w:val="20"/>
          <w:color w:val="auto"/>
        </w:rPr>
      </w:pPr>
    </w:p>
    <w:p>
      <w:pPr>
        <w:jc w:val="both"/>
        <w:ind w:firstLine="8"/>
        <w:spacing w:after="0" w:line="255" w:lineRule="auto"/>
        <w:tabs>
          <w:tab w:leader="none" w:pos="3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Section 11.01,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Section 9.10.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660"/>
        <w:spacing w:after="0"/>
        <w:tabs>
          <w:tab w:leader="none" w:pos="112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7"/>
          <w:szCs w:val="17"/>
          <w:b w:val="1"/>
          <w:bCs w:val="1"/>
          <w:color w:val="auto"/>
        </w:rPr>
        <w:t>Certain ERISA Matters</w:t>
      </w:r>
      <w:r>
        <w:rPr>
          <w:rFonts w:ascii="Arial" w:cs="Arial" w:eastAsia="Arial" w:hAnsi="Arial"/>
          <w:sz w:val="17"/>
          <w:szCs w:val="17"/>
          <w:color w:val="auto"/>
        </w:rPr>
        <w:t>.</w:t>
      </w:r>
    </w:p>
    <w:p>
      <w:pPr>
        <w:spacing w:after="0" w:line="229" w:lineRule="exact"/>
        <w:rPr>
          <w:sz w:val="20"/>
          <w:szCs w:val="20"/>
          <w:color w:val="auto"/>
        </w:rPr>
      </w:pPr>
    </w:p>
    <w:p>
      <w:pPr>
        <w:jc w:val="both"/>
        <w:ind w:firstLine="656"/>
        <w:spacing w:after="0" w:line="311" w:lineRule="auto"/>
        <w:tabs>
          <w:tab w:leader="none" w:pos="1117" w:val="left"/>
        </w:tabs>
        <w:numPr>
          <w:ilvl w:val="1"/>
          <w:numId w:val="158"/>
        </w:numPr>
        <w:rPr>
          <w:rFonts w:ascii="Arial" w:cs="Arial" w:eastAsia="Arial" w:hAnsi="Arial"/>
          <w:sz w:val="16"/>
          <w:szCs w:val="16"/>
          <w:color w:val="010000"/>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spacing w:after="0" w:line="148" w:lineRule="exact"/>
        <w:rPr>
          <w:rFonts w:ascii="Arial" w:cs="Arial" w:eastAsia="Arial" w:hAnsi="Arial"/>
          <w:sz w:val="16"/>
          <w:szCs w:val="16"/>
          <w:color w:val="010000"/>
        </w:rPr>
      </w:pPr>
    </w:p>
    <w:p>
      <w:pPr>
        <w:jc w:val="both"/>
        <w:ind w:left="660" w:firstLine="644"/>
        <w:spacing w:after="0" w:line="263" w:lineRule="auto"/>
        <w:tabs>
          <w:tab w:leader="none" w:pos="1793"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820" w:val="left"/>
        </w:tabs>
        <w:numPr>
          <w:ilvl w:val="2"/>
          <w:numId w:val="158"/>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Arial" w:cs="Arial" w:eastAsia="Arial" w:hAnsi="Arial"/>
          <w:sz w:val="17"/>
          <w:szCs w:val="17"/>
          <w:color w:val="auto"/>
        </w:rPr>
      </w:pPr>
    </w:p>
    <w:p>
      <w:pPr>
        <w:jc w:val="both"/>
        <w:ind w:left="660" w:firstLine="644"/>
        <w:spacing w:after="0" w:line="254" w:lineRule="auto"/>
        <w:tabs>
          <w:tab w:leader="none" w:pos="1848"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18"/>
          <w:szCs w:val="18"/>
          <w:color w:val="auto"/>
        </w:rPr>
      </w:pPr>
    </w:p>
    <w:p>
      <w:pPr>
        <w:ind w:left="660" w:firstLine="644"/>
        <w:spacing w:after="0" w:line="277" w:lineRule="auto"/>
        <w:tabs>
          <w:tab w:leader="none" w:pos="1837"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127" w:val="left"/>
        </w:tabs>
        <w:numPr>
          <w:ilvl w:val="1"/>
          <w:numId w:val="158"/>
        </w:numPr>
        <w:rPr>
          <w:rFonts w:ascii="Arial" w:cs="Arial" w:eastAsia="Arial" w:hAnsi="Arial"/>
          <w:sz w:val="16"/>
          <w:szCs w:val="16"/>
          <w:color w:val="010000"/>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firstLine="8"/>
        <w:spacing w:after="0" w:line="252" w:lineRule="auto"/>
        <w:tabs>
          <w:tab w:leader="none" w:pos="26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89" w:lineRule="auto"/>
        <w:rPr>
          <w:sz w:val="20"/>
          <w:szCs w:val="20"/>
          <w:color w:val="auto"/>
        </w:rPr>
      </w:pPr>
      <w:r>
        <w:rPr>
          <w:rFonts w:ascii="Arial" w:cs="Arial" w:eastAsia="Arial" w:hAnsi="Arial"/>
          <w:sz w:val="16"/>
          <w:szCs w:val="16"/>
          <w:b w:val="1"/>
          <w:bCs w:val="1"/>
          <w:color w:val="auto"/>
        </w:rPr>
        <w:t>9.12 Recovery of Erroneous Payments</w:t>
      </w:r>
      <w:r>
        <w:rPr>
          <w:rFonts w:ascii="Arial" w:cs="Arial" w:eastAsia="Arial" w:hAnsi="Arial"/>
          <w:sz w:val="16"/>
          <w:szCs w:val="16"/>
          <w:color w:val="auto"/>
        </w:rPr>
        <w:t>. Without limitation of any other provision in this Agreement, if at any time the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CONTINUING GUARANTY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10.01 Company Guaranty</w:t>
      </w:r>
      <w:r>
        <w:rPr>
          <w:rFonts w:ascii="Arial" w:cs="Arial" w:eastAsia="Arial" w:hAnsi="Arial"/>
          <w:sz w:val="16"/>
          <w:szCs w:val="16"/>
          <w:color w:val="auto"/>
        </w:rPr>
        <w:t>. The Company hereby absolutely and unconditionally guarantees, as a guaranty of payment and not merely as a</w:t>
      </w:r>
      <w:r>
        <w:rPr>
          <w:rFonts w:ascii="Arial" w:cs="Arial" w:eastAsia="Arial" w:hAnsi="Arial"/>
          <w:sz w:val="16"/>
          <w:szCs w:val="16"/>
          <w:b w:val="1"/>
          <w:bCs w:val="1"/>
          <w:color w:val="auto"/>
        </w:rPr>
        <w:t xml:space="preserve"> </w:t>
      </w:r>
      <w:r>
        <w:rPr>
          <w:rFonts w:ascii="Arial" w:cs="Arial" w:eastAsia="Arial" w:hAnsi="Arial"/>
          <w:sz w:val="16"/>
          <w:szCs w:val="16"/>
          <w:color w:val="auto"/>
        </w:rPr>
        <w:t>guaranty of collection, prompt payment when due, whether at stated maturity, by required prepayment, upon acceleration, demand or otherwise, and at all times thereafter, of any and all of the payment Obligations, whether for principal, interest, premiums, fees, indemnities, damages, costs, expenses or otherwise, of PMCULC and the Designated Borrowers to the Lender Parties, and whether arising hereunder or under any other Loan Document (including all renewals, extensions, amendments, refinancings and other modifications thereof and all costs, attorneys’ fees and expenses incurred by the Lender Parties in connection with the collection or enforcement thereof). The Administrative Agent’s books and records showing the amount of the payment Obligations of PMCULC and the Designated Borrowers shall be admissible in evidence in any action or proceeding, and shall be binding upon the Company, and conclusive absent manifest error for the purpose of establishing the amount of the payment Obligations of PMCULC and the Designated Borrowers. This Company Guaranty shall not be affected by the genuineness, validity, regularity or enforceability of the Obligations of PMCULC or the Designated Borrowers or any instrument or agreement evidencing any Obligations of PMCULC or the Designated Borrowers, or by the existence, validity, enforceability, perfection, non-perfection or extent of any collateral therefor, or by any fact or circumstance relating to the Obligations of PMCULC or the Designated Borrowers which might otherwise constitute a defense to the obligations of the Company under this Company Guaranty, and the Company hereby irrevocably waives any defenses it may now have or hereafter acquire in any way relating to any or all of the foregoing.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89" w:lineRule="auto"/>
        <w:rPr>
          <w:sz w:val="20"/>
          <w:szCs w:val="20"/>
          <w:color w:val="auto"/>
        </w:rPr>
      </w:pPr>
      <w:r>
        <w:rPr>
          <w:rFonts w:ascii="Arial" w:cs="Arial" w:eastAsia="Arial" w:hAnsi="Arial"/>
          <w:sz w:val="16"/>
          <w:szCs w:val="16"/>
          <w:b w:val="1"/>
          <w:bCs w:val="1"/>
          <w:color w:val="auto"/>
        </w:rPr>
        <w:t>10.02 Rights of Lenders</w:t>
      </w:r>
      <w:r>
        <w:rPr>
          <w:rFonts w:ascii="Arial" w:cs="Arial" w:eastAsia="Arial" w:hAnsi="Arial"/>
          <w:sz w:val="16"/>
          <w:szCs w:val="16"/>
          <w:color w:val="auto"/>
        </w:rPr>
        <w:t>. The Company consents and agrees that the Lender Parties may, at any time and from time to time, without notice or</w:t>
      </w:r>
      <w:r>
        <w:rPr>
          <w:rFonts w:ascii="Arial" w:cs="Arial" w:eastAsia="Arial" w:hAnsi="Arial"/>
          <w:sz w:val="16"/>
          <w:szCs w:val="16"/>
          <w:b w:val="1"/>
          <w:bCs w:val="1"/>
          <w:color w:val="auto"/>
        </w:rPr>
        <w:t xml:space="preserve"> </w:t>
      </w:r>
      <w:r>
        <w:rPr>
          <w:rFonts w:ascii="Arial" w:cs="Arial" w:eastAsia="Arial" w:hAnsi="Arial"/>
          <w:sz w:val="16"/>
          <w:szCs w:val="16"/>
          <w:color w:val="auto"/>
        </w:rPr>
        <w:t>demand, and without affecting the enforceability or continuing effectiveness hereof, in each case, unless otherwise set forth herein, including in respect of Section 11.01: (a) amend, extend, renew, compromise, discharge, accelerate or otherwise change the time for payment or the terms of the Obligations of PMCULC or the Designated Borrowers or any part thereof; (b) take, hold, exchange, enforce, waive, release, fail to perfect, sell, or otherwise dispose of any security for the payment of this Company Guaranty or any Obligations of PMCULC or the Designated Borrowers; (c) apply such security and direct the order or manner of sale thereof as the Administrative Agent, the L/C Issuers and the Lenders in their sole discretion may determine; and (d) release or substitute one or more of any endorsers or other guarantors of any of the Obligations of PMCULC or the Designated Borrowers. Without limiting the generality of the foregoing, the Company consents to the taking of, or failure to take, any action by the Lender Parties which might in any manner or to any extent vary the risks of the Company under this Company Guaranty or which, but for this provision, might operate as a discharge of the Company.</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10.03 Collateral Matters</w:t>
      </w:r>
      <w:r>
        <w:rPr>
          <w:rFonts w:ascii="Arial" w:cs="Arial" w:eastAsia="Arial" w:hAnsi="Arial"/>
          <w:sz w:val="17"/>
          <w:szCs w:val="17"/>
          <w:color w:val="auto"/>
        </w:rPr>
        <w:t>. The Company waives (a) any defense arising by reason of any disability or other defense of PMCULC, any</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Borrower or any other guarantor, or the cessation from any cause whatsoever (including any act or omission of any Lender Party) of the liability of PMCULC or such Designated Borrower (other than a defense of payment or performance); (b) any defense based on any claim that the Company’s obligations exceed or are more burdensome than those of PMCULC or any Designated Borrower; (c) the benefit of any statute of limitations affecting the Company’s liability hereunder; (d) any right to proceed against PMCULC or any Designated Borrower, proceed against or exhaust any security for the Obligations of PMCULC or the Designated Borrowers, or pursue any other remedy in the 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The Company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of PMCULC or any Designated Borrower, and all notices of acceptance of this Company Guaranty or of the existence, creation or incurrence of new or additional Obligations of PMCULC or any Designated Borrower.</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10.04 Obligations Independent</w:t>
      </w:r>
      <w:r>
        <w:rPr>
          <w:rFonts w:ascii="Arial" w:cs="Arial" w:eastAsia="Arial" w:hAnsi="Arial"/>
          <w:sz w:val="18"/>
          <w:szCs w:val="18"/>
          <w:color w:val="auto"/>
        </w:rPr>
        <w:t>. The obligations of the Company hereunder are those of primary obligor, and not merely as surety,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of the Obligations of PMCULC and the Designated Borrowers and the obligations of any other guarantor, and a separate action may be brought against the Company to enforce this Company Guaranty whether or not PMCULC, any Designated Borrower or any other person or entity is joined as a party.</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10.05 Subrogation</w:t>
      </w:r>
      <w:r>
        <w:rPr>
          <w:rFonts w:ascii="Arial" w:cs="Arial" w:eastAsia="Arial" w:hAnsi="Arial"/>
          <w:sz w:val="17"/>
          <w:szCs w:val="17"/>
          <w:color w:val="auto"/>
        </w:rPr>
        <w:t>. The Company shall not exercise any right of subrogation, contribution, indemnity, reimbursement or similar rights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payments it makes under this Company Guaranty until all of the Obligations of PMCULC and the Designated Borrowers and any amounts payable under this Company Guaranty have been indefeasibly paid in full and the Commitments are terminated. If any amounts are paid to the Company in violation of the foregoing limitation, then such amounts shall be held in trust for the benefit of the Lender Parties and shall forthwith be paid to the Lender Parties to reduce the amount of the Obligations of PMCULC and the Designated Borrowers, whether matured or unmatured.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69" w:lineRule="auto"/>
        <w:rPr>
          <w:sz w:val="20"/>
          <w:szCs w:val="20"/>
          <w:color w:val="auto"/>
        </w:rPr>
      </w:pPr>
      <w:r>
        <w:rPr>
          <w:rFonts w:ascii="Arial" w:cs="Arial" w:eastAsia="Arial" w:hAnsi="Arial"/>
          <w:sz w:val="17"/>
          <w:szCs w:val="17"/>
          <w:b w:val="1"/>
          <w:bCs w:val="1"/>
          <w:color w:val="auto"/>
        </w:rPr>
        <w:t>10.06 Termination; Reinstatement</w:t>
      </w:r>
      <w:r>
        <w:rPr>
          <w:rFonts w:ascii="Arial" w:cs="Arial" w:eastAsia="Arial" w:hAnsi="Arial"/>
          <w:sz w:val="17"/>
          <w:szCs w:val="17"/>
          <w:color w:val="auto"/>
        </w:rPr>
        <w:t>. This Company Guaranty is a continuing and irrevocable guaranty of all payment Obligations of PMCULC</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Designated Borrowers now or hereafter existing and shall remain in full force and effect until all payment Obligations of PMCULC and the Designated Borrowers are indefeasibly paid in full in cash and the Commitments with respect to PMCULC and the Designated Borrowers are terminated. Notwithstanding the foregoing, this Company Guaranty shall continue in full force and effect or be revived, as the case may be, if any payment by or on behalf of PMCULC, any Designated Borrower or the Company is made, or any of the Lender Parties exercises its right of setoff, in respect of the payment Obligations of PMCULC and the Designated Borrowers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Company Guaranty and regardless of any prior revocation, rescission, termination or reduction. The obligations of the Company under this paragraph shall survive termination of this Company Guaranty.</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10.07 Subordination</w:t>
      </w:r>
      <w:r>
        <w:rPr>
          <w:rFonts w:ascii="Arial" w:cs="Arial" w:eastAsia="Arial" w:hAnsi="Arial"/>
          <w:sz w:val="17"/>
          <w:szCs w:val="17"/>
          <w:color w:val="auto"/>
        </w:rPr>
        <w:t>. The Company agrees that, upon the occurrence and during the continuation of an Event of Default, the payment of all</w:t>
      </w:r>
      <w:r>
        <w:rPr>
          <w:rFonts w:ascii="Arial" w:cs="Arial" w:eastAsia="Arial" w:hAnsi="Arial"/>
          <w:sz w:val="17"/>
          <w:szCs w:val="17"/>
          <w:b w:val="1"/>
          <w:bCs w:val="1"/>
          <w:color w:val="auto"/>
        </w:rPr>
        <w:t xml:space="preserve"> </w:t>
      </w:r>
      <w:r>
        <w:rPr>
          <w:rFonts w:ascii="Arial" w:cs="Arial" w:eastAsia="Arial" w:hAnsi="Arial"/>
          <w:sz w:val="17"/>
          <w:szCs w:val="17"/>
          <w:color w:val="auto"/>
        </w:rPr>
        <w:t>Indebtedness of PMCULC and the Designated Borrowers owing to the Company, whether now existing or hereafter arising, including but not limited to any obligation of PMCULC or any Designated Borrower to the Company as subrogee of the Lender Parties or resulting from the Company’s performance under this Company Guaranty, shall be subordinated to the indefeasible payment in full in cash of all payment Obligations of PMCULC and the Designated Borrowers. Upon the occurrence and during the continuation of an Event of Default, any such obligation or indebtedness of PMCULC or any Designated Borrower to the Company shall be enforced and performance received by the Company as trustee for the Lenders and, upon the written request of the Required Lenders, the proceeds thereof shall be paid over to the Administrative Agent, for the benefit of the Lenders, on account of the payment Obligations of PMCULC and the Designated Borrowers, to be applied in accordance with Section 8.03, but without reducing or affecting in any manner the liability of the Company under this Company Guaranty.</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10.08 Stay of Acceleration</w:t>
      </w:r>
      <w:r>
        <w:rPr>
          <w:rFonts w:ascii="Arial" w:cs="Arial" w:eastAsia="Arial" w:hAnsi="Arial"/>
          <w:sz w:val="18"/>
          <w:szCs w:val="18"/>
          <w:color w:val="auto"/>
        </w:rPr>
        <w:t>. If acceleration of the time for payment of any of the Obligations of PMCULC or the Designated Borrowers is</w:t>
      </w:r>
      <w:r>
        <w:rPr>
          <w:rFonts w:ascii="Arial" w:cs="Arial" w:eastAsia="Arial" w:hAnsi="Arial"/>
          <w:sz w:val="18"/>
          <w:szCs w:val="18"/>
          <w:b w:val="1"/>
          <w:bCs w:val="1"/>
          <w:color w:val="auto"/>
        </w:rPr>
        <w:t xml:space="preserve"> </w:t>
      </w:r>
      <w:r>
        <w:rPr>
          <w:rFonts w:ascii="Arial" w:cs="Arial" w:eastAsia="Arial" w:hAnsi="Arial"/>
          <w:sz w:val="18"/>
          <w:szCs w:val="18"/>
          <w:color w:val="auto"/>
        </w:rPr>
        <w:t>stayed, in connection with any case commenced by or against any Borrower under any Debtor Relief Laws, or otherwise, all such amounts shall nonetheless be payable by the Company upon demand by the Lender Parties.</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10.09 Condition of PMCULC and the Designated Borrowers</w:t>
      </w:r>
      <w:r>
        <w:rPr>
          <w:rFonts w:ascii="Arial" w:cs="Arial" w:eastAsia="Arial" w:hAnsi="Arial"/>
          <w:sz w:val="17"/>
          <w:szCs w:val="17"/>
          <w:color w:val="auto"/>
        </w:rPr>
        <w:t>. The Company acknowledges and agrees that it has the sole responsibility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adequate means of, obtaining from PMCULC and each Designated Borrower such information concerning the financial condition, business and operations of PMCULC and the Designated Borrowers and any such other guarantor as the Company requires, and that none of the Lender Parties has any duty, and the Company is not relying on the Lender Parties at any time, to disclose to the Company any information relating to the business, operations or financial condition of PMCULC or any Designated Borrower (the Company waiving any duty on the part of the Lender Parties to disclose such information and any defense relating to the failure to provide the same).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ARTICLE XI. MISCELLANEOUS</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11.01 Amendments, Etc</w:t>
      </w:r>
      <w:r>
        <w:rPr>
          <w:rFonts w:ascii="Arial" w:cs="Arial" w:eastAsia="Arial" w:hAnsi="Arial"/>
          <w:sz w:val="16"/>
          <w:szCs w:val="16"/>
          <w:color w:val="auto"/>
        </w:rPr>
        <w:t>. Subject to Section 3.03, no amendment or waiver of any provision of this Agreement or any other Loan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provided, however, that no such amendment, waiver or consent shall:</w:t>
      </w:r>
    </w:p>
    <w:p>
      <w:pPr>
        <w:spacing w:after="0" w:line="155"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225" w:lineRule="exact"/>
        <w:rPr>
          <w:rFonts w:ascii="Arial" w:cs="Arial" w:eastAsia="Arial" w:hAnsi="Arial"/>
          <w:sz w:val="18"/>
          <w:szCs w:val="18"/>
          <w:color w:val="010000"/>
        </w:rPr>
      </w:pPr>
    </w:p>
    <w:p>
      <w:pPr>
        <w:ind w:firstLine="656"/>
        <w:spacing w:after="0" w:line="277" w:lineRule="auto"/>
        <w:tabs>
          <w:tab w:leader="none" w:pos="1083"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010000"/>
        </w:rPr>
      </w:pPr>
    </w:p>
    <w:p>
      <w:pPr>
        <w:jc w:val="both"/>
        <w:ind w:firstLine="656"/>
        <w:spacing w:after="0" w:line="263" w:lineRule="auto"/>
        <w:tabs>
          <w:tab w:leader="none" w:pos="1072"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83" w:lineRule="exact"/>
        <w:rPr>
          <w:rFonts w:ascii="Arial" w:cs="Arial" w:eastAsia="Arial" w:hAnsi="Arial"/>
          <w:sz w:val="18"/>
          <w:szCs w:val="18"/>
          <w:color w:val="010000"/>
        </w:rPr>
      </w:pPr>
    </w:p>
    <w:p>
      <w:pPr>
        <w:jc w:val="both"/>
        <w:ind w:firstLine="656"/>
        <w:spacing w:after="0" w:line="293" w:lineRule="auto"/>
        <w:tabs>
          <w:tab w:leader="none" w:pos="1083"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 xml:space="preserve">reduce the principal of, or the rate of interest specified herein on, any Loan or L/C Borrowing, or (subject to clause (iv) of the second proviso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(i) to amend the definition of “Default Rate” or to waive any obligation of any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L/C Borrowing or to reduce any fee payable hereunder;</w:t>
      </w:r>
    </w:p>
    <w:p>
      <w:pPr>
        <w:spacing w:after="0" w:line="164" w:lineRule="exact"/>
        <w:rPr>
          <w:rFonts w:ascii="Arial" w:cs="Arial" w:eastAsia="Arial" w:hAnsi="Arial"/>
          <w:sz w:val="16"/>
          <w:szCs w:val="16"/>
          <w:color w:val="010000"/>
        </w:rPr>
      </w:pPr>
    </w:p>
    <w:p>
      <w:pPr>
        <w:ind w:firstLine="656"/>
        <w:spacing w:after="0" w:line="342" w:lineRule="auto"/>
        <w:tabs>
          <w:tab w:leader="none" w:pos="1072"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 xml:space="preserve">modify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or any other provision hereof in a manner that would have the effect of altering the ratable reduction of Commitments or the pro rata sharing of payments otherwise required hereunder without the written consent of each Lender directly affected thereby;</w:t>
      </w:r>
    </w:p>
    <w:p>
      <w:pPr>
        <w:spacing w:after="0" w:line="123" w:lineRule="exact"/>
        <w:rPr>
          <w:rFonts w:ascii="Arial" w:cs="Arial" w:eastAsia="Arial" w:hAnsi="Arial"/>
          <w:sz w:val="16"/>
          <w:szCs w:val="16"/>
          <w:color w:val="010000"/>
        </w:rPr>
      </w:pPr>
    </w:p>
    <w:p>
      <w:pPr>
        <w:jc w:val="both"/>
        <w:ind w:firstLine="656"/>
        <w:spacing w:after="0" w:line="263" w:lineRule="auto"/>
        <w:tabs>
          <w:tab w:leader="none" w:pos="1053"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83" w:lineRule="exact"/>
        <w:rPr>
          <w:rFonts w:ascii="Arial" w:cs="Arial" w:eastAsia="Arial" w:hAnsi="Arial"/>
          <w:sz w:val="18"/>
          <w:szCs w:val="18"/>
          <w:color w:val="010000"/>
        </w:rPr>
      </w:pPr>
    </w:p>
    <w:p>
      <w:pPr>
        <w:ind w:left="1100" w:hanging="444"/>
        <w:spacing w:after="0"/>
        <w:tabs>
          <w:tab w:leader="none" w:pos="110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release the Company from the Company Guaranty without the written consent of each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spacing w:after="0" w:line="286"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(other than as set forth in the proviso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Loan Parties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Notwithstanding anything to the contrary herein, this Agreement may be amended and restated without the consent of any Lender (but with the consent of the Loan Parties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5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6"/>
          <w:szCs w:val="16"/>
          <w:b w:val="1"/>
          <w:bCs w:val="1"/>
          <w:color w:val="auto"/>
        </w:rPr>
        <w:t>Notices; Effectiveness; Electronic Communication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9" w:lineRule="auto"/>
        <w:tabs>
          <w:tab w:leader="none" w:pos="1072" w:val="left"/>
        </w:tabs>
        <w:numPr>
          <w:ilvl w:val="0"/>
          <w:numId w:val="161"/>
        </w:numPr>
        <w:rPr>
          <w:rFonts w:ascii="Arial" w:cs="Arial" w:eastAsia="Arial" w:hAnsi="Arial"/>
          <w:sz w:val="17"/>
          <w:szCs w:val="17"/>
          <w:color w:val="010000"/>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010000"/>
        </w:rPr>
      </w:pPr>
    </w:p>
    <w:p>
      <w:pPr>
        <w:ind w:left="660" w:firstLine="644"/>
        <w:spacing w:after="0" w:line="277" w:lineRule="auto"/>
        <w:tabs>
          <w:tab w:leader="none" w:pos="170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if to any Borrower, the Administrative Agent, any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left="660" w:firstLine="644"/>
        <w:spacing w:after="0" w:line="275" w:lineRule="auto"/>
        <w:tabs>
          <w:tab w:leader="none" w:pos="1753"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The Company, PMCULC and each Designated Borrower hereby agree that any notice, demand, consent, acknowledgement, direction, certification or other communication delivered to the Company in accordance with the terms of this Agreement shall constitute delivery to, and shall be deemed to have been delivered to, PMCULC and each Designated Borrower.</w:t>
      </w:r>
    </w:p>
    <w:p>
      <w:pPr>
        <w:spacing w:after="0" w:line="177" w:lineRule="exact"/>
        <w:rPr>
          <w:sz w:val="20"/>
          <w:szCs w:val="20"/>
          <w:color w:val="auto"/>
        </w:rPr>
      </w:pPr>
    </w:p>
    <w:p>
      <w:pPr>
        <w:jc w:val="both"/>
        <w:ind w:firstLine="656"/>
        <w:spacing w:after="0" w:line="254" w:lineRule="auto"/>
        <w:tabs>
          <w:tab w:leader="none" w:pos="1083" w:val="left"/>
        </w:tabs>
        <w:numPr>
          <w:ilvl w:val="0"/>
          <w:numId w:val="163"/>
        </w:numPr>
        <w:rPr>
          <w:rFonts w:ascii="Arial" w:cs="Arial" w:eastAsia="Arial" w:hAnsi="Arial"/>
          <w:sz w:val="18"/>
          <w:szCs w:val="18"/>
          <w:color w:val="010000"/>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such L/C Issuer, as applicable, has notified the Administrative Agent and the Company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56"/>
        <w:spacing w:after="0" w:line="268" w:lineRule="auto"/>
        <w:tabs>
          <w:tab w:leader="none" w:pos="1072" w:val="left"/>
        </w:tabs>
        <w:numPr>
          <w:ilvl w:val="0"/>
          <w:numId w:val="164"/>
        </w:numPr>
        <w:rPr>
          <w:rFonts w:ascii="Arial" w:cs="Arial" w:eastAsia="Arial" w:hAnsi="Arial"/>
          <w:sz w:val="17"/>
          <w:szCs w:val="17"/>
          <w:color w:val="010000"/>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Borrower, any Lender, any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have resulted from such Agent Party’s gross negligence, willful misconduct or material breach of any of its obligations under any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186" w:lineRule="exact"/>
        <w:rPr>
          <w:rFonts w:ascii="Arial" w:cs="Arial" w:eastAsia="Arial" w:hAnsi="Arial"/>
          <w:sz w:val="17"/>
          <w:szCs w:val="17"/>
          <w:color w:val="010000"/>
        </w:rPr>
      </w:pPr>
    </w:p>
    <w:p>
      <w:pPr>
        <w:jc w:val="both"/>
        <w:ind w:firstLine="656"/>
        <w:spacing w:after="0" w:line="287" w:lineRule="auto"/>
        <w:tabs>
          <w:tab w:leader="none" w:pos="1083" w:val="left"/>
        </w:tabs>
        <w:numPr>
          <w:ilvl w:val="0"/>
          <w:numId w:val="164"/>
        </w:numPr>
        <w:rPr>
          <w:rFonts w:ascii="Arial" w:cs="Arial" w:eastAsia="Arial" w:hAnsi="Arial"/>
          <w:sz w:val="16"/>
          <w:szCs w:val="16"/>
          <w:color w:val="010000"/>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the Administrative Agent, any L/C Issuer and the Swing Line Lender may change its address, telecopier or telephone number for notices and other communications hereunder by notice to the other parties hereto. Each other Lender may change its address, facsimile or telephone number for notices and other communications hereunder by notice to the Company, the Administrative Agent, each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Subsidiaries or their respective securities for purposes of United States Federal or state securities laws.</w:t>
      </w:r>
    </w:p>
    <w:p>
      <w:pPr>
        <w:spacing w:after="0" w:line="171" w:lineRule="exact"/>
        <w:rPr>
          <w:rFonts w:ascii="Arial" w:cs="Arial" w:eastAsia="Arial" w:hAnsi="Arial"/>
          <w:sz w:val="16"/>
          <w:szCs w:val="16"/>
          <w:color w:val="010000"/>
        </w:rPr>
      </w:pPr>
    </w:p>
    <w:p>
      <w:pPr>
        <w:jc w:val="both"/>
        <w:ind w:firstLine="656"/>
        <w:spacing w:after="0" w:line="271" w:lineRule="auto"/>
        <w:tabs>
          <w:tab w:leader="none" w:pos="1072" w:val="left"/>
        </w:tabs>
        <w:numPr>
          <w:ilvl w:val="0"/>
          <w:numId w:val="164"/>
        </w:numPr>
        <w:rPr>
          <w:rFonts w:ascii="Arial" w:cs="Arial" w:eastAsia="Arial" w:hAnsi="Arial"/>
          <w:sz w:val="17"/>
          <w:szCs w:val="17"/>
          <w:color w:val="010000"/>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xml:space="preserve">. The Administrative Agent, the L/C Issuers and the Lenders shall be entitled to rely and act upon any notices (including telephonic or electronic notices,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expenses and liabilities resulting from the reliance by such Person on each notice purportedly given by or on behalf of any Borrower, to the extent provided in </w:t>
      </w:r>
      <w:r>
        <w:rPr>
          <w:rFonts w:ascii="Arial" w:cs="Arial" w:eastAsia="Arial" w:hAnsi="Arial"/>
          <w:sz w:val="17"/>
          <w:szCs w:val="17"/>
          <w:u w:val="single" w:color="auto"/>
          <w:color w:val="auto"/>
        </w:rPr>
        <w:t>Section 11.04(b)</w:t>
      </w:r>
      <w:r>
        <w:rPr>
          <w:rFonts w:ascii="Arial" w:cs="Arial" w:eastAsia="Arial" w:hAnsi="Arial"/>
          <w:sz w:val="17"/>
          <w:szCs w:val="17"/>
          <w:color w:val="auto"/>
        </w:rPr>
        <w:t>. All telephonic notices to and other telephonic communications with the Administrative Agent may be recorded by any person a party hereto, and each of the parties hereto hereby consents to such recording.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56" w:lineRule="auto"/>
        <w:rPr>
          <w:sz w:val="20"/>
          <w:szCs w:val="20"/>
          <w:color w:val="auto"/>
        </w:rPr>
      </w:pPr>
      <w:r>
        <w:rPr>
          <w:rFonts w:ascii="Arial" w:cs="Arial" w:eastAsia="Arial" w:hAnsi="Arial"/>
          <w:sz w:val="18"/>
          <w:szCs w:val="18"/>
          <w:b w:val="1"/>
          <w:bCs w:val="1"/>
          <w:color w:val="auto"/>
        </w:rPr>
        <w:t>11.03 No Waiver; Cumulative Remedies; Enforcement; Nature of Obligations</w:t>
      </w:r>
      <w:r>
        <w:rPr>
          <w:rFonts w:ascii="Arial" w:cs="Arial" w:eastAsia="Arial" w:hAnsi="Arial"/>
          <w:sz w:val="18"/>
          <w:szCs w:val="18"/>
          <w:color w:val="auto"/>
        </w:rPr>
        <w:t>. No failure by any Lender, any L/C Issuer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2" w:lineRule="exact"/>
        <w:rPr>
          <w:sz w:val="20"/>
          <w:szCs w:val="20"/>
          <w:color w:val="auto"/>
        </w:rPr>
      </w:pPr>
    </w:p>
    <w:p>
      <w:pPr>
        <w:jc w:val="both"/>
        <w:ind w:firstLine="8"/>
        <w:spacing w:after="0" w:line="251" w:lineRule="auto"/>
        <w:tabs>
          <w:tab w:leader="none" w:pos="26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All Obligations which are incurred by two or more Loan Parties shall be their joint and several obligations and liabilities of such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Lender Parties acknowledge and agree that as of the Closing Date (i) Borrowings and requests for Credit Extensions made or to be made hereunder by any requesting Borrower, including any Designated Borrower joining this Agreement after the Closing Date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are to be made by such requesting Borrower severally and not jointly and severally by the Borrowers, and (ii) Loans and L/C Obligations of any Borrower, including any Designated Borrower joining this Agreement after the Closing Date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and the Obligations of PMCULC or any Designated Borrower to repurchase Canadian BA’s, are to be such Borrower’s several Obligations, and not joint and several Obligations among all Borrowers.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660"/>
        <w:spacing w:after="0"/>
        <w:tabs>
          <w:tab w:leader="none" w:pos="126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7" w:lineRule="auto"/>
        <w:tabs>
          <w:tab w:leader="none" w:pos="1072" w:val="left"/>
        </w:tabs>
        <w:numPr>
          <w:ilvl w:val="0"/>
          <w:numId w:val="166"/>
        </w:numPr>
        <w:rPr>
          <w:rFonts w:ascii="Arial" w:cs="Arial" w:eastAsia="Arial" w:hAnsi="Arial"/>
          <w:sz w:val="16"/>
          <w:szCs w:val="16"/>
          <w:color w:val="010000"/>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Company shall pay (i) all reasonable out-of-pocket expenses incurred by the Administrative Agent and its Affiliates (including the reasonable fees, charges and disbursements of a single counsel for the Administrative Agent) (and if necessary one local counsel in each applicable jurisdiction) but excluding the allocated cost of internal counsel)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reinstatement or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but excluding the allocated cost of internal counsel),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71" w:lineRule="exact"/>
        <w:rPr>
          <w:rFonts w:ascii="Arial" w:cs="Arial" w:eastAsia="Arial" w:hAnsi="Arial"/>
          <w:sz w:val="16"/>
          <w:szCs w:val="16"/>
          <w:color w:val="010000"/>
        </w:rPr>
      </w:pPr>
    </w:p>
    <w:p>
      <w:pPr>
        <w:jc w:val="both"/>
        <w:ind w:firstLine="656"/>
        <w:spacing w:after="0" w:line="283" w:lineRule="auto"/>
        <w:tabs>
          <w:tab w:leader="none" w:pos="1083" w:val="left"/>
        </w:tabs>
        <w:numPr>
          <w:ilvl w:val="0"/>
          <w:numId w:val="166"/>
        </w:numPr>
        <w:rPr>
          <w:rFonts w:ascii="Arial" w:cs="Arial" w:eastAsia="Arial" w:hAnsi="Arial"/>
          <w:sz w:val="16"/>
          <w:szCs w:val="16"/>
          <w:color w:val="010000"/>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indemnify the Administrative Agent (and any sub-agent thereof), each Lender and each L/C Issuer, and each Related Party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(including the enforcement or defense thereof),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IN ALL CASES, WHETHER OR NOT CAUSED BY OR ARISING, IN WHOLE OR IN PART, OUT OF THE COMPARATIVE, CONTRIBUTORY OR SOLE NEGLIGENCE OF THE INDEMNITEE;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officers, directors, employees, controlled Affiliates or controlling Persons, or a material breach of any Loan Document by such Indemnitee, or, (y) result from a claim brought by the Company or any other Loan Party against an Indemnitee for a material breach of such Indemnitee’s obligations hereunder or under any other Loan Document, if the Company or such Loan Party has obtained a final and nonappealable judgment in its favor on such claim as determined by a court of competent jurisdiction or (z) result from a claim not involving an act or omission of the Company or any other Loan Party and that is brought by an Indemnitee against another Indemnitee (other than against the arranger or the Administrative Agent in their capacities as such).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 In addition, so long as no Default has occurred and is continuing and the Company is financially solvent, such indemnity shall not, as to any Indemnitee, be available with respect to any settlements effected without the Company’s prior written consent, such consent not to be unreasonably withheld, conditioned or delayed; provided, the Company may not reasonably withhold consent to any settlement that an Indemnitee proposes, if the Company does not have the financial ability to pay all its obligations outstanding and asserted against the Company at that time, including the maximum potential claims against the Indemnitee to be indemnified pursuant to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provided further, with respect to any such settlement consented to by the Company (which shall not include any statement as to any admission of fault, culpability or a failure to act by or on behalf of any Indemnitee), the Company shall indemnify such Indemnitee from and against any and all losses, claims, damages, liabilities and related expenses by reason of such settlement in accordance with the other provisions of this </w:t>
      </w:r>
      <w:r>
        <w:rPr>
          <w:rFonts w:ascii="Arial" w:cs="Arial" w:eastAsia="Arial" w:hAnsi="Arial"/>
          <w:sz w:val="16"/>
          <w:szCs w:val="16"/>
          <w:u w:val="single" w:color="auto"/>
          <w:color w:val="auto"/>
        </w:rPr>
        <w:t>Section 11.04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56"/>
        <w:spacing w:after="0" w:line="287" w:lineRule="auto"/>
        <w:tabs>
          <w:tab w:leader="none" w:pos="1072" w:val="left"/>
        </w:tabs>
        <w:numPr>
          <w:ilvl w:val="0"/>
          <w:numId w:val="167"/>
        </w:numPr>
        <w:rPr>
          <w:rFonts w:ascii="Arial" w:cs="Arial" w:eastAsia="Arial" w:hAnsi="Arial"/>
          <w:sz w:val="16"/>
          <w:szCs w:val="16"/>
          <w:color w:val="010000"/>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Company for any reason fails to indefeasibly pay any amount required under subsection (a) or (b) of this Section to be paid by it to the Administrative Agent (or any sub-agent thereof), any L/C Issuer, the Swing Line Lender or any Related Party of any of the foregoing, without affecting the Company’s payment obligations with respect thereto,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Outstandings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subsection (d)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56"/>
        <w:spacing w:after="0" w:line="287" w:lineRule="auto"/>
        <w:tabs>
          <w:tab w:leader="none" w:pos="1083" w:val="left"/>
        </w:tabs>
        <w:numPr>
          <w:ilvl w:val="0"/>
          <w:numId w:val="168"/>
        </w:numPr>
        <w:rPr>
          <w:rFonts w:ascii="Arial" w:cs="Arial" w:eastAsia="Arial" w:hAnsi="Arial"/>
          <w:sz w:val="16"/>
          <w:szCs w:val="16"/>
          <w:color w:val="010000"/>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party hereto or Related Party thereof shall assert, and hereby waives, and acknowledges that no other Person shall have, any claim against any other party hereto or any Related Party thereof (including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the foregoing shall not limit Borrowers’ indemnity and reimbursement obligations set forth in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to the extent any such special, indirect, consequential or punitive damages are included in any third party claim against any Indemnitee.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its obligations under any Loan Document as found in a final and nonappealable judgment by a court of competent jurisdiction.</w:t>
      </w:r>
    </w:p>
    <w:p>
      <w:pPr>
        <w:spacing w:after="0" w:line="171" w:lineRule="exact"/>
        <w:rPr>
          <w:rFonts w:ascii="Arial" w:cs="Arial" w:eastAsia="Arial" w:hAnsi="Arial"/>
          <w:sz w:val="16"/>
          <w:szCs w:val="16"/>
          <w:color w:val="010000"/>
        </w:rPr>
      </w:pPr>
    </w:p>
    <w:p>
      <w:pPr>
        <w:ind w:left="1080" w:hanging="424"/>
        <w:spacing w:after="0"/>
        <w:tabs>
          <w:tab w:leader="none" w:pos="1080" w:val="left"/>
        </w:tabs>
        <w:numPr>
          <w:ilvl w:val="0"/>
          <w:numId w:val="168"/>
        </w:numPr>
        <w:rPr>
          <w:rFonts w:ascii="Arial" w:cs="Arial" w:eastAsia="Arial" w:hAnsi="Arial"/>
          <w:sz w:val="18"/>
          <w:szCs w:val="18"/>
          <w:color w:val="010000"/>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053" w:val="left"/>
        </w:tabs>
        <w:numPr>
          <w:ilvl w:val="0"/>
          <w:numId w:val="168"/>
        </w:numPr>
        <w:rPr>
          <w:rFonts w:ascii="Arial" w:cs="Arial" w:eastAsia="Arial" w:hAnsi="Arial"/>
          <w:sz w:val="18"/>
          <w:szCs w:val="18"/>
          <w:color w:val="010000"/>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11.04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any L/C Issuer and the Swing Line Lender, the replacement of any Lender or L/C Issuer, the termination of the Aggregate Commitments and the repayment, satisfaction or discharge of all the other Obligations.</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11.05 Payments Set Aside</w:t>
      </w:r>
      <w:r>
        <w:rPr>
          <w:rFonts w:ascii="Arial" w:cs="Arial" w:eastAsia="Arial" w:hAnsi="Arial"/>
          <w:sz w:val="16"/>
          <w:szCs w:val="16"/>
          <w:color w:val="auto"/>
        </w:rPr>
        <w:t>. To the extent that any payment by or on behalf of any Borrower is made to the Administrative Agent, any L/C</w:t>
      </w:r>
      <w:r>
        <w:rPr>
          <w:rFonts w:ascii="Arial" w:cs="Arial" w:eastAsia="Arial" w:hAnsi="Arial"/>
          <w:sz w:val="16"/>
          <w:szCs w:val="16"/>
          <w:b w:val="1"/>
          <w:bCs w:val="1"/>
          <w:color w:val="auto"/>
        </w:rPr>
        <w:t xml:space="preserve"> </w:t>
      </w:r>
      <w:r>
        <w:rPr>
          <w:rFonts w:ascii="Arial" w:cs="Arial" w:eastAsia="Arial" w:hAnsi="Arial"/>
          <w:sz w:val="16"/>
          <w:szCs w:val="16"/>
          <w:color w:val="auto"/>
        </w:rPr>
        <w:t>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3" w:lineRule="exact"/>
        <w:rPr>
          <w:sz w:val="20"/>
          <w:szCs w:val="20"/>
          <w:color w:val="auto"/>
        </w:rPr>
      </w:pPr>
    </w:p>
    <w:p>
      <w:pPr>
        <w:jc w:val="both"/>
        <w:ind w:firstLine="8"/>
        <w:spacing w:after="0" w:line="253" w:lineRule="auto"/>
        <w:tabs>
          <w:tab w:leader="none" w:pos="27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left="660"/>
        <w:spacing w:after="0"/>
        <w:tabs>
          <w:tab w:leader="none" w:pos="1260" w:val="left"/>
        </w:tabs>
        <w:rPr>
          <w:sz w:val="20"/>
          <w:szCs w:val="20"/>
          <w:color w:val="auto"/>
        </w:rPr>
      </w:pPr>
      <w:r>
        <w:rPr>
          <w:rFonts w:ascii="Arial" w:cs="Arial" w:eastAsia="Arial" w:hAnsi="Arial"/>
          <w:sz w:val="18"/>
          <w:szCs w:val="18"/>
          <w:b w:val="1"/>
          <w:bCs w:val="1"/>
          <w:color w:val="auto"/>
        </w:rPr>
        <w:t>11.06</w:t>
      </w:r>
      <w:r>
        <w:rPr>
          <w:sz w:val="20"/>
          <w:szCs w:val="20"/>
          <w:color w:val="auto"/>
        </w:rPr>
        <w:tab/>
      </w:r>
      <w:r>
        <w:rPr>
          <w:rFonts w:ascii="Arial" w:cs="Arial" w:eastAsia="Arial" w:hAnsi="Arial"/>
          <w:sz w:val="15"/>
          <w:szCs w:val="15"/>
          <w:b w:val="1"/>
          <w:bCs w:val="1"/>
          <w:color w:val="auto"/>
        </w:rPr>
        <w:t>Successors and Assigns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9" w:lineRule="auto"/>
        <w:tabs>
          <w:tab w:leader="none" w:pos="1072" w:val="left"/>
        </w:tabs>
        <w:numPr>
          <w:ilvl w:val="0"/>
          <w:numId w:val="170"/>
        </w:numPr>
        <w:rPr>
          <w:rFonts w:ascii="Arial" w:cs="Arial" w:eastAsia="Arial" w:hAnsi="Arial"/>
          <w:sz w:val="17"/>
          <w:szCs w:val="17"/>
          <w:color w:val="010000"/>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no Borrower may assign or otherwise transfer any of its rights or obligations hereunder (other than assignments by PMCULC or a Designated Borrower to, and corresponding assumptions by, a Borrower)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Agreement.</w:t>
      </w:r>
    </w:p>
    <w:p>
      <w:pPr>
        <w:spacing w:after="0" w:line="185" w:lineRule="exact"/>
        <w:rPr>
          <w:rFonts w:ascii="Arial" w:cs="Arial" w:eastAsia="Arial" w:hAnsi="Arial"/>
          <w:sz w:val="17"/>
          <w:szCs w:val="17"/>
          <w:color w:val="010000"/>
        </w:rPr>
      </w:pPr>
    </w:p>
    <w:p>
      <w:pPr>
        <w:jc w:val="both"/>
        <w:ind w:firstLine="656"/>
        <w:spacing w:after="0" w:line="259" w:lineRule="auto"/>
        <w:tabs>
          <w:tab w:leader="none" w:pos="1083" w:val="left"/>
        </w:tabs>
        <w:numPr>
          <w:ilvl w:val="0"/>
          <w:numId w:val="170"/>
        </w:numPr>
        <w:rPr>
          <w:rFonts w:ascii="Arial" w:cs="Arial" w:eastAsia="Arial" w:hAnsi="Arial"/>
          <w:sz w:val="18"/>
          <w:szCs w:val="18"/>
          <w:color w:val="010000"/>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and the other Loan Documents (including all or a portion of its Commitment and the Loans (including for purposes of this subsection (b), participations in L/C Obligations and in Swing Line Loans, and Canadian BA’s)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86" w:lineRule="exact"/>
        <w:rPr>
          <w:rFonts w:ascii="Arial" w:cs="Arial" w:eastAsia="Arial" w:hAnsi="Arial"/>
          <w:sz w:val="18"/>
          <w:szCs w:val="18"/>
          <w:color w:val="010000"/>
        </w:rPr>
      </w:pPr>
    </w:p>
    <w:p>
      <w:pPr>
        <w:ind w:left="1700" w:hanging="396"/>
        <w:spacing w:after="0"/>
        <w:tabs>
          <w:tab w:leader="none" w:pos="17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Minimum Amounts.</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423" w:val="left"/>
        </w:tabs>
        <w:numPr>
          <w:ilvl w:val="2"/>
          <w:numId w:val="170"/>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3" w:lineRule="exact"/>
        <w:rPr>
          <w:rFonts w:ascii="Arial" w:cs="Arial" w:eastAsia="Arial" w:hAnsi="Arial"/>
          <w:sz w:val="18"/>
          <w:szCs w:val="18"/>
          <w:color w:val="auto"/>
        </w:rPr>
      </w:pPr>
    </w:p>
    <w:p>
      <w:pPr>
        <w:jc w:val="both"/>
        <w:ind w:left="1300" w:firstLine="652"/>
        <w:spacing w:after="0" w:line="270" w:lineRule="auto"/>
        <w:tabs>
          <w:tab w:leader="none" w:pos="2413" w:val="left"/>
        </w:tabs>
        <w:numPr>
          <w:ilvl w:val="2"/>
          <w:numId w:val="170"/>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0" w:lineRule="exact"/>
        <w:rPr>
          <w:rFonts w:ascii="Arial" w:cs="Arial" w:eastAsia="Arial" w:hAnsi="Arial"/>
          <w:sz w:val="17"/>
          <w:szCs w:val="17"/>
          <w:color w:val="auto"/>
        </w:rPr>
      </w:pPr>
    </w:p>
    <w:p>
      <w:pPr>
        <w:jc w:val="both"/>
        <w:ind w:left="660" w:firstLine="644"/>
        <w:spacing w:after="0" w:line="311" w:lineRule="auto"/>
        <w:tabs>
          <w:tab w:leader="none" w:pos="1753"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and the other Loan Documents with respect to the Loans or the Commitment assigned, except that this clause (ii) shall not apply to rights in respect of the Swing Line Lender’s rights and obligations in respect of Swing Line Loans;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460" w:firstLine="644"/>
        <w:spacing w:after="0" w:line="277" w:lineRule="auto"/>
        <w:tabs>
          <w:tab w:leader="none" w:pos="68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such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170" w:lineRule="exact"/>
        <w:rPr>
          <w:rFonts w:ascii="Arial" w:cs="Arial" w:eastAsia="Arial" w:hAnsi="Arial"/>
          <w:sz w:val="18"/>
          <w:szCs w:val="18"/>
          <w:color w:val="auto"/>
        </w:rPr>
      </w:pPr>
    </w:p>
    <w:p>
      <w:pPr>
        <w:jc w:val="both"/>
        <w:ind w:left="180" w:firstLine="652"/>
        <w:spacing w:after="0" w:line="257" w:lineRule="auto"/>
        <w:tabs>
          <w:tab w:leader="none" w:pos="130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the consent of the Company (such consent not to be unreasonably withheld or delayed) shall be required unless (1)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8.01(g</w:t>
      </w:r>
      <w:r>
        <w:rPr>
          <w:rFonts w:ascii="Arial" w:cs="Arial" w:eastAsia="Arial" w:hAnsi="Arial"/>
          <w:sz w:val="18"/>
          <w:szCs w:val="18"/>
          <w:color w:val="auto"/>
        </w:rPr>
        <w:t xml:space="preserve">)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ten (10) Business Days after having received notice thereof;</w:t>
      </w:r>
    </w:p>
    <w:p>
      <w:pPr>
        <w:spacing w:after="0" w:line="187" w:lineRule="exact"/>
        <w:rPr>
          <w:rFonts w:ascii="Arial" w:cs="Arial" w:eastAsia="Arial" w:hAnsi="Arial"/>
          <w:sz w:val="18"/>
          <w:szCs w:val="18"/>
          <w:color w:val="auto"/>
        </w:rPr>
      </w:pPr>
    </w:p>
    <w:p>
      <w:pPr>
        <w:ind w:left="180" w:firstLine="652"/>
        <w:spacing w:after="0" w:line="308" w:lineRule="auto"/>
        <w:tabs>
          <w:tab w:leader="none" w:pos="1293"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46" w:lineRule="exact"/>
        <w:rPr>
          <w:rFonts w:ascii="Arial" w:cs="Arial" w:eastAsia="Arial" w:hAnsi="Arial"/>
          <w:sz w:val="17"/>
          <w:szCs w:val="17"/>
          <w:color w:val="auto"/>
        </w:rPr>
      </w:pPr>
    </w:p>
    <w:p>
      <w:pPr>
        <w:ind w:left="180" w:firstLine="652"/>
        <w:spacing w:after="0" w:line="277" w:lineRule="auto"/>
        <w:tabs>
          <w:tab w:leader="none" w:pos="129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consent of each L/C Issuer (such consent not to be unreasonably withheld or delayed) shall be required for any assignment so long as any L/C Commitment or L/C Obligations remain outstanding; and</w:t>
      </w:r>
    </w:p>
    <w:p>
      <w:pPr>
        <w:spacing w:after="0" w:line="170" w:lineRule="exact"/>
        <w:rPr>
          <w:rFonts w:ascii="Arial" w:cs="Arial" w:eastAsia="Arial" w:hAnsi="Arial"/>
          <w:sz w:val="18"/>
          <w:szCs w:val="18"/>
          <w:color w:val="auto"/>
        </w:rPr>
      </w:pPr>
    </w:p>
    <w:p>
      <w:pPr>
        <w:ind w:left="1300" w:hanging="468"/>
        <w:spacing w:after="0"/>
        <w:tabs>
          <w:tab w:leader="none" w:pos="13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consent of the Swing Line Lender (such consent not to be unreasonably withheld or delayed) shall be required for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assignment.</w:t>
      </w:r>
    </w:p>
    <w:p>
      <w:pPr>
        <w:spacing w:after="0" w:line="210" w:lineRule="exact"/>
        <w:rPr>
          <w:rFonts w:ascii="Arial" w:cs="Arial" w:eastAsia="Arial" w:hAnsi="Arial"/>
          <w:sz w:val="16"/>
          <w:szCs w:val="16"/>
          <w:color w:val="auto"/>
        </w:rPr>
      </w:pPr>
    </w:p>
    <w:p>
      <w:pPr>
        <w:jc w:val="both"/>
        <w:ind w:left="-460" w:firstLine="644"/>
        <w:spacing w:after="0" w:line="259" w:lineRule="auto"/>
        <w:tabs>
          <w:tab w:leader="none" w:pos="67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62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spacing w:after="0" w:line="186" w:lineRule="exact"/>
        <w:rPr>
          <w:rFonts w:ascii="Arial" w:cs="Arial" w:eastAsia="Arial" w:hAnsi="Arial"/>
          <w:sz w:val="18"/>
          <w:szCs w:val="18"/>
          <w:color w:val="auto"/>
        </w:rPr>
      </w:pPr>
    </w:p>
    <w:p>
      <w:pPr>
        <w:jc w:val="both"/>
        <w:ind w:left="-460" w:firstLine="644"/>
        <w:spacing w:after="0" w:line="342" w:lineRule="auto"/>
        <w:tabs>
          <w:tab w:leader="none" w:pos="673"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No Assignment Resulting in Additional Indemnified Taxes</w:t>
      </w:r>
      <w:r>
        <w:rPr>
          <w:rFonts w:ascii="Arial" w:cs="Arial" w:eastAsia="Arial" w:hAnsi="Arial"/>
          <w:sz w:val="16"/>
          <w:szCs w:val="16"/>
          <w:color w:val="auto"/>
        </w:rPr>
        <w:t>. No such assignment shall be made to any Person that, through its Lending Offices, is not capable of lending Canadian Dollars to the relevant Borrowers without the imposition of any additional Indemnified Taxes.</w:t>
      </w:r>
    </w:p>
    <w:p>
      <w:pPr>
        <w:spacing w:after="0" w:line="34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6" w:name="page137"/>
    <w:bookmarkEnd w:id="136"/>
    <w:p>
      <w:pPr>
        <w:jc w:val="both"/>
        <w:ind w:left="660" w:firstLine="644"/>
        <w:spacing w:after="0" w:line="287" w:lineRule="auto"/>
        <w:tabs>
          <w:tab w:leader="none" w:pos="1843"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and in connection therewith the assignor Lender shall (i) if its entire Commitment was assigned, return its Note (if any) to the Company for cancellation (or submit to the Company an affidavit regarding the loss thereof) or (ii) if only a portion of its Commitment was assigned, provide evidence that such assignor’s Note (if any), has been marked to reflect such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4" w:lineRule="exact"/>
        <w:rPr>
          <w:sz w:val="20"/>
          <w:szCs w:val="20"/>
          <w:color w:val="auto"/>
        </w:rPr>
      </w:pPr>
    </w:p>
    <w:p>
      <w:pPr>
        <w:jc w:val="both"/>
        <w:ind w:firstLine="656"/>
        <w:spacing w:after="0" w:line="272" w:lineRule="auto"/>
        <w:tabs>
          <w:tab w:leader="none" w:pos="1072" w:val="left"/>
        </w:tabs>
        <w:numPr>
          <w:ilvl w:val="0"/>
          <w:numId w:val="173"/>
        </w:numPr>
        <w:rPr>
          <w:rFonts w:ascii="Arial" w:cs="Arial" w:eastAsia="Arial" w:hAnsi="Arial"/>
          <w:sz w:val="17"/>
          <w:szCs w:val="17"/>
          <w:color w:val="010000"/>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firstLine="656"/>
        <w:spacing w:after="0" w:line="270" w:lineRule="auto"/>
        <w:tabs>
          <w:tab w:leader="none" w:pos="1083" w:val="left"/>
        </w:tabs>
        <w:numPr>
          <w:ilvl w:val="0"/>
          <w:numId w:val="174"/>
        </w:numPr>
        <w:rPr>
          <w:rFonts w:ascii="Arial" w:cs="Arial" w:eastAsia="Arial" w:hAnsi="Arial"/>
          <w:sz w:val="17"/>
          <w:szCs w:val="17"/>
          <w:color w:val="010000"/>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and Canadian BA’s));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without regard to the existence of any participation.</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The Company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and in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the obligations imposed by such Sections to the same extent as if it were a Lender and had acquired its interest by assignment pursuant to clause (b)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provided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clause (b)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Each Lender that sells a participation agrees, at the Company’s request and expense, to use reasonable efforts to cooperate with the Company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provided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656"/>
        <w:spacing w:after="0" w:line="259" w:lineRule="auto"/>
        <w:tabs>
          <w:tab w:leader="none" w:pos="1072" w:val="left"/>
        </w:tabs>
        <w:numPr>
          <w:ilvl w:val="0"/>
          <w:numId w:val="175"/>
        </w:numPr>
        <w:rPr>
          <w:rFonts w:ascii="Arial" w:cs="Arial" w:eastAsia="Arial" w:hAnsi="Arial"/>
          <w:sz w:val="18"/>
          <w:szCs w:val="18"/>
          <w:color w:val="010000"/>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rFonts w:ascii="Arial" w:cs="Arial" w:eastAsia="Arial" w:hAnsi="Arial"/>
          <w:sz w:val="18"/>
          <w:szCs w:val="18"/>
          <w:color w:val="010000"/>
        </w:rPr>
      </w:pPr>
    </w:p>
    <w:p>
      <w:pPr>
        <w:jc w:val="both"/>
        <w:ind w:firstLine="656"/>
        <w:spacing w:after="0" w:line="285" w:lineRule="auto"/>
        <w:tabs>
          <w:tab w:leader="none" w:pos="1053"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any L/C Issuer or the Swing Line Lender assigns all of its Commitment and Loans pursuant to clause (b) above, such L/C Issuer or the Swing Line Lender, as applicable, may, (i) upon 30 days’ notice to the Administrative Agent, the Company and the Lenders, resign as an L/C Issuer and/or (ii) upon 30 days’ notice to the Company, resign as Swing Line Lender. In the event of any such resignation as an L/C Issuer or Swing Line Lender, the Company shall be entitled to appoint from among the Lenders a successor L/C Issuer (subject to such successor’s acceptance) or Swing Line Lender (subject to such successor’s acceptance)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Company to appoint any such successor shall affect the resignation of the applicable L/C Issuer or Swing Line Lender, as the case may be. If the applicable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Committed Loans or Canadian Prime Rate Committed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Canadian Prime Rate Committed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spacing w:after="0" w:line="173" w:lineRule="exact"/>
        <w:rPr>
          <w:rFonts w:ascii="Arial" w:cs="Arial" w:eastAsia="Arial" w:hAnsi="Arial"/>
          <w:sz w:val="16"/>
          <w:szCs w:val="16"/>
          <w:color w:val="010000"/>
        </w:rPr>
      </w:pPr>
    </w:p>
    <w:p>
      <w:pPr>
        <w:jc w:val="both"/>
        <w:ind w:firstLine="656"/>
        <w:spacing w:after="0" w:line="279" w:lineRule="auto"/>
        <w:tabs>
          <w:tab w:leader="none" w:pos="1083" w:val="left"/>
        </w:tabs>
        <w:numPr>
          <w:ilvl w:val="0"/>
          <w:numId w:val="175"/>
        </w:numPr>
        <w:rPr>
          <w:rFonts w:ascii="Arial" w:cs="Arial" w:eastAsia="Arial" w:hAnsi="Arial"/>
          <w:sz w:val="17"/>
          <w:szCs w:val="17"/>
          <w:color w:val="010000"/>
        </w:rPr>
      </w:pPr>
      <w:r>
        <w:rPr>
          <w:rFonts w:ascii="Arial" w:cs="Arial" w:eastAsia="Arial" w:hAnsi="Arial"/>
          <w:sz w:val="17"/>
          <w:szCs w:val="17"/>
          <w:u w:val="single" w:color="auto"/>
          <w:color w:val="auto"/>
        </w:rPr>
        <w:t>Lost Notes</w:t>
      </w:r>
      <w:r>
        <w:rPr>
          <w:rFonts w:ascii="Arial" w:cs="Arial" w:eastAsia="Arial" w:hAnsi="Arial"/>
          <w:sz w:val="17"/>
          <w:szCs w:val="17"/>
          <w:color w:val="auto"/>
        </w:rPr>
        <w:t>. Upon receipt of an affidavit reasonably satisfactory to the Company of an officer of any Lender as to the loss, theft, destruction or mutilation of its Note which is not of public record, and, in the case of any such loss, theft, destruction or mutilation, upon cancellation of such Note, the applicable Borrower will execute and deliver, in lieu thereof, a replacement Note in the principal amount of such Lender’s then Commitment or if no Commitment is in effect, the outstanding principal amount owed to such Lender and otherwise of like tenor.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48"/>
        <w:spacing w:after="0" w:line="284" w:lineRule="auto"/>
        <w:rPr>
          <w:sz w:val="20"/>
          <w:szCs w:val="20"/>
          <w:color w:val="auto"/>
        </w:rPr>
      </w:pPr>
      <w:r>
        <w:rPr>
          <w:rFonts w:ascii="Arial" w:cs="Arial" w:eastAsia="Arial" w:hAnsi="Arial"/>
          <w:sz w:val="16"/>
          <w:szCs w:val="16"/>
          <w:b w:val="1"/>
          <w:bCs w:val="1"/>
          <w:color w:val="auto"/>
        </w:rPr>
        <w:t>11.07 Treatment of Certain Information; Confidentiality</w:t>
      </w:r>
      <w:r>
        <w:rPr>
          <w:rFonts w:ascii="Arial" w:cs="Arial" w:eastAsia="Arial" w:hAnsi="Arial"/>
          <w:sz w:val="16"/>
          <w:szCs w:val="16"/>
          <w:color w:val="auto"/>
        </w:rPr>
        <w:t>. Each of the Administrative Agent, the Lenders and the L/C Issuers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11.07, to</w:t>
      </w:r>
    </w:p>
    <w:p>
      <w:pPr>
        <w:spacing w:after="0" w:line="5" w:lineRule="exact"/>
        <w:rPr>
          <w:sz w:val="20"/>
          <w:szCs w:val="20"/>
          <w:color w:val="auto"/>
        </w:rPr>
      </w:pPr>
    </w:p>
    <w:p>
      <w:pPr>
        <w:jc w:val="both"/>
        <w:ind w:firstLine="8"/>
        <w:spacing w:after="0" w:line="285" w:lineRule="auto"/>
        <w:tabs>
          <w:tab w:leader="none" w:pos="22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assignee of or Participant in, or any prospective assignee of or Participant in, any of its rights and obligations under this Agreement or any Eligible Assignee invited to be a Lender pursuant to Section 2.16(c) or (ii) any actual or prospective party (or its Related Parties) to any swap, derivative or other transaction under which payments are to be made by reference to any of the Borrowers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11.07,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Section 11.07. In addition, the Administrative Agent and the Lenders may disclose the existence of this Agreement and public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this Section, “Information” means all information received from the Company or any Subsidiary relating to the Company or any Subsidiary or any Affiliate of any of them, or any of their respective businesses, other than any such information that is available to the Administrative Agent, any Lender or any L/C Issuer on a nonconfidential basis prior to disclosure by the Company or any Subsidiary, provided that, in the case of information received from the Company or any Subsidiary after the date 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59" w:lineRule="auto"/>
        <w:rPr>
          <w:sz w:val="20"/>
          <w:szCs w:val="20"/>
          <w:color w:val="auto"/>
        </w:rPr>
      </w:pPr>
      <w:r>
        <w:rPr>
          <w:rFonts w:ascii="Arial" w:cs="Arial" w:eastAsia="Arial" w:hAnsi="Arial"/>
          <w:sz w:val="18"/>
          <w:szCs w:val="18"/>
          <w:color w:val="auto"/>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11.08 Right of Setoff</w:t>
      </w:r>
      <w:r>
        <w:rPr>
          <w:rFonts w:ascii="Arial" w:cs="Arial" w:eastAsia="Arial" w:hAnsi="Arial"/>
          <w:sz w:val="16"/>
          <w:szCs w:val="16"/>
          <w:color w:val="auto"/>
        </w:rPr>
        <w:t>. At any time and from time to time during the continuance of any Event of Default, each Lender and each L/C Issuer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their respective Affiliates is hereby authorized at any time and from time to time, to the fullest extent permitted by Applicable Law, to set off and apply against the Obligations,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Company or such Loan Party may be contingent or unmatured or are owed to a branch, office or Affiliate of such Lender or such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2.18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provided that the failure to give such notice shall not affect the validity of such setoff and application.</w:t>
      </w:r>
    </w:p>
    <w:p>
      <w:pPr>
        <w:spacing w:after="0" w:line="16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11.09 Interest Rate Limitation</w:t>
      </w:r>
      <w:r>
        <w:rPr>
          <w:rFonts w:ascii="Arial" w:cs="Arial" w:eastAsia="Arial" w:hAnsi="Arial"/>
          <w:sz w:val="16"/>
          <w:szCs w:val="16"/>
          <w:color w:val="auto"/>
        </w:rPr>
        <w:t>. Notwithstanding anything to the contrary contained in any Loan Document, the interest paid or agreed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3" w:lineRule="exact"/>
        <w:rPr>
          <w:sz w:val="20"/>
          <w:szCs w:val="20"/>
          <w:color w:val="auto"/>
        </w:rPr>
      </w:pPr>
    </w:p>
    <w:p>
      <w:pPr>
        <w:jc w:val="both"/>
        <w:ind w:firstLine="8"/>
        <w:spacing w:after="0" w:line="268" w:lineRule="auto"/>
        <w:tabs>
          <w:tab w:leader="none" w:pos="27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amortize, prorate, allocate, and spread in equal or unequal parts the total amount of interest throughout the contemplated term of the Obligations hereunder. In no event shall the aggregate “interest” (as defined in section 347 of the Criminal Code (Canada)) payable by PMCULC or any Designated Borrower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Borrowers, Administrative Agent and Lenders and the amount of such excess payment or collection shall be refunded to PMCULC or the relevant Designated Borrower. For purposes of any Notes made by PMCULC or any Designated Borrower,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Administrative Agent shall be prima facie evidence, for the purposes of such determination.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648"/>
        <w:spacing w:after="0" w:line="274" w:lineRule="auto"/>
        <w:rPr>
          <w:sz w:val="20"/>
          <w:szCs w:val="20"/>
          <w:color w:val="auto"/>
        </w:rPr>
      </w:pPr>
      <w:r>
        <w:rPr>
          <w:rFonts w:ascii="Arial" w:cs="Arial" w:eastAsia="Arial" w:hAnsi="Arial"/>
          <w:sz w:val="17"/>
          <w:szCs w:val="17"/>
          <w:b w:val="1"/>
          <w:bCs w:val="1"/>
          <w:color w:val="auto"/>
        </w:rPr>
        <w:t>11.10 Counterparts; Integration; Effectiveness</w:t>
      </w:r>
      <w:r>
        <w:rPr>
          <w:rFonts w:ascii="Arial" w:cs="Arial" w:eastAsia="Arial" w:hAnsi="Arial"/>
          <w:sz w:val="17"/>
          <w:szCs w:val="17"/>
          <w:color w:val="auto"/>
        </w:rPr>
        <w:t>. This Agreement, the other Loan Documents, and any separate letter agreements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11.11 Survival of Representations and Warranties</w:t>
      </w:r>
      <w:r>
        <w:rPr>
          <w:rFonts w:ascii="Arial" w:cs="Arial" w:eastAsia="Arial" w:hAnsi="Arial"/>
          <w:sz w:val="17"/>
          <w:szCs w:val="17"/>
          <w:color w:val="auto"/>
        </w:rPr>
        <w:t>. All representations and warranties made hereunder and in any other Loan Document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11.12 Severability</w:t>
      </w:r>
      <w:r>
        <w:rPr>
          <w:rFonts w:ascii="Arial" w:cs="Arial" w:eastAsia="Arial" w:hAnsi="Arial"/>
          <w:sz w:val="18"/>
          <w:szCs w:val="18"/>
          <w:color w:val="auto"/>
        </w:rPr>
        <w:t>. If any provision of this Agreement or the other Loan Documents is held to be illegal, invalid or unenforceable, (a) the</w:t>
      </w:r>
      <w:r>
        <w:rPr>
          <w:rFonts w:ascii="Arial" w:cs="Arial" w:eastAsia="Arial" w:hAnsi="Arial"/>
          <w:sz w:val="18"/>
          <w:szCs w:val="18"/>
          <w:b w:val="1"/>
          <w:bCs w:val="1"/>
          <w:color w:val="auto"/>
        </w:rPr>
        <w:t xml:space="preserve"> </w:t>
      </w:r>
      <w:r>
        <w:rPr>
          <w:rFonts w:ascii="Arial" w:cs="Arial" w:eastAsia="Arial" w:hAnsi="Arial"/>
          <w:sz w:val="18"/>
          <w:szCs w:val="18"/>
          <w:color w:val="auto"/>
        </w:rPr>
        <w:t>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11.12,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648"/>
        <w:spacing w:after="0" w:line="294" w:lineRule="auto"/>
        <w:rPr>
          <w:sz w:val="20"/>
          <w:szCs w:val="20"/>
          <w:color w:val="auto"/>
        </w:rPr>
      </w:pPr>
      <w:r>
        <w:rPr>
          <w:rFonts w:ascii="Arial" w:cs="Arial" w:eastAsia="Arial" w:hAnsi="Arial"/>
          <w:sz w:val="16"/>
          <w:szCs w:val="16"/>
          <w:b w:val="1"/>
          <w:bCs w:val="1"/>
          <w:color w:val="auto"/>
        </w:rPr>
        <w:t>11.13 Replacement of Lenders</w:t>
      </w:r>
      <w:r>
        <w:rPr>
          <w:rFonts w:ascii="Arial" w:cs="Arial" w:eastAsia="Arial" w:hAnsi="Arial"/>
          <w:sz w:val="16"/>
          <w:szCs w:val="16"/>
          <w:color w:val="auto"/>
        </w:rPr>
        <w:t>. If the Company is entitled to replace a Lender pursuant to the provisions of Section 3.06, or if any Lender is a</w:t>
      </w:r>
      <w:r>
        <w:rPr>
          <w:rFonts w:ascii="Arial" w:cs="Arial" w:eastAsia="Arial" w:hAnsi="Arial"/>
          <w:sz w:val="16"/>
          <w:szCs w:val="16"/>
          <w:b w:val="1"/>
          <w:bCs w:val="1"/>
          <w:color w:val="auto"/>
        </w:rPr>
        <w:t xml:space="preserve"> </w:t>
      </w:r>
      <w:r>
        <w:rPr>
          <w:rFonts w:ascii="Arial" w:cs="Arial" w:eastAsia="Arial" w:hAnsi="Arial"/>
          <w:sz w:val="16"/>
          <w:szCs w:val="16"/>
          <w:color w:val="auto"/>
        </w:rPr>
        <w:t>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provided that:</w:t>
      </w:r>
    </w:p>
    <w:p>
      <w:pPr>
        <w:spacing w:after="0" w:line="164" w:lineRule="exact"/>
        <w:rPr>
          <w:sz w:val="20"/>
          <w:szCs w:val="20"/>
          <w:color w:val="auto"/>
        </w:rPr>
      </w:pPr>
    </w:p>
    <w:p>
      <w:pPr>
        <w:ind w:firstLine="656"/>
        <w:spacing w:after="0" w:line="277" w:lineRule="auto"/>
        <w:tabs>
          <w:tab w:leader="none" w:pos="1072"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unless paid by the assignee or waived by the Administrative Agent in its sole discretion, the Company shall have paid (or caused PMCULC or a Designated Borrower to pay)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firstLine="656"/>
        <w:spacing w:after="0" w:line="259" w:lineRule="auto"/>
        <w:tabs>
          <w:tab w:leader="none" w:pos="1083"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2.18</w:t>
      </w:r>
      <w:r>
        <w:rPr>
          <w:rFonts w:ascii="Arial" w:cs="Arial" w:eastAsia="Arial" w:hAnsi="Arial"/>
          <w:sz w:val="18"/>
          <w:szCs w:val="18"/>
          <w:color w:val="auto"/>
        </w:rPr>
        <w:t>) from the assignee (to the extent of such outstanding principal and accrued interest and fees) or the applicable Borrower (in the case of all other amounts);</w:t>
      </w:r>
    </w:p>
    <w:p>
      <w:pPr>
        <w:spacing w:after="0" w:line="186" w:lineRule="exact"/>
        <w:rPr>
          <w:rFonts w:ascii="Arial" w:cs="Arial" w:eastAsia="Arial" w:hAnsi="Arial"/>
          <w:sz w:val="18"/>
          <w:szCs w:val="18"/>
          <w:color w:val="010000"/>
        </w:rPr>
      </w:pPr>
    </w:p>
    <w:p>
      <w:pPr>
        <w:ind w:firstLine="656"/>
        <w:spacing w:after="0" w:line="277" w:lineRule="auto"/>
        <w:tabs>
          <w:tab w:leader="none" w:pos="1072"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010000"/>
        </w:rPr>
      </w:pPr>
    </w:p>
    <w:p>
      <w:pPr>
        <w:ind w:left="1100" w:hanging="444"/>
        <w:spacing w:after="0"/>
        <w:tabs>
          <w:tab w:leader="none" w:pos="110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010000"/>
        </w:rPr>
      </w:pPr>
    </w:p>
    <w:p>
      <w:pPr>
        <w:ind w:firstLine="656"/>
        <w:spacing w:after="0" w:line="277" w:lineRule="auto"/>
        <w:tabs>
          <w:tab w:leader="none" w:pos="1072"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party hereto agrees that (a) an assignment required pursuant to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16"/>
          <w:szCs w:val="16"/>
          <w:u w:val="single" w:color="auto"/>
          <w:color w:val="auto"/>
        </w:rPr>
        <w:t>Section 9.06</w:t>
      </w: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left="660"/>
        <w:spacing w:after="0"/>
        <w:tabs>
          <w:tab w:leader="none" w:pos="12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Governing Law; Jurisdiction; Etc</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72"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7" w:lineRule="exact"/>
        <w:rPr>
          <w:rFonts w:ascii="Arial" w:cs="Arial" w:eastAsia="Arial" w:hAnsi="Arial"/>
          <w:sz w:val="18"/>
          <w:szCs w:val="18"/>
          <w:color w:val="010000"/>
        </w:rPr>
      </w:pPr>
    </w:p>
    <w:p>
      <w:pPr>
        <w:jc w:val="both"/>
        <w:ind w:firstLine="656"/>
        <w:spacing w:after="0" w:line="252" w:lineRule="auto"/>
        <w:tabs>
          <w:tab w:leader="none" w:pos="1083"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PARTY HERETO IRREVOCABLY AND UNCONDITIONALLY agrees that with respect to any action, litigation or proceeding of any kind or description, whether in law or equity, whether in contract or in tort or otherwise, against the Administrative Agent, any Lender, any L/C Issuer, any Loan Party or any Related Party of the foregoing in any way relating to this Agreement or any other Loan Document or the transactions related hereto or thereto, SUCH PARTY SUBMITS ITSELF TO THE NON-EXCLUSIVE JURISDICTION OF THE COURTS OF THE STATE OF NEW YORK SITTING IN NEW YORK COUNTY AND OF THE UNITED STATES DISTRICT COURT OF THE SOUTHERN DISTRICT OF NEW YORK, AND ANY APPELLATE COURT FROM ANY THEREOF, AND IRREVOCABLY AND UNCONDITIONALLY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L/C ISSUER OR ANY LOAN PARTY MAY OTHERWISE HAVE TO BRING ANY ACTION OR PROCEEDING RELATING TO THIS AGREEMENT OR ANY OTHER LOAN DOCUMENT AGAINST ANY OTHER PARTY HERETO OR ITS PROPERTIES IN THE COURTS OF ANY JURISDICTION.</w:t>
      </w:r>
    </w:p>
    <w:p>
      <w:pPr>
        <w:spacing w:after="0" w:line="197" w:lineRule="exact"/>
        <w:rPr>
          <w:rFonts w:ascii="Arial" w:cs="Arial" w:eastAsia="Arial" w:hAnsi="Arial"/>
          <w:sz w:val="18"/>
          <w:szCs w:val="18"/>
          <w:color w:val="010000"/>
        </w:rPr>
      </w:pPr>
    </w:p>
    <w:p>
      <w:pPr>
        <w:jc w:val="both"/>
        <w:ind w:firstLine="656"/>
        <w:spacing w:after="0" w:line="255" w:lineRule="auto"/>
        <w:tabs>
          <w:tab w:leader="none" w:pos="1072"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56"/>
        <w:spacing w:after="0" w:line="263" w:lineRule="auto"/>
        <w:tabs>
          <w:tab w:leader="none" w:pos="1083" w:val="left"/>
        </w:tabs>
        <w:numPr>
          <w:ilvl w:val="0"/>
          <w:numId w:val="180"/>
        </w:numPr>
        <w:rPr>
          <w:rFonts w:ascii="Arial" w:cs="Arial" w:eastAsia="Arial" w:hAnsi="Arial"/>
          <w:sz w:val="18"/>
          <w:szCs w:val="18"/>
          <w:color w:val="010000"/>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11.15 Waiver of Jury Trial</w:t>
      </w:r>
      <w:r>
        <w:rPr>
          <w:rFonts w:ascii="Arial" w:cs="Arial" w:eastAsia="Arial" w:hAnsi="Arial"/>
          <w:sz w:val="17"/>
          <w:szCs w:val="17"/>
          <w:color w:val="auto"/>
        </w:rPr>
        <w:t>. EACH PARTY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ind w:firstLine="8"/>
        <w:spacing w:after="0" w:line="260" w:lineRule="auto"/>
        <w:tabs>
          <w:tab w:leader="none" w:pos="27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11.16 No Advisory or Fiduciary Responsibility</w:t>
      </w:r>
      <w:r>
        <w:rPr>
          <w:rFonts w:ascii="Arial" w:cs="Arial" w:eastAsia="Arial" w:hAnsi="Arial"/>
          <w:sz w:val="17"/>
          <w:szCs w:val="17"/>
          <w:color w:val="auto"/>
        </w:rPr>
        <w:t>. In connection with all aspects of each transaction contemplated hereby (including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amendment, waiver or other modification hereof or of any other Loan Document), each Borrower acknowledges and agrees, and acknowledges its Affiliates’ understanding, that: (a) (i) the arranging and other services regarding this Agreement provided by the Administrative Agent, the Arrangers, the Co-Syndication Agents and the Lenders are arm’s-length commercial transactions between such Borrower and its Affiliates, on the one hand, and the Administrative Agent, the Arrangers, the Co-Syndication Agents and the Lenders, on the other hand, (ii) such Borrower has consulted its own legal, accounting, regulatory and tax advisors to the extent it has deemed appropriate, and (iii) such Borrower is capable of evaluating, and understands and accepts, the terms, risks and conditions of the transactions contemplated hereby and by the other Loan Documents; (b) (i) the Administrative Agent, the Co-Syndication Agents and the Arrangers each is and has been acting solely as a principal and, except as expressly agreed in writing by the relevant parties, has not been, is not, and will not be acting as an advisor, agent or fiduciary for such Borrower or any of their respective Affiliates, or any other Person and (ii) none of the Administrative Agent, any Arranger, any Co-Syndication Agent nor any Lender has any obligation to such Borrower or any of their respective Affiliates with respect to the transactions contemplated hereby except those obligations expressly set forth herein and in the other Loan Documents; and (c) the Administrative Agent, the Arrangers, the Co-Syndication Agents, the Lenders and their respective Affiliates may be engaged in a broad range of transactions that involve interests that differ from those of the Company and its Affiliates, and none of the Administrative Agent, any Arranger, any Co-Syndication Agent nor any Lender has any obligation to disclose any of such interests to such Borrower or its Affiliates. To the fullest extent permitted by law, each Borrower hereby waives and releases any claims that it may have against the Administrative Agent, the Co-Syndication Agents and the Arrangers with respect to any breach or alleged breach of agency or fiduciary duty in connection with any aspect of any transaction contemplated hereby.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48"/>
        <w:spacing w:after="0" w:line="256" w:lineRule="auto"/>
        <w:rPr>
          <w:sz w:val="20"/>
          <w:szCs w:val="20"/>
          <w:color w:val="auto"/>
        </w:rPr>
      </w:pPr>
      <w:r>
        <w:rPr>
          <w:rFonts w:ascii="Arial" w:cs="Arial" w:eastAsia="Arial" w:hAnsi="Arial"/>
          <w:sz w:val="18"/>
          <w:szCs w:val="18"/>
          <w:b w:val="1"/>
          <w:bCs w:val="1"/>
          <w:color w:val="auto"/>
        </w:rPr>
        <w:t>11.17 No Recourse to Other Persons</w:t>
      </w:r>
      <w:r>
        <w:rPr>
          <w:rFonts w:ascii="Arial" w:cs="Arial" w:eastAsia="Arial" w:hAnsi="Arial"/>
          <w:sz w:val="18"/>
          <w:szCs w:val="18"/>
          <w:color w:val="auto"/>
        </w:rPr>
        <w:t>.No past, present or future director, officer, partner, employee, incorporator, manager,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unitholder or member of the Company, General Partner, Plains AAP, or GP LLC, and no past, present or future director, officer, partner, employee, incorporator, manager, stockholder, unitholder or member of any Subsidiary of the Company that is from time to time a Borrower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Borrowers hereunder and, as applicable, the making of the Notes.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11.18 Electronic Execution; Electronic Records</w:t>
      </w:r>
      <w:r>
        <w:rPr>
          <w:rFonts w:ascii="Arial" w:cs="Arial" w:eastAsia="Arial" w:hAnsi="Arial"/>
          <w:sz w:val="16"/>
          <w:szCs w:val="16"/>
          <w:color w:val="auto"/>
        </w:rPr>
        <w:t>. This Agreement, any Loan Document and any other Communication,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required to be in writing, may be in the form of an Electronic Record and may be executed using Electronic Signatures. Each of the Loan Parties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such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regardless of the appearance or form of such Electronic Signature, and (b) upon the request of the Administrative Agent or any Lender Party, any Communication executed using an Electronic Signature shall be promptly followed by a manually executed counterpart.</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None of the Administrative Agent, any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6" w:name="page147"/>
    <w:bookmarkEnd w:id="146"/>
    <w:p>
      <w:pPr>
        <w:jc w:val="both"/>
        <w:ind w:firstLine="648"/>
        <w:spacing w:after="0" w:line="275" w:lineRule="auto"/>
        <w:rPr>
          <w:sz w:val="20"/>
          <w:szCs w:val="20"/>
          <w:color w:val="auto"/>
        </w:rPr>
      </w:pPr>
      <w:r>
        <w:rPr>
          <w:rFonts w:ascii="Arial" w:cs="Arial" w:eastAsia="Arial" w:hAnsi="Arial"/>
          <w:sz w:val="17"/>
          <w:szCs w:val="17"/>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Each of the parties represents and warrants to the other parties that it has the corporate capacity and authority to execute this Agreement and any other Communication through electronic means and there are no restrictions on doing so in that party’s constitutive documents.</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11.19 USA PATRIOT Act</w:t>
      </w:r>
      <w:r>
        <w:rPr>
          <w:rFonts w:ascii="Arial" w:cs="Arial" w:eastAsia="Arial" w:hAnsi="Arial"/>
          <w:sz w:val="18"/>
          <w:szCs w:val="18"/>
          <w:color w:val="auto"/>
        </w:rPr>
        <w:t>. Each Lender that is subject to the Act (as hereinafter defined) and the Administrative Agent (for itself and not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each Borrower and other information that will allow such Lender or the Administrative Agent, as applicable, to identify the Borrowers in accordance with the Act. Each Borrower shall, promptly following a request by the Administrative Agent or any Lender, provide all information that the Administrative Agent or such Lender requests to comply with its ongoing obligations under applicable “know your customer” and anti-money laundering rules and regulations, including the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11.20  Time of the Essence</w:t>
      </w:r>
      <w:r>
        <w:rPr>
          <w:rFonts w:ascii="Arial" w:cs="Arial" w:eastAsia="Arial" w:hAnsi="Arial"/>
          <w:sz w:val="18"/>
          <w:szCs w:val="18"/>
          <w:color w:val="auto"/>
        </w:rPr>
        <w:t>. Time is of the essence of the Loan Documents.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11.21 Judgment Currency</w:t>
      </w:r>
      <w:r>
        <w:rPr>
          <w:rFonts w:ascii="Arial" w:cs="Arial" w:eastAsia="Arial" w:hAnsi="Arial"/>
          <w:sz w:val="16"/>
          <w:szCs w:val="16"/>
          <w:color w:val="auto"/>
        </w:rPr>
        <w:t>. If, for the purposes of obtaining judgment in any court, it is necessary to convert a sum due hereunder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both"/>
        <w:ind w:firstLine="648"/>
        <w:spacing w:after="0" w:line="266" w:lineRule="auto"/>
        <w:rPr>
          <w:sz w:val="20"/>
          <w:szCs w:val="20"/>
          <w:color w:val="auto"/>
        </w:rPr>
      </w:pPr>
      <w:r>
        <w:rPr>
          <w:rFonts w:ascii="Arial" w:cs="Arial" w:eastAsia="Arial" w:hAnsi="Arial"/>
          <w:sz w:val="18"/>
          <w:szCs w:val="18"/>
          <w:b w:val="1"/>
          <w:bCs w:val="1"/>
          <w:color w:val="auto"/>
        </w:rPr>
        <w:t>11.22 ENTIRE AGREEMENT</w:t>
      </w:r>
      <w:r>
        <w:rPr>
          <w:rFonts w:ascii="Arial" w:cs="Arial" w:eastAsia="Arial" w:hAnsi="Arial"/>
          <w:sz w:val="18"/>
          <w:szCs w:val="18"/>
          <w:color w:val="auto"/>
        </w:rPr>
        <w:t>. THIS AGREEMENT AND THE OTHER LOAN DOCUMENTS REPRESENT THE FINAL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PARTIES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11.23 Reallocation of Outstanding Loans under Existing Credit Agreement</w:t>
      </w:r>
      <w:r>
        <w:rPr>
          <w:rFonts w:ascii="Arial" w:cs="Arial" w:eastAsia="Arial" w:hAnsi="Arial"/>
          <w:sz w:val="16"/>
          <w:szCs w:val="16"/>
          <w:color w:val="auto"/>
        </w:rPr>
        <w:t>. In connection with the refinancing of the outstanding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indebtedness under the Existing Credit Agreement pursuant hereto, the Company, Administrative Agent and Lenders shall as of the Closing Date make adjustments to the outstanding principal amount of “Loans” under the Existing Credit Agreement (as such term is defined therein) (but not any interest accrued thereon prior to the Closing Date), including the borrowing of additional Loans hereunder and the repayment of Loans thereunder plus all applicable accrued interest, fees and expenses as shall be necessary to provide for Loans hereunder by each Lender in the amount of its Applicable Percentage of all Loans as of the Closing Date, but in no event shall such adjustment of any “Eurocurrency Rate Loans” (as such term is defined therein)</w:t>
      </w:r>
    </w:p>
    <w:p>
      <w:pPr>
        <w:spacing w:after="0" w:line="3" w:lineRule="exact"/>
        <w:rPr>
          <w:sz w:val="20"/>
          <w:szCs w:val="20"/>
          <w:color w:val="auto"/>
        </w:rPr>
      </w:pPr>
    </w:p>
    <w:p>
      <w:pPr>
        <w:jc w:val="both"/>
        <w:ind w:firstLine="8"/>
        <w:spacing w:after="0" w:line="277" w:lineRule="auto"/>
        <w:tabs>
          <w:tab w:leader="none" w:pos="23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constitute a payment or prepayment of all or a portion of any such Eurocurrency Rate Loans or (ii) entitle any Lender to any reimbursement under Section 3.05 hereof, and each Lender shall be deemed to have made an assignment of its outstanding Loans under the Existing Credit Agreement, and assumed outstanding Loans of other Lenders under the Existing Credit Agreement as may be necessary to effect the foregoing.</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11.24 Acknowledgement and Consent to Bail-In of Affected Financial Institutions</w:t>
      </w:r>
      <w:r>
        <w:rPr>
          <w:rFonts w:ascii="Arial" w:cs="Arial" w:eastAsia="Arial" w:hAnsi="Arial"/>
          <w:sz w:val="17"/>
          <w:szCs w:val="17"/>
          <w:color w:val="auto"/>
        </w:rPr>
        <w:t>. Solely to the extent any Lender or L/C Issuer that is an</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ind w:firstLine="656"/>
        <w:spacing w:after="0" w:line="277" w:lineRule="auto"/>
        <w:tabs>
          <w:tab w:leader="none" w:pos="1095"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0" w:lineRule="exact"/>
        <w:rPr>
          <w:rFonts w:ascii="Arial" w:cs="Arial" w:eastAsia="Arial" w:hAnsi="Arial"/>
          <w:sz w:val="18"/>
          <w:szCs w:val="18"/>
          <w:color w:val="010000"/>
        </w:rPr>
      </w:pPr>
    </w:p>
    <w:p>
      <w:pPr>
        <w:ind w:left="1120" w:hanging="464"/>
        <w:spacing w:after="0"/>
        <w:tabs>
          <w:tab w:leader="none" w:pos="1120"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010000"/>
        </w:rPr>
      </w:pPr>
    </w:p>
    <w:p>
      <w:pPr>
        <w:ind w:left="1680" w:hanging="376"/>
        <w:spacing w:after="0"/>
        <w:tabs>
          <w:tab w:leader="none" w:pos="1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left="-460" w:firstLine="644"/>
        <w:spacing w:after="0" w:line="259" w:lineRule="auto"/>
        <w:tabs>
          <w:tab w:leader="none" w:pos="5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460" w:firstLine="644"/>
        <w:spacing w:after="0" w:line="277" w:lineRule="auto"/>
        <w:tabs>
          <w:tab w:leader="none" w:pos="6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3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9" w:name="page150"/>
    <w:bookmarkEnd w:id="149"/>
    <w:p>
      <w:pPr>
        <w:ind w:left="660"/>
        <w:spacing w:after="0"/>
        <w:rPr>
          <w:sz w:val="20"/>
          <w:szCs w:val="20"/>
          <w:color w:val="auto"/>
        </w:rPr>
      </w:pPr>
      <w:r>
        <w:rPr>
          <w:rFonts w:ascii="Arial" w:cs="Arial" w:eastAsia="Arial" w:hAnsi="Arial"/>
          <w:sz w:val="18"/>
          <w:szCs w:val="18"/>
          <w:i w:val="1"/>
          <w:iCs w:val="1"/>
          <w:color w:val="auto"/>
        </w:rPr>
        <w:t>IN WITNESS WHEREOF</w:t>
      </w:r>
      <w:r>
        <w:rPr>
          <w:rFonts w:ascii="Arial" w:cs="Arial" w:eastAsia="Arial" w:hAnsi="Arial"/>
          <w:sz w:val="18"/>
          <w:szCs w:val="18"/>
          <w:color w:val="auto"/>
        </w:rPr>
        <w:t>, the parties hereto have caused this Agreement to be duly executed as of the date first above written.</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 its sole member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PLAINS ALL AMERICAN GP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MIDSTREAM CANADA ULC</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Treasurer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1240"/>
          </w:cols>
          <w:pgMar w:left="320" w:top="908" w:right="339" w:bottom="1440" w:gutter="0" w:footer="0" w:header="0"/>
        </w:sectPr>
      </w:pPr>
    </w:p>
    <w:bookmarkStart w:id="150" w:name="page151"/>
    <w:bookmarkEnd w:id="150"/>
    <w:p>
      <w:pPr>
        <w:ind w:left="56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Anthea Del Bianco</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Anthea Del Bianco</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1" w:name="page152"/>
    <w:bookmarkEnd w:id="151"/>
    <w:p>
      <w:pPr>
        <w:ind w:left="56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 L/C Issuer and Swing Line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Phillips</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Phillips</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S-3</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2" w:name="page153"/>
    <w:bookmarkEnd w:id="152"/>
    <w:p>
      <w:pPr>
        <w:ind w:left="56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P. Maroney</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Maureen P. Maroney</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S-4</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3" w:name="page154"/>
    <w:bookmarkEnd w:id="153"/>
    <w:p>
      <w:pPr>
        <w:ind w:left="562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Balette</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Stephanie Balette</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Officer</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S-5</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4" w:name="page155"/>
    <w:bookmarkEnd w:id="154"/>
    <w:p>
      <w:pPr>
        <w:ind w:left="56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Nathan Starr</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Nathan Starr</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S-6</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5" w:name="page156"/>
    <w:bookmarkEnd w:id="155"/>
    <w:p>
      <w:pPr>
        <w:ind w:left="5620"/>
        <w:spacing w:after="0"/>
        <w:rPr>
          <w:sz w:val="20"/>
          <w:szCs w:val="20"/>
          <w:color w:val="auto"/>
        </w:rPr>
      </w:pPr>
      <w:r>
        <w:rPr>
          <w:rFonts w:ascii="Arial" w:cs="Arial" w:eastAsia="Arial" w:hAnsi="Arial"/>
          <w:sz w:val="18"/>
          <w:szCs w:val="18"/>
          <w:b w:val="1"/>
          <w:bCs w:val="1"/>
          <w:color w:val="auto"/>
        </w:rPr>
        <w:t>BANCO BILBAO VIZCAYA ARGENTARIA,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S.A. NEW YORK BRANCH</w:t>
      </w:r>
      <w:r>
        <w:rPr>
          <w:rFonts w:ascii="Arial" w:cs="Arial" w:eastAsia="Arial" w:hAnsi="Arial"/>
          <w:sz w:val="18"/>
          <w:szCs w:val="18"/>
          <w:color w:val="auto"/>
        </w:rPr>
        <w:t>, 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Cara Younger</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Cara Younger</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Director</w:t>
            </w:r>
          </w:p>
        </w:tc>
      </w:tr>
      <w:tr>
        <w:trPr>
          <w:trHeight w:val="426"/>
        </w:trPr>
        <w:tc>
          <w:tcPr>
            <w:tcW w:w="4040" w:type="dxa"/>
            <w:vAlign w:val="bottom"/>
          </w:tcPr>
          <w:p>
            <w:pPr>
              <w:spacing w:after="0"/>
              <w:rPr>
                <w:sz w:val="24"/>
                <w:szCs w:val="24"/>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Miriam Trautmann</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Miriam Trautmann</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S-7</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6" w:name="page157"/>
    <w:bookmarkEnd w:id="156"/>
    <w:p>
      <w:pPr>
        <w:ind w:left="562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Berryman</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Berryman</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Corporate Banking</w:t>
            </w:r>
          </w:p>
        </w:tc>
      </w:tr>
      <w:tr>
        <w:trPr>
          <w:trHeight w:val="425"/>
        </w:trPr>
        <w:tc>
          <w:tcPr>
            <w:tcW w:w="4040" w:type="dxa"/>
            <w:vAlign w:val="bottom"/>
          </w:tcPr>
          <w:p>
            <w:pPr>
              <w:spacing w:after="0"/>
              <w:rPr>
                <w:sz w:val="24"/>
                <w:szCs w:val="24"/>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Graf</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Matthew Graf</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Corporate Banking</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S-8</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7" w:name="page158"/>
    <w:bookmarkEnd w:id="157"/>
    <w:p>
      <w:pPr>
        <w:ind w:left="5620"/>
        <w:spacing w:after="0"/>
        <w:rPr>
          <w:sz w:val="20"/>
          <w:szCs w:val="20"/>
          <w:color w:val="auto"/>
        </w:rPr>
      </w:pPr>
      <w:r>
        <w:rPr>
          <w:rFonts w:ascii="Arial" w:cs="Arial" w:eastAsia="Arial" w:hAnsi="Arial"/>
          <w:sz w:val="18"/>
          <w:szCs w:val="18"/>
          <w:b w:val="1"/>
          <w:bCs w:val="1"/>
          <w:color w:val="auto"/>
        </w:rPr>
        <w:t>BANK OF NOVA SCOTIA, HOUSTON BRANCH,</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Donovan Crandall</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Donovan Crandall</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S-9</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8" w:name="page159"/>
    <w:bookmarkEnd w:id="158"/>
    <w:p>
      <w:pPr>
        <w:ind w:left="562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Sydney G. Dennis</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S-10</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9" w:name="page160"/>
    <w:bookmarkEnd w:id="159"/>
    <w:p>
      <w:pPr>
        <w:ind w:left="562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Trudy Nelson</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Trudy Nelson</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Authorized Signatory</w:t>
            </w:r>
          </w:p>
        </w:tc>
      </w:tr>
      <w:tr>
        <w:trPr>
          <w:trHeight w:val="426"/>
        </w:trPr>
        <w:tc>
          <w:tcPr>
            <w:tcW w:w="4020" w:type="dxa"/>
            <w:vAlign w:val="bottom"/>
          </w:tcPr>
          <w:p>
            <w:pPr>
              <w:spacing w:after="0"/>
              <w:rPr>
                <w:sz w:val="24"/>
                <w:szCs w:val="24"/>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/s/ Scott W. Danvers</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Scott W. Danvers</w:t>
            </w:r>
          </w:p>
        </w:tc>
        <w:tc>
          <w:tcPr>
            <w:tcW w:w="100" w:type="dxa"/>
            <w:vAlign w:val="bottom"/>
          </w:tcPr>
          <w:p>
            <w:pPr>
              <w:spacing w:after="0"/>
              <w:rPr>
                <w:sz w:val="18"/>
                <w:szCs w:val="18"/>
                <w:color w:val="auto"/>
              </w:rPr>
            </w:pP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100" w:type="dxa"/>
            <w:vAlign w:val="bottom"/>
          </w:tcPr>
          <w:p>
            <w:pPr>
              <w:spacing w:after="0"/>
              <w:rPr>
                <w:sz w:val="18"/>
                <w:szCs w:val="18"/>
                <w:color w:val="auto"/>
              </w:rPr>
            </w:pP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S-11</w:t>
            </w:r>
          </w:p>
        </w:tc>
        <w:tc>
          <w:tcPr>
            <w:tcW w:w="4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0" w:name="page161"/>
    <w:bookmarkEnd w:id="160"/>
    <w:p>
      <w:pPr>
        <w:ind w:left="56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A Greene</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Jared A Greene</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Corporate Secretary</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1" w:name="page162"/>
    <w:bookmarkEnd w:id="161"/>
    <w:p>
      <w:pPr>
        <w:ind w:left="5620"/>
        <w:spacing w:after="0"/>
        <w:rPr>
          <w:sz w:val="20"/>
          <w:szCs w:val="20"/>
          <w:color w:val="auto"/>
        </w:rPr>
      </w:pPr>
      <w:r>
        <w:rPr>
          <w:rFonts w:ascii="Arial" w:cs="Arial" w:eastAsia="Arial" w:hAnsi="Arial"/>
          <w:sz w:val="18"/>
          <w:szCs w:val="18"/>
          <w:b w:val="1"/>
          <w:bCs w:val="1"/>
          <w:color w:val="auto"/>
        </w:rPr>
        <w:t>ING CAPITAL LLC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 Bieser</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Juli Bieser</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426"/>
        </w:trPr>
        <w:tc>
          <w:tcPr>
            <w:tcW w:w="4020" w:type="dxa"/>
            <w:vAlign w:val="bottom"/>
          </w:tcPr>
          <w:p>
            <w:pPr>
              <w:spacing w:after="0"/>
              <w:rPr>
                <w:sz w:val="24"/>
                <w:szCs w:val="24"/>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Gutterman</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Lauren Gutterman</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S-13</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2" w:name="page163"/>
    <w:bookmarkEnd w:id="162"/>
    <w:p>
      <w:pPr>
        <w:ind w:left="562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Sacks</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Sacks</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S-14</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3" w:name="page164"/>
    <w:bookmarkEnd w:id="163"/>
    <w:p>
      <w:pPr>
        <w:ind w:left="5620"/>
        <w:spacing w:after="0"/>
        <w:rPr>
          <w:sz w:val="20"/>
          <w:szCs w:val="20"/>
          <w:color w:val="auto"/>
        </w:rPr>
      </w:pPr>
      <w:r>
        <w:rPr>
          <w:rFonts w:ascii="Arial" w:cs="Arial" w:eastAsia="Arial" w:hAnsi="Arial"/>
          <w:sz w:val="18"/>
          <w:szCs w:val="18"/>
          <w:b w:val="1"/>
          <w:bCs w:val="1"/>
          <w:color w:val="auto"/>
        </w:rPr>
        <w:t>MUFG BANK, LTD.</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 Warfel</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W. Warfel</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S-15</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4" w:name="page165"/>
    <w:bookmarkEnd w:id="164"/>
    <w:p>
      <w:pPr>
        <w:ind w:left="562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T. Helfrich</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Kyle T. Helfrich</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S-16</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5" w:name="page166"/>
    <w:bookmarkEnd w:id="165"/>
    <w:p>
      <w:pPr>
        <w:ind w:left="564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S-17</w:t>
            </w:r>
          </w:p>
        </w:tc>
      </w:tr>
    </w:tbl>
    <w:p>
      <w:pPr>
        <w:sectPr>
          <w:pgSz w:w="11900" w:h="16838" w:orient="portrait"/>
          <w:cols w:equalWidth="0" w:num="1">
            <w:col w:w="11240"/>
          </w:cols>
          <w:pgMar w:left="320" w:top="904" w:right="339" w:bottom="1440" w:gutter="0" w:footer="0" w:header="0"/>
        </w:sectPr>
      </w:pPr>
    </w:p>
    <w:bookmarkStart w:id="166" w:name="page167"/>
    <w:bookmarkEnd w:id="166"/>
    <w:p>
      <w:pPr>
        <w:ind w:left="564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S-18</w:t>
            </w:r>
          </w:p>
        </w:tc>
      </w:tr>
    </w:tbl>
    <w:p>
      <w:pPr>
        <w:sectPr>
          <w:pgSz w:w="11900" w:h="16838" w:orient="portrait"/>
          <w:cols w:equalWidth="0" w:num="1">
            <w:col w:w="11240"/>
          </w:cols>
          <w:pgMar w:left="320" w:top="904" w:right="339" w:bottom="1440" w:gutter="0" w:footer="0" w:header="0"/>
        </w:sectPr>
      </w:pPr>
    </w:p>
    <w:bookmarkStart w:id="167" w:name="page168"/>
    <w:bookmarkEnd w:id="167"/>
    <w:p>
      <w:pPr>
        <w:ind w:left="5640"/>
        <w:spacing w:after="0"/>
        <w:rPr>
          <w:sz w:val="20"/>
          <w:szCs w:val="20"/>
          <w:color w:val="auto"/>
        </w:rPr>
      </w:pPr>
      <w:r>
        <w:rPr>
          <w:rFonts w:ascii="Arial" w:cs="Arial" w:eastAsia="Arial" w:hAnsi="Arial"/>
          <w:sz w:val="18"/>
          <w:szCs w:val="18"/>
          <w:b w:val="1"/>
          <w:bCs w:val="1"/>
          <w:color w:val="auto"/>
        </w:rPr>
        <w:t>SUMITOMO MITSUI BANKING</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CORPORATION</w:t>
      </w:r>
      <w:r>
        <w:rPr>
          <w:rFonts w:ascii="Arial" w:cs="Arial" w:eastAsia="Arial" w:hAnsi="Arial"/>
          <w:sz w:val="18"/>
          <w:szCs w:val="18"/>
          <w:color w:val="auto"/>
        </w:rPr>
        <w:t>, as a Lender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S-19</w:t>
            </w:r>
          </w:p>
        </w:tc>
      </w:tr>
    </w:tbl>
    <w:p>
      <w:pPr>
        <w:sectPr>
          <w:pgSz w:w="11900" w:h="16838" w:orient="portrait"/>
          <w:cols w:equalWidth="0" w:num="1">
            <w:col w:w="11240"/>
          </w:cols>
          <w:pgMar w:left="320" w:top="904" w:right="339" w:bottom="1440" w:gutter="0" w:footer="0" w:header="0"/>
        </w:sectPr>
      </w:pPr>
    </w:p>
    <w:bookmarkStart w:id="168" w:name="page169"/>
    <w:bookmarkEnd w:id="168"/>
    <w:p>
      <w:pPr>
        <w:ind w:left="5640"/>
        <w:spacing w:after="0"/>
        <w:rPr>
          <w:sz w:val="20"/>
          <w:szCs w:val="20"/>
          <w:color w:val="auto"/>
        </w:rPr>
      </w:pPr>
      <w:r>
        <w:rPr>
          <w:rFonts w:ascii="Arial" w:cs="Arial" w:eastAsia="Arial" w:hAnsi="Arial"/>
          <w:sz w:val="18"/>
          <w:szCs w:val="18"/>
          <w:b w:val="1"/>
          <w:bCs w:val="1"/>
          <w:color w:val="auto"/>
        </w:rPr>
        <w:t>THE TORONTO-DOMINION BANK,</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YORK BRANCH</w:t>
      </w:r>
      <w:r>
        <w:rPr>
          <w:rFonts w:ascii="Arial" w:cs="Arial" w:eastAsia="Arial" w:hAnsi="Arial"/>
          <w:sz w:val="18"/>
          <w:szCs w:val="18"/>
          <w:color w:val="auto"/>
        </w:rPr>
        <w:t>, as a Lender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S-20</w:t>
            </w:r>
          </w:p>
        </w:tc>
      </w:tr>
    </w:tbl>
    <w:p>
      <w:pPr>
        <w:sectPr>
          <w:pgSz w:w="11900" w:h="16838" w:orient="portrait"/>
          <w:cols w:equalWidth="0" w:num="1">
            <w:col w:w="11240"/>
          </w:cols>
          <w:pgMar w:left="320" w:top="904" w:right="339" w:bottom="1440" w:gutter="0" w:footer="0" w:header="0"/>
        </w:sectPr>
      </w:pPr>
    </w:p>
    <w:bookmarkStart w:id="169" w:name="page170"/>
    <w:bookmarkEnd w:id="169"/>
    <w:p>
      <w:pPr>
        <w:ind w:left="5640"/>
        <w:spacing w:after="0"/>
        <w:rPr>
          <w:sz w:val="20"/>
          <w:szCs w:val="20"/>
          <w:color w:val="auto"/>
        </w:rPr>
      </w:pPr>
      <w:r>
        <w:rPr>
          <w:rFonts w:ascii="Arial" w:cs="Arial" w:eastAsia="Arial" w:hAnsi="Arial"/>
          <w:sz w:val="18"/>
          <w:szCs w:val="18"/>
          <w:b w:val="1"/>
          <w:bCs w:val="1"/>
          <w:color w:val="auto"/>
        </w:rPr>
        <w:t>TRUIST BANK</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S-21</w:t>
            </w:r>
          </w:p>
        </w:tc>
      </w:tr>
    </w:tbl>
    <w:p>
      <w:pPr>
        <w:sectPr>
          <w:pgSz w:w="11900" w:h="16838" w:orient="portrait"/>
          <w:cols w:equalWidth="0" w:num="1">
            <w:col w:w="11240"/>
          </w:cols>
          <w:pgMar w:left="320" w:top="904" w:right="339" w:bottom="1440" w:gutter="0" w:footer="0" w:header="0"/>
        </w:sectPr>
      </w:pPr>
    </w:p>
    <w:bookmarkStart w:id="170" w:name="page171"/>
    <w:bookmarkEnd w:id="170"/>
    <w:p>
      <w:pPr>
        <w:ind w:left="564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180" w:type="dxa"/>
            <w:vAlign w:val="bottom"/>
          </w:tcPr>
          <w:p>
            <w:pPr>
              <w:ind w:left="16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Rogers</w:t>
            </w:r>
          </w:p>
        </w:tc>
      </w:tr>
      <w:tr>
        <w:trPr>
          <w:trHeight w:val="209"/>
        </w:trPr>
        <w:tc>
          <w:tcPr>
            <w:tcW w:w="4020" w:type="dxa"/>
            <w:vAlign w:val="bottom"/>
          </w:tcPr>
          <w:p>
            <w:pPr>
              <w:spacing w:after="0"/>
              <w:rPr>
                <w:sz w:val="18"/>
                <w:szCs w:val="18"/>
                <w:color w:val="auto"/>
              </w:rPr>
            </w:pPr>
          </w:p>
        </w:tc>
        <w:tc>
          <w:tcPr>
            <w:tcW w:w="2180" w:type="dxa"/>
            <w:vAlign w:val="bottom"/>
          </w:tcPr>
          <w:p>
            <w:pPr>
              <w:ind w:left="162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S. Rogers</w:t>
            </w:r>
          </w:p>
        </w:tc>
      </w:tr>
      <w:tr>
        <w:trPr>
          <w:trHeight w:val="210"/>
        </w:trPr>
        <w:tc>
          <w:tcPr>
            <w:tcW w:w="4020" w:type="dxa"/>
            <w:vAlign w:val="bottom"/>
          </w:tcPr>
          <w:p>
            <w:pPr>
              <w:spacing w:after="0"/>
              <w:rPr>
                <w:sz w:val="18"/>
                <w:szCs w:val="18"/>
                <w:color w:val="auto"/>
              </w:rPr>
            </w:pPr>
          </w:p>
        </w:tc>
        <w:tc>
          <w:tcPr>
            <w:tcW w:w="2180" w:type="dxa"/>
            <w:vAlign w:val="bottom"/>
          </w:tcPr>
          <w:p>
            <w:pPr>
              <w:ind w:left="162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r>
        <w:trPr>
          <w:trHeight w:val="64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1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1" w:name="page172"/>
    <w:bookmarkEnd w:id="171"/>
    <w:p>
      <w:pPr>
        <w:ind w:left="5640"/>
        <w:spacing w:after="0"/>
        <w:rPr>
          <w:sz w:val="20"/>
          <w:szCs w:val="20"/>
          <w:color w:val="auto"/>
        </w:rPr>
      </w:pPr>
      <w:r>
        <w:rPr>
          <w:rFonts w:ascii="Arial" w:cs="Arial" w:eastAsia="Arial" w:hAnsi="Arial"/>
          <w:sz w:val="18"/>
          <w:szCs w:val="18"/>
          <w:b w:val="1"/>
          <w:bCs w:val="1"/>
          <w:color w:val="auto"/>
        </w:rPr>
        <w:t>ZB N.A. DBA AMEGY BANK</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S-23</w:t>
            </w:r>
          </w:p>
        </w:tc>
      </w:tr>
    </w:tbl>
    <w:p>
      <w:pPr>
        <w:sectPr>
          <w:pgSz w:w="11900" w:h="16838" w:orient="portrait"/>
          <w:cols w:equalWidth="0" w:num="1">
            <w:col w:w="11240"/>
          </w:cols>
          <w:pgMar w:left="320" w:top="904" w:right="339" w:bottom="1440" w:gutter="0" w:footer="0" w:header="0"/>
        </w:sectPr>
      </w:pPr>
    </w:p>
    <w:bookmarkStart w:id="172" w:name="page173"/>
    <w:bookmarkEnd w:id="172"/>
    <w:p>
      <w:pPr>
        <w:ind w:left="564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S-24</w:t>
            </w:r>
          </w:p>
        </w:tc>
      </w:tr>
    </w:tbl>
    <w:p>
      <w:pPr>
        <w:sectPr>
          <w:pgSz w:w="11900" w:h="16838" w:orient="portrait"/>
          <w:cols w:equalWidth="0" w:num="1">
            <w:col w:w="11240"/>
          </w:cols>
          <w:pgMar w:left="320" w:top="904" w:right="3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SCHEDULE 2.01</w:t>
            </w:r>
          </w:p>
        </w:tc>
      </w:tr>
      <w:tr>
        <w:trPr>
          <w:trHeight w:val="414"/>
        </w:trPr>
        <w:tc>
          <w:tcPr>
            <w:tcW w:w="7300" w:type="dxa"/>
            <w:vAlign w:val="bottom"/>
            <w:gridSpan w:val="2"/>
          </w:tcPr>
          <w:p>
            <w:pPr>
              <w:ind w:left="4900"/>
              <w:spacing w:after="0"/>
              <w:rPr>
                <w:sz w:val="20"/>
                <w:szCs w:val="20"/>
                <w:color w:val="auto"/>
              </w:rPr>
            </w:pPr>
            <w:r>
              <w:rPr>
                <w:rFonts w:ascii="Arial" w:cs="Arial" w:eastAsia="Arial" w:hAnsi="Arial"/>
                <w:sz w:val="18"/>
                <w:szCs w:val="18"/>
                <w:b w:val="1"/>
                <w:bCs w:val="1"/>
                <w:color w:val="auto"/>
              </w:rPr>
              <w:t>COMMITMENTS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7300" w:type="dxa"/>
            <w:vAlign w:val="bottom"/>
            <w:gridSpan w:val="2"/>
          </w:tcPr>
          <w:p>
            <w:pPr>
              <w:ind w:left="4140"/>
              <w:spacing w:after="0"/>
              <w:rPr>
                <w:sz w:val="20"/>
                <w:szCs w:val="20"/>
                <w:color w:val="auto"/>
              </w:rPr>
            </w:pPr>
            <w:r>
              <w:rPr>
                <w:rFonts w:ascii="Arial" w:cs="Arial" w:eastAsia="Arial" w:hAnsi="Arial"/>
                <w:sz w:val="18"/>
                <w:szCs w:val="18"/>
                <w:b w:val="1"/>
                <w:bCs w:val="1"/>
                <w:color w:val="auto"/>
              </w:rPr>
              <w:t>AND APPLICABLE PERCENTAGES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Lender</w:t>
            </w:r>
          </w:p>
        </w:tc>
        <w:tc>
          <w:tcPr>
            <w:tcW w:w="240" w:type="dxa"/>
            <w:vAlign w:val="bottom"/>
          </w:tcPr>
          <w:p>
            <w:pPr>
              <w:spacing w:after="0"/>
              <w:rPr>
                <w:sz w:val="24"/>
                <w:szCs w:val="24"/>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Commitment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Applicable Percentage</w:t>
            </w:r>
          </w:p>
        </w:tc>
      </w:tr>
      <w:tr>
        <w:trPr>
          <w:trHeight w:val="210"/>
        </w:trPr>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64,000,000.00</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4.7407407407%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Bank of Montreal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Nova Scotia, Houston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Barclays Bank PLC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CoBank, ACB</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Mizuho Bank, Ltd.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Bank, Ltd.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Royal Bank of Canada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The Toronto-Dominion Bank, New York Branch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Z.B. N.A. DBA Amegy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2.5925925926%</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35,000,000.00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2.5925925926%</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*Rounded to ten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6920" w:type="dxa"/>
            <w:vAlign w:val="bottom"/>
          </w:tcPr>
          <w:p>
            <w:pPr>
              <w:ind w:left="2700"/>
              <w:spacing w:after="0"/>
              <w:rPr>
                <w:sz w:val="20"/>
                <w:szCs w:val="20"/>
                <w:color w:val="auto"/>
              </w:rPr>
            </w:pPr>
            <w:r>
              <w:rPr>
                <w:rFonts w:ascii="Arial" w:cs="Arial" w:eastAsia="Arial" w:hAnsi="Arial"/>
                <w:sz w:val="18"/>
                <w:szCs w:val="18"/>
                <w:b w:val="1"/>
                <w:bCs w:val="1"/>
                <w:color w:val="auto"/>
              </w:rPr>
              <w:t>LETTER OF CREDIT COMMITMENTS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5"/>
        </w:trPr>
        <w:tc>
          <w:tcPr>
            <w:tcW w:w="1300" w:type="dxa"/>
            <w:vAlign w:val="bottom"/>
          </w:tcPr>
          <w:p>
            <w:pPr>
              <w:spacing w:after="0"/>
              <w:rPr>
                <w:sz w:val="24"/>
                <w:szCs w:val="24"/>
                <w:color w:val="auto"/>
              </w:rPr>
            </w:pPr>
          </w:p>
        </w:tc>
        <w:tc>
          <w:tcPr>
            <w:tcW w:w="6920" w:type="dxa"/>
            <w:vAlign w:val="bottom"/>
          </w:tcPr>
          <w:p>
            <w:pPr>
              <w:ind w:left="3180"/>
              <w:spacing w:after="0"/>
              <w:rPr>
                <w:sz w:val="20"/>
                <w:szCs w:val="20"/>
                <w:color w:val="auto"/>
              </w:rPr>
            </w:pPr>
            <w:r>
              <w:rPr>
                <w:rFonts w:ascii="Arial" w:cs="Arial" w:eastAsia="Arial" w:hAnsi="Arial"/>
                <w:sz w:val="18"/>
                <w:szCs w:val="18"/>
                <w:b w:val="1"/>
                <w:bCs w:val="1"/>
                <w:color w:val="auto"/>
              </w:rPr>
              <w:t>Lender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Commitment</w:t>
            </w:r>
          </w:p>
        </w:tc>
        <w:tc>
          <w:tcPr>
            <w:tcW w:w="1400" w:type="dxa"/>
            <w:vAlign w:val="bottom"/>
          </w:tcPr>
          <w:p>
            <w:pPr>
              <w:spacing w:after="0"/>
              <w:rPr>
                <w:sz w:val="24"/>
                <w:szCs w:val="24"/>
                <w:color w:val="auto"/>
              </w:rPr>
            </w:pPr>
          </w:p>
        </w:tc>
      </w:tr>
      <w:tr>
        <w:trPr>
          <w:trHeight w:val="209"/>
        </w:trPr>
        <w:tc>
          <w:tcPr>
            <w:tcW w:w="1300" w:type="dxa"/>
            <w:vAlign w:val="bottom"/>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250,000,000.00</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Citibank, N.A.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50,000,000.00</w:t>
            </w:r>
          </w:p>
        </w:tc>
        <w:tc>
          <w:tcPr>
            <w:tcW w:w="14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50,000,000.00</w:t>
            </w:r>
          </w:p>
        </w:tc>
        <w:tc>
          <w:tcPr>
            <w:tcW w:w="14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50,000,000.00</w:t>
            </w:r>
          </w:p>
        </w:tc>
        <w:tc>
          <w:tcPr>
            <w:tcW w:w="14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400,000,000.00</w:t>
            </w:r>
          </w:p>
        </w:tc>
        <w:tc>
          <w:tcPr>
            <w:tcW w:w="1400" w:type="dxa"/>
            <w:vAlign w:val="bottom"/>
          </w:tcPr>
          <w:p>
            <w:pPr>
              <w:spacing w:after="0"/>
              <w:rPr>
                <w:sz w:val="18"/>
                <w:szCs w:val="18"/>
                <w:color w:val="auto"/>
              </w:rPr>
            </w:pPr>
          </w:p>
        </w:tc>
      </w:tr>
      <w:tr>
        <w:trPr>
          <w:trHeight w:val="675"/>
        </w:trPr>
        <w:tc>
          <w:tcPr>
            <w:tcW w:w="13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i w:val="1"/>
          <w:iCs w:val="1"/>
          <w:color w:val="auto"/>
        </w:rPr>
        <w:t>SCHEDULE 2.01A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BANKERS’ ACCEPTANCES</w:t>
      </w:r>
    </w:p>
    <w:p>
      <w:pPr>
        <w:spacing w:after="0" w:line="229" w:lineRule="exact"/>
        <w:rPr>
          <w:sz w:val="20"/>
          <w:szCs w:val="20"/>
          <w:color w:val="auto"/>
        </w:rPr>
      </w:pPr>
    </w:p>
    <w:p>
      <w:pPr>
        <w:jc w:val="both"/>
        <w:ind w:firstLine="656"/>
        <w:spacing w:after="0" w:line="263" w:lineRule="auto"/>
        <w:tabs>
          <w:tab w:leader="none" w:pos="1053"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Execution of Canadian BA’s</w:t>
      </w:r>
      <w:r>
        <w:rPr>
          <w:rFonts w:ascii="Arial" w:cs="Arial" w:eastAsia="Arial" w:hAnsi="Arial"/>
          <w:sz w:val="18"/>
          <w:szCs w:val="18"/>
          <w:color w:val="auto"/>
        </w:rPr>
        <w:t>. (a) To facilitate the acceptance of Canadian BA’s hereunder, PMCULC and each Designated Borrower hereby appoints each Lender as its attorney to sign and endorse on its behalf, as and when considered necessary by such Lender, an appropriate number of Canadian BA’s in the form prescribed by such Lender.</w:t>
      </w:r>
    </w:p>
    <w:p>
      <w:pPr>
        <w:spacing w:after="0" w:line="184" w:lineRule="exact"/>
        <w:rPr>
          <w:sz w:val="20"/>
          <w:szCs w:val="20"/>
          <w:color w:val="auto"/>
        </w:rPr>
      </w:pPr>
    </w:p>
    <w:p>
      <w:pPr>
        <w:jc w:val="both"/>
        <w:ind w:firstLine="656"/>
        <w:spacing w:after="0" w:line="279" w:lineRule="auto"/>
        <w:tabs>
          <w:tab w:leader="none" w:pos="108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Lender may, at its option, execute any Canadian BA in handwriting or by the facsimile or mechanical signature of any of its authorized officers, and each Lender is hereby authorized to accept or pay, as the case may be, any Canadian BA of PMCULC or a Designated Borrower that purports to bear such a signature, notwithstanding that any such individual has ceased to be an authorized officer of such Lender. Any such Canadian BA shall be as valid as if such individual were an authorized officer at the date of issue of the Canadian BA.</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07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Canadian BA signed by a Lender as attorney for PMCULC or a Designated Borrower, whether signed in handwriting or by the facsimile or mechanical signature of an authorized officer of a Lender, may be dealt with by such Lender for all intents and purposes, and shall bind PMCULC or such Designated Borrower, as if duly signed and issued by PMCULC or such Designated Borrower.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8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receipt by a Lender of a request for a Borrowing by way of Canadian BA’s shall be such Lender’s sufficient authority to execute, and each Lender shall, subject to the terms and conditions of this Agreement, execute Canadian BA’s in accordance with such request and the advice of the Administrative Agent given pursuant to Section 4 of this Schedule, and the Canadian BA’s so executed shall thereupon be deemed to have been presented for acceptance.</w:t>
      </w:r>
    </w:p>
    <w:p>
      <w:pPr>
        <w:spacing w:after="0" w:line="187" w:lineRule="exact"/>
        <w:rPr>
          <w:sz w:val="20"/>
          <w:szCs w:val="20"/>
          <w:color w:val="auto"/>
        </w:rPr>
      </w:pPr>
    </w:p>
    <w:p>
      <w:pPr>
        <w:ind w:firstLine="656"/>
        <w:spacing w:after="0" w:line="308" w:lineRule="auto"/>
        <w:tabs>
          <w:tab w:leader="none" w:pos="1053"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Sale of Canadian BA’s</w:t>
      </w:r>
      <w:r>
        <w:rPr>
          <w:rFonts w:ascii="Arial" w:cs="Arial" w:eastAsia="Arial" w:hAnsi="Arial"/>
          <w:sz w:val="17"/>
          <w:szCs w:val="17"/>
          <w:color w:val="auto"/>
        </w:rPr>
        <w:t>. (a) It shall be the responsibility of each Lender to arrange, in accordance with normal market practice, for the sale on each funding date of a Canadian BA to be accepted by such Lender, failing which such Lender shall purchase such Canadian BA.</w:t>
      </w:r>
    </w:p>
    <w:p>
      <w:pPr>
        <w:spacing w:after="0" w:line="146" w:lineRule="exact"/>
        <w:rPr>
          <w:sz w:val="20"/>
          <w:szCs w:val="20"/>
          <w:color w:val="auto"/>
        </w:rPr>
      </w:pPr>
    </w:p>
    <w:p>
      <w:pPr>
        <w:ind w:right="20" w:firstLine="656"/>
        <w:spacing w:after="0" w:line="277" w:lineRule="auto"/>
        <w:tabs>
          <w:tab w:leader="none" w:pos="108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accordance with the procedures set forth in Section 4 of this Schedule, each Lender will make the net proceeds of the applicable Borrowing by way of Canadian BA’s available to PMCULC or the Designated Borrower on the funding date.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7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parties agree that in the administering of Canadian BA’s, each Lender may avail itself of the debt clearing services offered by a clearing house for depository notes pursuant to the Depository Bills and Notes Act (Canada) and that the procedures set forth in Article II of the Credit Agreement be deemed amended to the extent necessary to comply with the requirements of such debt clearing services.</w:t>
      </w:r>
    </w:p>
    <w:p>
      <w:pPr>
        <w:spacing w:after="0" w:line="184" w:lineRule="exact"/>
        <w:rPr>
          <w:sz w:val="20"/>
          <w:szCs w:val="20"/>
          <w:color w:val="auto"/>
        </w:rPr>
      </w:pPr>
    </w:p>
    <w:p>
      <w:pPr>
        <w:jc w:val="both"/>
        <w:ind w:firstLine="656"/>
        <w:spacing w:after="0" w:line="275" w:lineRule="auto"/>
        <w:tabs>
          <w:tab w:leader="none" w:pos="1053"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Size and Maturity of Canadian BA’s and Rollovers</w:t>
      </w:r>
      <w:r>
        <w:rPr>
          <w:rFonts w:ascii="Arial" w:cs="Arial" w:eastAsia="Arial" w:hAnsi="Arial"/>
          <w:sz w:val="17"/>
          <w:szCs w:val="17"/>
          <w:color w:val="auto"/>
        </w:rPr>
        <w:t>. Each Borrowing by means of Canadian BA’s shall be in a minimum amount of CDN$1,000,000, and no more than seven Borrowings of Canadian BA’s shall be outstanding at any time. Each Canadian BA shall have a term of 30, 60 or 90 days (or such other period as may be agreed to by PMCULC or the Designated Borrower requesting such Borrowing and the Lenders) after the date of acceptance of the Canadian BA by a Lender, but no Canadian BA may mature on a date which is not a Business Day or after the Maturity Date. The face amount at maturity of a Canadian BA may be rolled over as a Canadian BA (by repayment and reissue) or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ind w:left="-656" w:firstLine="656"/>
        <w:spacing w:after="0" w:line="277" w:lineRule="auto"/>
        <w:tabs>
          <w:tab w:leader="none" w:pos="397"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Coordination of Canadian BA Advances</w:t>
      </w:r>
      <w:r>
        <w:rPr>
          <w:rFonts w:ascii="Arial" w:cs="Arial" w:eastAsia="Arial" w:hAnsi="Arial"/>
          <w:sz w:val="18"/>
          <w:szCs w:val="18"/>
          <w:color w:val="auto"/>
        </w:rPr>
        <w:t xml:space="preserve">. Each Lender shall advance its Applicable Percentage of each Borrowing by way of Canadian BA’s in accordance with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and the provisions set forth below.</w:t>
      </w:r>
    </w:p>
    <w:p>
      <w:pPr>
        <w:spacing w:after="0" w:line="170" w:lineRule="exact"/>
        <w:rPr>
          <w:sz w:val="20"/>
          <w:szCs w:val="20"/>
          <w:color w:val="auto"/>
        </w:rPr>
      </w:pPr>
    </w:p>
    <w:p>
      <w:pPr>
        <w:jc w:val="both"/>
        <w:ind w:left="-656" w:firstLine="656"/>
        <w:spacing w:after="0" w:line="269" w:lineRule="auto"/>
        <w:tabs>
          <w:tab w:leader="none" w:pos="41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Administrative Agent, promptly following receipt of a notice from PMCULC or a Designated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requesting a Borrowing by way of Canadian BA’s, shall advise each Lender of the aggregate face amount and term(s) of the Canadian BA’s to be accepted by it, which term(s) shall, subject to the provisions hereof, be identical for all Lenders. The aggregate face amount of Canadian BA’s to be accepted by a Lender shall be determined by the Administrative Agent by reference to the respective Commitments of the Lenders. In the event it is not practicable to allocate Canadian BA’s to each Lender such that the aggregate amount of Canadian BA’s required to be purchased by such Lender hereunder is in a whole multiple of C$100,000, Administrative Agent is authorized by PMCULC, each Designated Borrower and each Lender to make such allocation as Administrative Agent determines in its sole and unfettered discretion may be equitable in the circumstances and, if the aggregate amount of such Canadian BA’s is not a whole multiple of C$100,000, then the Administrative Agent may allocate (on a basis considered by it to be equitable) the excess of such amount over the next lowest whole multiple of C$100,000 to one Lender, which shall purchase a Canadian BA with a face amount equal to the excess and having the same term as the corresponding Canadian BA’s. In no event shall the portion of the outstanding Borrowings by way of Canadian BA’s of a Lender exceed such Lender’s Percentage Share of the aggregate Borrowings by way of Canadian BA’s by more than C$100,000 as a result of such exercise of discretion by Administrative Agent.</w:t>
      </w:r>
    </w:p>
    <w:p>
      <w:pPr>
        <w:spacing w:after="0" w:line="178" w:lineRule="exact"/>
        <w:rPr>
          <w:rFonts w:ascii="Arial" w:cs="Arial" w:eastAsia="Arial" w:hAnsi="Arial"/>
          <w:sz w:val="17"/>
          <w:szCs w:val="17"/>
          <w:color w:val="auto"/>
        </w:rPr>
      </w:pPr>
    </w:p>
    <w:p>
      <w:pPr>
        <w:jc w:val="both"/>
        <w:ind w:left="-656" w:firstLine="656"/>
        <w:spacing w:after="0" w:line="269" w:lineRule="auto"/>
        <w:tabs>
          <w:tab w:leader="none" w:pos="42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Each Lender shall transfer to the Administrative Agent by not later than 2:00 p.m. (Toronto time) on each funding date for Canadian BA’s, immediately available Canadian Dollars in an aggregate amount equal to the Canadian BA Discount Proceeds of all Canadian BA’s accepted and sold or purchased by such Lender on such funding date net of the applicable Canadian BA Fee and net of the amount required to pay any of its previously accepted Canadian BA’s that are maturing on the funding date or any of its other Borrowing that are being converted to Canadian BA’s on the funding date. In the case of a conversion from a Borrowing of Canadian Prime Rate Loans to PMCULC or a Designated Borrower into a Borrowing by way of Bankers’ Acceptances to be accepted by a Lender pursuant hereto, such Lender, in order to satisfy the continuing liability of PMCULC or such Designated Borrower to it for the principal amount of the Canadian Prime Rate Loans being converted, shall retain for its own account the Canadian BA Discount Proceeds of each new Canadian BA issued by it in connection with such conversion; and PMCULC or such Designated Borrower shall, on the date of issuance of the Canadian BA’s, pay to the Administrative Agent for the benefit of Lenders an amount equal to the difference between the aggregate principal amount of the Canadian Prime Rate Loans being converted owing to the Lenders and the aggregate Canadian BA Discount Proceeds of such Canadian BA’s net of the applicable Canadian BA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7" w:name="page178"/>
    <w:bookmarkEnd w:id="177"/>
    <w:p>
      <w:pPr>
        <w:jc w:val="both"/>
        <w:ind w:left="-8" w:firstLine="656"/>
        <w:spacing w:after="0" w:line="286" w:lineRule="auto"/>
        <w:tabs>
          <w:tab w:leader="none" w:pos="1064" w:val="left"/>
        </w:tabs>
        <w:numPr>
          <w:ilvl w:val="1"/>
          <w:numId w:val="192"/>
        </w:numPr>
        <w:rPr>
          <w:rFonts w:ascii="Arial" w:cs="Arial" w:eastAsia="Arial" w:hAnsi="Arial"/>
          <w:sz w:val="16"/>
          <w:szCs w:val="16"/>
          <w:color w:val="auto"/>
        </w:rPr>
      </w:pPr>
      <w:r>
        <w:rPr>
          <w:rFonts w:ascii="Arial" w:cs="Arial" w:eastAsia="Arial" w:hAnsi="Arial"/>
          <w:sz w:val="16"/>
          <w:szCs w:val="16"/>
          <w:color w:val="auto"/>
        </w:rPr>
        <w:t>Notwithstanding any other provision hereof, for the purpose of determining the amount to be transferred by a Lender to PMCULC or the Designated Borrower requesting such Borrowing in respect of the sale of any Canadian BA accepted by such Lender and sold or purchased by it, the proceeds of sale thereof shall be deemed to be an amount equal to the Canadian BA Discount Proceeds calculated with respect thereto. Accordingly, in respect of any particular Canadian BA accepted by it, a Lender (in addition to its entitlement to retain the applicable Canadian BA Fee for its own account)</w:t>
      </w:r>
    </w:p>
    <w:p>
      <w:pPr>
        <w:spacing w:after="0" w:line="1" w:lineRule="exact"/>
        <w:rPr>
          <w:rFonts w:ascii="Arial" w:cs="Arial" w:eastAsia="Arial" w:hAnsi="Arial"/>
          <w:sz w:val="16"/>
          <w:szCs w:val="16"/>
          <w:color w:val="auto"/>
        </w:rPr>
      </w:pPr>
    </w:p>
    <w:p>
      <w:pPr>
        <w:jc w:val="both"/>
        <w:ind w:left="-8" w:firstLine="8"/>
        <w:spacing w:after="0" w:line="255" w:lineRule="auto"/>
        <w:tabs>
          <w:tab w:leader="none" w:pos="23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shall be entitled to retain for its own account the amount, if any, by which the actual proceeds of sale thereof exceed the Canadian BA Discount Proceeds calculated with respect thereto; and (ii) shall be required to pay out of its own funds the amount, if any, by which the actual proceeds of sale thereof are less than the Canadian BA Discount Proceeds calculated with respect thereto.</w:t>
      </w:r>
    </w:p>
    <w:p>
      <w:pPr>
        <w:spacing w:after="0" w:line="189" w:lineRule="exact"/>
        <w:rPr>
          <w:rFonts w:ascii="Arial" w:cs="Arial" w:eastAsia="Arial" w:hAnsi="Arial"/>
          <w:sz w:val="18"/>
          <w:szCs w:val="18"/>
          <w:color w:val="auto"/>
        </w:rPr>
      </w:pPr>
    </w:p>
    <w:p>
      <w:pPr>
        <w:jc w:val="both"/>
        <w:ind w:left="-8" w:firstLine="656"/>
        <w:spacing w:after="0" w:line="269" w:lineRule="auto"/>
        <w:tabs>
          <w:tab w:leader="none" w:pos="1075" w:val="left"/>
        </w:tabs>
        <w:numPr>
          <w:ilvl w:val="1"/>
          <w:numId w:val="193"/>
        </w:numPr>
        <w:rPr>
          <w:rFonts w:ascii="Arial" w:cs="Arial" w:eastAsia="Arial" w:hAnsi="Arial"/>
          <w:sz w:val="17"/>
          <w:szCs w:val="17"/>
          <w:color w:val="auto"/>
        </w:rPr>
      </w:pPr>
      <w:r>
        <w:rPr>
          <w:rFonts w:ascii="Arial" w:cs="Arial" w:eastAsia="Arial" w:hAnsi="Arial"/>
          <w:sz w:val="17"/>
          <w:szCs w:val="17"/>
          <w:color w:val="auto"/>
        </w:rPr>
        <w:t>Whenever PMCULC or a Designated Borrower requests a Borrowing that includes Canadian BA’s, each Lender that is not permitted by Applicable Law, by its internal policies to accept Canadian BA’s or by customary market practice to accept a Canadian BA (a “</w:t>
      </w:r>
      <w:r>
        <w:rPr>
          <w:rFonts w:ascii="Arial" w:cs="Arial" w:eastAsia="Arial" w:hAnsi="Arial"/>
          <w:sz w:val="17"/>
          <w:szCs w:val="17"/>
          <w:u w:val="single" w:color="auto"/>
          <w:color w:val="auto"/>
        </w:rPr>
        <w:t>Non BA Lender</w:t>
      </w:r>
      <w:r>
        <w:rPr>
          <w:rFonts w:ascii="Arial" w:cs="Arial" w:eastAsia="Arial" w:hAnsi="Arial"/>
          <w:sz w:val="17"/>
          <w:szCs w:val="17"/>
          <w:color w:val="auto"/>
        </w:rPr>
        <w:t xml:space="preserve">”) shall, in lieu of accepting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such Canadian BA’s, make available to PMCULC or the applicable Designated Borrower on the funding date a non-interest bearing loan (a “</w:t>
      </w:r>
      <w:r>
        <w:rPr>
          <w:rFonts w:ascii="Arial" w:cs="Arial" w:eastAsia="Arial" w:hAnsi="Arial"/>
          <w:sz w:val="17"/>
          <w:szCs w:val="17"/>
          <w:u w:val="single" w:color="auto"/>
          <w:color w:val="auto"/>
        </w:rPr>
        <w:t>Canadian BA Equivalent Loan</w:t>
      </w:r>
      <w:r>
        <w:rPr>
          <w:rFonts w:ascii="Arial" w:cs="Arial" w:eastAsia="Arial" w:hAnsi="Arial"/>
          <w:sz w:val="17"/>
          <w:szCs w:val="17"/>
          <w:color w:val="auto"/>
        </w:rPr>
        <w:t xml:space="preserve">”) in Canadian Dollars in an amount equal to the amount of Canadian BA Discount Proceeds that would constitute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the applicable Canadian BA’s based on the Canadian BA Discount Rate set forth in c</w:t>
      </w:r>
      <w:r>
        <w:rPr>
          <w:rFonts w:ascii="Arial" w:cs="Arial" w:eastAsia="Arial" w:hAnsi="Arial"/>
          <w:sz w:val="17"/>
          <w:szCs w:val="17"/>
          <w:u w:val="single" w:color="auto"/>
          <w:color w:val="auto"/>
        </w:rPr>
        <w:t>lause (b)</w:t>
      </w:r>
      <w:r>
        <w:rPr>
          <w:rFonts w:ascii="Arial" w:cs="Arial" w:eastAsia="Arial" w:hAnsi="Arial"/>
          <w:sz w:val="17"/>
          <w:szCs w:val="17"/>
          <w:color w:val="auto"/>
        </w:rPr>
        <w:t xml:space="preserve"> of the definition of “Canadian BA Discount Rate”. Each Non BA Lender also shall be entitled to deduct from each Canadian BA Equivalent Loan an amount equal to the Canadian BA Fee that would have been applicable had it been able to accept Canadian BA’s. Each Canadian BA Equivalent Loan shall have a term equal to the term of the Canadian BA’s that the Non BA Lender would otherwise have accepted and PMCULC or the Designated Borrower requesting such Borrowing shall, at the end of that term, be obligated to pay the Non BA Lender an amount equal to the aggregate face amount of the Canadian BA’s that it would otherwise have accepted. All provisions of this Agreement applicable to Canadian BA’s and Lenders that accept Canadian BA’s shall apply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mutandis </w:t>
      </w:r>
      <w:r>
        <w:rPr>
          <w:rFonts w:ascii="Arial" w:cs="Arial" w:eastAsia="Arial" w:hAnsi="Arial"/>
          <w:sz w:val="17"/>
          <w:szCs w:val="17"/>
          <w:color w:val="auto"/>
        </w:rPr>
        <w:t>to Canadian BA Equivalent Loans and Non BA Lenders and, without limiting the foregoing, Borrowings shall include Canadian BA Equivalent</w:t>
      </w:r>
      <w:r>
        <w:rPr>
          <w:rFonts w:ascii="Arial" w:cs="Arial" w:eastAsia="Arial" w:hAnsi="Arial"/>
          <w:sz w:val="17"/>
          <w:szCs w:val="17"/>
          <w:i w:val="1"/>
          <w:iCs w:val="1"/>
          <w:color w:val="auto"/>
        </w:rPr>
        <w:t xml:space="preserve"> </w:t>
      </w:r>
      <w:r>
        <w:rPr>
          <w:rFonts w:ascii="Arial" w:cs="Arial" w:eastAsia="Arial" w:hAnsi="Arial"/>
          <w:sz w:val="17"/>
          <w:szCs w:val="17"/>
          <w:color w:val="auto"/>
        </w:rPr>
        <w:t>Loans.</w:t>
      </w:r>
    </w:p>
    <w:p>
      <w:pPr>
        <w:spacing w:after="0" w:line="179" w:lineRule="exact"/>
        <w:rPr>
          <w:sz w:val="20"/>
          <w:szCs w:val="20"/>
          <w:color w:val="auto"/>
        </w:rPr>
      </w:pPr>
    </w:p>
    <w:p>
      <w:pPr>
        <w:jc w:val="both"/>
        <w:ind w:left="-8" w:firstLine="656"/>
        <w:spacing w:after="0" w:line="271" w:lineRule="auto"/>
        <w:tabs>
          <w:tab w:leader="none" w:pos="1045"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Payment of Canadian BA’s; Cash Collateral; Prepayments; Taxes, Yield Protection and Illegality</w:t>
      </w:r>
      <w:r>
        <w:rPr>
          <w:rFonts w:ascii="Arial" w:cs="Arial" w:eastAsia="Arial" w:hAnsi="Arial"/>
          <w:sz w:val="17"/>
          <w:szCs w:val="17"/>
          <w:color w:val="auto"/>
        </w:rPr>
        <w:t>. (a) PMCULC and each Designated Borrower shall provide for the payment to each Lender of the full face amount of each Canadian BA accepted for its account on the earlier of (i) the date of maturity of such Canadian BA; and (ii) the date on which any Obligations become due and payable pursuant to Section 8.02. Any amount owing by PMCULC or a Designated Borrower in respect of any Canadian BA which is not paid in accordance with the foregoing, shall, as and from the date on which such Canadian BA matures, be deemed to be outstanding hereunder as a Canadian Prime Rate Loan. Each Lender shall be entitled to recover interest from PMCULC or such Designated Borrower, at the Default Rate, on any amount that is not paid when due by PMCULC or such Designated Borrower, from the date of maturity of each applicable Canadian BA to the date such payment, and all interest thereon, is provided for by PMCULC or such Designated Borrower, both before and after demand, default and judgment.</w:t>
      </w:r>
    </w:p>
    <w:p>
      <w:pPr>
        <w:spacing w:after="0" w:line="178" w:lineRule="exact"/>
        <w:rPr>
          <w:sz w:val="20"/>
          <w:szCs w:val="20"/>
          <w:color w:val="auto"/>
        </w:rPr>
      </w:pPr>
    </w:p>
    <w:p>
      <w:pPr>
        <w:jc w:val="both"/>
        <w:ind w:left="-8" w:firstLine="656"/>
        <w:spacing w:after="0" w:line="255" w:lineRule="auto"/>
        <w:tabs>
          <w:tab w:leader="none" w:pos="107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For purposes of this Schedule 2.01A, Section 2.05(d) and Section 8.02(c), “Cash Collateralize” means to pledge and deposit with or deliver to the Administrative Agent, for the benefit of the Lenders, as collateral for the Obligations in respect of Canadian BA’s, cash or deposit account balances pursuant to documentation in form and substance satisfactory to the Administrative Agent and the Lenders (which documents are hereby consented to by the Lenders). Derivatives of such term have corresponding meanings. PMCULC and each Designated Borrower hereby grants to the Administrative Agent, for the benefit of the Lenders, a security interest in all such cash and deposit account balances and all proceeds of the foregoing. Cash Collateral shall be maintained in blocked accounts at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8" w:name="page179"/>
    <w:bookmarkEnd w:id="178"/>
    <w:p>
      <w:pPr>
        <w:jc w:val="both"/>
        <w:ind w:left="-656" w:firstLine="656"/>
        <w:spacing w:after="0" w:line="254" w:lineRule="auto"/>
        <w:tabs>
          <w:tab w:leader="none" w:pos="43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amounts received by the Administrative Agent to be applied to outstanding Canadian BA’s, whether pursuant to an Event of Default and acceleration of the Obligations under Section 8.02 or a prepayment as permitted or required under Section 2.05, shall be deposited into an escrow account maintained by and in the name of the Administrative Agent for the benefit of Lenders for set-off against such outstanding Canadian BA’s as they mature, and pending such application shall bear interest at the rate declared by the Administrative Agent from time to time as that customarily paid by it in respect of similar deposits for such amount and for such period relative to the maturity date of such Canadian BA’s, as applicable. Upon the repayment of all such outstanding Canadian BA’s, any amounts remaining (including accrued interest) will (i) during the continuance of an Event of Default, be subject to such remedies as each Lender Party may have hereunder or under Applicable Law, or (ii) otherwise, be released to PMCULC or the appropriate Designated Borrower.</w:t>
      </w:r>
    </w:p>
    <w:p>
      <w:pPr>
        <w:spacing w:after="0" w:line="191" w:lineRule="exact"/>
        <w:rPr>
          <w:rFonts w:ascii="Arial" w:cs="Arial" w:eastAsia="Arial" w:hAnsi="Arial"/>
          <w:sz w:val="18"/>
          <w:szCs w:val="18"/>
          <w:color w:val="auto"/>
        </w:rPr>
      </w:pPr>
    </w:p>
    <w:p>
      <w:pPr>
        <w:ind w:left="-656" w:firstLine="656"/>
        <w:spacing w:after="0" w:line="277" w:lineRule="auto"/>
        <w:tabs>
          <w:tab w:leader="none" w:pos="42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applicable to Loans, Letters of Credit and the Commitments and Obligations in respect thereof apply to Canadian BA’s and the Commitments and Obligations in respect thereof,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left="-656" w:firstLine="656"/>
        <w:spacing w:after="0" w:line="273" w:lineRule="auto"/>
        <w:tabs>
          <w:tab w:leader="none" w:pos="397"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Deemed Advance — Canadian BA’s</w:t>
      </w:r>
      <w:r>
        <w:rPr>
          <w:rFonts w:ascii="Arial" w:cs="Arial" w:eastAsia="Arial" w:hAnsi="Arial"/>
          <w:sz w:val="17"/>
          <w:szCs w:val="17"/>
          <w:color w:val="auto"/>
        </w:rPr>
        <w:t>. Except for amounts that are paid from the proceeds of a rollover of a Canadian BA or for which payment has otherwise been funded by PMCULC or a Designated Borrower, any amount that a Lender pays to any third party on or after the date of maturity of a Canadian BA in satisfaction thereof, or that is owing to a Lender in respect of a Canadian BA on or after the date of maturity of such a Canadian BA, shall be deemed to be a Canadian Prime Rate Loan to PMCULC or such Designated Borrower under this Agreement. Each Lender shall forthwith give notice of the making of such a Loan to PMCULC or such Designated Borrower, the Administrative Agent and the other Lenders. Interest shall be payable on such Loans in accordance with the terms applicable to Canadian Prime Rate Loans.</w:t>
      </w:r>
    </w:p>
    <w:p>
      <w:pPr>
        <w:spacing w:after="0" w:line="177" w:lineRule="exact"/>
        <w:rPr>
          <w:rFonts w:ascii="Arial" w:cs="Arial" w:eastAsia="Arial" w:hAnsi="Arial"/>
          <w:sz w:val="17"/>
          <w:szCs w:val="17"/>
          <w:color w:val="auto"/>
        </w:rPr>
      </w:pPr>
    </w:p>
    <w:p>
      <w:pPr>
        <w:jc w:val="both"/>
        <w:ind w:left="-656" w:firstLine="656"/>
        <w:spacing w:after="0" w:line="257" w:lineRule="auto"/>
        <w:tabs>
          <w:tab w:leader="none" w:pos="397"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PMCULC and each Designated Borrower waives presentment for payment of Canadian BA’s by Lenders. Neither PMCULC nor any Designated Borrower shall claim from a Lender any days of grace for the payment at maturity of any Canadian BA presented and accepted by such Lender pursuant to this Agreement. PMCULC and each Designated Borrower waives any defence to payment that might otherwise exist if for any reason a Canadian BA shall be held by a Lender in its own right at the maturity thereof, and the doctrine of merger shall not apply to any Canadian BA that is at any time held by a Lender in its own right.</w:t>
      </w:r>
    </w:p>
    <w:p>
      <w:pPr>
        <w:spacing w:after="0" w:line="187" w:lineRule="exact"/>
        <w:rPr>
          <w:rFonts w:ascii="Arial" w:cs="Arial" w:eastAsia="Arial" w:hAnsi="Arial"/>
          <w:sz w:val="18"/>
          <w:szCs w:val="18"/>
          <w:color w:val="auto"/>
        </w:rPr>
      </w:pPr>
    </w:p>
    <w:p>
      <w:pPr>
        <w:jc w:val="both"/>
        <w:ind w:left="-656" w:right="20" w:firstLine="656"/>
        <w:spacing w:after="0" w:line="257" w:lineRule="auto"/>
        <w:tabs>
          <w:tab w:leader="none" w:pos="397"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Degree of Care</w:t>
      </w:r>
      <w:r>
        <w:rPr>
          <w:rFonts w:ascii="Arial" w:cs="Arial" w:eastAsia="Arial" w:hAnsi="Arial"/>
          <w:sz w:val="18"/>
          <w:szCs w:val="18"/>
          <w:color w:val="auto"/>
        </w:rPr>
        <w:t>. Any executed Canadian BA’s shall be held in safekeeping with the same degree of care as if they were the applicable Lender’s own property, and shall be kept at the place at which such Canadian BA’s are ordinarily held by such Lender. The Administrative Agent and Lenders shall not be liable for any damage, loss or improper use of any bankers’ acceptance draft endorsed in blank except for any loss arising by reason of the Administrative Agent or a Lender failing to use the same standard of care in the custody of such bankers’ acceptance drafts as the Administrative Agent or such Lender use in the custody of their own property of a similar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9" w:name="page180"/>
    <w:bookmarkEnd w:id="179"/>
    <w:p>
      <w:pPr>
        <w:jc w:val="both"/>
        <w:ind w:firstLine="656"/>
        <w:spacing w:after="0" w:line="263" w:lineRule="auto"/>
        <w:tabs>
          <w:tab w:leader="none" w:pos="1111"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obligations of PMCULC and each Designated Borrower with respect to Canadian BA’s under this Agreement shall be unconditional and irrevocable, and shall be paid strictly in accordance with the terms of this Agreement under all circumstances, including the following circumstances:</w:t>
      </w:r>
    </w:p>
    <w:p>
      <w:pPr>
        <w:spacing w:after="0" w:line="183" w:lineRule="exact"/>
        <w:rPr>
          <w:rFonts w:ascii="Arial" w:cs="Arial" w:eastAsia="Arial" w:hAnsi="Arial"/>
          <w:sz w:val="18"/>
          <w:szCs w:val="18"/>
          <w:color w:val="auto"/>
        </w:rPr>
      </w:pPr>
    </w:p>
    <w:p>
      <w:pPr>
        <w:ind w:left="1740" w:hanging="436"/>
        <w:spacing w:after="0"/>
        <w:tabs>
          <w:tab w:leader="none" w:pos="17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lack of validity or enforceability of any bankers’ acceptance, bill or note accepted by a Lender as a Canadian BA; or</w:t>
      </w:r>
    </w:p>
    <w:p>
      <w:pPr>
        <w:spacing w:after="0" w:line="225" w:lineRule="exact"/>
        <w:rPr>
          <w:rFonts w:ascii="Arial" w:cs="Arial" w:eastAsia="Arial" w:hAnsi="Arial"/>
          <w:sz w:val="18"/>
          <w:szCs w:val="18"/>
          <w:color w:val="auto"/>
        </w:rPr>
      </w:pPr>
    </w:p>
    <w:p>
      <w:pPr>
        <w:ind w:left="660" w:firstLine="644"/>
        <w:spacing w:after="0" w:line="277" w:lineRule="auto"/>
        <w:tabs>
          <w:tab w:leader="none" w:pos="177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existence of any claim, set off, defense or other right that PMCULC or any Designated Borrower may have at any time against the holder of a Canadian BA, a Lender or any other Person, whether in connection with this Agreement or otherwise.</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Shortfall on Drawdowns, Rollovers and Conversions</w:t>
      </w:r>
      <w:r>
        <w:rPr>
          <w:rFonts w:ascii="Arial" w:cs="Arial" w:eastAsia="Arial" w:hAnsi="Arial"/>
          <w:sz w:val="18"/>
          <w:szCs w:val="18"/>
          <w:color w:val="auto"/>
        </w:rPr>
        <w:t>. PMCULC and each Designated Borrower agrees that:</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difference between the amount of a Borrowing requested by PMCULC or such Designated Borrower by way of Canadian BA’s and the actual proceeds of the Canadian BA’s;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7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pay a maturing Canadian BA, if a Canadian BA is being rolled over;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0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repay any Borrowing that is being converted to a Canadian BA;</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shall be funded and paid by PMCULC or such Designated Borrower from its own resources, by 12:00 p.m. (Toronto time) on the day of the applicable Borrowing or may be advanced as a Canadian Prime Rate Loan under the Commitments if PMCULC or such Designated Borrower is otherwise entitled to a Borrowing under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i w:val="1"/>
          <w:iCs w:val="1"/>
          <w:color w:val="auto"/>
        </w:rPr>
        <w:t>SCHEDULE 5.03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GOVERNMENTAL AUTHORIZATION; OTHER CONSENTS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i w:val="1"/>
          <w:iCs w:val="1"/>
          <w:color w:val="auto"/>
        </w:rPr>
        <w:t>SCHEDULE 5.06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and its Subsidiaries are subject to actions, suits, proceedings, claims an disputes related to the Line 901 Incident as publicly disclosed in the Company’s Form 10-Q for the fiscal quarter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i w:val="1"/>
          <w:iCs w:val="1"/>
          <w:color w:val="auto"/>
        </w:rPr>
        <w:t>SCHEDULE 5.07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i w:val="1"/>
          <w:iCs w:val="1"/>
          <w:color w:val="auto"/>
        </w:rPr>
        <w:t>SCHEDULE 5.08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ERISA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i w:val="1"/>
          <w:iCs w:val="1"/>
          <w:color w:val="auto"/>
        </w:rPr>
        <w:t>SCHEDULE 5.11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i w:val="1"/>
          <w:iCs w:val="1"/>
          <w:color w:val="auto"/>
        </w:rPr>
        <w:t>SCHEDULE 11.02</w:t>
      </w: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76-0582150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Access Identification Number: 2015780733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payments and Requests for Credit Extensions):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Karen Puente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469.201.8912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214.290.8378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karen.r.puente@bofa.com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USD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Wire Clearing Acct for Syn Loans - LIQ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w:t>
      </w:r>
    </w:p>
    <w:p>
      <w:pPr>
        <w:spacing w:after="0" w:line="207" w:lineRule="exact"/>
        <w:rPr>
          <w:sz w:val="20"/>
          <w:szCs w:val="20"/>
          <w:color w:val="auto"/>
        </w:rPr>
      </w:pPr>
    </w:p>
    <w:p>
      <w:pPr>
        <w:ind w:right="3959"/>
        <w:spacing w:after="0" w:line="257" w:lineRule="auto"/>
        <w:rPr>
          <w:sz w:val="20"/>
          <w:szCs w:val="20"/>
          <w:color w:val="auto"/>
        </w:rPr>
      </w:pPr>
      <w:r>
        <w:rPr>
          <w:rFonts w:ascii="Arial" w:cs="Arial" w:eastAsia="Arial" w:hAnsi="Arial"/>
          <w:sz w:val="18"/>
          <w:szCs w:val="18"/>
          <w:b w:val="1"/>
          <w:bCs w:val="1"/>
          <w:color w:val="auto"/>
        </w:rPr>
        <w:t xml:space="preserve">CAD Payment Instructions; Bank of America, Canada Office Wire Instructions: </w:t>
      </w:r>
      <w:r>
        <w:rPr>
          <w:rFonts w:ascii="Arial" w:cs="Arial" w:eastAsia="Arial" w:hAnsi="Arial"/>
          <w:sz w:val="18"/>
          <w:szCs w:val="18"/>
          <w:color w:val="auto"/>
        </w:rPr>
        <w:t>Beneficiary Bank: Bank of America NA, Canada Branch (SWIFT ID: BOFACATT) A/C #: 90083255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#0241 Transit #56792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of America NA, Canada Branch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CA5-705-04-09</w:t>
      </w:r>
    </w:p>
    <w:p>
      <w:pPr>
        <w:spacing w:after="0" w:line="192" w:lineRule="auto"/>
        <w:rPr>
          <w:sz w:val="20"/>
          <w:szCs w:val="20"/>
          <w:color w:val="auto"/>
        </w:rPr>
      </w:pPr>
      <w:r>
        <w:rPr>
          <w:rFonts w:ascii="Arial" w:cs="Arial" w:eastAsia="Arial" w:hAnsi="Arial"/>
          <w:sz w:val="18"/>
          <w:szCs w:val="18"/>
          <w:color w:val="auto"/>
        </w:rPr>
        <w:t>555 California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San Francisco, CA 94104</w:t>
      </w:r>
    </w:p>
    <w:p>
      <w:pPr>
        <w:spacing w:after="0" w:line="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Anthea Del Bianco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415-436-2776</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415-503-5101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anthea.del_bianco@bofa.com</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L/C ISSUERS: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Mike Grizzanti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570-496-9621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800-755-8743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michael.a.grizzanti@bofa.com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Penns Way, Ops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 19720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Gopinath Elogovan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201-472-4024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212-994-0847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global.loans.LCRecon@citi.com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L2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Letter of Credit 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855-609-9959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214-307-6874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chicago.lc.agency.closing.team@jpmchase.com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02" w:lineRule="auto"/>
        <w:rPr>
          <w:sz w:val="20"/>
          <w:szCs w:val="20"/>
          <w:color w:val="auto"/>
        </w:rPr>
      </w:pPr>
      <w:r>
        <w:rPr>
          <w:rFonts w:ascii="Arial" w:cs="Arial" w:eastAsia="Arial" w:hAnsi="Arial"/>
          <w:sz w:val="18"/>
          <w:szCs w:val="18"/>
          <w:color w:val="auto"/>
        </w:rPr>
        <w:t>1000 Louisiana St.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Mail Code: T0002-120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Nathan Starr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Telephone: </w:t>
      </w:r>
      <w:r>
        <w:rPr>
          <w:rFonts w:ascii="Arial" w:cs="Arial" w:eastAsia="Arial" w:hAnsi="Arial"/>
          <w:sz w:val="18"/>
          <w:szCs w:val="18"/>
          <w:u w:val="single" w:color="auto"/>
          <w:color w:val="auto"/>
        </w:rPr>
        <w:t>713-319-1977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Telecopier: </w:t>
      </w:r>
      <w:r>
        <w:rPr>
          <w:rFonts w:ascii="Arial" w:cs="Arial" w:eastAsia="Arial" w:hAnsi="Arial"/>
          <w:sz w:val="18"/>
          <w:szCs w:val="18"/>
          <w:u w:val="single" w:color="auto"/>
          <w:color w:val="auto"/>
        </w:rPr>
        <w:t>713-319-1053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Nathan.Starr@wellsfargo.com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SWING LINE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Karen Puente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469.201.8912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214.290.8378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Wire Clearing Acct for Syn Loans - LIQ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Bank of America Canada (SWIFT ID: BOFACATT)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Number: 711465090227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of America, NA</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10.2</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Number: 72651GAE5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-130175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72651GAF2</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FOURTH AMENDED AND RESTATED CREDIT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AUGUST 20, 2021</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PLAINS MARKETING, L.P. </w:t>
      </w:r>
      <w:r>
        <w:rPr>
          <w:rFonts w:ascii="Arial" w:cs="Arial" w:eastAsia="Arial" w:hAnsi="Arial"/>
          <w:sz w:val="18"/>
          <w:szCs w:val="18"/>
          <w:color w:val="auto"/>
        </w:rPr>
        <w:t>and</w:t>
      </w:r>
      <w:r>
        <w:rPr>
          <w:rFonts w:ascii="Arial" w:cs="Arial" w:eastAsia="Arial" w:hAnsi="Arial"/>
          <w:sz w:val="18"/>
          <w:szCs w:val="18"/>
          <w:b w:val="1"/>
          <w:bCs w:val="1"/>
          <w:color w:val="auto"/>
        </w:rPr>
        <w:t xml:space="preserve"> PLAINS MIDSTREAM CANADA ULC,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Borrowers,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Guarantor,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 and Swing Line Lender,</w:t>
      </w:r>
    </w:p>
    <w:p>
      <w:pPr>
        <w:spacing w:after="0" w:line="207"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 xml:space="preserve">BANK OF AMERICA, N.A., CITIBANK, N.A., JPMORGAN CHASE BANK, N.A. </w:t>
      </w:r>
      <w:r>
        <w:rPr>
          <w:rFonts w:ascii="Arial" w:cs="Arial" w:eastAsia="Arial" w:hAnsi="Arial"/>
          <w:sz w:val="17"/>
          <w:szCs w:val="17"/>
          <w:color w:val="auto"/>
        </w:rPr>
        <w:t>and</w:t>
      </w:r>
      <w:r>
        <w:rPr>
          <w:rFonts w:ascii="Arial" w:cs="Arial" w:eastAsia="Arial" w:hAnsi="Arial"/>
          <w:sz w:val="17"/>
          <w:szCs w:val="17"/>
          <w:b w:val="1"/>
          <w:bCs w:val="1"/>
          <w:color w:val="auto"/>
        </w:rPr>
        <w:t xml:space="preserve"> WELLS FARGO</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L/C Issuers,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CITIBANK, N.A., JPMORGAN CHASE BANK, N.A. </w:t>
      </w:r>
      <w:r>
        <w:rPr>
          <w:rFonts w:ascii="Arial" w:cs="Arial" w:eastAsia="Arial" w:hAnsi="Arial"/>
          <w:sz w:val="18"/>
          <w:szCs w:val="18"/>
          <w:color w:val="auto"/>
        </w:rPr>
        <w:t>and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Co-Syndication Agents, and</w:t>
      </w:r>
    </w:p>
    <w:p>
      <w:pPr>
        <w:spacing w:after="0" w:line="207" w:lineRule="exact"/>
        <w:rPr>
          <w:sz w:val="20"/>
          <w:szCs w:val="20"/>
          <w:color w:val="auto"/>
        </w:rPr>
      </w:pPr>
    </w:p>
    <w:p>
      <w:pPr>
        <w:ind w:left="2160" w:right="1680" w:hanging="1599"/>
        <w:spacing w:after="0" w:line="276" w:lineRule="auto"/>
        <w:rPr>
          <w:sz w:val="20"/>
          <w:szCs w:val="20"/>
          <w:color w:val="auto"/>
        </w:rPr>
      </w:pPr>
      <w:r>
        <w:rPr>
          <w:rFonts w:ascii="Arial" w:cs="Arial" w:eastAsia="Arial" w:hAnsi="Arial"/>
          <w:sz w:val="17"/>
          <w:szCs w:val="17"/>
          <w:b w:val="1"/>
          <w:bCs w:val="1"/>
          <w:color w:val="auto"/>
        </w:rPr>
        <w:t>BANCO BILBAO VIZCAYA ARGENTARIA, S.A., NEW YORK BRANCH, BANK OF MONTREAL, BANK OF NOVA SCOTIA, HOUSTON BRANCH, BARCLAYS BANK PLC,</w:t>
      </w:r>
    </w:p>
    <w:p>
      <w:pPr>
        <w:spacing w:after="0" w:line="1" w:lineRule="exact"/>
        <w:rPr>
          <w:sz w:val="20"/>
          <w:szCs w:val="20"/>
          <w:color w:val="auto"/>
        </w:rPr>
      </w:pPr>
    </w:p>
    <w:p>
      <w:pPr>
        <w:ind w:left="2700" w:right="1980" w:hanging="1827"/>
        <w:spacing w:after="0" w:line="250" w:lineRule="auto"/>
        <w:rPr>
          <w:sz w:val="20"/>
          <w:szCs w:val="20"/>
          <w:color w:val="auto"/>
        </w:rPr>
      </w:pPr>
      <w:r>
        <w:rPr>
          <w:rFonts w:ascii="Arial" w:cs="Arial" w:eastAsia="Arial" w:hAnsi="Arial"/>
          <w:sz w:val="18"/>
          <w:szCs w:val="18"/>
          <w:b w:val="1"/>
          <w:bCs w:val="1"/>
          <w:color w:val="auto"/>
        </w:rPr>
        <w:t>CANADIAN IMPERIAL BANK OF COMMERCE, NEW YORK BRANCH, COBANK, ACB, ING CAPITAL LLC, MIZUHO BANK, LTD., MUFG BANK, LTD.,</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PNC BANK, NATIONAL ASSOCIATION, REGIONS BANK,</w:t>
      </w:r>
    </w:p>
    <w:p>
      <w:pPr>
        <w:spacing w:after="0" w:line="9" w:lineRule="exact"/>
        <w:rPr>
          <w:sz w:val="20"/>
          <w:szCs w:val="20"/>
          <w:color w:val="auto"/>
        </w:rPr>
      </w:pPr>
    </w:p>
    <w:p>
      <w:pPr>
        <w:ind w:left="1240" w:right="1720" w:firstLine="662"/>
        <w:spacing w:after="0" w:line="250" w:lineRule="auto"/>
        <w:rPr>
          <w:sz w:val="20"/>
          <w:szCs w:val="20"/>
          <w:color w:val="auto"/>
        </w:rPr>
      </w:pPr>
      <w:r>
        <w:rPr>
          <w:rFonts w:ascii="Arial" w:cs="Arial" w:eastAsia="Arial" w:hAnsi="Arial"/>
          <w:sz w:val="18"/>
          <w:szCs w:val="18"/>
          <w:b w:val="1"/>
          <w:bCs w:val="1"/>
          <w:color w:val="auto"/>
        </w:rPr>
        <w:t>ROYAL BANK OF CANADA, SUMITOMO MITSUI BANKING CORPORATION, THE TORONTO-DOMINION BANK, NEW YORK BRANCH, TRUIST BANK and</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Co-Documentation Agents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BOFA SECURITIES, INC., CITIBANK,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JPMORGAN CHASE BANK, N.A., WELLS FARGO SECURITIES,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BANCO BILBAO VIZCAYA ARGENTARIA, S.A., NEW YORK BRANCH, BMO CAPITAL MARKETS,</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OF NOVA SCOTIA, HOUSTON BRANCH, BARCLAYS BANK PLC,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CANADIAN IMPERIAL BANK OF COMMERCE, NEW YORK BRANCH, COBANK, ACB,</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ING CAPITAL LLC, MIZUHO BANK, LTD., MUFG BANK, LTD.,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PNC BANK, NATIONAL ASSOCIATION, REGIONS BANK, ROYAL BANK OF CANADA,</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TD SECURITIES (USA) LLC, TRUIST BANK and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Joint Lead Arrangers and Joint Book Managers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Senior Secured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6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08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766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0"/>
        </w:trPr>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53"/>
        </w:trPr>
        <w:tc>
          <w:tcPr>
            <w:tcW w:w="1080" w:type="dxa"/>
            <w:vAlign w:val="bottom"/>
            <w:gridSpan w:val="2"/>
          </w:tcPr>
          <w:p>
            <w:pPr>
              <w:spacing w:after="0"/>
              <w:rPr>
                <w:sz w:val="20"/>
                <w:szCs w:val="20"/>
                <w:color w:val="auto"/>
              </w:rPr>
            </w:pPr>
            <w:r>
              <w:rPr>
                <w:rFonts w:ascii="Arial" w:cs="Arial" w:eastAsia="Arial" w:hAnsi="Arial"/>
                <w:sz w:val="18"/>
                <w:szCs w:val="18"/>
                <w:color w:val="auto"/>
              </w:rPr>
              <w:t>ARTICLE I.</w:t>
            </w:r>
          </w:p>
        </w:tc>
        <w:tc>
          <w:tcPr>
            <w:tcW w:w="7660" w:type="dxa"/>
            <w:vAlign w:val="bottom"/>
          </w:tcPr>
          <w:p>
            <w:pPr>
              <w:ind w:left="280"/>
              <w:spacing w:after="0"/>
              <w:rPr>
                <w:sz w:val="20"/>
                <w:szCs w:val="20"/>
                <w:color w:val="auto"/>
              </w:rPr>
            </w:pPr>
            <w:r>
              <w:rPr>
                <w:rFonts w:ascii="Arial" w:cs="Arial" w:eastAsia="Arial" w:hAnsi="Arial"/>
                <w:sz w:val="18"/>
                <w:szCs w:val="18"/>
                <w:color w:val="auto"/>
              </w:rPr>
              <w:t>DEFINITIONS AND ACCOUNTING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766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7660" w:type="dxa"/>
            <w:vAlign w:val="bottom"/>
          </w:tcPr>
          <w:p>
            <w:pPr>
              <w:ind w:left="60"/>
              <w:spacing w:after="0"/>
              <w:rPr>
                <w:sz w:val="20"/>
                <w:szCs w:val="20"/>
                <w:color w:val="auto"/>
              </w:rPr>
            </w:pPr>
            <w:r>
              <w:rPr>
                <w:rFonts w:ascii="Arial" w:cs="Arial" w:eastAsia="Arial" w:hAnsi="Arial"/>
                <w:sz w:val="18"/>
                <w:szCs w:val="18"/>
                <w:color w:val="auto"/>
              </w:rPr>
              <w:t>Other Interpretive Provisions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7660" w:type="dxa"/>
            <w:vAlign w:val="bottom"/>
          </w:tcPr>
          <w:p>
            <w:pPr>
              <w:ind w:left="60"/>
              <w:spacing w:after="0"/>
              <w:rPr>
                <w:sz w:val="20"/>
                <w:szCs w:val="20"/>
                <w:color w:val="auto"/>
              </w:rPr>
            </w:pPr>
            <w:r>
              <w:rPr>
                <w:rFonts w:ascii="Arial" w:cs="Arial" w:eastAsia="Arial" w:hAnsi="Arial"/>
                <w:sz w:val="18"/>
                <w:szCs w:val="18"/>
                <w:color w:val="auto"/>
              </w:rPr>
              <w:t>Accounting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7660" w:type="dxa"/>
            <w:vAlign w:val="bottom"/>
          </w:tcPr>
          <w:p>
            <w:pPr>
              <w:ind w:left="60"/>
              <w:spacing w:after="0"/>
              <w:rPr>
                <w:sz w:val="20"/>
                <w:szCs w:val="20"/>
                <w:color w:val="auto"/>
              </w:rPr>
            </w:pPr>
            <w:r>
              <w:rPr>
                <w:rFonts w:ascii="Arial" w:cs="Arial" w:eastAsia="Arial" w:hAnsi="Arial"/>
                <w:sz w:val="18"/>
                <w:szCs w:val="18"/>
                <w:color w:val="auto"/>
              </w:rPr>
              <w:t>Rounding</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7660" w:type="dxa"/>
            <w:vAlign w:val="bottom"/>
          </w:tcPr>
          <w:p>
            <w:pPr>
              <w:ind w:left="60"/>
              <w:spacing w:after="0"/>
              <w:rPr>
                <w:sz w:val="20"/>
                <w:szCs w:val="20"/>
                <w:color w:val="auto"/>
              </w:rPr>
            </w:pPr>
            <w:r>
              <w:rPr>
                <w:rFonts w:ascii="Arial" w:cs="Arial" w:eastAsia="Arial" w:hAnsi="Arial"/>
                <w:sz w:val="18"/>
                <w:szCs w:val="18"/>
                <w:color w:val="auto"/>
              </w:rPr>
              <w:t>Times of Day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7660" w:type="dxa"/>
            <w:vAlign w:val="bottom"/>
          </w:tcPr>
          <w:p>
            <w:pPr>
              <w:ind w:left="60"/>
              <w:spacing w:after="0"/>
              <w:rPr>
                <w:sz w:val="20"/>
                <w:szCs w:val="20"/>
                <w:color w:val="auto"/>
              </w:rPr>
            </w:pPr>
            <w:r>
              <w:rPr>
                <w:rFonts w:ascii="Arial" w:cs="Arial" w:eastAsia="Arial" w:hAnsi="Arial"/>
                <w:sz w:val="18"/>
                <w:szCs w:val="18"/>
                <w:color w:val="auto"/>
              </w:rPr>
              <w:t>Exchange Rates; Currency Equivalents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7660" w:type="dxa"/>
            <w:vAlign w:val="bottom"/>
          </w:tcPr>
          <w:p>
            <w:pPr>
              <w:ind w:left="60"/>
              <w:spacing w:after="0"/>
              <w:rPr>
                <w:sz w:val="20"/>
                <w:szCs w:val="20"/>
                <w:color w:val="auto"/>
              </w:rPr>
            </w:pPr>
            <w:r>
              <w:rPr>
                <w:rFonts w:ascii="Arial" w:cs="Arial" w:eastAsia="Arial" w:hAnsi="Arial"/>
                <w:sz w:val="18"/>
                <w:szCs w:val="18"/>
                <w:color w:val="auto"/>
              </w:rPr>
              <w:t>Letter of Credit Amounts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7660" w:type="dxa"/>
            <w:vAlign w:val="bottom"/>
          </w:tcPr>
          <w:p>
            <w:pPr>
              <w:ind w:left="60"/>
              <w:spacing w:after="0"/>
              <w:rPr>
                <w:sz w:val="20"/>
                <w:szCs w:val="20"/>
                <w:color w:val="auto"/>
              </w:rPr>
            </w:pPr>
            <w:r>
              <w:rPr>
                <w:rFonts w:ascii="Arial" w:cs="Arial" w:eastAsia="Arial" w:hAnsi="Arial"/>
                <w:sz w:val="18"/>
                <w:szCs w:val="18"/>
                <w:color w:val="auto"/>
              </w:rPr>
              <w:t>Interest Rates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7660" w:type="dxa"/>
            <w:vAlign w:val="bottom"/>
          </w:tcPr>
          <w:p>
            <w:pPr>
              <w:ind w:left="280"/>
              <w:spacing w:after="0"/>
              <w:rPr>
                <w:sz w:val="20"/>
                <w:szCs w:val="20"/>
                <w:color w:val="auto"/>
              </w:rPr>
            </w:pPr>
            <w:r>
              <w:rPr>
                <w:rFonts w:ascii="Arial" w:cs="Arial" w:eastAsia="Arial" w:hAnsi="Arial"/>
                <w:sz w:val="18"/>
                <w:szCs w:val="18"/>
                <w:color w:val="auto"/>
              </w:rPr>
              <w:t>THE COMMITMENTS AND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7660" w:type="dxa"/>
            <w:vAlign w:val="bottom"/>
          </w:tcPr>
          <w:p>
            <w:pPr>
              <w:ind w:left="60"/>
              <w:spacing w:after="0"/>
              <w:rPr>
                <w:sz w:val="20"/>
                <w:szCs w:val="20"/>
                <w:color w:val="auto"/>
              </w:rPr>
            </w:pPr>
            <w:r>
              <w:rPr>
                <w:rFonts w:ascii="Arial" w:cs="Arial" w:eastAsia="Arial" w:hAnsi="Arial"/>
                <w:sz w:val="18"/>
                <w:szCs w:val="18"/>
                <w:color w:val="auto"/>
              </w:rPr>
              <w:t>Committed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7660" w:type="dxa"/>
            <w:vAlign w:val="bottom"/>
          </w:tcPr>
          <w:p>
            <w:pPr>
              <w:ind w:left="60"/>
              <w:spacing w:after="0"/>
              <w:rPr>
                <w:sz w:val="20"/>
                <w:szCs w:val="20"/>
                <w:color w:val="auto"/>
              </w:rPr>
            </w:pPr>
            <w:r>
              <w:rPr>
                <w:rFonts w:ascii="Arial" w:cs="Arial" w:eastAsia="Arial" w:hAnsi="Arial"/>
                <w:sz w:val="18"/>
                <w:szCs w:val="18"/>
                <w:color w:val="auto"/>
              </w:rPr>
              <w:t>Borrowings, Conversions and Continuations of Committed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766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7660" w:type="dxa"/>
            <w:vAlign w:val="bottom"/>
          </w:tcPr>
          <w:p>
            <w:pPr>
              <w:ind w:left="60"/>
              <w:spacing w:after="0"/>
              <w:rPr>
                <w:sz w:val="20"/>
                <w:szCs w:val="20"/>
                <w:color w:val="auto"/>
              </w:rPr>
            </w:pPr>
            <w:r>
              <w:rPr>
                <w:rFonts w:ascii="Arial" w:cs="Arial" w:eastAsia="Arial" w:hAnsi="Arial"/>
                <w:sz w:val="18"/>
                <w:szCs w:val="18"/>
                <w:color w:val="auto"/>
              </w:rPr>
              <w:t>Swing Line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7660" w:type="dxa"/>
            <w:vAlign w:val="bottom"/>
          </w:tcPr>
          <w:p>
            <w:pPr>
              <w:ind w:left="60"/>
              <w:spacing w:after="0"/>
              <w:rPr>
                <w:sz w:val="20"/>
                <w:szCs w:val="20"/>
                <w:color w:val="auto"/>
              </w:rPr>
            </w:pPr>
            <w:r>
              <w:rPr>
                <w:rFonts w:ascii="Arial" w:cs="Arial" w:eastAsia="Arial" w:hAnsi="Arial"/>
                <w:sz w:val="18"/>
                <w:szCs w:val="18"/>
                <w:color w:val="auto"/>
              </w:rPr>
              <w:t>Prepayments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7660" w:type="dxa"/>
            <w:vAlign w:val="bottom"/>
          </w:tcPr>
          <w:p>
            <w:pPr>
              <w:ind w:left="60"/>
              <w:spacing w:after="0"/>
              <w:rPr>
                <w:sz w:val="20"/>
                <w:szCs w:val="20"/>
                <w:color w:val="auto"/>
              </w:rPr>
            </w:pPr>
            <w:r>
              <w:rPr>
                <w:rFonts w:ascii="Arial" w:cs="Arial" w:eastAsia="Arial" w:hAnsi="Arial"/>
                <w:sz w:val="18"/>
                <w:szCs w:val="18"/>
                <w:color w:val="auto"/>
              </w:rPr>
              <w:t>Termination or Reduction of Commitments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7660" w:type="dxa"/>
            <w:vAlign w:val="bottom"/>
          </w:tcPr>
          <w:p>
            <w:pPr>
              <w:ind w:left="60"/>
              <w:spacing w:after="0"/>
              <w:rPr>
                <w:sz w:val="20"/>
                <w:szCs w:val="20"/>
                <w:color w:val="auto"/>
              </w:rPr>
            </w:pPr>
            <w:r>
              <w:rPr>
                <w:rFonts w:ascii="Arial" w:cs="Arial" w:eastAsia="Arial" w:hAnsi="Arial"/>
                <w:sz w:val="18"/>
                <w:szCs w:val="18"/>
                <w:color w:val="auto"/>
              </w:rPr>
              <w:t>Repayment of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2.08</w:t>
            </w:r>
          </w:p>
        </w:tc>
        <w:tc>
          <w:tcPr>
            <w:tcW w:w="7660" w:type="dxa"/>
            <w:vAlign w:val="bottom"/>
          </w:tcPr>
          <w:p>
            <w:pPr>
              <w:ind w:left="60"/>
              <w:spacing w:after="0"/>
              <w:rPr>
                <w:sz w:val="20"/>
                <w:szCs w:val="20"/>
                <w:color w:val="auto"/>
              </w:rPr>
            </w:pPr>
            <w:r>
              <w:rPr>
                <w:rFonts w:ascii="Arial" w:cs="Arial" w:eastAsia="Arial" w:hAnsi="Arial"/>
                <w:sz w:val="18"/>
                <w:szCs w:val="18"/>
                <w:color w:val="auto"/>
              </w:rPr>
              <w:t>Interest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7660" w:type="dxa"/>
            <w:vAlign w:val="bottom"/>
          </w:tcPr>
          <w:p>
            <w:pPr>
              <w:ind w:left="60"/>
              <w:spacing w:after="0"/>
              <w:rPr>
                <w:sz w:val="20"/>
                <w:szCs w:val="20"/>
                <w:color w:val="auto"/>
              </w:rPr>
            </w:pPr>
            <w:r>
              <w:rPr>
                <w:rFonts w:ascii="Arial" w:cs="Arial" w:eastAsia="Arial" w:hAnsi="Arial"/>
                <w:sz w:val="18"/>
                <w:szCs w:val="18"/>
                <w:color w:val="auto"/>
              </w:rPr>
              <w:t>Fees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7660" w:type="dxa"/>
            <w:vAlign w:val="bottom"/>
          </w:tcPr>
          <w:p>
            <w:pPr>
              <w:ind w:left="60"/>
              <w:spacing w:after="0"/>
              <w:rPr>
                <w:sz w:val="20"/>
                <w:szCs w:val="20"/>
                <w:color w:val="auto"/>
              </w:rPr>
            </w:pPr>
            <w:r>
              <w:rPr>
                <w:rFonts w:ascii="Arial" w:cs="Arial" w:eastAsia="Arial" w:hAnsi="Arial"/>
                <w:sz w:val="18"/>
                <w:szCs w:val="18"/>
                <w:color w:val="auto"/>
              </w:rPr>
              <w:t>Computation of Interest and Fees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7660" w:type="dxa"/>
            <w:vAlign w:val="bottom"/>
          </w:tcPr>
          <w:p>
            <w:pPr>
              <w:ind w:left="60"/>
              <w:spacing w:after="0"/>
              <w:rPr>
                <w:sz w:val="20"/>
                <w:szCs w:val="20"/>
                <w:color w:val="auto"/>
              </w:rPr>
            </w:pPr>
            <w:r>
              <w:rPr>
                <w:rFonts w:ascii="Arial" w:cs="Arial" w:eastAsia="Arial" w:hAnsi="Arial"/>
                <w:sz w:val="18"/>
                <w:szCs w:val="18"/>
                <w:color w:val="auto"/>
              </w:rPr>
              <w:t>Evidence of Debt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7660" w:type="dxa"/>
            <w:vAlign w:val="bottom"/>
          </w:tcPr>
          <w:p>
            <w:pPr>
              <w:ind w:left="60"/>
              <w:spacing w:after="0"/>
              <w:rPr>
                <w:sz w:val="20"/>
                <w:szCs w:val="20"/>
                <w:color w:val="auto"/>
              </w:rPr>
            </w:pPr>
            <w:r>
              <w:rPr>
                <w:rFonts w:ascii="Arial" w:cs="Arial" w:eastAsia="Arial" w:hAnsi="Arial"/>
                <w:sz w:val="18"/>
                <w:szCs w:val="18"/>
                <w:color w:val="auto"/>
              </w:rPr>
              <w:t>Payments Generally; Administrative Agent’s Clawback</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7660" w:type="dxa"/>
            <w:vAlign w:val="bottom"/>
          </w:tcPr>
          <w:p>
            <w:pPr>
              <w:ind w:left="60"/>
              <w:spacing w:after="0"/>
              <w:rPr>
                <w:sz w:val="20"/>
                <w:szCs w:val="20"/>
                <w:color w:val="auto"/>
              </w:rPr>
            </w:pPr>
            <w:r>
              <w:rPr>
                <w:rFonts w:ascii="Arial" w:cs="Arial" w:eastAsia="Arial" w:hAnsi="Arial"/>
                <w:sz w:val="18"/>
                <w:szCs w:val="18"/>
                <w:color w:val="auto"/>
              </w:rPr>
              <w:t>Sharing of Payments by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7660" w:type="dxa"/>
            <w:vAlign w:val="bottom"/>
          </w:tcPr>
          <w:p>
            <w:pPr>
              <w:ind w:left="60"/>
              <w:spacing w:after="0"/>
              <w:rPr>
                <w:sz w:val="20"/>
                <w:szCs w:val="20"/>
                <w:color w:val="auto"/>
              </w:rPr>
            </w:pPr>
            <w:r>
              <w:rPr>
                <w:rFonts w:ascii="Arial" w:cs="Arial" w:eastAsia="Arial" w:hAnsi="Arial"/>
                <w:sz w:val="18"/>
                <w:szCs w:val="18"/>
                <w:color w:val="auto"/>
              </w:rPr>
              <w:t>Extension of Maturity Date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7660" w:type="dxa"/>
            <w:vAlign w:val="bottom"/>
          </w:tcPr>
          <w:p>
            <w:pPr>
              <w:ind w:left="60"/>
              <w:spacing w:after="0"/>
              <w:rPr>
                <w:sz w:val="20"/>
                <w:szCs w:val="20"/>
                <w:color w:val="auto"/>
              </w:rPr>
            </w:pPr>
            <w:r>
              <w:rPr>
                <w:rFonts w:ascii="Arial" w:cs="Arial" w:eastAsia="Arial" w:hAnsi="Arial"/>
                <w:sz w:val="18"/>
                <w:szCs w:val="18"/>
                <w:color w:val="auto"/>
              </w:rPr>
              <w:t>Increase in Commitments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7660" w:type="dxa"/>
            <w:vAlign w:val="bottom"/>
          </w:tcPr>
          <w:p>
            <w:pPr>
              <w:ind w:left="60"/>
              <w:spacing w:after="0"/>
              <w:rPr>
                <w:sz w:val="20"/>
                <w:szCs w:val="20"/>
                <w:color w:val="auto"/>
              </w:rPr>
            </w:pPr>
            <w:r>
              <w:rPr>
                <w:rFonts w:ascii="Arial" w:cs="Arial" w:eastAsia="Arial" w:hAnsi="Arial"/>
                <w:sz w:val="18"/>
                <w:szCs w:val="18"/>
                <w:color w:val="auto"/>
              </w:rPr>
              <w:t>Cash Collateral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7660" w:type="dxa"/>
            <w:vAlign w:val="bottom"/>
          </w:tcPr>
          <w:p>
            <w:pPr>
              <w:ind w:left="60"/>
              <w:spacing w:after="0"/>
              <w:rPr>
                <w:sz w:val="20"/>
                <w:szCs w:val="20"/>
                <w:color w:val="auto"/>
              </w:rPr>
            </w:pPr>
            <w:r>
              <w:rPr>
                <w:rFonts w:ascii="Arial" w:cs="Arial" w:eastAsia="Arial" w:hAnsi="Arial"/>
                <w:sz w:val="18"/>
                <w:szCs w:val="18"/>
                <w:color w:val="auto"/>
              </w:rPr>
              <w:t>Defaulting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ARTICLE III.</w:t>
            </w:r>
          </w:p>
        </w:tc>
        <w:tc>
          <w:tcPr>
            <w:tcW w:w="7660" w:type="dxa"/>
            <w:vAlign w:val="bottom"/>
          </w:tcPr>
          <w:p>
            <w:pPr>
              <w:ind w:left="280"/>
              <w:spacing w:after="0"/>
              <w:rPr>
                <w:sz w:val="20"/>
                <w:szCs w:val="20"/>
                <w:color w:val="auto"/>
              </w:rPr>
            </w:pPr>
            <w:r>
              <w:rPr>
                <w:rFonts w:ascii="Arial" w:cs="Arial" w:eastAsia="Arial" w:hAnsi="Arial"/>
                <w:sz w:val="18"/>
                <w:szCs w:val="18"/>
                <w:color w:val="auto"/>
              </w:rPr>
              <w:t>TAXES, YIELD PROTECTION AND ILLEGALITY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4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7660" w:type="dxa"/>
            <w:vAlign w:val="bottom"/>
          </w:tcPr>
          <w:p>
            <w:pPr>
              <w:ind w:left="60"/>
              <w:spacing w:after="0"/>
              <w:rPr>
                <w:sz w:val="20"/>
                <w:szCs w:val="20"/>
                <w:color w:val="auto"/>
              </w:rPr>
            </w:pPr>
            <w:r>
              <w:rPr>
                <w:rFonts w:ascii="Arial" w:cs="Arial" w:eastAsia="Arial" w:hAnsi="Arial"/>
                <w:sz w:val="18"/>
                <w:szCs w:val="18"/>
                <w:color w:val="auto"/>
              </w:rPr>
              <w:t>Taxes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766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7660" w:type="dxa"/>
            <w:vAlign w:val="bottom"/>
          </w:tcPr>
          <w:p>
            <w:pPr>
              <w:ind w:left="60"/>
              <w:spacing w:after="0"/>
              <w:rPr>
                <w:sz w:val="20"/>
                <w:szCs w:val="20"/>
                <w:color w:val="auto"/>
              </w:rPr>
            </w:pPr>
            <w:r>
              <w:rPr>
                <w:rFonts w:ascii="Arial" w:cs="Arial" w:eastAsia="Arial" w:hAnsi="Arial"/>
                <w:sz w:val="18"/>
                <w:szCs w:val="18"/>
                <w:color w:val="auto"/>
              </w:rPr>
              <w:t>Inability to Determine Rates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7660" w:type="dxa"/>
            <w:vAlign w:val="bottom"/>
          </w:tcPr>
          <w:p>
            <w:pPr>
              <w:ind w:left="60"/>
              <w:spacing w:after="0"/>
              <w:rPr>
                <w:sz w:val="20"/>
                <w:szCs w:val="20"/>
                <w:color w:val="auto"/>
              </w:rPr>
            </w:pPr>
            <w:r>
              <w:rPr>
                <w:rFonts w:ascii="Arial" w:cs="Arial" w:eastAsia="Arial" w:hAnsi="Arial"/>
                <w:sz w:val="18"/>
                <w:szCs w:val="18"/>
                <w:color w:val="auto"/>
              </w:rPr>
              <w:t>Increased Costs; Reserves on Eurocurrency Rate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7660" w:type="dxa"/>
            <w:vAlign w:val="bottom"/>
          </w:tcPr>
          <w:p>
            <w:pPr>
              <w:ind w:left="60"/>
              <w:spacing w:after="0"/>
              <w:rPr>
                <w:sz w:val="20"/>
                <w:szCs w:val="20"/>
                <w:color w:val="auto"/>
              </w:rPr>
            </w:pPr>
            <w:r>
              <w:rPr>
                <w:rFonts w:ascii="Arial" w:cs="Arial" w:eastAsia="Arial" w:hAnsi="Arial"/>
                <w:sz w:val="18"/>
                <w:szCs w:val="18"/>
                <w:color w:val="auto"/>
              </w:rPr>
              <w:t>Compensation for Losses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7660" w:type="dxa"/>
            <w:vAlign w:val="bottom"/>
          </w:tcPr>
          <w:p>
            <w:pPr>
              <w:ind w:left="60"/>
              <w:spacing w:after="0"/>
              <w:rPr>
                <w:sz w:val="20"/>
                <w:szCs w:val="20"/>
                <w:color w:val="auto"/>
              </w:rPr>
            </w:pPr>
            <w:r>
              <w:rPr>
                <w:rFonts w:ascii="Arial" w:cs="Arial" w:eastAsia="Arial" w:hAnsi="Arial"/>
                <w:sz w:val="18"/>
                <w:szCs w:val="18"/>
                <w:color w:val="auto"/>
              </w:rPr>
              <w:t>Mitigation Obligations; Replacement of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7660" w:type="dxa"/>
            <w:vAlign w:val="bottom"/>
          </w:tcPr>
          <w:p>
            <w:pPr>
              <w:ind w:left="60"/>
              <w:spacing w:after="0"/>
              <w:rPr>
                <w:sz w:val="20"/>
                <w:szCs w:val="20"/>
                <w:color w:val="auto"/>
              </w:rPr>
            </w:pPr>
            <w:r>
              <w:rPr>
                <w:rFonts w:ascii="Arial" w:cs="Arial" w:eastAsia="Arial" w:hAnsi="Arial"/>
                <w:sz w:val="18"/>
                <w:szCs w:val="18"/>
                <w:color w:val="auto"/>
              </w:rPr>
              <w:t>Survival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ARTICLE IV.</w:t>
            </w:r>
          </w:p>
        </w:tc>
        <w:tc>
          <w:tcPr>
            <w:tcW w:w="7660" w:type="dxa"/>
            <w:vAlign w:val="bottom"/>
          </w:tcPr>
          <w:p>
            <w:pPr>
              <w:ind w:left="280"/>
              <w:spacing w:after="0"/>
              <w:rPr>
                <w:sz w:val="20"/>
                <w:szCs w:val="20"/>
                <w:color w:val="auto"/>
              </w:rPr>
            </w:pPr>
            <w:r>
              <w:rPr>
                <w:rFonts w:ascii="Arial" w:cs="Arial" w:eastAsia="Arial" w:hAnsi="Arial"/>
                <w:sz w:val="18"/>
                <w:szCs w:val="18"/>
                <w:color w:val="auto"/>
              </w:rPr>
              <w:t>CONDITIONS PRECEDENT TO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4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7660" w:type="dxa"/>
            <w:vAlign w:val="bottom"/>
          </w:tcPr>
          <w:p>
            <w:pPr>
              <w:ind w:left="60"/>
              <w:spacing w:after="0"/>
              <w:rPr>
                <w:sz w:val="20"/>
                <w:szCs w:val="20"/>
                <w:color w:val="auto"/>
              </w:rPr>
            </w:pPr>
            <w:r>
              <w:rPr>
                <w:rFonts w:ascii="Arial" w:cs="Arial" w:eastAsia="Arial" w:hAnsi="Arial"/>
                <w:sz w:val="18"/>
                <w:szCs w:val="18"/>
                <w:color w:val="auto"/>
              </w:rPr>
              <w:t>Conditions Precedent to Initial Credit Extension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7660" w:type="dxa"/>
            <w:vAlign w:val="bottom"/>
          </w:tcPr>
          <w:p>
            <w:pPr>
              <w:ind w:left="60"/>
              <w:spacing w:after="0"/>
              <w:rPr>
                <w:sz w:val="20"/>
                <w:szCs w:val="20"/>
                <w:color w:val="auto"/>
              </w:rPr>
            </w:pPr>
            <w:r>
              <w:rPr>
                <w:rFonts w:ascii="Arial" w:cs="Arial" w:eastAsia="Arial" w:hAnsi="Arial"/>
                <w:sz w:val="18"/>
                <w:szCs w:val="18"/>
                <w:color w:val="auto"/>
              </w:rPr>
              <w:t>Conditions to all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V.</w:t>
            </w:r>
          </w:p>
        </w:tc>
        <w:tc>
          <w:tcPr>
            <w:tcW w:w="8160" w:type="dxa"/>
            <w:vAlign w:val="bottom"/>
          </w:tcPr>
          <w:p>
            <w:pPr>
              <w:ind w:left="280"/>
              <w:spacing w:after="0"/>
              <w:rPr>
                <w:sz w:val="20"/>
                <w:szCs w:val="20"/>
                <w:color w:val="auto"/>
              </w:rPr>
            </w:pPr>
            <w:r>
              <w:rPr>
                <w:rFonts w:ascii="Arial" w:cs="Arial" w:eastAsia="Arial" w:hAnsi="Arial"/>
                <w:sz w:val="18"/>
                <w:szCs w:val="18"/>
                <w:color w:val="auto"/>
              </w:rPr>
              <w:t>REPRESENTATIONS AND WARRANTIES</w:t>
            </w:r>
          </w:p>
        </w:tc>
        <w:tc>
          <w:tcPr>
            <w:tcW w:w="1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8"/>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5.01</w:t>
            </w:r>
          </w:p>
        </w:tc>
        <w:tc>
          <w:tcPr>
            <w:tcW w:w="8160" w:type="dxa"/>
            <w:vAlign w:val="bottom"/>
          </w:tcPr>
          <w:p>
            <w:pPr>
              <w:ind w:left="60"/>
              <w:spacing w:after="0"/>
              <w:rPr>
                <w:sz w:val="20"/>
                <w:szCs w:val="20"/>
                <w:color w:val="auto"/>
              </w:rPr>
            </w:pPr>
            <w:r>
              <w:rPr>
                <w:rFonts w:ascii="Arial" w:cs="Arial" w:eastAsia="Arial" w:hAnsi="Arial"/>
                <w:sz w:val="18"/>
                <w:szCs w:val="18"/>
                <w:color w:val="auto"/>
              </w:rPr>
              <w:t>Existence, Qualification and Power</w:t>
            </w:r>
          </w:p>
        </w:tc>
        <w:tc>
          <w:tcPr>
            <w:tcW w:w="1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5.02</w:t>
            </w:r>
          </w:p>
        </w:tc>
        <w:tc>
          <w:tcPr>
            <w:tcW w:w="8160" w:type="dxa"/>
            <w:vAlign w:val="bottom"/>
          </w:tcPr>
          <w:p>
            <w:pPr>
              <w:ind w:left="60"/>
              <w:spacing w:after="0"/>
              <w:rPr>
                <w:sz w:val="20"/>
                <w:szCs w:val="20"/>
                <w:color w:val="auto"/>
              </w:rPr>
            </w:pPr>
            <w:r>
              <w:rPr>
                <w:rFonts w:ascii="Arial" w:cs="Arial" w:eastAsia="Arial" w:hAnsi="Arial"/>
                <w:sz w:val="18"/>
                <w:szCs w:val="18"/>
                <w:color w:val="auto"/>
              </w:rPr>
              <w:t>Authorization; No Contravention</w:t>
            </w: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5.03</w:t>
            </w:r>
          </w:p>
        </w:tc>
        <w:tc>
          <w:tcPr>
            <w:tcW w:w="8160" w:type="dxa"/>
            <w:vAlign w:val="bottom"/>
          </w:tcPr>
          <w:p>
            <w:pPr>
              <w:ind w:left="60"/>
              <w:spacing w:after="0"/>
              <w:rPr>
                <w:sz w:val="20"/>
                <w:szCs w:val="20"/>
                <w:color w:val="auto"/>
              </w:rPr>
            </w:pPr>
            <w:r>
              <w:rPr>
                <w:rFonts w:ascii="Arial" w:cs="Arial" w:eastAsia="Arial" w:hAnsi="Arial"/>
                <w:sz w:val="18"/>
                <w:szCs w:val="18"/>
                <w:color w:val="auto"/>
              </w:rPr>
              <w:t>Governmental Authorization; Other Consents</w:t>
            </w: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5.04</w:t>
            </w:r>
          </w:p>
        </w:tc>
        <w:tc>
          <w:tcPr>
            <w:tcW w:w="8160" w:type="dxa"/>
            <w:vAlign w:val="bottom"/>
          </w:tcPr>
          <w:p>
            <w:pPr>
              <w:ind w:left="60"/>
              <w:spacing w:after="0"/>
              <w:rPr>
                <w:sz w:val="20"/>
                <w:szCs w:val="20"/>
                <w:color w:val="auto"/>
              </w:rPr>
            </w:pPr>
            <w:r>
              <w:rPr>
                <w:rFonts w:ascii="Arial" w:cs="Arial" w:eastAsia="Arial" w:hAnsi="Arial"/>
                <w:sz w:val="18"/>
                <w:szCs w:val="18"/>
                <w:color w:val="auto"/>
              </w:rPr>
              <w:t>Binding Effect</w:t>
            </w: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5.05</w:t>
            </w:r>
          </w:p>
        </w:tc>
        <w:tc>
          <w:tcPr>
            <w:tcW w:w="8160" w:type="dxa"/>
            <w:vAlign w:val="bottom"/>
          </w:tcPr>
          <w:p>
            <w:pPr>
              <w:ind w:left="60"/>
              <w:spacing w:after="0"/>
              <w:rPr>
                <w:sz w:val="20"/>
                <w:szCs w:val="20"/>
                <w:color w:val="auto"/>
              </w:rPr>
            </w:pPr>
            <w:r>
              <w:rPr>
                <w:rFonts w:ascii="Arial" w:cs="Arial" w:eastAsia="Arial" w:hAnsi="Arial"/>
                <w:sz w:val="18"/>
                <w:szCs w:val="18"/>
                <w:color w:val="auto"/>
              </w:rPr>
              <w:t>Financial Statements; No Material Adverse Effect</w:t>
            </w: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5.06</w:t>
            </w:r>
          </w:p>
        </w:tc>
        <w:tc>
          <w:tcPr>
            <w:tcW w:w="816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5.07</w:t>
            </w:r>
          </w:p>
        </w:tc>
        <w:tc>
          <w:tcPr>
            <w:tcW w:w="8160" w:type="dxa"/>
            <w:vAlign w:val="bottom"/>
          </w:tcPr>
          <w:p>
            <w:pPr>
              <w:ind w:left="60"/>
              <w:spacing w:after="0"/>
              <w:rPr>
                <w:sz w:val="20"/>
                <w:szCs w:val="20"/>
                <w:color w:val="auto"/>
              </w:rPr>
            </w:pPr>
            <w:r>
              <w:rPr>
                <w:rFonts w:ascii="Arial" w:cs="Arial" w:eastAsia="Arial" w:hAnsi="Arial"/>
                <w:sz w:val="18"/>
                <w:szCs w:val="18"/>
                <w:color w:val="auto"/>
              </w:rPr>
              <w:t>Ownership of Property; Liens; Receivables</w:t>
            </w: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5.08</w:t>
            </w:r>
          </w:p>
        </w:tc>
        <w:tc>
          <w:tcPr>
            <w:tcW w:w="8160" w:type="dxa"/>
            <w:vAlign w:val="bottom"/>
          </w:tcPr>
          <w:p>
            <w:pPr>
              <w:ind w:left="60"/>
              <w:spacing w:after="0"/>
              <w:rPr>
                <w:sz w:val="20"/>
                <w:szCs w:val="20"/>
                <w:color w:val="auto"/>
              </w:rPr>
            </w:pPr>
            <w:r>
              <w:rPr>
                <w:rFonts w:ascii="Arial" w:cs="Arial" w:eastAsia="Arial" w:hAnsi="Arial"/>
                <w:sz w:val="18"/>
                <w:szCs w:val="18"/>
                <w:color w:val="auto"/>
              </w:rPr>
              <w:t>Environmental Compliance</w:t>
            </w: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5.09</w:t>
            </w:r>
          </w:p>
        </w:tc>
        <w:tc>
          <w:tcPr>
            <w:tcW w:w="8160" w:type="dxa"/>
            <w:vAlign w:val="bottom"/>
          </w:tcPr>
          <w:p>
            <w:pPr>
              <w:ind w:left="60"/>
              <w:spacing w:after="0"/>
              <w:rPr>
                <w:sz w:val="20"/>
                <w:szCs w:val="20"/>
                <w:color w:val="auto"/>
              </w:rPr>
            </w:pPr>
            <w:r>
              <w:rPr>
                <w:rFonts w:ascii="Arial" w:cs="Arial" w:eastAsia="Arial" w:hAnsi="Arial"/>
                <w:sz w:val="18"/>
                <w:szCs w:val="18"/>
                <w:color w:val="auto"/>
              </w:rPr>
              <w:t>ERISA Compliance</w:t>
            </w: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5.10</w:t>
            </w:r>
          </w:p>
        </w:tc>
        <w:tc>
          <w:tcPr>
            <w:tcW w:w="8160" w:type="dxa"/>
            <w:vAlign w:val="bottom"/>
          </w:tcPr>
          <w:p>
            <w:pPr>
              <w:ind w:left="60"/>
              <w:spacing w:after="0"/>
              <w:rPr>
                <w:sz w:val="20"/>
                <w:szCs w:val="20"/>
                <w:color w:val="auto"/>
              </w:rPr>
            </w:pPr>
            <w:r>
              <w:rPr>
                <w:rFonts w:ascii="Arial" w:cs="Arial" w:eastAsia="Arial" w:hAnsi="Arial"/>
                <w:sz w:val="18"/>
                <w:szCs w:val="18"/>
                <w:color w:val="auto"/>
              </w:rPr>
              <w:t>Margin Regulations; Investment Company Act</w:t>
            </w:r>
          </w:p>
        </w:tc>
        <w:tc>
          <w:tcPr>
            <w:tcW w:w="1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5.11</w:t>
            </w:r>
          </w:p>
        </w:tc>
        <w:tc>
          <w:tcPr>
            <w:tcW w:w="8160" w:type="dxa"/>
            <w:vAlign w:val="bottom"/>
          </w:tcPr>
          <w:p>
            <w:pPr>
              <w:ind w:left="60"/>
              <w:spacing w:after="0"/>
              <w:rPr>
                <w:sz w:val="20"/>
                <w:szCs w:val="20"/>
                <w:color w:val="auto"/>
              </w:rPr>
            </w:pPr>
            <w:r>
              <w:rPr>
                <w:rFonts w:ascii="Arial" w:cs="Arial" w:eastAsia="Arial" w:hAnsi="Arial"/>
                <w:sz w:val="18"/>
                <w:szCs w:val="18"/>
                <w:color w:val="auto"/>
              </w:rPr>
              <w:t>Disclosure</w:t>
            </w:r>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5.12</w:t>
            </w:r>
          </w:p>
        </w:tc>
        <w:tc>
          <w:tcPr>
            <w:tcW w:w="816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5.13</w:t>
            </w:r>
          </w:p>
        </w:tc>
        <w:tc>
          <w:tcPr>
            <w:tcW w:w="8160" w:type="dxa"/>
            <w:vAlign w:val="bottom"/>
          </w:tcPr>
          <w:p>
            <w:pPr>
              <w:ind w:left="60"/>
              <w:spacing w:after="0"/>
              <w:rPr>
                <w:sz w:val="20"/>
                <w:szCs w:val="20"/>
                <w:color w:val="auto"/>
              </w:rPr>
            </w:pPr>
            <w:r>
              <w:rPr>
                <w:rFonts w:ascii="Arial" w:cs="Arial" w:eastAsia="Arial" w:hAnsi="Arial"/>
                <w:sz w:val="18"/>
                <w:szCs w:val="18"/>
                <w:color w:val="auto"/>
              </w:rPr>
              <w:t>Collateral Documents</w:t>
            </w:r>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5.14</w:t>
            </w:r>
          </w:p>
        </w:tc>
        <w:tc>
          <w:tcPr>
            <w:tcW w:w="8160" w:type="dxa"/>
            <w:vAlign w:val="bottom"/>
          </w:tcPr>
          <w:p>
            <w:pPr>
              <w:ind w:left="60"/>
              <w:spacing w:after="0"/>
              <w:rPr>
                <w:sz w:val="20"/>
                <w:szCs w:val="20"/>
                <w:color w:val="auto"/>
              </w:rPr>
            </w:pPr>
            <w:r>
              <w:rPr>
                <w:rFonts w:ascii="Arial" w:cs="Arial" w:eastAsia="Arial" w:hAnsi="Arial"/>
                <w:sz w:val="18"/>
                <w:szCs w:val="18"/>
                <w:color w:val="auto"/>
              </w:rPr>
              <w:t>OFAC</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5.15</w:t>
            </w:r>
          </w:p>
        </w:tc>
        <w:tc>
          <w:tcPr>
            <w:tcW w:w="8160" w:type="dxa"/>
            <w:vAlign w:val="bottom"/>
          </w:tcPr>
          <w:p>
            <w:pPr>
              <w:ind w:left="60"/>
              <w:spacing w:after="0"/>
              <w:rPr>
                <w:sz w:val="20"/>
                <w:szCs w:val="20"/>
                <w:color w:val="auto"/>
              </w:rPr>
            </w:pPr>
            <w:r>
              <w:rPr>
                <w:rFonts w:ascii="Arial" w:cs="Arial" w:eastAsia="Arial" w:hAnsi="Arial"/>
                <w:sz w:val="18"/>
                <w:szCs w:val="18"/>
                <w:color w:val="auto"/>
              </w:rPr>
              <w:t>Anti-Corruption Laws</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5.16</w:t>
            </w:r>
          </w:p>
        </w:tc>
        <w:tc>
          <w:tcPr>
            <w:tcW w:w="8160" w:type="dxa"/>
            <w:vAlign w:val="bottom"/>
          </w:tcPr>
          <w:p>
            <w:pPr>
              <w:ind w:left="60"/>
              <w:spacing w:after="0"/>
              <w:rPr>
                <w:sz w:val="20"/>
                <w:szCs w:val="20"/>
                <w:color w:val="auto"/>
              </w:rPr>
            </w:pPr>
            <w:r>
              <w:rPr>
                <w:rFonts w:ascii="Arial" w:cs="Arial" w:eastAsia="Arial" w:hAnsi="Arial"/>
                <w:sz w:val="18"/>
                <w:szCs w:val="18"/>
                <w:color w:val="auto"/>
              </w:rPr>
              <w:t>Affected Financial Institution</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VI.</w:t>
            </w:r>
          </w:p>
        </w:tc>
        <w:tc>
          <w:tcPr>
            <w:tcW w:w="8160" w:type="dxa"/>
            <w:vAlign w:val="bottom"/>
          </w:tcPr>
          <w:p>
            <w:pPr>
              <w:ind w:left="280"/>
              <w:spacing w:after="0"/>
              <w:rPr>
                <w:sz w:val="20"/>
                <w:szCs w:val="20"/>
                <w:color w:val="auto"/>
              </w:rPr>
            </w:pPr>
            <w:r>
              <w:rPr>
                <w:rFonts w:ascii="Arial" w:cs="Arial" w:eastAsia="Arial" w:hAnsi="Arial"/>
                <w:sz w:val="18"/>
                <w:szCs w:val="18"/>
                <w:color w:val="auto"/>
              </w:rPr>
              <w:t>AFFIRMATIVE COVENANTS</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8"/>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6.01</w:t>
            </w:r>
          </w:p>
        </w:tc>
        <w:tc>
          <w:tcPr>
            <w:tcW w:w="816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6.02</w:t>
            </w:r>
          </w:p>
        </w:tc>
        <w:tc>
          <w:tcPr>
            <w:tcW w:w="8160" w:type="dxa"/>
            <w:vAlign w:val="bottom"/>
          </w:tcPr>
          <w:p>
            <w:pPr>
              <w:ind w:left="60"/>
              <w:spacing w:after="0"/>
              <w:rPr>
                <w:sz w:val="20"/>
                <w:szCs w:val="20"/>
                <w:color w:val="auto"/>
              </w:rPr>
            </w:pPr>
            <w:r>
              <w:rPr>
                <w:rFonts w:ascii="Arial" w:cs="Arial" w:eastAsia="Arial" w:hAnsi="Arial"/>
                <w:sz w:val="18"/>
                <w:szCs w:val="18"/>
                <w:color w:val="auto"/>
              </w:rPr>
              <w:t>Certificates; Other Information</w:t>
            </w:r>
          </w:p>
        </w:tc>
        <w:tc>
          <w:tcPr>
            <w:tcW w:w="18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6.03</w:t>
            </w:r>
          </w:p>
        </w:tc>
        <w:tc>
          <w:tcPr>
            <w:tcW w:w="8160" w:type="dxa"/>
            <w:vAlign w:val="bottom"/>
          </w:tcPr>
          <w:p>
            <w:pPr>
              <w:ind w:left="60"/>
              <w:spacing w:after="0"/>
              <w:rPr>
                <w:sz w:val="20"/>
                <w:szCs w:val="20"/>
                <w:color w:val="auto"/>
              </w:rPr>
            </w:pPr>
            <w:r>
              <w:rPr>
                <w:rFonts w:ascii="Arial" w:cs="Arial" w:eastAsia="Arial" w:hAnsi="Arial"/>
                <w:sz w:val="18"/>
                <w:szCs w:val="18"/>
                <w:color w:val="auto"/>
              </w:rPr>
              <w:t>Notices</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6.04</w:t>
            </w:r>
          </w:p>
        </w:tc>
        <w:tc>
          <w:tcPr>
            <w:tcW w:w="8160" w:type="dxa"/>
            <w:vAlign w:val="bottom"/>
          </w:tcPr>
          <w:p>
            <w:pPr>
              <w:ind w:left="60"/>
              <w:spacing w:after="0"/>
              <w:rPr>
                <w:sz w:val="20"/>
                <w:szCs w:val="20"/>
                <w:color w:val="auto"/>
              </w:rPr>
            </w:pPr>
            <w:r>
              <w:rPr>
                <w:rFonts w:ascii="Arial" w:cs="Arial" w:eastAsia="Arial" w:hAnsi="Arial"/>
                <w:sz w:val="18"/>
                <w:szCs w:val="18"/>
                <w:color w:val="auto"/>
              </w:rPr>
              <w:t>Payment of Taxes, Etc.</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6.05</w:t>
            </w:r>
          </w:p>
        </w:tc>
        <w:tc>
          <w:tcPr>
            <w:tcW w:w="8160" w:type="dxa"/>
            <w:vAlign w:val="bottom"/>
          </w:tcPr>
          <w:p>
            <w:pPr>
              <w:ind w:left="60"/>
              <w:spacing w:after="0"/>
              <w:rPr>
                <w:sz w:val="20"/>
                <w:szCs w:val="20"/>
                <w:color w:val="auto"/>
              </w:rPr>
            </w:pPr>
            <w:r>
              <w:rPr>
                <w:rFonts w:ascii="Arial" w:cs="Arial" w:eastAsia="Arial" w:hAnsi="Arial"/>
                <w:sz w:val="18"/>
                <w:szCs w:val="18"/>
                <w:color w:val="auto"/>
              </w:rPr>
              <w:t>Preservation of Existence, Etc.</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6.06</w:t>
            </w:r>
          </w:p>
        </w:tc>
        <w:tc>
          <w:tcPr>
            <w:tcW w:w="8160" w:type="dxa"/>
            <w:vAlign w:val="bottom"/>
          </w:tcPr>
          <w:p>
            <w:pPr>
              <w:ind w:left="60"/>
              <w:spacing w:after="0"/>
              <w:rPr>
                <w:sz w:val="20"/>
                <w:szCs w:val="20"/>
                <w:color w:val="auto"/>
              </w:rPr>
            </w:pPr>
            <w:r>
              <w:rPr>
                <w:rFonts w:ascii="Arial" w:cs="Arial" w:eastAsia="Arial" w:hAnsi="Arial"/>
                <w:sz w:val="18"/>
                <w:szCs w:val="18"/>
                <w:color w:val="auto"/>
              </w:rPr>
              <w:t>Maintenance of Properties</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6.07</w:t>
            </w:r>
          </w:p>
        </w:tc>
        <w:tc>
          <w:tcPr>
            <w:tcW w:w="8160" w:type="dxa"/>
            <w:vAlign w:val="bottom"/>
          </w:tcPr>
          <w:p>
            <w:pPr>
              <w:ind w:left="60"/>
              <w:spacing w:after="0"/>
              <w:rPr>
                <w:sz w:val="20"/>
                <w:szCs w:val="20"/>
                <w:color w:val="auto"/>
              </w:rPr>
            </w:pPr>
            <w:r>
              <w:rPr>
                <w:rFonts w:ascii="Arial" w:cs="Arial" w:eastAsia="Arial" w:hAnsi="Arial"/>
                <w:sz w:val="18"/>
                <w:szCs w:val="18"/>
                <w:color w:val="auto"/>
              </w:rPr>
              <w:t>Maintenance of Insurance</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6.08</w:t>
            </w:r>
          </w:p>
        </w:tc>
        <w:tc>
          <w:tcPr>
            <w:tcW w:w="8160" w:type="dxa"/>
            <w:vAlign w:val="bottom"/>
          </w:tcPr>
          <w:p>
            <w:pPr>
              <w:ind w:left="60"/>
              <w:spacing w:after="0"/>
              <w:rPr>
                <w:sz w:val="20"/>
                <w:szCs w:val="20"/>
                <w:color w:val="auto"/>
              </w:rPr>
            </w:pPr>
            <w:r>
              <w:rPr>
                <w:rFonts w:ascii="Arial" w:cs="Arial" w:eastAsia="Arial" w:hAnsi="Arial"/>
                <w:sz w:val="18"/>
                <w:szCs w:val="18"/>
                <w:color w:val="auto"/>
              </w:rPr>
              <w:t>Compliance with Laws; Compliance with Contracts for Sale of Hedged Eligible Inventory</w:t>
            </w:r>
          </w:p>
        </w:tc>
        <w:tc>
          <w:tcPr>
            <w:tcW w:w="1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6.09</w:t>
            </w:r>
          </w:p>
        </w:tc>
        <w:tc>
          <w:tcPr>
            <w:tcW w:w="8160" w:type="dxa"/>
            <w:vAlign w:val="bottom"/>
          </w:tcPr>
          <w:p>
            <w:pPr>
              <w:ind w:left="60"/>
              <w:spacing w:after="0"/>
              <w:rPr>
                <w:sz w:val="20"/>
                <w:szCs w:val="20"/>
                <w:color w:val="auto"/>
              </w:rPr>
            </w:pPr>
            <w:r>
              <w:rPr>
                <w:rFonts w:ascii="Arial" w:cs="Arial" w:eastAsia="Arial" w:hAnsi="Arial"/>
                <w:sz w:val="18"/>
                <w:szCs w:val="18"/>
                <w:color w:val="auto"/>
              </w:rPr>
              <w:t>Books and Records</w:t>
            </w:r>
          </w:p>
        </w:tc>
        <w:tc>
          <w:tcPr>
            <w:tcW w:w="1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6.10</w:t>
            </w:r>
          </w:p>
        </w:tc>
        <w:tc>
          <w:tcPr>
            <w:tcW w:w="8160" w:type="dxa"/>
            <w:vAlign w:val="bottom"/>
          </w:tcPr>
          <w:p>
            <w:pPr>
              <w:ind w:left="60"/>
              <w:spacing w:after="0"/>
              <w:rPr>
                <w:sz w:val="20"/>
                <w:szCs w:val="20"/>
                <w:color w:val="auto"/>
              </w:rPr>
            </w:pPr>
            <w:r>
              <w:rPr>
                <w:rFonts w:ascii="Arial" w:cs="Arial" w:eastAsia="Arial" w:hAnsi="Arial"/>
                <w:sz w:val="18"/>
                <w:szCs w:val="18"/>
                <w:color w:val="auto"/>
              </w:rPr>
              <w:t>Inspection Rights</w:t>
            </w:r>
          </w:p>
        </w:tc>
        <w:tc>
          <w:tcPr>
            <w:tcW w:w="1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6.11</w:t>
            </w:r>
          </w:p>
        </w:tc>
        <w:tc>
          <w:tcPr>
            <w:tcW w:w="816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6.12</w:t>
            </w:r>
          </w:p>
        </w:tc>
        <w:tc>
          <w:tcPr>
            <w:tcW w:w="8160" w:type="dxa"/>
            <w:vAlign w:val="bottom"/>
          </w:tcPr>
          <w:p>
            <w:pPr>
              <w:ind w:left="60"/>
              <w:spacing w:after="0"/>
              <w:rPr>
                <w:sz w:val="20"/>
                <w:szCs w:val="20"/>
                <w:color w:val="auto"/>
              </w:rPr>
            </w:pPr>
            <w:r>
              <w:rPr>
                <w:rFonts w:ascii="Arial" w:cs="Arial" w:eastAsia="Arial" w:hAnsi="Arial"/>
                <w:sz w:val="18"/>
                <w:szCs w:val="18"/>
                <w:color w:val="auto"/>
              </w:rPr>
              <w:t>Covenant to Give Security</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6.13</w:t>
            </w:r>
          </w:p>
        </w:tc>
        <w:tc>
          <w:tcPr>
            <w:tcW w:w="816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VII.</w:t>
            </w:r>
          </w:p>
        </w:tc>
        <w:tc>
          <w:tcPr>
            <w:tcW w:w="8160" w:type="dxa"/>
            <w:vAlign w:val="bottom"/>
          </w:tcPr>
          <w:p>
            <w:pPr>
              <w:ind w:left="280"/>
              <w:spacing w:after="0"/>
              <w:rPr>
                <w:sz w:val="20"/>
                <w:szCs w:val="20"/>
                <w:color w:val="auto"/>
              </w:rPr>
            </w:pPr>
            <w:r>
              <w:rPr>
                <w:rFonts w:ascii="Arial" w:cs="Arial" w:eastAsia="Arial" w:hAnsi="Arial"/>
                <w:sz w:val="18"/>
                <w:szCs w:val="18"/>
                <w:color w:val="auto"/>
              </w:rPr>
              <w:t>NEGATIVE COVENANTS</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8"/>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7.01</w:t>
            </w:r>
          </w:p>
        </w:tc>
        <w:tc>
          <w:tcPr>
            <w:tcW w:w="8160" w:type="dxa"/>
            <w:vAlign w:val="bottom"/>
          </w:tcPr>
          <w:p>
            <w:pPr>
              <w:ind w:left="60"/>
              <w:spacing w:after="0"/>
              <w:rPr>
                <w:sz w:val="20"/>
                <w:szCs w:val="20"/>
                <w:color w:val="auto"/>
              </w:rPr>
            </w:pPr>
            <w:r>
              <w:rPr>
                <w:rFonts w:ascii="Arial" w:cs="Arial" w:eastAsia="Arial" w:hAnsi="Arial"/>
                <w:sz w:val="18"/>
                <w:szCs w:val="18"/>
                <w:color w:val="auto"/>
              </w:rPr>
              <w:t>Liens</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7.02</w:t>
            </w:r>
          </w:p>
        </w:tc>
        <w:tc>
          <w:tcPr>
            <w:tcW w:w="8160" w:type="dxa"/>
            <w:vAlign w:val="bottom"/>
          </w:tcPr>
          <w:p>
            <w:pPr>
              <w:ind w:left="60"/>
              <w:spacing w:after="0"/>
              <w:rPr>
                <w:sz w:val="20"/>
                <w:szCs w:val="20"/>
                <w:color w:val="auto"/>
              </w:rPr>
            </w:pPr>
            <w:r>
              <w:rPr>
                <w:rFonts w:ascii="Arial" w:cs="Arial" w:eastAsia="Arial" w:hAnsi="Arial"/>
                <w:sz w:val="18"/>
                <w:szCs w:val="18"/>
                <w:color w:val="auto"/>
              </w:rPr>
              <w:t>Fundamental Changes; Dispositions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7.03</w:t>
            </w:r>
          </w:p>
        </w:tc>
        <w:tc>
          <w:tcPr>
            <w:tcW w:w="8160" w:type="dxa"/>
            <w:vAlign w:val="bottom"/>
          </w:tcPr>
          <w:p>
            <w:pPr>
              <w:ind w:left="60"/>
              <w:spacing w:after="0"/>
              <w:rPr>
                <w:sz w:val="20"/>
                <w:szCs w:val="20"/>
                <w:color w:val="auto"/>
              </w:rPr>
            </w:pPr>
            <w:r>
              <w:rPr>
                <w:rFonts w:ascii="Arial" w:cs="Arial" w:eastAsia="Arial" w:hAnsi="Arial"/>
                <w:sz w:val="18"/>
                <w:szCs w:val="18"/>
                <w:color w:val="auto"/>
              </w:rPr>
              <w:t>Dispositions of Collateral</w:t>
            </w: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7.04</w:t>
            </w:r>
          </w:p>
        </w:tc>
        <w:tc>
          <w:tcPr>
            <w:tcW w:w="816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7.05</w:t>
            </w:r>
          </w:p>
        </w:tc>
        <w:tc>
          <w:tcPr>
            <w:tcW w:w="8160" w:type="dxa"/>
            <w:vAlign w:val="bottom"/>
          </w:tcPr>
          <w:p>
            <w:pPr>
              <w:ind w:left="60"/>
              <w:spacing w:after="0"/>
              <w:rPr>
                <w:sz w:val="20"/>
                <w:szCs w:val="20"/>
                <w:color w:val="auto"/>
              </w:rPr>
            </w:pPr>
            <w:r>
              <w:rPr>
                <w:rFonts w:ascii="Arial" w:cs="Arial" w:eastAsia="Arial" w:hAnsi="Arial"/>
                <w:sz w:val="18"/>
                <w:szCs w:val="18"/>
                <w:color w:val="auto"/>
              </w:rPr>
              <w:t>Burdensome Agreements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7.06</w:t>
            </w:r>
          </w:p>
        </w:tc>
        <w:tc>
          <w:tcPr>
            <w:tcW w:w="816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1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7.07</w:t>
            </w:r>
          </w:p>
        </w:tc>
        <w:tc>
          <w:tcPr>
            <w:tcW w:w="8160" w:type="dxa"/>
            <w:vAlign w:val="bottom"/>
          </w:tcPr>
          <w:p>
            <w:pPr>
              <w:ind w:left="60"/>
              <w:spacing w:after="0"/>
              <w:rPr>
                <w:sz w:val="20"/>
                <w:szCs w:val="20"/>
                <w:color w:val="auto"/>
              </w:rPr>
            </w:pPr>
            <w:r>
              <w:rPr>
                <w:rFonts w:ascii="Arial" w:cs="Arial" w:eastAsia="Arial" w:hAnsi="Arial"/>
                <w:sz w:val="18"/>
                <w:szCs w:val="18"/>
                <w:color w:val="auto"/>
              </w:rPr>
              <w:t>PAA Consolidated Leverage Ratio</w:t>
            </w:r>
          </w:p>
        </w:tc>
        <w:tc>
          <w:tcPr>
            <w:tcW w:w="1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7.08</w:t>
            </w:r>
          </w:p>
        </w:tc>
        <w:tc>
          <w:tcPr>
            <w:tcW w:w="8160" w:type="dxa"/>
            <w:vAlign w:val="bottom"/>
          </w:tcPr>
          <w:p>
            <w:pPr>
              <w:ind w:left="60"/>
              <w:spacing w:after="0"/>
              <w:rPr>
                <w:sz w:val="20"/>
                <w:szCs w:val="20"/>
                <w:color w:val="auto"/>
              </w:rPr>
            </w:pPr>
            <w:r>
              <w:rPr>
                <w:rFonts w:ascii="Arial" w:cs="Arial" w:eastAsia="Arial" w:hAnsi="Arial"/>
                <w:sz w:val="18"/>
                <w:szCs w:val="18"/>
                <w:color w:val="auto"/>
              </w:rPr>
              <w:t>Commodity Intermediary Transactions</w:t>
            </w:r>
          </w:p>
        </w:tc>
        <w:tc>
          <w:tcPr>
            <w:tcW w:w="1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VIII.</w:t>
            </w:r>
          </w:p>
        </w:tc>
        <w:tc>
          <w:tcPr>
            <w:tcW w:w="8160" w:type="dxa"/>
            <w:vAlign w:val="bottom"/>
          </w:tcPr>
          <w:p>
            <w:pPr>
              <w:ind w:left="280"/>
              <w:spacing w:after="0"/>
              <w:rPr>
                <w:sz w:val="20"/>
                <w:szCs w:val="20"/>
                <w:color w:val="auto"/>
              </w:rPr>
            </w:pPr>
            <w:r>
              <w:rPr>
                <w:rFonts w:ascii="Arial" w:cs="Arial" w:eastAsia="Arial" w:hAnsi="Arial"/>
                <w:sz w:val="18"/>
                <w:szCs w:val="18"/>
                <w:color w:val="auto"/>
              </w:rPr>
              <w:t>EVENTS OF DEFAULT AND REMEDIES</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8.01</w:t>
            </w:r>
          </w:p>
        </w:tc>
        <w:tc>
          <w:tcPr>
            <w:tcW w:w="762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8.02</w:t>
            </w:r>
          </w:p>
        </w:tc>
        <w:tc>
          <w:tcPr>
            <w:tcW w:w="7620" w:type="dxa"/>
            <w:vAlign w:val="bottom"/>
          </w:tcPr>
          <w:p>
            <w:pPr>
              <w:ind w:left="60"/>
              <w:spacing w:after="0"/>
              <w:rPr>
                <w:sz w:val="20"/>
                <w:szCs w:val="20"/>
                <w:color w:val="auto"/>
              </w:rPr>
            </w:pPr>
            <w:r>
              <w:rPr>
                <w:rFonts w:ascii="Arial" w:cs="Arial" w:eastAsia="Arial" w:hAnsi="Arial"/>
                <w:sz w:val="18"/>
                <w:szCs w:val="18"/>
                <w:color w:val="auto"/>
              </w:rPr>
              <w:t>Remedies Upon Event of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080" w:type="dxa"/>
            <w:vAlign w:val="bottom"/>
          </w:tcPr>
          <w:p>
            <w:pPr>
              <w:ind w:left="500"/>
              <w:spacing w:after="0"/>
              <w:rPr>
                <w:sz w:val="20"/>
                <w:szCs w:val="20"/>
                <w:color w:val="auto"/>
              </w:rPr>
            </w:pPr>
            <w:r>
              <w:rPr>
                <w:rFonts w:ascii="Arial" w:cs="Arial" w:eastAsia="Arial" w:hAnsi="Arial"/>
                <w:sz w:val="18"/>
                <w:szCs w:val="18"/>
                <w:color w:val="auto"/>
              </w:rPr>
              <w:t>8.03</w:t>
            </w:r>
          </w:p>
        </w:tc>
        <w:tc>
          <w:tcPr>
            <w:tcW w:w="7620" w:type="dxa"/>
            <w:vAlign w:val="bottom"/>
          </w:tcPr>
          <w:p>
            <w:pPr>
              <w:ind w:left="60"/>
              <w:spacing w:after="0"/>
              <w:rPr>
                <w:sz w:val="20"/>
                <w:szCs w:val="20"/>
                <w:color w:val="auto"/>
              </w:rPr>
            </w:pPr>
            <w:r>
              <w:rPr>
                <w:rFonts w:ascii="Arial" w:cs="Arial" w:eastAsia="Arial" w:hAnsi="Arial"/>
                <w:sz w:val="18"/>
                <w:szCs w:val="18"/>
                <w:color w:val="auto"/>
              </w:rPr>
              <w:t>Application of Funds</w:t>
            </w:r>
          </w:p>
        </w:tc>
        <w:tc>
          <w:tcPr>
            <w:tcW w:w="2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ARTICLE IX.</w:t>
            </w:r>
          </w:p>
        </w:tc>
        <w:tc>
          <w:tcPr>
            <w:tcW w:w="7620" w:type="dxa"/>
            <w:vAlign w:val="bottom"/>
          </w:tcPr>
          <w:p>
            <w:pPr>
              <w:ind w:left="300"/>
              <w:spacing w:after="0"/>
              <w:rPr>
                <w:sz w:val="20"/>
                <w:szCs w:val="20"/>
                <w:color w:val="auto"/>
              </w:rPr>
            </w:pPr>
            <w:r>
              <w:rPr>
                <w:rFonts w:ascii="Arial" w:cs="Arial" w:eastAsia="Arial" w:hAnsi="Arial"/>
                <w:sz w:val="18"/>
                <w:szCs w:val="18"/>
                <w:color w:val="auto"/>
              </w:rPr>
              <w:t>ADMINISTRATIVE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18"/>
        </w:trPr>
        <w:tc>
          <w:tcPr>
            <w:tcW w:w="1080" w:type="dxa"/>
            <w:vAlign w:val="bottom"/>
          </w:tcPr>
          <w:p>
            <w:pPr>
              <w:ind w:left="500"/>
              <w:spacing w:after="0"/>
              <w:rPr>
                <w:sz w:val="20"/>
                <w:szCs w:val="20"/>
                <w:color w:val="auto"/>
              </w:rPr>
            </w:pPr>
            <w:r>
              <w:rPr>
                <w:rFonts w:ascii="Arial" w:cs="Arial" w:eastAsia="Arial" w:hAnsi="Arial"/>
                <w:sz w:val="18"/>
                <w:szCs w:val="18"/>
                <w:color w:val="auto"/>
              </w:rPr>
              <w:t>9.01</w:t>
            </w:r>
          </w:p>
        </w:tc>
        <w:tc>
          <w:tcPr>
            <w:tcW w:w="7620" w:type="dxa"/>
            <w:vAlign w:val="bottom"/>
          </w:tcPr>
          <w:p>
            <w:pPr>
              <w:ind w:left="60"/>
              <w:spacing w:after="0"/>
              <w:rPr>
                <w:sz w:val="20"/>
                <w:szCs w:val="20"/>
                <w:color w:val="auto"/>
              </w:rPr>
            </w:pPr>
            <w:r>
              <w:rPr>
                <w:rFonts w:ascii="Arial" w:cs="Arial" w:eastAsia="Arial" w:hAnsi="Arial"/>
                <w:sz w:val="18"/>
                <w:szCs w:val="18"/>
                <w:color w:val="auto"/>
              </w:rPr>
              <w:t>Appointment and Authority</w:t>
            </w:r>
          </w:p>
        </w:tc>
        <w:tc>
          <w:tcPr>
            <w:tcW w:w="2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9.02</w:t>
            </w:r>
          </w:p>
        </w:tc>
        <w:tc>
          <w:tcPr>
            <w:tcW w:w="7620" w:type="dxa"/>
            <w:vAlign w:val="bottom"/>
          </w:tcPr>
          <w:p>
            <w:pPr>
              <w:ind w:left="60"/>
              <w:spacing w:after="0"/>
              <w:rPr>
                <w:sz w:val="20"/>
                <w:szCs w:val="20"/>
                <w:color w:val="auto"/>
              </w:rPr>
            </w:pPr>
            <w:r>
              <w:rPr>
                <w:rFonts w:ascii="Arial" w:cs="Arial" w:eastAsia="Arial" w:hAnsi="Arial"/>
                <w:sz w:val="18"/>
                <w:szCs w:val="18"/>
                <w:color w:val="auto"/>
              </w:rPr>
              <w:t>Rights as a Lender</w:t>
            </w:r>
          </w:p>
        </w:tc>
        <w:tc>
          <w:tcPr>
            <w:tcW w:w="2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9.03</w:t>
            </w:r>
          </w:p>
        </w:tc>
        <w:tc>
          <w:tcPr>
            <w:tcW w:w="7620" w:type="dxa"/>
            <w:vAlign w:val="bottom"/>
          </w:tcPr>
          <w:p>
            <w:pPr>
              <w:ind w:left="60"/>
              <w:spacing w:after="0"/>
              <w:rPr>
                <w:sz w:val="20"/>
                <w:szCs w:val="20"/>
                <w:color w:val="auto"/>
              </w:rPr>
            </w:pPr>
            <w:r>
              <w:rPr>
                <w:rFonts w:ascii="Arial" w:cs="Arial" w:eastAsia="Arial" w:hAnsi="Arial"/>
                <w:sz w:val="18"/>
                <w:szCs w:val="18"/>
                <w:color w:val="auto"/>
              </w:rPr>
              <w:t>Exculpatory Provisions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9.04</w:t>
            </w:r>
          </w:p>
        </w:tc>
        <w:tc>
          <w:tcPr>
            <w:tcW w:w="7620" w:type="dxa"/>
            <w:vAlign w:val="bottom"/>
          </w:tcPr>
          <w:p>
            <w:pPr>
              <w:ind w:left="60"/>
              <w:spacing w:after="0"/>
              <w:rPr>
                <w:sz w:val="20"/>
                <w:szCs w:val="20"/>
                <w:color w:val="auto"/>
              </w:rPr>
            </w:pPr>
            <w:r>
              <w:rPr>
                <w:rFonts w:ascii="Arial" w:cs="Arial" w:eastAsia="Arial" w:hAnsi="Arial"/>
                <w:sz w:val="18"/>
                <w:szCs w:val="18"/>
                <w:color w:val="auto"/>
              </w:rPr>
              <w:t>Reliance by Administrative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9.05</w:t>
            </w:r>
          </w:p>
        </w:tc>
        <w:tc>
          <w:tcPr>
            <w:tcW w:w="762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2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9.06</w:t>
            </w:r>
          </w:p>
        </w:tc>
        <w:tc>
          <w:tcPr>
            <w:tcW w:w="7620" w:type="dxa"/>
            <w:vAlign w:val="bottom"/>
          </w:tcPr>
          <w:p>
            <w:pPr>
              <w:ind w:left="60"/>
              <w:spacing w:after="0"/>
              <w:rPr>
                <w:sz w:val="20"/>
                <w:szCs w:val="20"/>
                <w:color w:val="auto"/>
              </w:rPr>
            </w:pPr>
            <w:r>
              <w:rPr>
                <w:rFonts w:ascii="Arial" w:cs="Arial" w:eastAsia="Arial" w:hAnsi="Arial"/>
                <w:sz w:val="18"/>
                <w:szCs w:val="18"/>
                <w:color w:val="auto"/>
              </w:rPr>
              <w:t>Resignation or Removal of Administrative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9.07</w:t>
            </w:r>
          </w:p>
        </w:tc>
        <w:tc>
          <w:tcPr>
            <w:tcW w:w="7620" w:type="dxa"/>
            <w:vAlign w:val="bottom"/>
          </w:tcPr>
          <w:p>
            <w:pPr>
              <w:ind w:left="60"/>
              <w:spacing w:after="0"/>
              <w:rPr>
                <w:sz w:val="20"/>
                <w:szCs w:val="20"/>
                <w:color w:val="auto"/>
              </w:rPr>
            </w:pPr>
            <w:r>
              <w:rPr>
                <w:rFonts w:ascii="Arial" w:cs="Arial" w:eastAsia="Arial" w:hAnsi="Arial"/>
                <w:sz w:val="18"/>
                <w:szCs w:val="18"/>
                <w:color w:val="auto"/>
              </w:rPr>
              <w:t>Non-Reliance on Administrative Agent, the Arrangers and Other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9.08</w:t>
            </w:r>
          </w:p>
        </w:tc>
        <w:tc>
          <w:tcPr>
            <w:tcW w:w="7620" w:type="dxa"/>
            <w:vAlign w:val="bottom"/>
          </w:tcPr>
          <w:p>
            <w:pPr>
              <w:ind w:left="60"/>
              <w:spacing w:after="0"/>
              <w:rPr>
                <w:sz w:val="20"/>
                <w:szCs w:val="20"/>
                <w:color w:val="auto"/>
              </w:rPr>
            </w:pPr>
            <w:r>
              <w:rPr>
                <w:rFonts w:ascii="Arial" w:cs="Arial" w:eastAsia="Arial" w:hAnsi="Arial"/>
                <w:sz w:val="18"/>
                <w:szCs w:val="18"/>
                <w:color w:val="auto"/>
              </w:rPr>
              <w:t>No Other Duties, Etc.</w:t>
            </w:r>
          </w:p>
        </w:tc>
        <w:tc>
          <w:tcPr>
            <w:tcW w:w="25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9.09</w:t>
            </w:r>
          </w:p>
        </w:tc>
        <w:tc>
          <w:tcPr>
            <w:tcW w:w="7620" w:type="dxa"/>
            <w:vAlign w:val="bottom"/>
          </w:tcPr>
          <w:p>
            <w:pPr>
              <w:ind w:left="60"/>
              <w:spacing w:after="0"/>
              <w:rPr>
                <w:sz w:val="20"/>
                <w:szCs w:val="20"/>
                <w:color w:val="auto"/>
              </w:rPr>
            </w:pPr>
            <w:r>
              <w:rPr>
                <w:rFonts w:ascii="Arial" w:cs="Arial" w:eastAsia="Arial" w:hAnsi="Arial"/>
                <w:sz w:val="18"/>
                <w:szCs w:val="18"/>
                <w:color w:val="auto"/>
              </w:rPr>
              <w:t>Administrative Agent May File Proofs of Claim</w:t>
            </w:r>
          </w:p>
        </w:tc>
        <w:tc>
          <w:tcPr>
            <w:tcW w:w="25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9.10</w:t>
            </w:r>
          </w:p>
        </w:tc>
        <w:tc>
          <w:tcPr>
            <w:tcW w:w="762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9.11</w:t>
            </w:r>
          </w:p>
        </w:tc>
        <w:tc>
          <w:tcPr>
            <w:tcW w:w="7620" w:type="dxa"/>
            <w:vAlign w:val="bottom"/>
          </w:tcPr>
          <w:p>
            <w:pPr>
              <w:ind w:left="60"/>
              <w:spacing w:after="0"/>
              <w:rPr>
                <w:sz w:val="20"/>
                <w:szCs w:val="20"/>
                <w:color w:val="auto"/>
              </w:rPr>
            </w:pPr>
            <w:r>
              <w:rPr>
                <w:rFonts w:ascii="Arial" w:cs="Arial" w:eastAsia="Arial" w:hAnsi="Arial"/>
                <w:sz w:val="18"/>
                <w:szCs w:val="18"/>
                <w:color w:val="auto"/>
              </w:rPr>
              <w:t>Certain ERISA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1080" w:type="dxa"/>
            <w:vAlign w:val="bottom"/>
          </w:tcPr>
          <w:p>
            <w:pPr>
              <w:ind w:left="500"/>
              <w:spacing w:after="0"/>
              <w:rPr>
                <w:sz w:val="20"/>
                <w:szCs w:val="20"/>
                <w:color w:val="auto"/>
              </w:rPr>
            </w:pPr>
            <w:r>
              <w:rPr>
                <w:rFonts w:ascii="Arial" w:cs="Arial" w:eastAsia="Arial" w:hAnsi="Arial"/>
                <w:sz w:val="18"/>
                <w:szCs w:val="18"/>
                <w:color w:val="auto"/>
              </w:rPr>
              <w:t>9.12</w:t>
            </w:r>
          </w:p>
        </w:tc>
        <w:tc>
          <w:tcPr>
            <w:tcW w:w="7620" w:type="dxa"/>
            <w:vAlign w:val="bottom"/>
          </w:tcPr>
          <w:p>
            <w:pPr>
              <w:ind w:left="60"/>
              <w:spacing w:after="0"/>
              <w:rPr>
                <w:sz w:val="20"/>
                <w:szCs w:val="20"/>
                <w:color w:val="auto"/>
              </w:rPr>
            </w:pPr>
            <w:r>
              <w:rPr>
                <w:rFonts w:ascii="Arial" w:cs="Arial" w:eastAsia="Arial" w:hAnsi="Arial"/>
                <w:sz w:val="18"/>
                <w:szCs w:val="18"/>
                <w:color w:val="auto"/>
              </w:rPr>
              <w:t>Recovery of Erroneous Payments</w:t>
            </w:r>
          </w:p>
        </w:tc>
        <w:tc>
          <w:tcPr>
            <w:tcW w:w="25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ARTICLE X.</w:t>
            </w:r>
          </w:p>
        </w:tc>
        <w:tc>
          <w:tcPr>
            <w:tcW w:w="7620" w:type="dxa"/>
            <w:vAlign w:val="bottom"/>
          </w:tcPr>
          <w:p>
            <w:pPr>
              <w:ind w:left="300"/>
              <w:spacing w:after="0"/>
              <w:rPr>
                <w:sz w:val="20"/>
                <w:szCs w:val="20"/>
                <w:color w:val="auto"/>
              </w:rPr>
            </w:pPr>
            <w:r>
              <w:rPr>
                <w:rFonts w:ascii="Arial" w:cs="Arial" w:eastAsia="Arial" w:hAnsi="Arial"/>
                <w:sz w:val="18"/>
                <w:szCs w:val="18"/>
                <w:color w:val="auto"/>
              </w:rPr>
              <w:t>CONTINUING GUARANTY</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18"/>
        </w:trPr>
        <w:tc>
          <w:tcPr>
            <w:tcW w:w="1080" w:type="dxa"/>
            <w:vAlign w:val="bottom"/>
          </w:tcPr>
          <w:p>
            <w:pPr>
              <w:ind w:left="500"/>
              <w:spacing w:after="0"/>
              <w:rPr>
                <w:sz w:val="20"/>
                <w:szCs w:val="20"/>
                <w:color w:val="auto"/>
              </w:rPr>
            </w:pPr>
            <w:r>
              <w:rPr>
                <w:rFonts w:ascii="Arial" w:cs="Arial" w:eastAsia="Arial" w:hAnsi="Arial"/>
                <w:sz w:val="18"/>
                <w:szCs w:val="18"/>
                <w:color w:val="auto"/>
              </w:rPr>
              <w:t>10.01</w:t>
            </w:r>
          </w:p>
        </w:tc>
        <w:tc>
          <w:tcPr>
            <w:tcW w:w="7620" w:type="dxa"/>
            <w:vAlign w:val="bottom"/>
          </w:tcPr>
          <w:p>
            <w:pPr>
              <w:ind w:left="60"/>
              <w:spacing w:after="0"/>
              <w:rPr>
                <w:sz w:val="20"/>
                <w:szCs w:val="20"/>
                <w:color w:val="auto"/>
              </w:rPr>
            </w:pPr>
            <w:r>
              <w:rPr>
                <w:rFonts w:ascii="Arial" w:cs="Arial" w:eastAsia="Arial" w:hAnsi="Arial"/>
                <w:sz w:val="18"/>
                <w:szCs w:val="18"/>
                <w:color w:val="auto"/>
              </w:rPr>
              <w:t>PAA Guaranty</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10.02</w:t>
            </w:r>
          </w:p>
        </w:tc>
        <w:tc>
          <w:tcPr>
            <w:tcW w:w="7620" w:type="dxa"/>
            <w:vAlign w:val="bottom"/>
          </w:tcPr>
          <w:p>
            <w:pPr>
              <w:ind w:left="60"/>
              <w:spacing w:after="0"/>
              <w:rPr>
                <w:sz w:val="20"/>
                <w:szCs w:val="20"/>
                <w:color w:val="auto"/>
              </w:rPr>
            </w:pPr>
            <w:r>
              <w:rPr>
                <w:rFonts w:ascii="Arial" w:cs="Arial" w:eastAsia="Arial" w:hAnsi="Arial"/>
                <w:sz w:val="18"/>
                <w:szCs w:val="18"/>
                <w:color w:val="auto"/>
              </w:rPr>
              <w:t>Rights of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10.03</w:t>
            </w:r>
          </w:p>
        </w:tc>
        <w:tc>
          <w:tcPr>
            <w:tcW w:w="762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10.04</w:t>
            </w:r>
          </w:p>
        </w:tc>
        <w:tc>
          <w:tcPr>
            <w:tcW w:w="7620" w:type="dxa"/>
            <w:vAlign w:val="bottom"/>
          </w:tcPr>
          <w:p>
            <w:pPr>
              <w:ind w:left="60"/>
              <w:spacing w:after="0"/>
              <w:rPr>
                <w:sz w:val="20"/>
                <w:szCs w:val="20"/>
                <w:color w:val="auto"/>
              </w:rPr>
            </w:pPr>
            <w:r>
              <w:rPr>
                <w:rFonts w:ascii="Arial" w:cs="Arial" w:eastAsia="Arial" w:hAnsi="Arial"/>
                <w:sz w:val="18"/>
                <w:szCs w:val="18"/>
                <w:color w:val="auto"/>
              </w:rPr>
              <w:t>Obligations Independent</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10.05</w:t>
            </w:r>
          </w:p>
        </w:tc>
        <w:tc>
          <w:tcPr>
            <w:tcW w:w="7620" w:type="dxa"/>
            <w:vAlign w:val="bottom"/>
          </w:tcPr>
          <w:p>
            <w:pPr>
              <w:ind w:left="60"/>
              <w:spacing w:after="0"/>
              <w:rPr>
                <w:sz w:val="20"/>
                <w:szCs w:val="20"/>
                <w:color w:val="auto"/>
              </w:rPr>
            </w:pPr>
            <w:r>
              <w:rPr>
                <w:rFonts w:ascii="Arial" w:cs="Arial" w:eastAsia="Arial" w:hAnsi="Arial"/>
                <w:sz w:val="18"/>
                <w:szCs w:val="18"/>
                <w:color w:val="auto"/>
              </w:rPr>
              <w:t>Subrogation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10.06</w:t>
            </w:r>
          </w:p>
        </w:tc>
        <w:tc>
          <w:tcPr>
            <w:tcW w:w="7620" w:type="dxa"/>
            <w:vAlign w:val="bottom"/>
          </w:tcPr>
          <w:p>
            <w:pPr>
              <w:ind w:left="60"/>
              <w:spacing w:after="0"/>
              <w:rPr>
                <w:sz w:val="20"/>
                <w:szCs w:val="20"/>
                <w:color w:val="auto"/>
              </w:rPr>
            </w:pPr>
            <w:r>
              <w:rPr>
                <w:rFonts w:ascii="Arial" w:cs="Arial" w:eastAsia="Arial" w:hAnsi="Arial"/>
                <w:sz w:val="18"/>
                <w:szCs w:val="18"/>
                <w:color w:val="auto"/>
              </w:rPr>
              <w:t>Termination; Reinstatement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10.07</w:t>
            </w:r>
          </w:p>
        </w:tc>
        <w:tc>
          <w:tcPr>
            <w:tcW w:w="7620" w:type="dxa"/>
            <w:vAlign w:val="bottom"/>
          </w:tcPr>
          <w:p>
            <w:pPr>
              <w:ind w:left="60"/>
              <w:spacing w:after="0"/>
              <w:rPr>
                <w:sz w:val="20"/>
                <w:szCs w:val="20"/>
                <w:color w:val="auto"/>
              </w:rPr>
            </w:pPr>
            <w:r>
              <w:rPr>
                <w:rFonts w:ascii="Arial" w:cs="Arial" w:eastAsia="Arial" w:hAnsi="Arial"/>
                <w:sz w:val="18"/>
                <w:szCs w:val="18"/>
                <w:color w:val="auto"/>
              </w:rPr>
              <w:t>Subordination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10.08</w:t>
            </w:r>
          </w:p>
        </w:tc>
        <w:tc>
          <w:tcPr>
            <w:tcW w:w="7620" w:type="dxa"/>
            <w:vAlign w:val="bottom"/>
          </w:tcPr>
          <w:p>
            <w:pPr>
              <w:ind w:left="60"/>
              <w:spacing w:after="0"/>
              <w:rPr>
                <w:sz w:val="20"/>
                <w:szCs w:val="20"/>
                <w:color w:val="auto"/>
              </w:rPr>
            </w:pPr>
            <w:r>
              <w:rPr>
                <w:rFonts w:ascii="Arial" w:cs="Arial" w:eastAsia="Arial" w:hAnsi="Arial"/>
                <w:sz w:val="18"/>
                <w:szCs w:val="18"/>
                <w:color w:val="auto"/>
              </w:rPr>
              <w:t>Stay of Acceleration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1080" w:type="dxa"/>
            <w:vAlign w:val="bottom"/>
          </w:tcPr>
          <w:p>
            <w:pPr>
              <w:ind w:left="500"/>
              <w:spacing w:after="0"/>
              <w:rPr>
                <w:sz w:val="20"/>
                <w:szCs w:val="20"/>
                <w:color w:val="auto"/>
              </w:rPr>
            </w:pPr>
            <w:r>
              <w:rPr>
                <w:rFonts w:ascii="Arial" w:cs="Arial" w:eastAsia="Arial" w:hAnsi="Arial"/>
                <w:sz w:val="18"/>
                <w:szCs w:val="18"/>
                <w:color w:val="auto"/>
              </w:rPr>
              <w:t>10.09</w:t>
            </w:r>
          </w:p>
        </w:tc>
        <w:tc>
          <w:tcPr>
            <w:tcW w:w="7620" w:type="dxa"/>
            <w:vAlign w:val="bottom"/>
          </w:tcPr>
          <w:p>
            <w:pPr>
              <w:ind w:left="60"/>
              <w:spacing w:after="0"/>
              <w:rPr>
                <w:sz w:val="20"/>
                <w:szCs w:val="20"/>
                <w:color w:val="auto"/>
              </w:rPr>
            </w:pPr>
            <w:r>
              <w:rPr>
                <w:rFonts w:ascii="Arial" w:cs="Arial" w:eastAsia="Arial" w:hAnsi="Arial"/>
                <w:sz w:val="18"/>
                <w:szCs w:val="18"/>
                <w:color w:val="auto"/>
              </w:rPr>
              <w:t>Condition of Borrowers</w:t>
            </w:r>
          </w:p>
        </w:tc>
        <w:tc>
          <w:tcPr>
            <w:tcW w:w="2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ARTICLE XI.</w:t>
            </w:r>
          </w:p>
        </w:tc>
        <w:tc>
          <w:tcPr>
            <w:tcW w:w="7620" w:type="dxa"/>
            <w:vAlign w:val="bottom"/>
          </w:tcPr>
          <w:p>
            <w:pPr>
              <w:ind w:left="300"/>
              <w:spacing w:after="0"/>
              <w:rPr>
                <w:sz w:val="20"/>
                <w:szCs w:val="20"/>
                <w:color w:val="auto"/>
              </w:rPr>
            </w:pPr>
            <w:r>
              <w:rPr>
                <w:rFonts w:ascii="Arial" w:cs="Arial" w:eastAsia="Arial" w:hAnsi="Arial"/>
                <w:sz w:val="18"/>
                <w:szCs w:val="18"/>
                <w:color w:val="auto"/>
              </w:rPr>
              <w:t>MISCELLANEOUS</w:t>
            </w:r>
          </w:p>
        </w:tc>
        <w:tc>
          <w:tcPr>
            <w:tcW w:w="2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18"/>
        </w:trPr>
        <w:tc>
          <w:tcPr>
            <w:tcW w:w="1080" w:type="dxa"/>
            <w:vAlign w:val="bottom"/>
          </w:tcPr>
          <w:p>
            <w:pPr>
              <w:ind w:left="500"/>
              <w:spacing w:after="0"/>
              <w:rPr>
                <w:sz w:val="20"/>
                <w:szCs w:val="20"/>
                <w:color w:val="auto"/>
              </w:rPr>
            </w:pPr>
            <w:r>
              <w:rPr>
                <w:rFonts w:ascii="Arial" w:cs="Arial" w:eastAsia="Arial" w:hAnsi="Arial"/>
                <w:sz w:val="18"/>
                <w:szCs w:val="18"/>
                <w:color w:val="auto"/>
              </w:rPr>
              <w:t>11.01</w:t>
            </w:r>
          </w:p>
        </w:tc>
        <w:tc>
          <w:tcPr>
            <w:tcW w:w="7620" w:type="dxa"/>
            <w:vAlign w:val="bottom"/>
          </w:tcPr>
          <w:p>
            <w:pPr>
              <w:ind w:left="60"/>
              <w:spacing w:after="0"/>
              <w:rPr>
                <w:sz w:val="20"/>
                <w:szCs w:val="20"/>
                <w:color w:val="auto"/>
              </w:rPr>
            </w:pPr>
            <w:r>
              <w:rPr>
                <w:rFonts w:ascii="Arial" w:cs="Arial" w:eastAsia="Arial" w:hAnsi="Arial"/>
                <w:sz w:val="18"/>
                <w:szCs w:val="18"/>
                <w:color w:val="auto"/>
              </w:rPr>
              <w:t>Amendments, Etc.</w:t>
            </w:r>
          </w:p>
        </w:tc>
        <w:tc>
          <w:tcPr>
            <w:tcW w:w="2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11.02</w:t>
            </w:r>
          </w:p>
        </w:tc>
        <w:tc>
          <w:tcPr>
            <w:tcW w:w="7620" w:type="dxa"/>
            <w:vAlign w:val="bottom"/>
          </w:tcPr>
          <w:p>
            <w:pPr>
              <w:ind w:left="60"/>
              <w:spacing w:after="0"/>
              <w:rPr>
                <w:sz w:val="20"/>
                <w:szCs w:val="20"/>
                <w:color w:val="auto"/>
              </w:rPr>
            </w:pPr>
            <w:r>
              <w:rPr>
                <w:rFonts w:ascii="Arial" w:cs="Arial" w:eastAsia="Arial" w:hAnsi="Arial"/>
                <w:sz w:val="18"/>
                <w:szCs w:val="18"/>
                <w:color w:val="auto"/>
              </w:rPr>
              <w:t>Notices; Effectiveness; Electronic Communication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11.03</w:t>
            </w:r>
          </w:p>
        </w:tc>
        <w:tc>
          <w:tcPr>
            <w:tcW w:w="7620" w:type="dxa"/>
            <w:vAlign w:val="bottom"/>
          </w:tcPr>
          <w:p>
            <w:pPr>
              <w:ind w:left="60"/>
              <w:spacing w:after="0"/>
              <w:rPr>
                <w:sz w:val="20"/>
                <w:szCs w:val="20"/>
                <w:color w:val="auto"/>
              </w:rPr>
            </w:pPr>
            <w:r>
              <w:rPr>
                <w:rFonts w:ascii="Arial" w:cs="Arial" w:eastAsia="Arial" w:hAnsi="Arial"/>
                <w:sz w:val="18"/>
                <w:szCs w:val="18"/>
                <w:color w:val="auto"/>
              </w:rPr>
              <w:t>No Waiver; Cumulative Remedies; Enforcement; Nature of Obligations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11.04</w:t>
            </w:r>
          </w:p>
        </w:tc>
        <w:tc>
          <w:tcPr>
            <w:tcW w:w="7620" w:type="dxa"/>
            <w:vAlign w:val="bottom"/>
          </w:tcPr>
          <w:p>
            <w:pPr>
              <w:ind w:left="60"/>
              <w:spacing w:after="0"/>
              <w:rPr>
                <w:sz w:val="20"/>
                <w:szCs w:val="20"/>
                <w:color w:val="auto"/>
              </w:rPr>
            </w:pPr>
            <w:r>
              <w:rPr>
                <w:rFonts w:ascii="Arial" w:cs="Arial" w:eastAsia="Arial" w:hAnsi="Arial"/>
                <w:sz w:val="18"/>
                <w:szCs w:val="18"/>
                <w:color w:val="auto"/>
              </w:rPr>
              <w:t>Expenses; Indemnity; Damage Waiver</w:t>
            </w:r>
          </w:p>
        </w:tc>
        <w:tc>
          <w:tcPr>
            <w:tcW w:w="2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11.05</w:t>
            </w:r>
          </w:p>
        </w:tc>
        <w:tc>
          <w:tcPr>
            <w:tcW w:w="7620" w:type="dxa"/>
            <w:vAlign w:val="bottom"/>
          </w:tcPr>
          <w:p>
            <w:pPr>
              <w:ind w:left="60"/>
              <w:spacing w:after="0"/>
              <w:rPr>
                <w:sz w:val="20"/>
                <w:szCs w:val="20"/>
                <w:color w:val="auto"/>
              </w:rPr>
            </w:pPr>
            <w:r>
              <w:rPr>
                <w:rFonts w:ascii="Arial" w:cs="Arial" w:eastAsia="Arial" w:hAnsi="Arial"/>
                <w:sz w:val="18"/>
                <w:szCs w:val="18"/>
                <w:color w:val="auto"/>
              </w:rPr>
              <w:t>Payments Set Aside</w:t>
            </w:r>
          </w:p>
        </w:tc>
        <w:tc>
          <w:tcPr>
            <w:tcW w:w="25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11.06</w:t>
            </w:r>
          </w:p>
        </w:tc>
        <w:tc>
          <w:tcPr>
            <w:tcW w:w="762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5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11.07</w:t>
            </w:r>
          </w:p>
        </w:tc>
        <w:tc>
          <w:tcPr>
            <w:tcW w:w="7620" w:type="dxa"/>
            <w:vAlign w:val="bottom"/>
          </w:tcPr>
          <w:p>
            <w:pPr>
              <w:ind w:left="60"/>
              <w:spacing w:after="0"/>
              <w:rPr>
                <w:sz w:val="20"/>
                <w:szCs w:val="20"/>
                <w:color w:val="auto"/>
              </w:rPr>
            </w:pPr>
            <w:r>
              <w:rPr>
                <w:rFonts w:ascii="Arial" w:cs="Arial" w:eastAsia="Arial" w:hAnsi="Arial"/>
                <w:sz w:val="18"/>
                <w:szCs w:val="18"/>
                <w:color w:val="auto"/>
              </w:rPr>
              <w:t>Treatment of Certain Information; Confidentiality</w:t>
            </w:r>
          </w:p>
        </w:tc>
        <w:tc>
          <w:tcPr>
            <w:tcW w:w="25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11.08</w:t>
            </w:r>
          </w:p>
        </w:tc>
        <w:tc>
          <w:tcPr>
            <w:tcW w:w="7620" w:type="dxa"/>
            <w:vAlign w:val="bottom"/>
          </w:tcPr>
          <w:p>
            <w:pPr>
              <w:ind w:left="60"/>
              <w:spacing w:after="0"/>
              <w:rPr>
                <w:sz w:val="20"/>
                <w:szCs w:val="20"/>
                <w:color w:val="auto"/>
              </w:rPr>
            </w:pPr>
            <w:r>
              <w:rPr>
                <w:rFonts w:ascii="Arial" w:cs="Arial" w:eastAsia="Arial" w:hAnsi="Arial"/>
                <w:sz w:val="18"/>
                <w:szCs w:val="18"/>
                <w:color w:val="auto"/>
              </w:rPr>
              <w:t>Right of Setoff</w:t>
            </w:r>
          </w:p>
        </w:tc>
        <w:tc>
          <w:tcPr>
            <w:tcW w:w="25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11.09</w:t>
            </w:r>
          </w:p>
        </w:tc>
        <w:tc>
          <w:tcPr>
            <w:tcW w:w="7620" w:type="dxa"/>
            <w:vAlign w:val="bottom"/>
          </w:tcPr>
          <w:p>
            <w:pPr>
              <w:ind w:left="60"/>
              <w:spacing w:after="0"/>
              <w:rPr>
                <w:sz w:val="20"/>
                <w:szCs w:val="20"/>
                <w:color w:val="auto"/>
              </w:rPr>
            </w:pPr>
            <w:r>
              <w:rPr>
                <w:rFonts w:ascii="Arial" w:cs="Arial" w:eastAsia="Arial" w:hAnsi="Arial"/>
                <w:sz w:val="18"/>
                <w:szCs w:val="18"/>
                <w:color w:val="auto"/>
              </w:rPr>
              <w:t>Interest Rate Limitation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11.10</w:t>
            </w:r>
          </w:p>
        </w:tc>
        <w:tc>
          <w:tcPr>
            <w:tcW w:w="7620" w:type="dxa"/>
            <w:vAlign w:val="bottom"/>
          </w:tcPr>
          <w:p>
            <w:pPr>
              <w:ind w:left="60"/>
              <w:spacing w:after="0"/>
              <w:rPr>
                <w:sz w:val="20"/>
                <w:szCs w:val="20"/>
                <w:color w:val="auto"/>
              </w:rPr>
            </w:pPr>
            <w:r>
              <w:rPr>
                <w:rFonts w:ascii="Arial" w:cs="Arial" w:eastAsia="Arial" w:hAnsi="Arial"/>
                <w:sz w:val="18"/>
                <w:szCs w:val="18"/>
                <w:color w:val="auto"/>
              </w:rPr>
              <w:t>Counterparts; Integration; Effectiveness</w:t>
            </w:r>
          </w:p>
        </w:tc>
        <w:tc>
          <w:tcPr>
            <w:tcW w:w="2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11.11</w:t>
            </w:r>
          </w:p>
        </w:tc>
        <w:tc>
          <w:tcPr>
            <w:tcW w:w="7620" w:type="dxa"/>
            <w:vAlign w:val="bottom"/>
          </w:tcPr>
          <w:p>
            <w:pPr>
              <w:ind w:left="60"/>
              <w:spacing w:after="0"/>
              <w:rPr>
                <w:sz w:val="20"/>
                <w:szCs w:val="20"/>
                <w:color w:val="auto"/>
              </w:rPr>
            </w:pPr>
            <w:r>
              <w:rPr>
                <w:rFonts w:ascii="Arial" w:cs="Arial" w:eastAsia="Arial" w:hAnsi="Arial"/>
                <w:sz w:val="18"/>
                <w:szCs w:val="18"/>
                <w:color w:val="auto"/>
              </w:rPr>
              <w:t>Survival of 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11.12</w:t>
            </w:r>
          </w:p>
        </w:tc>
        <w:tc>
          <w:tcPr>
            <w:tcW w:w="76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11.13</w:t>
            </w:r>
          </w:p>
        </w:tc>
        <w:tc>
          <w:tcPr>
            <w:tcW w:w="7620" w:type="dxa"/>
            <w:vAlign w:val="bottom"/>
          </w:tcPr>
          <w:p>
            <w:pPr>
              <w:ind w:left="60"/>
              <w:spacing w:after="0"/>
              <w:rPr>
                <w:sz w:val="20"/>
                <w:szCs w:val="20"/>
                <w:color w:val="auto"/>
              </w:rPr>
            </w:pPr>
            <w:r>
              <w:rPr>
                <w:rFonts w:ascii="Arial" w:cs="Arial" w:eastAsia="Arial" w:hAnsi="Arial"/>
                <w:sz w:val="18"/>
                <w:szCs w:val="18"/>
                <w:color w:val="auto"/>
              </w:rPr>
              <w:t>Replacement of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11.14</w:t>
            </w:r>
          </w:p>
        </w:tc>
        <w:tc>
          <w:tcPr>
            <w:tcW w:w="7620" w:type="dxa"/>
            <w:vAlign w:val="bottom"/>
          </w:tcPr>
          <w:p>
            <w:pPr>
              <w:ind w:left="60"/>
              <w:spacing w:after="0"/>
              <w:rPr>
                <w:sz w:val="20"/>
                <w:szCs w:val="20"/>
                <w:color w:val="auto"/>
              </w:rPr>
            </w:pPr>
            <w:r>
              <w:rPr>
                <w:rFonts w:ascii="Arial" w:cs="Arial" w:eastAsia="Arial" w:hAnsi="Arial"/>
                <w:sz w:val="18"/>
                <w:szCs w:val="18"/>
                <w:color w:val="auto"/>
              </w:rPr>
              <w:t>Governing Law; Jurisdiction; Etc.</w:t>
            </w:r>
          </w:p>
        </w:tc>
        <w:tc>
          <w:tcPr>
            <w:tcW w:w="25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11.15</w:t>
            </w:r>
          </w:p>
        </w:tc>
        <w:tc>
          <w:tcPr>
            <w:tcW w:w="762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080" w:type="dxa"/>
            <w:vAlign w:val="bottom"/>
          </w:tcPr>
          <w:p>
            <w:pPr>
              <w:ind w:left="500"/>
              <w:spacing w:after="0"/>
              <w:rPr>
                <w:sz w:val="20"/>
                <w:szCs w:val="20"/>
                <w:color w:val="auto"/>
              </w:rPr>
            </w:pPr>
            <w:r>
              <w:rPr>
                <w:rFonts w:ascii="Arial" w:cs="Arial" w:eastAsia="Arial" w:hAnsi="Arial"/>
                <w:sz w:val="18"/>
                <w:szCs w:val="18"/>
                <w:color w:val="auto"/>
              </w:rPr>
              <w:t>11.16</w:t>
            </w:r>
          </w:p>
        </w:tc>
        <w:tc>
          <w:tcPr>
            <w:tcW w:w="7620" w:type="dxa"/>
            <w:vAlign w:val="bottom"/>
          </w:tcPr>
          <w:p>
            <w:pPr>
              <w:ind w:left="60"/>
              <w:spacing w:after="0"/>
              <w:rPr>
                <w:sz w:val="20"/>
                <w:szCs w:val="20"/>
                <w:color w:val="auto"/>
              </w:rPr>
            </w:pPr>
            <w:r>
              <w:rPr>
                <w:rFonts w:ascii="Arial" w:cs="Arial" w:eastAsia="Arial" w:hAnsi="Arial"/>
                <w:sz w:val="18"/>
                <w:szCs w:val="18"/>
                <w:color w:val="auto"/>
              </w:rPr>
              <w:t>No Advisory or Fiduciary Responsibility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tbl>
      <w:tblPr>
        <w:tblLayout w:type="fixed"/>
        <w:tblInd w:w="500" w:type="dxa"/>
        <w:tblCellMar>
          <w:top w:w="0" w:type="dxa"/>
          <w:left w:w="0" w:type="dxa"/>
          <w:bottom w:w="0" w:type="dxa"/>
          <w:right w:w="0" w:type="dxa"/>
        </w:tblCellMar>
      </w:tblP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11.17</w:t>
            </w:r>
          </w:p>
        </w:tc>
        <w:tc>
          <w:tcPr>
            <w:tcW w:w="7780" w:type="dxa"/>
            <w:vAlign w:val="bottom"/>
          </w:tcPr>
          <w:p>
            <w:pPr>
              <w:ind w:left="120"/>
              <w:spacing w:after="0"/>
              <w:rPr>
                <w:sz w:val="20"/>
                <w:szCs w:val="20"/>
                <w:color w:val="auto"/>
              </w:rPr>
            </w:pPr>
            <w:r>
              <w:rPr>
                <w:rFonts w:ascii="Arial" w:cs="Arial" w:eastAsia="Arial" w:hAnsi="Arial"/>
                <w:sz w:val="18"/>
                <w:szCs w:val="18"/>
                <w:color w:val="auto"/>
              </w:rPr>
              <w:t>No Recourse to Other Persons</w:t>
            </w:r>
          </w:p>
        </w:tc>
        <w:tc>
          <w:tcPr>
            <w:tcW w:w="24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11.18</w:t>
            </w:r>
          </w:p>
        </w:tc>
        <w:tc>
          <w:tcPr>
            <w:tcW w:w="7780" w:type="dxa"/>
            <w:vAlign w:val="bottom"/>
          </w:tcPr>
          <w:p>
            <w:pPr>
              <w:ind w:left="120"/>
              <w:spacing w:after="0"/>
              <w:rPr>
                <w:sz w:val="20"/>
                <w:szCs w:val="20"/>
                <w:color w:val="auto"/>
              </w:rPr>
            </w:pPr>
            <w:r>
              <w:rPr>
                <w:rFonts w:ascii="Arial" w:cs="Arial" w:eastAsia="Arial" w:hAnsi="Arial"/>
                <w:sz w:val="18"/>
                <w:szCs w:val="18"/>
                <w:color w:val="auto"/>
              </w:rPr>
              <w:t>Electronic Execution; Electronic Records</w:t>
            </w:r>
          </w:p>
        </w:tc>
        <w:tc>
          <w:tcPr>
            <w:tcW w:w="24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11.19</w:t>
            </w:r>
          </w:p>
        </w:tc>
        <w:tc>
          <w:tcPr>
            <w:tcW w:w="7780" w:type="dxa"/>
            <w:vAlign w:val="bottom"/>
          </w:tcPr>
          <w:p>
            <w:pPr>
              <w:ind w:left="120"/>
              <w:spacing w:after="0"/>
              <w:rPr>
                <w:sz w:val="20"/>
                <w:szCs w:val="20"/>
                <w:color w:val="auto"/>
              </w:rPr>
            </w:pPr>
            <w:r>
              <w:rPr>
                <w:rFonts w:ascii="Arial" w:cs="Arial" w:eastAsia="Arial" w:hAnsi="Arial"/>
                <w:sz w:val="18"/>
                <w:szCs w:val="18"/>
                <w:color w:val="auto"/>
              </w:rPr>
              <w:t>USA PATRIOT Act</w:t>
            </w:r>
          </w:p>
        </w:tc>
        <w:tc>
          <w:tcPr>
            <w:tcW w:w="24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11.20</w:t>
            </w:r>
          </w:p>
        </w:tc>
        <w:tc>
          <w:tcPr>
            <w:tcW w:w="7780" w:type="dxa"/>
            <w:vAlign w:val="bottom"/>
          </w:tcPr>
          <w:p>
            <w:pPr>
              <w:ind w:left="120"/>
              <w:spacing w:after="0"/>
              <w:rPr>
                <w:sz w:val="20"/>
                <w:szCs w:val="20"/>
                <w:color w:val="auto"/>
              </w:rPr>
            </w:pPr>
            <w:r>
              <w:rPr>
                <w:rFonts w:ascii="Arial" w:cs="Arial" w:eastAsia="Arial" w:hAnsi="Arial"/>
                <w:sz w:val="18"/>
                <w:szCs w:val="18"/>
                <w:color w:val="auto"/>
              </w:rPr>
              <w:t>Time of the Essence</w:t>
            </w:r>
          </w:p>
        </w:tc>
        <w:tc>
          <w:tcPr>
            <w:tcW w:w="24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11.21</w:t>
            </w:r>
          </w:p>
        </w:tc>
        <w:tc>
          <w:tcPr>
            <w:tcW w:w="7780" w:type="dxa"/>
            <w:vAlign w:val="bottom"/>
          </w:tcPr>
          <w:p>
            <w:pPr>
              <w:ind w:left="120"/>
              <w:spacing w:after="0"/>
              <w:rPr>
                <w:sz w:val="20"/>
                <w:szCs w:val="20"/>
                <w:color w:val="auto"/>
              </w:rPr>
            </w:pPr>
            <w:r>
              <w:rPr>
                <w:rFonts w:ascii="Arial" w:cs="Arial" w:eastAsia="Arial" w:hAnsi="Arial"/>
                <w:sz w:val="18"/>
                <w:szCs w:val="18"/>
                <w:color w:val="auto"/>
              </w:rPr>
              <w:t>Judgment Currency</w:t>
            </w:r>
          </w:p>
        </w:tc>
        <w:tc>
          <w:tcPr>
            <w:tcW w:w="24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11.22</w:t>
            </w:r>
          </w:p>
        </w:tc>
        <w:tc>
          <w:tcPr>
            <w:tcW w:w="778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11.23</w:t>
            </w:r>
          </w:p>
        </w:tc>
        <w:tc>
          <w:tcPr>
            <w:tcW w:w="7780" w:type="dxa"/>
            <w:vAlign w:val="bottom"/>
          </w:tcPr>
          <w:p>
            <w:pPr>
              <w:ind w:left="120"/>
              <w:spacing w:after="0"/>
              <w:rPr>
                <w:sz w:val="20"/>
                <w:szCs w:val="20"/>
                <w:color w:val="auto"/>
              </w:rPr>
            </w:pPr>
            <w:r>
              <w:rPr>
                <w:rFonts w:ascii="Arial" w:cs="Arial" w:eastAsia="Arial" w:hAnsi="Arial"/>
                <w:sz w:val="18"/>
                <w:szCs w:val="18"/>
                <w:color w:val="auto"/>
              </w:rPr>
              <w:t>Restated Agreement</w:t>
            </w:r>
          </w:p>
        </w:tc>
        <w:tc>
          <w:tcPr>
            <w:tcW w:w="2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11.24</w:t>
            </w:r>
          </w:p>
        </w:tc>
        <w:tc>
          <w:tcPr>
            <w:tcW w:w="7780" w:type="dxa"/>
            <w:vAlign w:val="bottom"/>
          </w:tcPr>
          <w:p>
            <w:pPr>
              <w:ind w:left="12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11.25</w:t>
            </w:r>
          </w:p>
        </w:tc>
        <w:tc>
          <w:tcPr>
            <w:tcW w:w="7780" w:type="dxa"/>
            <w:vAlign w:val="bottom"/>
          </w:tcPr>
          <w:p>
            <w:pPr>
              <w:ind w:left="120"/>
              <w:spacing w:after="0"/>
              <w:rPr>
                <w:sz w:val="20"/>
                <w:szCs w:val="20"/>
                <w:color w:val="auto"/>
              </w:rPr>
            </w:pPr>
            <w:r>
              <w:rPr>
                <w:rFonts w:ascii="Arial" w:cs="Arial" w:eastAsia="Arial" w:hAnsi="Arial"/>
                <w:sz w:val="18"/>
                <w:szCs w:val="18"/>
                <w:color w:val="auto"/>
              </w:rPr>
              <w:t>Acknowledgement Regarding Any Supported QFCs</w:t>
            </w:r>
          </w:p>
        </w:tc>
        <w:tc>
          <w:tcPr>
            <w:tcW w:w="2440" w:type="dxa"/>
            <w:vAlign w:val="bottom"/>
          </w:tcPr>
          <w:p>
            <w:pPr>
              <w:jc w:val="right"/>
              <w:spacing w:after="0"/>
              <w:rPr>
                <w:sz w:val="20"/>
                <w:szCs w:val="20"/>
                <w:color w:val="auto"/>
              </w:rPr>
            </w:pPr>
            <w:r>
              <w:rPr>
                <w:rFonts w:ascii="Arial" w:cs="Arial" w:eastAsia="Arial" w:hAnsi="Arial"/>
                <w:sz w:val="18"/>
                <w:szCs w:val="18"/>
                <w:color w:val="auto"/>
              </w:rPr>
              <w:t>137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Commitments and Applicable Percentages; L/C Commitments</w:t>
      </w:r>
    </w:p>
    <w:p>
      <w:pPr>
        <w:spacing w:after="0" w:line="23"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2.01A</w:t>
      </w:r>
      <w:r>
        <w:rPr>
          <w:sz w:val="20"/>
          <w:szCs w:val="20"/>
          <w:color w:val="auto"/>
        </w:rPr>
        <w:tab/>
      </w:r>
      <w:r>
        <w:rPr>
          <w:rFonts w:ascii="Arial" w:cs="Arial" w:eastAsia="Arial" w:hAnsi="Arial"/>
          <w:sz w:val="16"/>
          <w:szCs w:val="16"/>
          <w:color w:val="auto"/>
        </w:rPr>
        <w:t>Canadian Bankers’ Acceptances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Governmental Authorization; Other Consents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7"/>
          <w:szCs w:val="17"/>
          <w:color w:val="auto"/>
        </w:rPr>
        <w:t>Litigation</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color w:val="auto"/>
        </w:rPr>
        <w:t>Environmental Matters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color w:val="auto"/>
        </w:rPr>
        <w:t>ERISA Matters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Compliance with Laws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Administrative Agent’s Office; 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140" w:hanging="646"/>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Swing Line Loan Notice</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C-1</w:t>
      </w:r>
      <w:r>
        <w:rPr>
          <w:rFonts w:ascii="Arial" w:cs="Arial" w:eastAsia="Arial" w:hAnsi="Arial"/>
          <w:sz w:val="16"/>
          <w:szCs w:val="16"/>
          <w:color w:val="auto"/>
        </w:rPr>
        <w:t>Committed Loan Note</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C-2</w:t>
      </w:r>
      <w:r>
        <w:rPr>
          <w:rFonts w:ascii="Arial" w:cs="Arial" w:eastAsia="Arial" w:hAnsi="Arial"/>
          <w:sz w:val="17"/>
          <w:szCs w:val="17"/>
          <w:color w:val="auto"/>
        </w:rPr>
        <w:t>Swing Line Note</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D-1</w:t>
      </w:r>
      <w:r>
        <w:rPr>
          <w:rFonts w:ascii="Arial" w:cs="Arial" w:eastAsia="Arial" w:hAnsi="Arial"/>
          <w:sz w:val="16"/>
          <w:szCs w:val="16"/>
          <w:color w:val="auto"/>
        </w:rPr>
        <w:t>Assignment and Assumption</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D-2</w:t>
      </w:r>
      <w:r>
        <w:rPr>
          <w:rFonts w:ascii="Arial" w:cs="Arial" w:eastAsia="Arial" w:hAnsi="Arial"/>
          <w:sz w:val="16"/>
          <w:szCs w:val="16"/>
          <w:color w:val="auto"/>
        </w:rPr>
        <w:t>Administrative Questionnaire</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Letter of Credit Report</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7"/>
          <w:szCs w:val="17"/>
          <w:color w:val="auto"/>
        </w:rPr>
        <w:t>Notice of Additional L/C Issuer</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G-1</w:t>
      </w:r>
      <w:r>
        <w:rPr>
          <w:rFonts w:ascii="Arial" w:cs="Arial" w:eastAsia="Arial" w:hAnsi="Arial"/>
          <w:sz w:val="16"/>
          <w:szCs w:val="16"/>
          <w:color w:val="auto"/>
        </w:rPr>
        <w:t>Form of U.S. Tax Compliance Certificate – Foreign Lenders (Not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G-2</w:t>
      </w:r>
      <w:r>
        <w:rPr>
          <w:rFonts w:ascii="Arial" w:cs="Arial" w:eastAsia="Arial" w:hAnsi="Arial"/>
          <w:sz w:val="16"/>
          <w:szCs w:val="16"/>
          <w:color w:val="auto"/>
        </w:rPr>
        <w:t>Form of U.S. Tax Compliance Certificate – Non-U.S. Participants (Not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G-3</w:t>
      </w:r>
      <w:r>
        <w:rPr>
          <w:rFonts w:ascii="Arial" w:cs="Arial" w:eastAsia="Arial" w:hAnsi="Arial"/>
          <w:sz w:val="16"/>
          <w:szCs w:val="16"/>
          <w:color w:val="auto"/>
        </w:rPr>
        <w:t>Form of U.S. Tax Compliance Certificate – Non-U.S. Participants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G-4</w:t>
      </w:r>
      <w:r>
        <w:rPr>
          <w:rFonts w:ascii="Arial" w:cs="Arial" w:eastAsia="Arial" w:hAnsi="Arial"/>
          <w:sz w:val="16"/>
          <w:szCs w:val="16"/>
          <w:color w:val="auto"/>
        </w:rPr>
        <w:t>Form of U.S. Tax Compliance Certificate – Foreign Lenders (Partnerships)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FOURTH AMENDED AND RESTATED CREDIT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FOURTH AMENDED AND RESTATED CREDIT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August 20, 2021, among PLAINS MARKETING, L.P., a Texas limited partnership (the “</w:t>
      </w:r>
      <w:r>
        <w:rPr>
          <w:rFonts w:ascii="Arial" w:cs="Arial" w:eastAsia="Arial" w:hAnsi="Arial"/>
          <w:sz w:val="17"/>
          <w:szCs w:val="17"/>
          <w:u w:val="single" w:color="auto"/>
          <w:color w:val="auto"/>
        </w:rPr>
        <w:t>Company</w:t>
      </w:r>
      <w:r>
        <w:rPr>
          <w:rFonts w:ascii="Arial" w:cs="Arial" w:eastAsia="Arial" w:hAnsi="Arial"/>
          <w:sz w:val="17"/>
          <w:szCs w:val="17"/>
          <w:color w:val="auto"/>
        </w:rPr>
        <w:t>”), PLAINS MIDSTREAM CANADA ULC, a British Columbia unlimited liability company (“</w:t>
      </w:r>
      <w:r>
        <w:rPr>
          <w:rFonts w:ascii="Arial" w:cs="Arial" w:eastAsia="Arial" w:hAnsi="Arial"/>
          <w:sz w:val="17"/>
          <w:szCs w:val="17"/>
          <w:u w:val="single" w:color="auto"/>
          <w:color w:val="auto"/>
        </w:rPr>
        <w:t>PMCULC</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PLAINS ALL AMERICAN PIPELINE, L.P., a Delaware limited partnership (“</w:t>
      </w:r>
      <w:r>
        <w:rPr>
          <w:rFonts w:ascii="Arial" w:cs="Arial" w:eastAsia="Arial" w:hAnsi="Arial"/>
          <w:sz w:val="17"/>
          <w:szCs w:val="17"/>
          <w:u w:val="single" w:color="auto"/>
          <w:color w:val="auto"/>
        </w:rPr>
        <w:t>PAA</w:t>
      </w:r>
      <w:r>
        <w:rPr>
          <w:rFonts w:ascii="Arial" w:cs="Arial" w:eastAsia="Arial" w:hAnsi="Arial"/>
          <w:sz w:val="17"/>
          <w:szCs w:val="17"/>
          <w:color w:val="auto"/>
        </w:rPr>
        <w:t>”), as guarantor,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BANK OF AMERICA, N.A., as Administrative Agent and Swing Line Lender, BANK OF AMERICA, N.A., CITIBANK, N.A., JPMORGAN CHASE BANK, N.A. and WELLS FARGO BANK, NATIONAL ASSOCIATION, as L/C Issuers, and CITIBANK, N.A., JPMORGAN CHASE BANK, N.A. and WELLS FARGO BANK, NATIONAL ASSOCIATION, as Co-Syndication Agents, and BANCO BILBAO VIZCAYA ARGENTARIA, S.A., NEW YORK BRANCH, BANK OF MONTREAL, BANK OF NOVA SCOTIA, HOUSTON BRANCH, BARCLAYS BANK PLC, CANADIAN IMPERIAL BANK OF COMMERCE, NEW YORK BRANCH, COBANK, ACB, ING CAPITAL LLC, MIZUHO BANK, LTD., MUFG BANK, LTD., PNC BANK, NATIONAL ASSOCIATION, REGIONS BANK, ROYAL BANK OF CANADA, SUMITOMO MITSUI BANKING CORPORATION, THE TORONTO-DOMINION BANK, NEW YORK BRANCH, TRUIST BANK and U.S. BANK NATIONAL ASSOCIATION, as Co-Documentation Agents.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the Administrative Agent and certain Lenders entered into that certain Third Amended and Restated Credit Agreement dated as of August 19, 2011 (as heretofore amended,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has requested that the Lenders provide a revolving credit facility to refinance the outstanding Indebtedness of the Company and PMCULC under, and amend and restate, the Existing Credit Agreement, and the Lenders are willing to do so on the terms and conditions set forth herein.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DEFINITIONS AND ACCOUNTING TERMS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or who may become obligated under, with respect to, or on account of, a Receivable.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in its capacity as administrative agent under any of the Loan Documents, or any successor administrative agent appointed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 the Company and the Lenders pursuant to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 The initial Aggregate Commitments as of the Closing Date are $1,350,000,000.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Fourth Amended and Restated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has the meaning specified in Section 5.15.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If the commitment of each Lender to make Loans and accept Canadian BA’s and the obligation of each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means, from time to time, the following percentages per annum, based upon the PAA Debt Rating as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960" w:type="dxa"/>
            <w:vAlign w:val="bottom"/>
            <w:gridSpan w:val="2"/>
          </w:tcPr>
          <w:p>
            <w:pPr>
              <w:ind w:left="40"/>
              <w:spacing w:after="0"/>
              <w:rPr>
                <w:sz w:val="20"/>
                <w:szCs w:val="20"/>
                <w:color w:val="auto"/>
              </w:rPr>
            </w:pPr>
            <w:r>
              <w:rPr>
                <w:rFonts w:ascii="Arial" w:cs="Arial" w:eastAsia="Arial" w:hAnsi="Arial"/>
                <w:sz w:val="18"/>
                <w:szCs w:val="18"/>
                <w:b w:val="1"/>
                <w:bCs w:val="1"/>
                <w:color w:val="auto"/>
              </w:rPr>
              <w:t>Applicable Rate</w:t>
            </w:r>
          </w:p>
        </w:tc>
        <w:tc>
          <w:tcPr>
            <w:tcW w:w="2320" w:type="dxa"/>
            <w:vAlign w:val="bottom"/>
          </w:tcPr>
          <w:p>
            <w:pPr>
              <w:spacing w:after="0"/>
              <w:rPr>
                <w:sz w:val="20"/>
                <w:szCs w:val="20"/>
                <w:color w:val="auto"/>
              </w:rPr>
            </w:pPr>
          </w:p>
        </w:tc>
      </w:tr>
      <w:tr>
        <w:trPr>
          <w:trHeight w:val="198"/>
        </w:trPr>
        <w:tc>
          <w:tcPr>
            <w:tcW w:w="10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Eurocurrency Rate Loans,</w:t>
            </w:r>
          </w:p>
        </w:tc>
        <w:tc>
          <w:tcPr>
            <w:tcW w:w="23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Base Rate Loans</w:t>
            </w:r>
          </w:p>
        </w:tc>
      </w:tr>
      <w:tr>
        <w:trPr>
          <w:trHeight w:val="216"/>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PAA Debt Ratings</w:t>
            </w:r>
          </w:p>
        </w:tc>
        <w:tc>
          <w:tcPr>
            <w:tcW w:w="144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Commitment</w:t>
            </w:r>
          </w:p>
        </w:tc>
        <w:tc>
          <w:tcPr>
            <w:tcW w:w="36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Letters of Credit and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3"/>
              </w:rPr>
              <w:t>and Canadian</w:t>
            </w:r>
          </w:p>
        </w:tc>
      </w:tr>
      <w:tr>
        <w:trPr>
          <w:trHeight w:val="234"/>
        </w:trPr>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S&amp;P/Moody’s</w:t>
            </w:r>
          </w:p>
        </w:tc>
        <w:tc>
          <w:tcPr>
            <w:tcW w:w="14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3"/>
              </w:rPr>
              <w:t>Fee</w:t>
            </w:r>
          </w:p>
        </w:tc>
        <w:tc>
          <w:tcPr>
            <w:tcW w:w="36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Canadian BA’s</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Prime Rate Loans</w:t>
            </w:r>
          </w:p>
        </w:tc>
      </w:tr>
      <w:tr>
        <w:trPr>
          <w:trHeight w:val="195"/>
        </w:trPr>
        <w:tc>
          <w:tcPr>
            <w:tcW w:w="10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w:t>
            </w:r>
          </w:p>
        </w:tc>
        <w:tc>
          <w:tcPr>
            <w:tcW w:w="2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A- / A3 or higher</w:t>
            </w:r>
          </w:p>
        </w:tc>
        <w:tc>
          <w:tcPr>
            <w:tcW w:w="1440" w:type="dxa"/>
            <w:vAlign w:val="bottom"/>
          </w:tcPr>
          <w:p>
            <w:pPr>
              <w:jc w:val="center"/>
              <w:ind w:left="250"/>
              <w:spacing w:after="0" w:line="195" w:lineRule="exact"/>
              <w:rPr>
                <w:sz w:val="20"/>
                <w:szCs w:val="20"/>
                <w:color w:val="auto"/>
              </w:rPr>
            </w:pPr>
            <w:r>
              <w:rPr>
                <w:rFonts w:ascii="Arial" w:cs="Arial" w:eastAsia="Arial" w:hAnsi="Arial"/>
                <w:sz w:val="18"/>
                <w:szCs w:val="18"/>
                <w:color w:val="auto"/>
                <w:w w:val="88"/>
              </w:rPr>
              <w:t>0.080%</w:t>
            </w:r>
          </w:p>
        </w:tc>
        <w:tc>
          <w:tcPr>
            <w:tcW w:w="36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0.750%</w:t>
            </w:r>
          </w:p>
        </w:tc>
        <w:tc>
          <w:tcPr>
            <w:tcW w:w="2320" w:type="dxa"/>
            <w:vAlign w:val="bottom"/>
          </w:tcPr>
          <w:p>
            <w:pPr>
              <w:jc w:val="center"/>
              <w:spacing w:after="0" w:line="195" w:lineRule="exact"/>
              <w:rPr>
                <w:sz w:val="20"/>
                <w:szCs w:val="20"/>
                <w:color w:val="auto"/>
              </w:rPr>
            </w:pPr>
            <w:r>
              <w:rPr>
                <w:rFonts w:ascii="Arial" w:cs="Arial" w:eastAsia="Arial" w:hAnsi="Arial"/>
                <w:sz w:val="18"/>
                <w:szCs w:val="18"/>
                <w:color w:val="auto"/>
                <w:w w:val="88"/>
              </w:rPr>
              <w:t>0.000%</w:t>
            </w:r>
          </w:p>
        </w:tc>
      </w:tr>
      <w:tr>
        <w:trPr>
          <w:trHeight w:val="216"/>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 / Baa1</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88"/>
              </w:rPr>
              <w:t>0.100%</w:t>
            </w:r>
          </w:p>
        </w:tc>
        <w:tc>
          <w:tcPr>
            <w:tcW w:w="36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0.875%</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0.000%</w:t>
            </w:r>
          </w:p>
        </w:tc>
      </w:tr>
      <w:tr>
        <w:trPr>
          <w:trHeight w:val="216"/>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BBB / Baa2</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88"/>
              </w:rPr>
              <w:t>0.125%</w:t>
            </w:r>
          </w:p>
        </w:tc>
        <w:tc>
          <w:tcPr>
            <w:tcW w:w="36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0.000%</w:t>
            </w:r>
          </w:p>
        </w:tc>
      </w:tr>
      <w:tr>
        <w:trPr>
          <w:trHeight w:val="216"/>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 / Baa3</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88"/>
              </w:rPr>
              <w:t>0.150%</w:t>
            </w:r>
          </w:p>
        </w:tc>
        <w:tc>
          <w:tcPr>
            <w:tcW w:w="36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1.125%</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0.125%</w:t>
            </w:r>
          </w:p>
        </w:tc>
      </w:tr>
      <w:tr>
        <w:trPr>
          <w:trHeight w:val="230"/>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 / Ba1 or lower</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88"/>
              </w:rPr>
              <w:t>0.200%</w:t>
            </w:r>
          </w:p>
        </w:tc>
        <w:tc>
          <w:tcPr>
            <w:tcW w:w="360" w:type="dxa"/>
            <w:vAlign w:val="bottom"/>
            <w:tcBorders>
              <w:right w:val="single" w:sz="8" w:color="auto"/>
            </w:tcBorders>
          </w:tcPr>
          <w:p>
            <w:pPr>
              <w:spacing w:after="0"/>
              <w:rPr>
                <w:sz w:val="20"/>
                <w:szCs w:val="20"/>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1.250%</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0.250%</w:t>
            </w: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means, as of any date of determination, the rating as determined by either S&amp;P or Moody’s (collectively, the “</w:t>
      </w:r>
      <w:r>
        <w:rPr>
          <w:rFonts w:ascii="Arial" w:cs="Arial" w:eastAsia="Arial" w:hAnsi="Arial"/>
          <w:sz w:val="18"/>
          <w:szCs w:val="18"/>
          <w:u w:val="single" w:color="auto"/>
          <w:color w:val="auto"/>
        </w:rPr>
        <w:t>PAA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of PAA’s non-credit-enhanced, senior unsecured long-term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the respective PAA Debt Ratings issued by the foregoing rating agencies differ by one Pricing Level, then the Pricing Level for the higher of such PAA Debt Ratings shall apply (with the PAA Debt Rating for Pricing Level 1 being the highest and the PAA Debt Rating for Pricing Level 5 being the lowest); (b) if the respective PAA Debt Ratings issued by the foregoing rating agencies differ by more than one Pricing Level, then the Pricing Level that is one Pricing Level lower than the Pricing Level of the higher PAA Debt Rating shall apply; (c) if PAA has only one PAA Debt Rating, the Pricing Level equal to that of such PAA Debt Rating shall apply; and (d) if PAA does not have any PAA Debt Rating, then the Administrative Agent and the Company shall negotiate in good faith to amend the definition of Applicable Rate to reflect such change in circumstances, and until such time as the Administrative Agent and the Company shall reach agreement with respect thereto, Pricing Level 5 shall apply.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Initially, the Applicable Rate shall be determined based upon the PAA Debt Rating specified in the certificate delivered pursuant to </w:t>
      </w:r>
      <w:r>
        <w:rPr>
          <w:rFonts w:ascii="Arial" w:cs="Arial" w:eastAsia="Arial" w:hAnsi="Arial"/>
          <w:sz w:val="18"/>
          <w:szCs w:val="18"/>
          <w:u w:val="single" w:color="auto"/>
          <w:color w:val="auto"/>
        </w:rPr>
        <w:t>Section 4.01(a)(viii)</w:t>
      </w:r>
      <w:r>
        <w:rPr>
          <w:rFonts w:ascii="Arial" w:cs="Arial" w:eastAsia="Arial" w:hAnsi="Arial"/>
          <w:sz w:val="18"/>
          <w:szCs w:val="18"/>
          <w:color w:val="auto"/>
        </w:rPr>
        <w:t>. Thereafter, each change in the Applicable Rate resulting from a publicly announced change in the PAA Debt Rating shall be effective, in the case of an upgrade, during the period commencing on the date of delivery by the Company to the Administrative Agent 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or S&amp;P shall change, or if either such rating agency shall cease to be in the business of rating corporate debt obligations, PAA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xml:space="preserve">” means, with respect to any borrowings and payments in Canadian Dollars, the local time in the place of settlement for Canadian Dollars as may be determined by the Administrative Agent or the applicable L/C Issuer, as the case may be, to be necessary for timely settlement on the relevant date in accordance with normal banking procedures in the place of payment;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local time shall be no earlier than 12:00 noon, Eastern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Location</w:t>
      </w:r>
      <w:r>
        <w:rPr>
          <w:rFonts w:ascii="Arial" w:cs="Arial" w:eastAsia="Arial" w:hAnsi="Arial"/>
          <w:sz w:val="18"/>
          <w:szCs w:val="18"/>
          <w:color w:val="auto"/>
        </w:rPr>
        <w:t>” means (i) a Plains Terminal or (ii) any storage terminal, tankage, facility or other locations or pipelines over which, through ownership, contract or otherwise, PAA or any of its Affiliates has control with respect to all Collateral stored or located there.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each of BofA Securities, Citibank, N.A., JPMorgan Chase Bank, N.A., Wells Fargo Securities, LLC, Banco Bilbao Vizcaya Argentaria, S.A., New York Branch, BMO Capital Markets, Bank of Nova Scotia, Houston Branch, Barclays Bank PLC, Canadian Imperial Bank of Commerce, New York Branch, CoBank, ACB, ING Capital LLC, Mizuho Bank, Ltd., MUFG Bank, Ltd., PNC Bank, National Association, Regions Bank, Royal Bank of Canada, Sumitomo Mitsui Banking Corporation, TD Securities (USA) LLC, Truist Bank and U.S. Bank National Association, in its capacity as joint lead arranger and joint book manager.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solely managed by the same investment advisor.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PAA and its Subsidiaries for the fiscal year ended December 31, 2020, and the related consolidated statements of income or operations and cash flows for such fiscal year and partners’ capital of PAA and its Subsidiaries, including the notes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Issuers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R.S.C. 1985, c. B-3,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highest of (a) the Federal Funds Rate in effect on such day plus 1/2 of 1%, (b) the rate of interest in effect for such day as publicly announced from time to time by Bank of America as its “prime rate,” (or, as to Base Rate Loans to PMCULC, the rate of interest publicly announced from time to time by Bank of America, Canada Branch as its reference rate of interest for loans in U.S. Dollars to Canadian customers and designated as its “prime rate”) (provided that, if such rate as so determined would be less than zero, such rate shall be deemed to be zero for purposes of this Agreement) and (c) the Eurocurrency Rate in effect on such day as determined pursuant to clause (b) of the definition thereof plus 1.00%. The “prime rate” is a rate set by Bank of America (or Bank of America, Canada Branch, as applicable) based upon various factors including Bank of America’s (or Bank of America, Canada Branch’s, as applicable) costs and desired return, general economic conditions and other factors, and is used as a reference point for pricing some loans, which may be priced at, above, or below such announced rate. Any change in such prime rate announced by Bank of America (or Bank of America, Canada Branch, as applicable) shall take effect at the opening of business on the day specified in the public announcement of such change.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Committed Loan</w:t>
      </w:r>
      <w:r>
        <w:rPr>
          <w:rFonts w:ascii="Arial" w:cs="Arial" w:eastAsia="Arial" w:hAnsi="Arial"/>
          <w:sz w:val="18"/>
          <w:szCs w:val="18"/>
          <w:color w:val="auto"/>
        </w:rPr>
        <w:t>” means a Committed Loan that is a Base Rate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(i) a Committed Loan that bears interest based on the Base Rate or (ii) a Swing Line Loan that bears interest based on the Base Rate. All Base Rate Loans shall be denominated in Dollars.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means, initially, LIBOR; provided that if a replacement of the Benchmark has occurred pursuant to Section 3.03(c)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w:t>
      </w:r>
    </w:p>
    <w:p>
      <w:pPr>
        <w:spacing w:after="0" w:line="225" w:lineRule="exact"/>
        <w:rPr>
          <w:sz w:val="20"/>
          <w:szCs w:val="20"/>
          <w:color w:val="auto"/>
        </w:rPr>
      </w:pPr>
    </w:p>
    <w:p>
      <w:pPr>
        <w:ind w:left="1300" w:hanging="644"/>
        <w:spacing w:after="0"/>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purposes of Section 3.03(c)(i), the first alternative set forth below that can be determined by the Administrative Agent:</w:t>
      </w:r>
    </w:p>
    <w:p>
      <w:pPr>
        <w:spacing w:after="0" w:line="225" w:lineRule="exact"/>
        <w:rPr>
          <w:rFonts w:ascii="Arial" w:cs="Arial" w:eastAsia="Arial" w:hAnsi="Arial"/>
          <w:sz w:val="18"/>
          <w:szCs w:val="18"/>
          <w:color w:val="auto"/>
        </w:rPr>
      </w:pPr>
    </w:p>
    <w:p>
      <w:pPr>
        <w:jc w:val="both"/>
        <w:ind w:left="1960" w:hanging="656"/>
        <w:spacing w:after="0" w:line="311" w:lineRule="auto"/>
        <w:tabs>
          <w:tab w:leader="none" w:pos="196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 or</w:t>
      </w:r>
    </w:p>
    <w:p>
      <w:pPr>
        <w:spacing w:after="0" w:line="148" w:lineRule="exact"/>
        <w:rPr>
          <w:rFonts w:ascii="Arial" w:cs="Arial" w:eastAsia="Arial" w:hAnsi="Arial"/>
          <w:sz w:val="16"/>
          <w:szCs w:val="16"/>
          <w:color w:val="auto"/>
        </w:rPr>
      </w:pPr>
    </w:p>
    <w:p>
      <w:pPr>
        <w:ind w:left="1960" w:hanging="656"/>
        <w:spacing w:after="0"/>
        <w:tabs>
          <w:tab w:leader="none" w:pos="19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sum of: (i) Daily Simple SOFR and (ii) 0.11448% (11.448 basis points);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Company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92" w:lineRule="exact"/>
        <w:rPr>
          <w:sz w:val="20"/>
          <w:szCs w:val="20"/>
          <w:color w:val="auto"/>
        </w:rPr>
      </w:pPr>
    </w:p>
    <w:p>
      <w:pPr>
        <w:jc w:val="both"/>
        <w:ind w:left="1300" w:hanging="644"/>
        <w:spacing w:after="0" w:line="279" w:lineRule="auto"/>
        <w:tabs>
          <w:tab w:leader="none" w:pos="13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For purposes of Section 3.03(c)(ii), the sum of (a) the alternate benchmark rate and (b) an adjustment (which may be a positive or negative value or zero), in each case, that has been selected by the Administrative Agent and the Company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clause (1) or (2) above would be less than zero percent (0.0%), the Benchmark Replacement will be deemed to be zero percent (0.0%)% for the purposes of this Agreement and the other Loan Documents.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Benchmark Replacement shall be applied in a manner consistent with market practice; provided that to the extent such market practice is not administratively feasible for the Administrative Agent, such Benchmark Replacement shall be applied in a manner as otherwise reasonably determined by the Administrative Agent.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 Securities</w:t>
      </w:r>
      <w:r>
        <w:rPr>
          <w:rFonts w:ascii="Arial" w:cs="Arial" w:eastAsia="Arial" w:hAnsi="Arial"/>
          <w:sz w:val="18"/>
          <w:szCs w:val="18"/>
          <w:color w:val="auto"/>
        </w:rPr>
        <w:t>” means BofA Securities,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 Liens</w:t>
      </w:r>
      <w:r>
        <w:rPr>
          <w:rFonts w:ascii="Arial" w:cs="Arial" w:eastAsia="Arial" w:hAnsi="Arial"/>
          <w:sz w:val="18"/>
          <w:szCs w:val="18"/>
          <w:color w:val="auto"/>
        </w:rPr>
        <w:t>” means any Liens under or with respect to accounts with brokers or counterparties with respect to Swap Contracts in favor of such brokers or counterparties, securing only obligations under such Swap Contracts.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46" w:lineRule="exact"/>
        <w:rPr>
          <w:sz w:val="20"/>
          <w:szCs w:val="20"/>
          <w:color w:val="auto"/>
        </w:rPr>
      </w:pPr>
    </w:p>
    <w:p>
      <w:pPr>
        <w:jc w:val="both"/>
        <w:ind w:firstLine="656"/>
        <w:spacing w:after="0" w:line="259" w:lineRule="auto"/>
        <w:tabs>
          <w:tab w:leader="none" w:pos="11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Eurocurrency market;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15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Canadian Dollars, means any such day on which dealings in deposits in Canadian Dollars are conducted by and between banks in the London or other applicable offshore interbank market for Canadian Dollars; and</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such day relates to any fundings, disbursements, settlements and payments (x) in Canadian Dollars in respect of a Eurocurrency Rate Loan denominated in Canadian Dollars, or any other dealings in Canadian Dollars to be carried out pursuant to this Agreement in respect of any such Eurocurrency Rate Loan (other than any interest rate settings), or any other dealings in Canadian Dollars to be carried out pursuant to this Agreement, including Canadian BA’s, or (y) with respect to PMCULC, in Dollars in respect of a Eurocurrency Rate Loan denominated in Dollars or any other dealings in Dollars to be carried out pursuant to this Agreement in respect of any such Eurocurrency Rate Loan (other than interest rate settings), or any other dealings in Dollars to be carried out pursuant to this Agreement, in each case, means any such day on which banks are open for foreign exchange business in Toronto, Canada.</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Proceeds</w:t>
      </w:r>
      <w:r>
        <w:rPr>
          <w:rFonts w:ascii="Arial" w:cs="Arial" w:eastAsia="Arial" w:hAnsi="Arial"/>
          <w:sz w:val="18"/>
          <w:szCs w:val="18"/>
          <w:color w:val="auto"/>
        </w:rPr>
        <w:t>” means, in respect of any Canadian Banker’s Acceptance, an amount (rounded to the nearest full cent, with one half of one cent being rounded up) calculated on the applicable funding date equal to the face amount of such Canadian Banker’s Acceptance multiplied by the price, where the price is calculated by dividing one by the sum of one plus the product of (a) the Canadian BA Discount Rate applicable thereto expressed as a decimal fraction multiplied by (b) a fraction, the numerator of which is the term of such Canadian Banker’s Acceptance and the denominator of which is 365, rounded to the nearest multiple of 0.001%.</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Rate</w:t>
      </w:r>
      <w:r>
        <w:rPr>
          <w:rFonts w:ascii="Arial" w:cs="Arial" w:eastAsia="Arial" w:hAnsi="Arial"/>
          <w:sz w:val="18"/>
          <w:szCs w:val="18"/>
          <w:color w:val="auto"/>
        </w:rPr>
        <w:t>” means, on the funding date for any Canadian BA, (a) for any Lender named on Schedule I to the Bank Act (Canada), the CDOR on the applicable funding date; or, if such rate is not available, the average of the rates advised by the Canadian Schedule I Reference Lenders to the Administrative Agent, determined in accordance with normal market practices, as being the discount rate of such Canadian Schedule I Reference Lenders on such funding date for Canadian bankers’ acceptances having a comparable face amount and maturity date; and (b) for any other Lender, the lesser of (i) the average of the rates advised by the Canadian Non-Schedule I Reference Lenders to the Administrative Agent, determined in accordance with normal market practices, as being the discount rate of such Canadian Non-Schedule I Reference Lenders on such funding date for banker’s acceptances of such Canadian Non-Schedule I Reference Lenders having a comparable face amount and maturity date, and (ii) the CDOR on the applicable funding date plus 0.10% per annum.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Equivalent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2.01A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BA Fee</w:t>
      </w:r>
      <w:r>
        <w:rPr>
          <w:rFonts w:ascii="Arial" w:cs="Arial" w:eastAsia="Arial" w:hAnsi="Arial"/>
          <w:sz w:val="17"/>
          <w:szCs w:val="17"/>
          <w:color w:val="auto"/>
        </w:rPr>
        <w:t>” means, with respect to any Canadian BA, the amount calculated by multiplying the face amount of such Canadian BA by the then Applicable Rate applicable to Canadian BA’s, and then multiplying the result by a fraction, the numerator of which is the duration of its term on the basis of the actual number of days to elapse from the date of acceptance of such Canadian BA by the accepting Lender to the maturity date of such Canadian BA and the denominator of which is the number of days in the calendar year in question.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Bankers’ Acceptance</w:t>
      </w:r>
      <w:r>
        <w:rPr>
          <w:rFonts w:ascii="Arial" w:cs="Arial" w:eastAsia="Arial" w:hAnsi="Arial"/>
          <w:sz w:val="18"/>
          <w:szCs w:val="18"/>
          <w:color w:val="auto"/>
        </w:rPr>
        <w:t xml:space="preserve"> ” or “</w:t>
      </w:r>
      <w:r>
        <w:rPr>
          <w:rFonts w:ascii="Arial" w:cs="Arial" w:eastAsia="Arial" w:hAnsi="Arial"/>
          <w:sz w:val="18"/>
          <w:szCs w:val="18"/>
          <w:u w:val="single" w:color="auto"/>
          <w:color w:val="auto"/>
        </w:rPr>
        <w:t>Canadian BA</w:t>
      </w:r>
      <w:r>
        <w:rPr>
          <w:rFonts w:ascii="Arial" w:cs="Arial" w:eastAsia="Arial" w:hAnsi="Arial"/>
          <w:sz w:val="18"/>
          <w:szCs w:val="18"/>
          <w:color w:val="auto"/>
        </w:rPr>
        <w:t>” means a non-interest bearing bill of exchange on the Administrative Agent’s usual form (or a bill of exchange within the meaning of the Bills of Exchange Act Canada), R.S.C. 1985, c. B-5, as amended, or a depository bill within the meaning of the Depository Bills and Notes Act (Canada), denominated in Canadian Dollars, drawn by or on behalf of PMCULC, for a term selected by PMCULC of either one, two or three months (as reduced or extended by the Administrative Agent, acting reasonably, to allow the maturity thereof to fall on a Business Day) payable in Canada, and accepted by a Lender in accordance with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Equivalent</w:t>
      </w:r>
      <w:r>
        <w:rPr>
          <w:rFonts w:ascii="Arial" w:cs="Arial" w:eastAsia="Arial" w:hAnsi="Arial"/>
          <w:sz w:val="18"/>
          <w:szCs w:val="18"/>
          <w:color w:val="auto"/>
        </w:rPr>
        <w:t>” means, at any time, with respect to any amount denominated in Dollars, the equivalent amount thereof in Canadian Dollars as reasonably determined by the Administrative Agent or the applicable L/C Issuer, as the case may be, in each case, in accordance with normal banking industry practice using the Spot Rate (determined in respect of the most recent Revaluation Date) for the purchase of Canadian Dollars with Dollars.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Non-Schedule I Reference Lender</w:t>
      </w:r>
      <w:r>
        <w:rPr>
          <w:rFonts w:ascii="Arial" w:cs="Arial" w:eastAsia="Arial" w:hAnsi="Arial"/>
          <w:sz w:val="18"/>
          <w:szCs w:val="18"/>
          <w:color w:val="auto"/>
        </w:rPr>
        <w:t>” means each of Bank of America, N.A., Canada Branch, Citibank Canada, JPMorgan Chase Bank, N.A. (Toronto Branch) and Wells Fargo Bank, National Association, Canadian Branch (or such other or additional Lenders as may be designated by the Administrative Agent and reasonably acceptable to the Company).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on any day, the greater of (a) the floating annual rate of interest established from time to time by the Administrative Agent in its sole discretion as the reference rate for determining interest rates that it will charge to customers of varying degrees of credit worthiness on commercial loans made in Canada in the lawful currency of Canada and designated as its prime rate and (b) the CDOR for one month Canadian BA’s that appears on the Reuters Screen CDOR Page at 10:00 a.m. Toronto time on that day, plus 0.50% per annum; provided that, if the Canadian Prime Rate as so determined would be less than zero, such rate shall deemed to be zero for purposes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 Committed Loan</w:t>
      </w:r>
      <w:r>
        <w:rPr>
          <w:rFonts w:ascii="Arial" w:cs="Arial" w:eastAsia="Arial" w:hAnsi="Arial"/>
          <w:sz w:val="16"/>
          <w:szCs w:val="16"/>
          <w:color w:val="auto"/>
        </w:rPr>
        <w:t>” means any Committed Loan which bears interest at a rate determined by reference to the Canadian Prime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(i) a Canadian Prime Rate Committed Loan or (ii) a Swing Line Loan that bears interest at a rate based on the Canadian Prime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Schedule I Reference Lenders</w:t>
      </w:r>
      <w:r>
        <w:rPr>
          <w:rFonts w:ascii="Arial" w:cs="Arial" w:eastAsia="Arial" w:hAnsi="Arial"/>
          <w:sz w:val="18"/>
          <w:szCs w:val="18"/>
          <w:color w:val="auto"/>
        </w:rPr>
        <w:t xml:space="preserve">” means The Bank of Nova Scotia, Bank of Montreal and Royal Bank of Canada] (or such other or additional Lenders listed in Schedule I to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as may be designated by the Administrative Agent and reasonably acceptable to the Company).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and Carry Purchases</w:t>
      </w:r>
      <w:r>
        <w:rPr>
          <w:rFonts w:ascii="Arial" w:cs="Arial" w:eastAsia="Arial" w:hAnsi="Arial"/>
          <w:sz w:val="18"/>
          <w:szCs w:val="18"/>
          <w:color w:val="auto"/>
        </w:rPr>
        <w:t>” means purchases of Petroleum Products for physical storage at an Approved Location which qualify as Hedged Eligible Inventory or in transit in pipelines which has been hedged by either a NYMEX contract, an OTC contract, an Intercontinental Exchange contract, or a contract for physical delivery.</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(i) with respect to Canadian BA’s, has the meaning specified in Section 5(b) of Schedule 2.01A and (ii) otherwise means to pledge and deposit with or deliver to the Administrative Agent, for the benefit of the L/C Issuers or Swing Line Lender (as applicable) and the Lenders, as collateral for L/C Obligations, payment Obligations in respect of Swing Line Loans, or obligations of Lenders to fund participations in respect of either thereof (as the context may require), cash or deposit account balances or, if the L/C Issuers or Swing Line Lender benefitting from such collateral shall agree in its sole discretion, other credit support, in each case pursuant to documentation in form and substance reasonably satisfactory to (a) the Administrative Agent and (b) the L/C Issuers or the Swing Line Lender (as applicable). “Cash Collateral” shall have a meaning correlative to the foregoing and shall include the proceeds of such cash collateral and other credit support.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w:t>
      </w:r>
      <w:r>
        <w:rPr>
          <w:rFonts w:ascii="Arial" w:cs="Arial" w:eastAsia="Arial" w:hAnsi="Arial"/>
          <w:sz w:val="17"/>
          <w:szCs w:val="17"/>
          <w:color w:val="auto"/>
        </w:rPr>
        <w:t xml:space="preserve">” means for any day, and relative to Canadian BA’s having any specified term and face amount, the discount rate per annum, calculated on the basis of a year of 365 days equal to (i) the average rate per annum (as determined by the Administrative Agent) for Canadian Dollar bankers’ acceptances having the specified term and face amount (or a term and face amount as closely as possible comparable to such specified term and face amount of the Canadian BA) that appear on the Reuters Screen CDOR page "Canadian Interbank Bid BA Fee Rates" (or such other page as the Administrative Agent shall nominate which replaces that page for the purpose of displaying rates quoted for such Canadian BA’s) at 10:00 a.m. (Toronto time) on the first day of such term, as reported by the Administrative Agent or (ii) if such rate does not appear on such CDOR page at 10:00 a.m. (Toronto time) on any such day, then CDOR will be determined by the Administrative Agent as being the arithmetic average of the annual discount rates of interest (rounded upward to the nearest whole multiple of 1/100 of 1%) as of 10:00 a.m. (Toronto time) on the date at which the Lenders named on Schedule 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are then offering to purchase bankers’ acceptances accepted by them having the specified term and face amount (or a term and face amount as closely as possible comparable to such specified term and face amount) of the Canadian BA; and if CDOR shall be less than zero, such rate shall be deemed zero for purposes of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an event or series of events by which PAA ceases to be, directly or indirectly, the beneficial owner (within the meaning of Rule 13d-3 under the Securities Exchange Act of 1934, as amended) of a majority of the outstanding general partnership interests and the outstanding limited partnership interests of the Company or (b) the Company shall cease to be, directly or indirectly, the beneficial owner of a majority of the outstanding Equity Interests of PMCULC.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means the first date on which all the conditions precedent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referred to in the Collateral Documents and all of the other property that is or is purported under the terms of the Collateral Documents to be subject to Liens in favor of the Administrative Agent for the benefit of the Secured Parties, in each case, to secure all or part of the Obligations of a Borrower. In no event shall Collateral include (x) any Permian Excluded Inventory or corresponding Swap Contracts or Receivables with respect thereto or (y) any Commodity Intermediary Subject Inventory, corresponding Swap Contracts with respect thereto or Commodity Intermediary Subject Receivables.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each Tri-Party Agreement, each of the security agreements, pledge agreements or other similar agreements delivered by a Borrower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 in each case, to secure all or part of the Obligations of a Borrower.</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Value</w:t>
      </w:r>
      <w:r>
        <w:rPr>
          <w:rFonts w:ascii="Arial" w:cs="Arial" w:eastAsia="Arial" w:hAnsi="Arial"/>
          <w:sz w:val="17"/>
          <w:szCs w:val="17"/>
          <w:color w:val="auto"/>
        </w:rPr>
        <w:t xml:space="preserve">” means, as to each Borrower, the sum of (i) one hundred percent (100%) of the aggregate Sale Value of Financed Hedged Eligible Inventory of such Borrower subject to sales contracts, excluding any such inventory commingled with Permian Excluded Inventory, unless such commingled inventory is located at an Approved Location and subject to customary industry shipping documentation evidencing the Company’s ownership thereof, plus (ii) one hundred percent (100%) of the aggregate Hedged Value of stored Financed Hedged Eligible Inventory of such Borrower not subject to sale contracts, excluding any such inventory (x) commingled with Permian Excluded Inventory, unless such commingled inventory is located at an Approved Location and subject to customary industry shipping documentation evidencing the Company’s ownership thereof or (y) hedged pursuant to a Swap Contract that may be subject to netting with respect to Swap Contracts hedging Permian Excluded Inventory,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all accounts receivable and other Receivables of such Borrower related to the inventory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without duplication, in amount, of such inventory. In no event shall any Permian Excluded Inventory, any corresponding Swap Contracts or any receivables owing by Permian JV or any of its Subsidiaries with respect thereto be included in the calculation of Collateral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 as to each Lender other than the Swing Line Lender, such Lender’s obligation to (i) make Committed Loans to the Borrowers and accept Canadian BA’s from PMCULC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(ii) purchase participations in L/C Obligations, and (iii) purchase participations in Swing Line Loans and (b) as to the Swing Line Lender, its obligation to make Swing Line Loans to the Borrowers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in each case, in an aggregate principal amount the Dollar Equivalent of which at any one time outstanding, does not exceed the Dollar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as such amount may from time to time be increased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decreased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or in the Assignment and Assumption pursuant to which such Lender becomes a party hereto, as applicable, as such amount may be adjusted from time to time in accordance with this Agreement.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Borrowing</w:t>
      </w:r>
      <w:r>
        <w:rPr>
          <w:rFonts w:ascii="Arial" w:cs="Arial" w:eastAsia="Arial" w:hAnsi="Arial"/>
          <w:sz w:val="18"/>
          <w:szCs w:val="18"/>
          <w:color w:val="auto"/>
        </w:rPr>
        <w:t xml:space="preserve">” means (i) a borrowing consisting of simultaneous Committed Loans of the same Type, in the same currency and, in the case of Eurocurrency Rate Committed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or (ii) the acceptance by Lenders of Canadian Bankers’ Acceptances issued by PMCULC under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Note</w:t>
      </w:r>
      <w:r>
        <w:rPr>
          <w:rFonts w:ascii="Arial" w:cs="Arial" w:eastAsia="Arial" w:hAnsi="Arial"/>
          <w:sz w:val="18"/>
          <w:szCs w:val="18"/>
          <w:color w:val="auto"/>
        </w:rPr>
        <w:t xml:space="preserve">” means a promissory note made by the Borrowers in favor of a Lender evidencing Committed Loans made by such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means a notice of (a) a Committed Borrowing, (b) a conversion of Committed Loans from one Type to the other, or</w:t>
      </w:r>
    </w:p>
    <w:p>
      <w:pPr>
        <w:spacing w:after="0" w:line="35" w:lineRule="exact"/>
        <w:rPr>
          <w:sz w:val="20"/>
          <w:szCs w:val="20"/>
          <w:color w:val="auto"/>
        </w:rPr>
      </w:pPr>
    </w:p>
    <w:p>
      <w:pPr>
        <w:jc w:val="both"/>
        <w:ind w:firstLine="8"/>
        <w:spacing w:after="0" w:line="253" w:lineRule="auto"/>
        <w:tabs>
          <w:tab w:leader="none" w:pos="25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 continuation of Eurocurrency Rate Committed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Intermediary</w:t>
      </w:r>
      <w:r>
        <w:rPr>
          <w:rFonts w:ascii="Arial" w:cs="Arial" w:eastAsia="Arial" w:hAnsi="Arial"/>
          <w:sz w:val="18"/>
          <w:szCs w:val="18"/>
          <w:color w:val="auto"/>
        </w:rPr>
        <w:t>” means (i) any Lender, any Affiliate of any Lender that engages in Commodity Intermediary Transactions, or other nationally recognized institution engaged in transactions of such type, or (ii) any other institution that engages in Commodity Intermediary Transactions that is reasonably acceptable to the Administrative Agent.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Intermediary Subject Inventory</w:t>
      </w:r>
      <w:r>
        <w:rPr>
          <w:rFonts w:ascii="Arial" w:cs="Arial" w:eastAsia="Arial" w:hAnsi="Arial"/>
          <w:sz w:val="18"/>
          <w:szCs w:val="18"/>
          <w:color w:val="auto"/>
        </w:rPr>
        <w:t>” means any portion of Borrower’s Petroleum Product inventory identified by Borrower as subject to a Commodity Intermediary Transaction.</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Intermediary Subject Receivables</w:t>
      </w:r>
      <w:r>
        <w:rPr>
          <w:rFonts w:ascii="Arial" w:cs="Arial" w:eastAsia="Arial" w:hAnsi="Arial"/>
          <w:sz w:val="18"/>
          <w:szCs w:val="18"/>
          <w:color w:val="auto"/>
        </w:rPr>
        <w:t>” means Receivables arising from the sale of Commodity Intermediary Subject Inventory.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Intermediary Transaction</w:t>
      </w:r>
      <w:r>
        <w:rPr>
          <w:rFonts w:ascii="Arial" w:cs="Arial" w:eastAsia="Arial" w:hAnsi="Arial"/>
          <w:sz w:val="16"/>
          <w:szCs w:val="16"/>
          <w:color w:val="auto"/>
        </w:rPr>
        <w:t>” means a transaction or series of transactions (whether reflected in a single agreement or a set of related agreements) under which a Commodity Intermediary buys from the Company and/or sells to the Company or third parties Commodity Intermediary Subject Inventory, and in addition, may enter into Swap Contracts with respect to such Commodity Intermediary Subject Inventory (including for hedging and/or risk mitigation purposes) and/or provide additional financial accommodations based on Commodity Intermediary Subject Receivables, and in connection therewith (i) the Administrative Agent releases any Liens securing the Obligations on Commodity Intermediary Subject Inventory, such Swap Contracts and Commodity Intermediary Subject Receivables, and (ii) the Company grants a Lien on Commodity Intermediary Subject Inventory, corresponding Swap Contracts with respect thereto, and Commodity Intermediary Subject Receivables (if any) in favor of such Commodity Intermediary to secure the obligations of the Company to such Commodity Intermediary arising under such Commodity Intermediary Transaction.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means this Agreement, any Loan Document and any document, amendment, approval, consent, information, notice, certificate, request, statement, disclosure or authorization related to any Loan Document.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R.S.C. 1985, c. C-36,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secured overnight financing rate (“SOFR”) published on such date by the Federal Reserve Bank of New York, as the administrator of the benchmark (or a successor administrator) on the Federal Reserve Bank of New York’s website (or any successor source).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at any time during a Default Rate Period, (a) when used with respect to Obligations other than Letter of Credit Fees and Canadian Prime Rate Loans,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Eurocurrency Rate Loan, the Default Rate shall be an interest rate equal to the interest rate (including any Applicable Rate) otherwise applicable to such Eurocurrency Rate Loan plus 2% per annum, (b) when used with respect to Canadian Prime Rate Loans, an interest rate equal to (i)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applicable to Canadian Prime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and (c) when used with respect to Letter of Credit Fees, a rate equal to the Applicable Rate plus 2% per annum.</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 Period</w:t>
      </w:r>
      <w:r>
        <w:rPr>
          <w:rFonts w:ascii="Arial" w:cs="Arial" w:eastAsia="Arial" w:hAnsi="Arial"/>
          <w:sz w:val="17"/>
          <w:szCs w:val="17"/>
          <w:color w:val="auto"/>
        </w:rPr>
        <w:t xml:space="preserve">” means (a) any period during which an Event of Default, other than pursuant to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is continuing, provided that such period shall not begin until notice of the commencement of the Default Rate has been given to the Company by the Administrative Agent upon the instruction by the Required Lenders and (b) any period during which any Event of Default pursuant to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is continuing unless the Company has been notified otherwise by the Administrative Agent upon the instruction by the Required Lenders.</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xml:space="preserve">, any Lender that, as determined by the Administrative Agent, (a) has failed to fund any of its funding obligations hereunder in respect of its Loans or participations in respect of Letters of Credit or Swing Line Loans, within two Business Days of the date required to be funded by it hereunder, or has failed to make any payment to the Administrative Agent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within the time specified therein, (b) has notified the Company or the Administrative Agent that it does not intend to comply with its funding obligations hereunder or has made a public statement to that effect with respect to its funding obligations hereunder or under other agreements in which it commits to extend credit,</w:t>
      </w:r>
    </w:p>
    <w:p>
      <w:pPr>
        <w:spacing w:after="0" w:line="2" w:lineRule="exact"/>
        <w:rPr>
          <w:sz w:val="20"/>
          <w:szCs w:val="20"/>
          <w:color w:val="auto"/>
        </w:rPr>
      </w:pPr>
    </w:p>
    <w:p>
      <w:pPr>
        <w:jc w:val="both"/>
        <w:ind w:firstLine="8"/>
        <w:spacing w:after="0" w:line="268" w:lineRule="auto"/>
        <w:tabs>
          <w:tab w:leader="none" w:pos="28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has failed, within two Business Days after request by the Administrative Agent or the Company,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become the subject of a Bail-In Action or (iv) taken any action in furtherance of, or indicated its consent to, approval of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Bills and Notes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S.C. 1998, c. 13,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Jurisdiction</w:t>
      </w:r>
      <w:r>
        <w:rPr>
          <w:rFonts w:ascii="Arial" w:cs="Arial" w:eastAsia="Arial" w:hAnsi="Arial"/>
          <w:sz w:val="16"/>
          <w:szCs w:val="16"/>
          <w:color w:val="auto"/>
        </w:rPr>
        <w:t>” means any country, region or territory to the extent that such country or territory itself is the subject of any Sanction.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w:t>
      </w:r>
      <w:r>
        <w:rPr>
          <w:rFonts w:ascii="Arial" w:cs="Arial" w:eastAsia="Arial" w:hAnsi="Arial"/>
          <w:sz w:val="18"/>
          <w:szCs w:val="18"/>
          <w:color w:val="auto"/>
        </w:rPr>
        <w:t>” means each Person from time to time and at each relevant time acting in the capacity as a documentation agent, co-documentation agent, joint-documentation agent or similar documentation agent capacity in connection with this Agreement, Banco Bilbao Vizcaya Argentaria, S.A., New York Branch, Bank of Montreal, Bank of Nova Scotia, Houston Branch, Barclays Bank PLC, Canadian Imperial Bank of Commerce, New York Branch, CoBank, ACB, ING Capital LLC, Mizuho Bank, Ltd., MUFG Bank, Ltd., PNC Bank, National Association, Regions Bank, Royal Bank of Canada, Sumitomo Mitsui Banking Corporation, The Toronto-Dominion Bank, New York Branch, Truist Bank and U.S. Bank National Association, are acting in the capacity as co-documentation agents.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Canadian Dollars, the equivalent amount thereof in Dollars as reasonably determined by the Administrative Agent or the applicable L/C Issuer, as the case may be, in accordance with normal banking industry practice using the Spot Rate (determined in respect of the most recent Revaluation Date) for the purchase of Dollars with Canadian Dollars.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the United States, a State thereof or the District of Columbia.</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determination by the Administrative Agent, or a notification by the Company to the Administrative Agent that the Company has made a determination, that U.S. dollar-denominated syndicated credit facilities currently being executed, or that include language similar to that contained in Section 3.03(c), are being executed or amended (as applicable) to incorporate or adopt a new benchmark interest rate to replace LIBOR, and</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Company to replace LIBOR with a Benchmark Replacement and the provision by the Administrative Agent of written notice of such election to the Lenders.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w:t>
      </w:r>
    </w:p>
    <w:p>
      <w:pPr>
        <w:ind w:left="260" w:hanging="252"/>
        <w:spacing w:after="0"/>
        <w:tabs>
          <w:tab w:leader="none" w:pos="260" w:val="left"/>
        </w:tabs>
        <w:numPr>
          <w:ilvl w:val="0"/>
          <w:numId w:val="206"/>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definition, or (c) any financial institution established in an EEA Member Country which is a subsidiary of an institution described in </w:t>
      </w:r>
      <w:r>
        <w:rPr>
          <w:rFonts w:ascii="Arial" w:cs="Arial" w:eastAsia="Arial" w:hAnsi="Arial"/>
          <w:sz w:val="17"/>
          <w:szCs w:val="17"/>
          <w:u w:val="single" w:color="auto"/>
          <w:color w:val="auto"/>
        </w:rPr>
        <w:t>clauses</w:t>
      </w:r>
    </w:p>
    <w:p>
      <w:pPr>
        <w:spacing w:after="0" w:line="20" w:lineRule="exact"/>
        <w:rPr>
          <w:rFonts w:ascii="Arial" w:cs="Arial" w:eastAsia="Arial" w:hAnsi="Arial"/>
          <w:sz w:val="17"/>
          <w:szCs w:val="17"/>
          <w:u w:val="single" w:color="auto"/>
          <w:color w:val="auto"/>
        </w:rPr>
      </w:pPr>
    </w:p>
    <w:p>
      <w:pPr>
        <w:ind w:left="260" w:hanging="252"/>
        <w:spacing w:after="0"/>
        <w:tabs>
          <w:tab w:leader="none" w:pos="260" w:val="left"/>
        </w:tabs>
        <w:numPr>
          <w:ilvl w:val="0"/>
          <w:numId w:val="207"/>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and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shall have the meanings assigned to them, respectively, by 15 USC §7006, as it may be amended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0" w:name="page211"/>
    <w:bookmarkEnd w:id="210"/>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Inventory</w:t>
      </w:r>
      <w:r>
        <w:rPr>
          <w:rFonts w:ascii="Arial" w:cs="Arial" w:eastAsia="Arial" w:hAnsi="Arial"/>
          <w:sz w:val="17"/>
          <w:szCs w:val="17"/>
          <w:color w:val="auto"/>
        </w:rPr>
        <w:t>” means inventories of Petroleum Products (specifically excluding, however, tank bottoms and pipeline linefill of any Borrower) (i) in which any Borrower has good and defensible title, (ii) which are not subject to any Lien in favor of any Person (other than Permitted Inventory Liens), and (iii) which are subject to a fully perfected first priority security interest (subject only to Permitted Inventory Liens) in favor of Administrative Agent pursuant to the Loan Documents prior to the rights of, and enforceable as such against, any other Person.</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state, local, and foreign statutes, laws, regulations, ordinances, rules, judgments, interpretations, orders, decrees, permits, concessions, grants, franchises, licenses, agreements or governmental restrictions relating to pollution and the protection of the environment and natural resources and, as such relates to exposure to Hazardous Materials, human and health and safety, or the release of any materials into the environment, including those related to hazardous substances or wastes, air emissions and discharges to waste or public systems.</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225" w:lineRule="exact"/>
        <w:rPr>
          <w:sz w:val="20"/>
          <w:szCs w:val="20"/>
          <w:color w:val="auto"/>
        </w:rPr>
      </w:pPr>
    </w:p>
    <w:p>
      <w:pPr>
        <w:ind w:left="1120" w:hanging="464"/>
        <w:spacing w:after="0"/>
        <w:tabs>
          <w:tab w:leader="none" w:pos="11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Rate Loan:</w:t>
      </w:r>
    </w:p>
    <w:p>
      <w:pPr>
        <w:spacing w:after="0" w:line="225" w:lineRule="exact"/>
        <w:rPr>
          <w:rFonts w:ascii="Arial" w:cs="Arial" w:eastAsia="Arial" w:hAnsi="Arial"/>
          <w:sz w:val="18"/>
          <w:szCs w:val="18"/>
          <w:color w:val="auto"/>
        </w:rPr>
      </w:pPr>
    </w:p>
    <w:p>
      <w:pPr>
        <w:jc w:val="both"/>
        <w:ind w:left="660" w:firstLine="644"/>
        <w:spacing w:after="0" w:line="255" w:lineRule="auto"/>
        <w:tabs>
          <w:tab w:leader="none" w:pos="174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in the case of Eurocurrency Rate Loan denominated in Dollars,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Reuters Screen page (or such other commercially available source providing quotations of LIBOR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and if the Eurocurrency Rate shall be less than zero, such rate shall be deemed zero for purposes of this Agreement; and</w:t>
      </w:r>
    </w:p>
    <w:p>
      <w:pPr>
        <w:spacing w:after="0" w:line="192" w:lineRule="exact"/>
        <w:rPr>
          <w:rFonts w:ascii="Arial" w:cs="Arial" w:eastAsia="Arial" w:hAnsi="Arial"/>
          <w:sz w:val="18"/>
          <w:szCs w:val="18"/>
          <w:color w:val="auto"/>
        </w:rPr>
      </w:pPr>
    </w:p>
    <w:p>
      <w:pPr>
        <w:ind w:left="660" w:firstLine="644"/>
        <w:spacing w:after="0" w:line="277" w:lineRule="auto"/>
        <w:tabs>
          <w:tab w:leader="none" w:pos="177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in the case of a Eurocurrency Rate Loan denominated in Canadian Dollars, at a rate per annum equal to CDOR for a Canadian BA in such amount with a term equivalent to such Interest Period for such Loan; and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2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any interest calculation with respect to (i) a Base Rate Loan or a Swing Line Loan based on the Eurocurrency Rate denominated in Dollars, on any date, the rate per annum equal to LIBOR, at approximately 11:00 a.m., London time determined two London Banking Days prior to such date for Dollar deposits being delivered in the London interbank market for a term of one month commencing that day and (ii) a Swing Line Loan based on the Eurocurrency Rate denominated in Canadian Dollars, on any date, the rate per annum equal to CDOR for a Canadian BA in such amount with a term of one month commencing on that day.</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Committed Loan</w:t>
      </w:r>
      <w:r>
        <w:rPr>
          <w:rFonts w:ascii="Arial" w:cs="Arial" w:eastAsia="Arial" w:hAnsi="Arial"/>
          <w:sz w:val="18"/>
          <w:szCs w:val="18"/>
          <w:color w:val="auto"/>
        </w:rPr>
        <w:t>” means a Committed Loan that bears interest at a rate based on clause (a) of the definition of “Eurocurrency Rate.” Eurocurrency Rate Loans may be denominated in Dollars or in Canadian Dollars.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means (i) a Eurocurrency Rate Committed Loan or (ii) a Swing Line Loan that bears interest at a rate based on the Eurocurrency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81" w:lineRule="auto"/>
        <w:tabs>
          <w:tab w:leader="none" w:pos="22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and Canadian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withholding Taxes imposed pursuant to FATCA.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means the letters of credit issued and outstanding under the Existing Credit Agreement as of the Closing Date.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purposes of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each of the letter agreements among the Company and the Administrative Agent and/or the Arrangers and executed in relation to this Agreement and the transactions contemplated thereby.</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Financed Hedged Eligible Inventory</w:t>
      </w:r>
      <w:r>
        <w:rPr>
          <w:rFonts w:ascii="Arial" w:cs="Arial" w:eastAsia="Arial" w:hAnsi="Arial"/>
          <w:sz w:val="18"/>
          <w:szCs w:val="18"/>
          <w:color w:val="auto"/>
        </w:rPr>
        <w:t>” means all Hedged Eligible Inventory (i) the Cash and Carry Purchase of which is to be or has been secured by Letters of Credit issued hereunder, and/or (ii) the purchase of which pursuant to Cash and Carry Purchases, or the storage thereof at Approved Locations, has been financed pursuant to Loans or Canadian BA’s hereunder.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Purchase Crude Payables</w:t>
      </w:r>
      <w:r>
        <w:rPr>
          <w:rFonts w:ascii="Arial" w:cs="Arial" w:eastAsia="Arial" w:hAnsi="Arial"/>
          <w:sz w:val="17"/>
          <w:szCs w:val="17"/>
          <w:color w:val="auto"/>
        </w:rPr>
        <w:t>” means the unpaid amount of any payable obligation related to the purchase of Petroleum Products by any Borrower secured by a valid statutory Lien, including but not limited to valid statutory Liens, if any, created under the laws of Texas, New Mexico, Wyoming, Kansas, Oklahoma or any other state to the extent such payable obligation is not at the time in question covered by a Letter of Credit.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any Lender that is organized under the Laws of a jurisdiction other than that in which such Borrower is resident for tax purposes (including such a Lender when acting in the capacity of an L/C Issuer). For purposes of this definition, (a) the United States, each State thereof and the District of Columbia shall constitute a single jurisdiction and (b) Canada and each Province thereof shall constitute a single jurisdiction.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a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those generally accepted accounting principles and practices which are recognized as such by the Financial Accounting Standards Board (or any generally recognized successor) and which, in the case of the Company and its Subsidiaries on a consolidated basis, are applied for all periods after the date hereof in a manner consistent with the manner in which such principles and practices were applied to the Audited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Plains GP LLC, a Texas limited liability company, in its capacity as the general partner of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Hedged Eligible Inventory</w:t>
      </w:r>
      <w:r>
        <w:rPr>
          <w:rFonts w:ascii="Arial" w:cs="Arial" w:eastAsia="Arial" w:hAnsi="Arial"/>
          <w:sz w:val="16"/>
          <w:szCs w:val="16"/>
          <w:color w:val="auto"/>
        </w:rPr>
        <w:t>” means Petroleum Products (excluding all Permian Excluded Inventory and Commodity Intermediary Subject Inventory) purchased or stored, or scheduled to be purchased or stored in the following month, by any Borrower, which have been hedged by either (i) a NYMEX contract or an Intercontinental Exchange contract which constitutes a Swap Contract, which Swap Contract is pursuant to a segregated account subject to a Tri-Party Agreement and not subject to any setoff, counterclaim or netting, or (ii) an over-the-counter contract or contract for physical delivery, and which Petroleum Products, in either such case, upon such purchase or storage by such Borrower, shall qualify as Eligible Inventory.</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Hedged Value</w:t>
      </w:r>
      <w:r>
        <w:rPr>
          <w:rFonts w:ascii="Arial" w:cs="Arial" w:eastAsia="Arial" w:hAnsi="Arial"/>
          <w:sz w:val="18"/>
          <w:szCs w:val="18"/>
          <w:color w:val="auto"/>
        </w:rPr>
        <w:t xml:space="preserve">” means, as to Hedged Eligible Inventory and such corresponding Swap Contracts with respect thereto, an amount equal to the volume of such Hedged Eligible Inventory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prices fixed in such corresponding Swap Contract,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 all related storage, transportation and other applicable costs of such Hedged Eligible Inventory, as set forth therein and (ii) the amount secured by any Broker Liens, other than Broker Liens on margin deposits with respect to such corresponding Swap Contracts.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Hybrid Securities</w:t>
      </w:r>
      <w:r>
        <w:rPr>
          <w:rFonts w:ascii="Arial" w:cs="Arial" w:eastAsia="Arial" w:hAnsi="Arial"/>
          <w:sz w:val="16"/>
          <w:szCs w:val="16"/>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any Borrower,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such Borrower or any of its Subsidiaries, (b) that have been formed for the purpose of issuing trust preferred securities or deferrable interest subordinated debt, and</w:t>
      </w:r>
    </w:p>
    <w:p>
      <w:pPr>
        <w:spacing w:after="0" w:line="2" w:lineRule="exact"/>
        <w:rPr>
          <w:sz w:val="20"/>
          <w:szCs w:val="20"/>
          <w:color w:val="auto"/>
        </w:rPr>
      </w:pPr>
    </w:p>
    <w:p>
      <w:pPr>
        <w:ind w:right="20" w:firstLine="8"/>
        <w:spacing w:after="0" w:line="260" w:lineRule="auto"/>
        <w:tabs>
          <w:tab w:leader="none" w:pos="2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substantially all the assets of which consist of (i) subordinated debt of such Borrower or another Subsidiary and (ii) payments made from time to time on the subordinated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R.S.C. 1985 c. 1 (fifth supplement), as amended, including the regulations made and, from time to time, in force under that Act.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1120" w:hanging="464"/>
        <w:spacing w:after="0"/>
        <w:tabs>
          <w:tab w:leader="none" w:pos="11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225" w:lineRule="exact"/>
        <w:rPr>
          <w:rFonts w:ascii="Arial" w:cs="Arial" w:eastAsia="Arial" w:hAnsi="Arial"/>
          <w:sz w:val="18"/>
          <w:szCs w:val="18"/>
          <w:color w:val="auto"/>
        </w:rPr>
      </w:pPr>
    </w:p>
    <w:p>
      <w:pPr>
        <w:ind w:firstLine="656"/>
        <w:spacing w:after="0" w:line="342" w:lineRule="auto"/>
        <w:tabs>
          <w:tab w:leader="none" w:pos="112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23" w:lineRule="exact"/>
        <w:rPr>
          <w:rFonts w:ascii="Arial" w:cs="Arial" w:eastAsia="Arial" w:hAnsi="Arial"/>
          <w:sz w:val="16"/>
          <w:szCs w:val="16"/>
          <w:color w:val="auto"/>
        </w:rPr>
      </w:pPr>
    </w:p>
    <w:p>
      <w:pPr>
        <w:ind w:right="20" w:firstLine="656"/>
        <w:spacing w:after="0" w:line="277" w:lineRule="auto"/>
        <w:tabs>
          <w:tab w:leader="none" w:pos="111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 other than surety, bid, performance, statutory and other similar bonds and instruments obtained in the ordinary course of business,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225" w:lineRule="exact"/>
        <w:rPr>
          <w:rFonts w:ascii="Arial" w:cs="Arial" w:eastAsia="Arial" w:hAnsi="Arial"/>
          <w:sz w:val="18"/>
          <w:szCs w:val="18"/>
          <w:color w:val="auto"/>
        </w:rPr>
      </w:pPr>
    </w:p>
    <w:p>
      <w:pPr>
        <w:ind w:firstLine="656"/>
        <w:spacing w:after="0" w:line="277" w:lineRule="auto"/>
        <w:tabs>
          <w:tab w:leader="none" w:pos="111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Synthetic Lease Obligations, or</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Act (Canada)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Interest Act</w:t>
      </w:r>
      <w:r>
        <w:rPr>
          <w:rFonts w:ascii="Arial" w:cs="Arial" w:eastAsia="Arial" w:hAnsi="Arial"/>
          <w:sz w:val="16"/>
          <w:szCs w:val="16"/>
          <w:color w:val="auto"/>
        </w:rPr>
        <w:t>, R.S.C. 1985, c. I-15, including the regulations made and, from time to time, in force under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or a Canadian Prime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and (b) as to any Base Rate Loan or Canadian Prime Rate Loan (including a Swing Line Loan), the last Business Day of each March, June, September and December and the Maturity Date.</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as to each Eurocurrency Rate Loan, the period commencing on the date of such Borrowing or the date such Eurocurrency Rate Loan is converted to or continued as a Eurocurrency Rate Loan and (x) with respect to a Eurocurrency Rate Loan denominated in Dollars, ending on the date one month, three months or six months thereafter, or (y) with respect to a Eurocurrency Rate Loan denominated in Canadian Dollars, ending on the date one month, two months or three months thereafter, in each case, as selected by the Company in its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7" w:lineRule="exact"/>
        <w:rPr>
          <w:sz w:val="20"/>
          <w:szCs w:val="20"/>
          <w:color w:val="auto"/>
        </w:rPr>
      </w:pPr>
    </w:p>
    <w:p>
      <w:pPr>
        <w:jc w:val="both"/>
        <w:ind w:left="660" w:firstLine="644"/>
        <w:spacing w:after="0" w:line="263" w:lineRule="auto"/>
        <w:tabs>
          <w:tab w:leader="none" w:pos="174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next preceding Business Day;</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7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3" w:lineRule="exact"/>
        <w:rPr>
          <w:rFonts w:ascii="Arial" w:cs="Arial" w:eastAsia="Arial" w:hAnsi="Arial"/>
          <w:sz w:val="18"/>
          <w:szCs w:val="18"/>
          <w:color w:val="auto"/>
        </w:rPr>
      </w:pPr>
    </w:p>
    <w:p>
      <w:pPr>
        <w:ind w:left="1800" w:hanging="496"/>
        <w:spacing w:after="0"/>
        <w:tabs>
          <w:tab w:leader="none" w:pos="18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International Chamber of Commerce Publication No. 590 (or such later version thereof as may be in effect at the applicable time of issuance).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any L/C Issuer and the applicable Borrower (or any Subsidiary) or in favor of such L/C Issuer and relating to such Letter of Credit.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Borrowing</w:t>
      </w:r>
      <w:r>
        <w:rPr>
          <w:rFonts w:ascii="Arial" w:cs="Arial" w:eastAsia="Arial" w:hAnsi="Arial"/>
          <w:sz w:val="16"/>
          <w:szCs w:val="16"/>
          <w:color w:val="auto"/>
        </w:rPr>
        <w:t xml:space="preserve">” means an extension of credit resulting from a drawing under any Letter of Credit which has not been reimbursed on the date as required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or refinanced as a Committed Borrowing. Unless otherwise agreed by the applicable Borrower and the applicable L/C Issuer, all L/C Borrowings shall be denominated in the currency of the Letter of Credit that was drawn upon that resulted in such L/C Borrowing.</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with respect to each L/C Issuer, the commitment of such L/C Issuer to issue Letters of Credit hereunder. The initial amount of each L/C Issuer’s L/C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or if an L/C Issuer has entered into an Assignment and Assumption or has otherwise assumed an L/C Commitment after the Closing Date, the amount set forth for such L/C Issuer as its L/C Commitment in the Register maintained by the Administrative Agent. The Letter of Credit Commitment of an L/C Issuer may be modified from time to time by agreement between such L/C Issuer and the Borrowers, and notified to the Administrative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L/C Issuer pursuant to a Letter of Credit.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Issuer</w:t>
      </w:r>
      <w:r>
        <w:rPr>
          <w:rFonts w:ascii="Arial" w:cs="Arial" w:eastAsia="Arial" w:hAnsi="Arial"/>
          <w:sz w:val="17"/>
          <w:szCs w:val="17"/>
          <w:color w:val="auto"/>
        </w:rPr>
        <w:t>” means each of (i) Bank of America, Citibank, N.A., JPMorgan Chase Bank, N.A. and Wells Fargo Bank, National Association, in its capacity as issuer of Letters of Credit hereunder, or any successor issuer of Letters of Credit hereunder and (ii) any other Lender appointed as a replacement or additional “L/C Issuer” pursuant to the immediately succeeding sentence. From time to time, the Administrative Agent may, with the consent of the Company and the Lender in question, or the Company may, with the consent of the Lender in question and notice to the Administrative Agent, appoint such Lender hereunder as an L/C Issuer in place of any L/C Issuer, or in addition to the L/C Issuers as of such time. Any L/C Issuer may, in its discretion, arrange for one or more Letters of Credit to be issued by Affiliates of such L/C Issuer, in which case the term “L/C Issuer” shall include any such Affiliate with respect to Letters of Credit issued by such Affiliate. Each reference herein to the “L/C Issuer” in connection with a Letter of Credit or other matter shall be deemed to be a reference to the relevant L/C Issuer with respect thereto.</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means, at any time, the sum of (a) the aggregate undrawn amount of all outstanding Letters of Credit at such time, plus (b) the aggregate amount of all Unreimbursed Amounts, including (without duplication) all L/C Borrowings. The L/C Obligations of any Lender at any time shall be its Applicable Percentage of the total L/C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prior to such expiration been presented but not yet honored, such Letter of Credit shall be deemed to be “outstanding” and “undrawn” in the amount so remaining available to be paid, and the obligations of the Borrower requesting such Letter of Credit and each Lender shall remain in full force and effect until the applicable L/C Issuer shall have no further obligation to make any payments or disbursements under any circumstances with respect to such Letter of Credit.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has the meaning specified in the introductory paragraph hereto and, as the context requires, includes the Swing Line Lender.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Parties</w:t>
      </w:r>
      <w:r>
        <w:rPr>
          <w:rFonts w:ascii="Arial" w:cs="Arial" w:eastAsia="Arial" w:hAnsi="Arial"/>
          <w:sz w:val="17"/>
          <w:szCs w:val="17"/>
          <w:color w:val="auto"/>
        </w:rPr>
        <w:t>” and “</w:t>
      </w:r>
      <w:r>
        <w:rPr>
          <w:rFonts w:ascii="Arial" w:cs="Arial" w:eastAsia="Arial" w:hAnsi="Arial"/>
          <w:sz w:val="17"/>
          <w:szCs w:val="17"/>
          <w:u w:val="single" w:color="auto"/>
          <w:color w:val="auto"/>
        </w:rPr>
        <w:t>Lender Recipient Parties</w:t>
      </w:r>
      <w:r>
        <w:rPr>
          <w:rFonts w:ascii="Arial" w:cs="Arial" w:eastAsia="Arial" w:hAnsi="Arial"/>
          <w:sz w:val="17"/>
          <w:szCs w:val="17"/>
          <w:color w:val="auto"/>
        </w:rPr>
        <w:t>” means, collectively, the Administrative Agent, the L/C Issuers, the Swing Line Lender and all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in accordance with the terms hereof,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hereunder at the request of any Borrower providing for the payment of cash upon the honoring of a drawing thereunder and shall include the Existing Letters of Credit. A Letter of Credit may be a commercial letter of credit or a standby letter of credit;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commercial letter of credit issued hereunder shall provide solely for cash payment upon presentation of a sight draft,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agreed to by the L/C Issuer issuing such letter of credit.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Report</w:t>
      </w:r>
      <w:r>
        <w:rPr>
          <w:rFonts w:ascii="Arial" w:cs="Arial" w:eastAsia="Arial" w:hAnsi="Arial"/>
          <w:sz w:val="17"/>
          <w:szCs w:val="17"/>
          <w:color w:val="auto"/>
        </w:rPr>
        <w:t xml:space="preserve">” means a certificate substantially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or any other form approved by the Administrative Agent.</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$400,000,000. The Letter of Credit Sublimit is part of, and not in addition to, the Aggregate Commitments.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means an extension of credit by a Lender to a Borrower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Committed Loan or a Swing Line Loan.</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Note, each Issuer Document, each Canadian BA, each Collateral Document, any agreement creating or perfecting rights in Cash Collateral pursuant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this Agreement, Fee Letters and any guaranty of the Obligations delivered in connection herewith.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each of (i) the Company, (ii) PMCULC and (iii) PAA.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specified in the definition of “Swap Contract”.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properties or financial condition of the Company and its Subsidiaries taken as a whole; (b) a material adverse effect on the ability of any Loan Party to pay its obligations under any Loan Document to which it is a party; or (c) a material adverse effect on the enforceability against any Loan Party of any material terms of any Loan Document to which it is a party.</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the later of (a) such date that is three years from the Closing Date and (b) if the Maturity Date then in effect is extended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such extended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such date does not satisfy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“Business Day,” the Maturity Date shall be the next preceding Business Day; provided, that such local time shall be no earlier than 12:00 noon, Eastern time.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(i) with respect to Cash Collateral consisting of cash or deposit account balances, an amount equal to 102% of the Fronting Exposure of all L/C Issuers with respect to Letters of Credit issued and outstanding at such time and (ii) otherwise, an amount determined by the Administrative Agent and the L/C Issuers in their sole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any successor to the ratings agency business thereof.</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 Plan which has two or more contributing sponsors (including the Company or any ERISA Affiliate) at least two of whom are not under common control at such times and meeting the requirements of such a plan as described in Section 4064 of ERISA.</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means any Lender that does not approve any consent, waiver or amendment that (a) requires the approval of all Lenders or all affected Lenders in accordance with the terms of Section 11.01 and (b) has been approved by the Required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Committed Loan Notes and the Swing Line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Additional L/C Issuer</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or any other form approved by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NYMEX</w:t>
      </w:r>
      <w:r>
        <w:rPr>
          <w:rFonts w:ascii="Arial" w:cs="Arial" w:eastAsia="Arial" w:hAnsi="Arial"/>
          <w:sz w:val="18"/>
          <w:szCs w:val="18"/>
          <w:color w:val="auto"/>
        </w:rPr>
        <w:t>” means the New York Mercantile Exchange.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or Canadian BA, whether direct or indirect (including those acquired by assumption), absolute or contingent, due or to become due, now existing or hereafter arising and including interest and fees that accrue after the commencement by or against any Loan Party or any of its Affiliates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accounted for as an operating lease under the provisions of GAAP in effect as of December 31, 2015.</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Rate Early Opt-in</w:t>
      </w:r>
      <w:r>
        <w:rPr>
          <w:rFonts w:ascii="Arial" w:cs="Arial" w:eastAsia="Arial" w:hAnsi="Arial"/>
          <w:sz w:val="18"/>
          <w:szCs w:val="18"/>
          <w:color w:val="auto"/>
        </w:rPr>
        <w:t xml:space="preserve">” means the Administrative Agent and the Company have elected to replace LIBOR with a Benchmark Replacement other than a SOFR-based rate pursuant to (1) an Early Opt-in Election and (2) Section </w:t>
      </w:r>
      <w:r>
        <w:rPr>
          <w:rFonts w:ascii="Arial" w:cs="Arial" w:eastAsia="Arial" w:hAnsi="Arial"/>
          <w:sz w:val="18"/>
          <w:szCs w:val="18"/>
          <w:u w:val="single" w:color="auto"/>
          <w:color w:val="auto"/>
        </w:rPr>
        <w:t>3.03(c)(ii)</w:t>
      </w:r>
      <w:r>
        <w:rPr>
          <w:rFonts w:ascii="Arial" w:cs="Arial" w:eastAsia="Arial" w:hAnsi="Arial"/>
          <w:sz w:val="18"/>
          <w:szCs w:val="18"/>
          <w:color w:val="auto"/>
        </w:rPr>
        <w:t xml:space="preserve"> and paragraph (2) of the definition of “Benchmark Replacement”.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(i)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(ii) with respect to any L/C Obligations on any date, the Dollar Equivalent amount of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and (iii) with respect to any Canadian BA on any date, the Dollar Equivalent amount of the unpaid portion of the face amount thereof on such date.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Rate</w:t>
      </w:r>
      <w:r>
        <w:rPr>
          <w:rFonts w:ascii="Arial" w:cs="Arial" w:eastAsia="Arial" w:hAnsi="Arial"/>
          <w:sz w:val="17"/>
          <w:szCs w:val="17"/>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relevant banking industry rules on interbank compensation for major banks in the United States interbank market, and (b) with respect to any amount denominated in Canadian Dollars, the rate of interest per annum at which overnight deposits in Canadian Dollars,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Consolidated Leverage Ratio</w:t>
      </w:r>
      <w:r>
        <w:rPr>
          <w:rFonts w:ascii="Arial" w:cs="Arial" w:eastAsia="Arial" w:hAnsi="Arial"/>
          <w:sz w:val="18"/>
          <w:szCs w:val="18"/>
          <w:color w:val="auto"/>
        </w:rPr>
        <w:t>” means the “Consolidated Leverage Ratio” as defined in the PAA Credit Agreement.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PAA Credit Agreement</w:t>
      </w:r>
      <w:r>
        <w:rPr>
          <w:rFonts w:ascii="Arial" w:cs="Arial" w:eastAsia="Arial" w:hAnsi="Arial"/>
          <w:sz w:val="17"/>
          <w:szCs w:val="17"/>
          <w:color w:val="auto"/>
        </w:rPr>
        <w:t>” means that certain Credit Agreement of even date herewith among PAA, PMCULC, other Subsidiaries of PAA from time to time party thereto, Bank of America, N.A., as administrative agent, and the lenders named therein, as amended from time to time.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has the meaning specified in the definition of “Applicable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PAA Guaranty</w:t>
      </w:r>
      <w:r>
        <w:rPr>
          <w:rFonts w:ascii="Arial" w:cs="Arial" w:eastAsia="Arial" w:hAnsi="Arial"/>
          <w:sz w:val="16"/>
          <w:szCs w:val="16"/>
          <w:color w:val="auto"/>
        </w:rPr>
        <w:t xml:space="preserve">” means the Guaranty of the payment Obligations of each of the Borrowers made by PAA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 favor of the Lender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11.06(d)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funding standards with respect to Pension Plans and set forth in Sections 412, 430, 431, 432 and 436 of the Code and Sections 302, 303, 304 and 305 of ERISA.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Permian Excluded Inventory</w:t>
      </w:r>
      <w:r>
        <w:rPr>
          <w:rFonts w:ascii="Arial" w:cs="Arial" w:eastAsia="Arial" w:hAnsi="Arial"/>
          <w:sz w:val="17"/>
          <w:szCs w:val="17"/>
          <w:color w:val="auto"/>
        </w:rPr>
        <w:t>” means any portion of the Company’s Petroleum Products inventory that is sold or is obligated to be sold to Permian JV pursuant to the Permian JV Inventory Transactions; provided, upon (i) the repurchase of any such Petroleum Product Inventory by the Company pursuant thereto and (ii) either (A) payment by the Company of the purchase price therefor pursuant thereto or (B) pursuant to the Buy/Sell</w:t>
      </w:r>
    </w:p>
    <w:p>
      <w:pPr>
        <w:jc w:val="both"/>
        <w:spacing w:after="0" w:line="209" w:lineRule="auto"/>
        <w:rPr>
          <w:sz w:val="20"/>
          <w:szCs w:val="20"/>
          <w:color w:val="auto"/>
        </w:rPr>
      </w:pPr>
      <w:r>
        <w:rPr>
          <w:rFonts w:ascii="Arial" w:cs="Arial" w:eastAsia="Arial" w:hAnsi="Arial"/>
          <w:sz w:val="18"/>
          <w:szCs w:val="18"/>
          <w:color w:val="auto"/>
        </w:rPr>
        <w:t>Contract (as defined in the by the Permian JV Merger Agreement), settlement therefor shall be contractually obligated to occur by not later than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following month, such Petroleum Products Inventory shall cease to be Permian Excluded Inventory.</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w:t>
      </w:r>
      <w:r>
        <w:rPr>
          <w:rFonts w:ascii="Arial" w:cs="Arial" w:eastAsia="Arial" w:hAnsi="Arial"/>
          <w:sz w:val="18"/>
          <w:szCs w:val="18"/>
          <w:color w:val="auto"/>
        </w:rPr>
        <w:t>” means Plains Oryx Permian Basin LLC, a Delaware limited liability company, in which PAA is to indirectly own, as of the date of the closing of the Permian JV Merger Agreement, a 65% Equity Interest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Permian JV Inventory Transactions</w:t>
      </w:r>
      <w:r>
        <w:rPr>
          <w:rFonts w:ascii="Arial" w:cs="Arial" w:eastAsia="Arial" w:hAnsi="Arial"/>
          <w:sz w:val="16"/>
          <w:szCs w:val="16"/>
          <w:color w:val="auto"/>
        </w:rPr>
        <w:t>” means transactions pursuant to the Permian JV Transaction Documents described in clauses (v), (vi) and</w:t>
      </w:r>
    </w:p>
    <w:p>
      <w:pPr>
        <w:spacing w:after="0" w:line="46" w:lineRule="exact"/>
        <w:rPr>
          <w:sz w:val="20"/>
          <w:szCs w:val="20"/>
          <w:color w:val="auto"/>
        </w:rPr>
      </w:pPr>
    </w:p>
    <w:p>
      <w:pPr>
        <w:ind w:left="360" w:hanging="352"/>
        <w:spacing w:after="0"/>
        <w:tabs>
          <w:tab w:leader="none" w:pos="3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of the definition thereof pursuant to which (i) the Company sells or is obligated to sell any portion of its Petroleum Products inventory to Permian JV,</w:t>
      </w:r>
    </w:p>
    <w:p>
      <w:pPr>
        <w:spacing w:after="0" w:line="32" w:lineRule="exact"/>
        <w:rPr>
          <w:rFonts w:ascii="Arial" w:cs="Arial" w:eastAsia="Arial" w:hAnsi="Arial"/>
          <w:sz w:val="16"/>
          <w:szCs w:val="16"/>
          <w:color w:val="auto"/>
        </w:rPr>
      </w:pPr>
    </w:p>
    <w:p>
      <w:pPr>
        <w:ind w:firstLine="8"/>
        <w:spacing w:after="0" w:line="290" w:lineRule="auto"/>
        <w:tabs>
          <w:tab w:leader="none" w:pos="29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Permian JV transports such Petroleum Products inventory to a Plains Terminal delivery point and (iii) upon delivery of such Petroleum Products inventory by Permian JV to such Plains Terminal delivery point, the Company repurchases such Petroleum Products inventory from Permian JV.</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 Merger Agreement</w:t>
      </w:r>
      <w:r>
        <w:rPr>
          <w:rFonts w:ascii="Arial" w:cs="Arial" w:eastAsia="Arial" w:hAnsi="Arial"/>
          <w:sz w:val="18"/>
          <w:szCs w:val="18"/>
          <w:color w:val="auto"/>
        </w:rPr>
        <w:t>” means that certain Agreement and Plan of Merger dated as of July 12, 2021 by and among Plains Pipeline, the Company, Oryx Midstream Holdings LLC and certain affiliates, Permian JV, POPB Marketing and POPB Pipeline, together with all exhibits and schedules attached thereto, attached to PAA’s Form 8-K filed with the SEC on July 13,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 Transaction Documents</w:t>
      </w:r>
      <w:r>
        <w:rPr>
          <w:rFonts w:ascii="Arial" w:cs="Arial" w:eastAsia="Arial" w:hAnsi="Arial"/>
          <w:sz w:val="18"/>
          <w:szCs w:val="18"/>
          <w:color w:val="auto"/>
        </w:rPr>
        <w:t>” means:</w:t>
      </w:r>
    </w:p>
    <w:p>
      <w:pPr>
        <w:spacing w:after="0" w:line="225" w:lineRule="exact"/>
        <w:rPr>
          <w:sz w:val="20"/>
          <w:szCs w:val="20"/>
          <w:color w:val="auto"/>
        </w:rPr>
      </w:pPr>
    </w:p>
    <w:p>
      <w:pPr>
        <w:ind w:left="1740" w:hanging="436"/>
        <w:spacing w:after="0"/>
        <w:tabs>
          <w:tab w:leader="none" w:pos="17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Permian JV Merger Agreement;</w:t>
      </w:r>
    </w:p>
    <w:p>
      <w:pPr>
        <w:spacing w:after="0" w:line="225" w:lineRule="exact"/>
        <w:rPr>
          <w:rFonts w:ascii="Arial" w:cs="Arial" w:eastAsia="Arial" w:hAnsi="Arial"/>
          <w:sz w:val="18"/>
          <w:szCs w:val="18"/>
          <w:color w:val="auto"/>
        </w:rPr>
      </w:pPr>
    </w:p>
    <w:p>
      <w:pPr>
        <w:ind w:left="660" w:firstLine="644"/>
        <w:spacing w:after="0" w:line="342" w:lineRule="auto"/>
        <w:tabs>
          <w:tab w:leader="none" w:pos="177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“Divisive Merger Agreements”, the “Oryx Holdings Contribution Agreement”, the “Marketing Certificate of Merger”, the “Marketing Conversion Certificates” and the “Pipeline Conversion Certificates”, as such terms are defined in the Permian JV Merger Agreement;</w:t>
      </w:r>
    </w:p>
    <w:p>
      <w:pPr>
        <w:spacing w:after="0" w:line="123" w:lineRule="exact"/>
        <w:rPr>
          <w:rFonts w:ascii="Arial" w:cs="Arial" w:eastAsia="Arial" w:hAnsi="Arial"/>
          <w:sz w:val="16"/>
          <w:szCs w:val="16"/>
          <w:color w:val="auto"/>
        </w:rPr>
      </w:pPr>
    </w:p>
    <w:p>
      <w:pPr>
        <w:ind w:left="1800" w:hanging="496"/>
        <w:spacing w:after="0"/>
        <w:tabs>
          <w:tab w:leader="none" w:pos="18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“Middle Cadence Contribution Agreement”, as such term is defined in the Permian JV Merger Agreement;</w:t>
      </w:r>
    </w:p>
    <w:p>
      <w:pPr>
        <w:spacing w:after="0" w:line="225" w:lineRule="exact"/>
        <w:rPr>
          <w:rFonts w:ascii="Arial" w:cs="Arial" w:eastAsia="Arial" w:hAnsi="Arial"/>
          <w:sz w:val="18"/>
          <w:szCs w:val="18"/>
          <w:color w:val="auto"/>
        </w:rPr>
      </w:pPr>
    </w:p>
    <w:p>
      <w:pPr>
        <w:ind w:left="660" w:firstLine="644"/>
        <w:spacing w:after="0" w:line="277" w:lineRule="auto"/>
        <w:tabs>
          <w:tab w:leader="none" w:pos="17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Amended and Restated Limited Liability Company Agreement of Permian JV, substantially in the form of Exhibit C-2 to the Permian JV Merger Agreement;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“Employee Matters Agreement”, the “Operating Agreement”, the “Marketing Services Agreement”, the “Buy/Sell Contract”, the “McCamey Capacity Lease”, the “Basin Capacity Lease”, the “Storage and Contango Agreement”, the “First Purchase Contract Assignment” and the “Secondment Agreement”, as such terms are defined in the Permian JV Merger Agreement;</w:t>
      </w:r>
    </w:p>
    <w:p>
      <w:pPr>
        <w:spacing w:after="0" w:line="183" w:lineRule="exact"/>
        <w:rPr>
          <w:rFonts w:ascii="Arial" w:cs="Arial" w:eastAsia="Arial" w:hAnsi="Arial"/>
          <w:sz w:val="18"/>
          <w:szCs w:val="18"/>
          <w:color w:val="auto"/>
        </w:rPr>
      </w:pPr>
    </w:p>
    <w:p>
      <w:pPr>
        <w:ind w:left="660" w:firstLine="644"/>
        <w:spacing w:after="0" w:line="277" w:lineRule="auto"/>
        <w:tabs>
          <w:tab w:leader="none" w:pos="17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“OMOG Services Agreement Assignment” and the “OMOG Services Agreement”, as such terms are defined in the Permian JV Merger Agreement;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9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capacity leases by and between POPB Marketing and POPB Pipeline for the BHT System, Iatan Gathering System, Porterville Pipeline and Scurry Pipeline,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2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such other documents required to carry out the intention and purpose of the Permian JV Merger Agreement, including any connection agreements and shared facility use agreements;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as amended from time to time.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Inventory Liens</w:t>
      </w:r>
      <w:r>
        <w:rPr>
          <w:rFonts w:ascii="Arial" w:cs="Arial" w:eastAsia="Arial" w:hAnsi="Arial"/>
          <w:sz w:val="18"/>
          <w:szCs w:val="18"/>
          <w:color w:val="auto"/>
        </w:rPr>
        <w:t>” means (i) any Lien, and the amount of any liability secured thereby, on Petroleum Products inventory imposed by any governmental authority for taxes, assessments or charges not yet due or the validity of which is being contested in good faith and by appropriate proceedings, if necessary, for which adequate reserves are maintained on the books of the applicable Borrower in accordance with GAAP or other applicable accounting principles and standards, as applicable (so long as such Lien is inchoate) or (ii) carriers’, warehousemen’s, mechanics’, materialmen’s, repairmen’s, landlord’s, or other like Liens (including, without limitation, Liens on property of any Borrower in the possession of storage facilities, pipelines or barges) arising in the ordinary course of business for amounts which are not more than 60 days past due or the validity of which is being contested in good faith and by appropriate proceedings, if necessary, and for which adequate reserves are maintained on the books of Borrower in accordance with GAAP.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Terminal</w:t>
      </w:r>
      <w:r>
        <w:rPr>
          <w:rFonts w:ascii="Arial" w:cs="Arial" w:eastAsia="Arial" w:hAnsi="Arial"/>
          <w:sz w:val="18"/>
          <w:szCs w:val="18"/>
          <w:color w:val="auto"/>
        </w:rPr>
        <w:t>” means any storage terminal, tankage or facility owned by (i) any Borrower or PAA, or (ii) by any Affiliate of the Company or PAA that has executed and delivered a bailee letter in form and substance reasonably acceptable to Administrative Agent with respect to any Collateral stored at such terminal, tankage or facility.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PMCULC</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POPB Marketing</w:t>
      </w:r>
      <w:r>
        <w:rPr>
          <w:rFonts w:ascii="Arial" w:cs="Arial" w:eastAsia="Arial" w:hAnsi="Arial"/>
          <w:sz w:val="16"/>
          <w:szCs w:val="16"/>
          <w:color w:val="auto"/>
        </w:rPr>
        <w:t>” means Plains Oryx Permian Basin Marketing LLC, a Texas limited liability company, a wholly-owned Subsidiary of Permian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JV.</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POPB Pipeline</w:t>
      </w:r>
      <w:r>
        <w:rPr>
          <w:rFonts w:ascii="Arial" w:cs="Arial" w:eastAsia="Arial" w:hAnsi="Arial"/>
          <w:sz w:val="16"/>
          <w:szCs w:val="16"/>
          <w:color w:val="auto"/>
        </w:rPr>
        <w:t>” means Plains Oryx Permian Basin Pipeline LLC, a Texas limited liability company, a wholly-owned Subsidiary of Permian JV.</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any L/C Issuer or any other recipient of any payment to be made by or on account of any obligation of any Loan Party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(including Canadian BA’s), conversion or continuation of Committed Loans, a Committed Loan Notice, (b) with respect to an L/C Credit Extension, a Letter of Credit Application, and (c) with respect to a Swing Line Loan, a Swing Line Loan Notice.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Aggregate Commitments or, if the commitment of each Lender to make Loans and the obligation of the L/C Issuers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Outstandings held or deemed held by, any Defaulting Lender shall be excluded for purposes of making a determination of Required Lenders.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xml:space="preserve">” has the meaning as defined in </w:t>
      </w:r>
      <w:r>
        <w:rPr>
          <w:rFonts w:ascii="Arial" w:cs="Arial" w:eastAsia="Arial" w:hAnsi="Arial"/>
          <w:sz w:val="18"/>
          <w:szCs w:val="18"/>
          <w:u w:val="single" w:color="auto"/>
          <w:color w:val="auto"/>
        </w:rPr>
        <w:t>Section 2.12(b)(ii)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vice president, chief financial officer, treasurer, assistant treasurer or controller of a Loan Party,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the secretary or any assistant secretary of such Loan Party, or any general partner thereof or any general partner of any such general partner or any sole member thereof, as the case may be, and solely for purposes of notices given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such Loan Party,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a Loan Party, or any general partner thereof or any general partner of any such general partner or any sole member thereof, as the case may be, shall be conclusively presumed to have been authorized by all necessary corporate, partnership or other equivalent action on the part of such Loan Party, and such Responsible Officer shall be conclusively presumed to have acted on behalf of such Loan Party or any other officer or employee of such Loan Party, or any general partner thereof or any general partner of any such general partner or any sole member thereof, designated in or pursuant to an agreement between such Loan Party and the Administrative Agent.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or other property, but excluding dividends or other distributions payable in Equity Interests in any Borrower) with respect to any Equity Interest of any Borrower, or any payment (whether in cash or other property, but excluding dividends or other distributions payable in Equity Interests in any Borrower), including any sinking fund or similar deposit, on account of the purchase, redemption, retirement, acquisition, cancellation or termination for value of any Equity Interest of any Borrower, or on account of any return of capital to holders of any Equity Interests of any Borrower.</w:t>
      </w:r>
    </w:p>
    <w:p>
      <w:pPr>
        <w:spacing w:after="0" w:line="18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any Borrower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such Borrower, or the property, assets or operations of such Borrower,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any Borrower, which restricts the transfer of the property subject to such mortgages, deeds of trust, pledges or other security instruments, or (iii) customary provisions restricting disposition of, or encumbrances on, real property interests set forth in any reciprocal easements of any Borrower, (d) restrictions imposed pursuant to (i) this Agreement and the other Loan Documents, (ii) the PAA Credit Agreement, or</w:t>
      </w:r>
    </w:p>
    <w:p>
      <w:pPr>
        <w:spacing w:after="0" w:line="2" w:lineRule="exact"/>
        <w:rPr>
          <w:sz w:val="20"/>
          <w:szCs w:val="20"/>
          <w:color w:val="auto"/>
        </w:rPr>
      </w:pPr>
    </w:p>
    <w:p>
      <w:pPr>
        <w:jc w:val="both"/>
        <w:ind w:firstLine="8"/>
        <w:spacing w:after="0" w:line="267" w:lineRule="auto"/>
        <w:tabs>
          <w:tab w:leader="none" w:pos="32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the Permian JV Transaction Documents as in effect as of the Closing Date, (e) restrictions on the transfer or encumbrance of property or assets which are imposed by the holder of Liens on property or assets of any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 is consummated in compliance with any applicable provisions of this Agreement, (g) net worth provisions in leases and other agreements entered into by any Borrower in the ordinary course of business, (h) an agreement governing Indebtedness incurred to refinance the Indebtedness issued, assumed or incurred pursuant to an agreement referred to in clauses (d) and (e)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relating to such encumbrance or restriction contained in any such Indebtedness are no less favorable to the applicable Borrower in any material respect as determined by the sole member of the General Partner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means (a) with respect to any Loan, each of the following: (i) each date of a Borrowing of a Eurocurrency Rate Loan denominated in Canadian Dollars, (ii) each date of a continuation of a Eurocurrency Rate Loan denominated in Canadian Dollars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(iii) such additional dates as the Administrative Agent shall determine or the Required Lenders shall require; (b) with respect to any Letter of Credit, each of the following: (i) each date of issuance of a Letter of Credit denominated in Canadian Dollars, (ii) each date of an amendment of any such Letter of Credit having the effect of increasing the amount thereof (solely with respect to the increased amount), (iii) each date of any payment by the L/C Issuers under any Letter of Credit denominated in Canadian Dollars, (iv) in the case of the Existing Letters of Credit, the Closing Date, and (v) such additional dates as the Administrative Agent or the L/C Issuers shall determine or the Required Lenders shall require; (c) with respect to Loans and Letters of Credit, each date on which a Borrower would otherwise be required to make a prepayment or Cash Collateralize payment Obligations pursuant to </w:t>
      </w:r>
      <w:r>
        <w:rPr>
          <w:rFonts w:ascii="Arial" w:cs="Arial" w:eastAsia="Arial" w:hAnsi="Arial"/>
          <w:sz w:val="17"/>
          <w:szCs w:val="17"/>
          <w:u w:val="single" w:color="auto"/>
          <w:color w:val="auto"/>
        </w:rPr>
        <w:t>Section 2.05(d)</w:t>
      </w:r>
      <w:r>
        <w:rPr>
          <w:rFonts w:ascii="Arial" w:cs="Arial" w:eastAsia="Arial" w:hAnsi="Arial"/>
          <w:sz w:val="17"/>
          <w:szCs w:val="17"/>
          <w:color w:val="auto"/>
        </w:rPr>
        <w:t>; and (d) with respect to any Canadian BA, each of the following: (i) each date of the funding of such Canadian BA and (ii) such additional dates as the Administrative Agent shall determine or the Required Lenders shall require.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Financial Services LLC, a subsidiary of S&amp;P Global Inc., and any successor to the ratings agency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Value</w:t>
      </w:r>
      <w:r>
        <w:rPr>
          <w:rFonts w:ascii="Arial" w:cs="Arial" w:eastAsia="Arial" w:hAnsi="Arial"/>
          <w:sz w:val="17"/>
          <w:szCs w:val="17"/>
          <w:color w:val="auto"/>
        </w:rPr>
        <w:t xml:space="preserve">” means, as to Hedged Eligible Inventory subject to sales contracts and such corresponding sales contracts with respect thereto, an amount equal to the volumes of such Hedged Eligible Inventory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sale price with respect to which Lenders are financing the Cash and Carry Purchase (or refinancing the storage) thereof, minus all related storage, transportation and other applicable costs, as set forth therein.</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means (a) with respect to disbursements and payments in Dollars, immediately available funds, and (b) with respect to disbursements and payments in Canadian Dollars, same day funds as may be determined by the Administrative Agent or the applicable L/C Issuer, as the case may be, to be customary in the place of disbursement or payment for the settlement of international banking transactions in Canadian Dollars.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w:t>
      </w:r>
      <w:r>
        <w:rPr>
          <w:rFonts w:ascii="Arial" w:cs="Arial" w:eastAsia="Arial" w:hAnsi="Arial"/>
          <w:sz w:val="18"/>
          <w:szCs w:val="18"/>
          <w:color w:val="auto"/>
        </w:rPr>
        <w:t>” means any economic or trade sanction administered or enforced by the United States Government (including without limitation,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of any relevant jurisdiction where any Loan Party maintains assets or engages in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 Issuers,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a Borrower’s Obligations owing to which are or are purported to be secured by the Collateral under the terms of the Collateral Documents.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Fifth Amended and Restated Security Agreement dated as of the date hereof by Borrowers in favor of Administrative Agent.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Early Opt-in</w:t>
      </w:r>
      <w:r>
        <w:rPr>
          <w:rFonts w:ascii="Arial" w:cs="Arial" w:eastAsia="Arial" w:hAnsi="Arial"/>
          <w:sz w:val="18"/>
          <w:szCs w:val="18"/>
          <w:color w:val="auto"/>
        </w:rPr>
        <w:t xml:space="preserve">” means the Administrative Agent and the Company have elected to replace LIBOR pursuant to (1) an Early Opt-in Election and (2) Section </w:t>
      </w:r>
      <w:r>
        <w:rPr>
          <w:rFonts w:ascii="Arial" w:cs="Arial" w:eastAsia="Arial" w:hAnsi="Arial"/>
          <w:sz w:val="18"/>
          <w:szCs w:val="18"/>
          <w:u w:val="single" w:color="auto"/>
          <w:color w:val="auto"/>
        </w:rPr>
        <w:t>3.03(c)(i)</w:t>
      </w:r>
      <w:r>
        <w:rPr>
          <w:rFonts w:ascii="Arial" w:cs="Arial" w:eastAsia="Arial" w:hAnsi="Arial"/>
          <w:sz w:val="18"/>
          <w:szCs w:val="18"/>
          <w:color w:val="auto"/>
        </w:rPr>
        <w:t xml:space="preserve"> and paragraph (1) of the definition of “Benchmark Replacement.”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12:00 p.m. on the Business Day immediately preceding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L/C Issuer, as the case may be, may obtain such spot rate from another comparable and major financial institution reasonably designated by the Administrative Agent or such L/C Issuer, as the case may be, if the Person acting in such capacity does not have as of the date of determination a spot buying rate available to it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L/C Issuer may use such spot rate quoted on the date as of which the foreign exchange computation is made in the case of any Letter of Credit denominated in Canadian Dollars.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 provided, however, that “Swap Contract” shall not include any physical sales or purchase contract.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made by a Borrower in favor of the Swing Line Lender evidencing Swing Line Loans made by the Swing Line Lender to such Borrower,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$75,000,000 and (b) the Aggregate Commitments. The Swing Line Sublimit is part of, and not in addition to, the Aggregate Commitments.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means each Person from time to time and at each relevant time acting in the capacity as a syndication agent, co-syndication agent, joint-syndication agent or similar syndication agent capacity in connection with this Agreement, Citibank, N.A., JPMorgan Chase Bank, N.A. and Wells Fargo Bank, National Association are acting in the capacity as co-syndication agents.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jc w:val="both"/>
        <w:ind w:firstLine="8"/>
        <w:spacing w:after="0" w:line="277" w:lineRule="auto"/>
        <w:tabs>
          <w:tab w:leader="none" w:pos="27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included in the foregoing, Operating Leases entered into in the ordinary course of business are excluded therefrom.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30" w:name="page231"/>
    <w:bookmarkEnd w:id="230"/>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$150,000,000.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all L/C Obligations and all Canadian BA’s.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Tri-Party Agreement</w:t>
      </w:r>
      <w:r>
        <w:rPr>
          <w:rFonts w:ascii="Arial" w:cs="Arial" w:eastAsia="Arial" w:hAnsi="Arial"/>
          <w:sz w:val="17"/>
          <w:szCs w:val="17"/>
          <w:color w:val="auto"/>
        </w:rPr>
        <w:t>” means (i) that certain Security Agreement and Assignment of Hedging Account and Agency Agreement dated September 3, 2009 among the Company, Administrative Agent and Barclays Capital Inc., (ii) that certain Security Agreement and Assignment of Hedging Account and Agency Agreement dated August __, 2021 among PMCULC, Administrative Agent, and RBC Capital Markets Inc., and (iii) each other security agreement and assignment of hedging account and agency agreement with and satisfactory to Administrative Agent.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or a Swing Line Loan, its character as a Base Rate Loan, a Canadian Prime Rate Loan or a Eurocurrency Rate Loan.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International Chamber of Commerce Publication No. 600 (or such later version thereof as may be in effect at the applicable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Company, PMCULC and the Administrative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1.02 Other Interpretive Provisions</w:t>
      </w:r>
      <w:r>
        <w:rPr>
          <w:rFonts w:ascii="Arial" w:cs="Arial" w:eastAsia="Arial" w:hAnsi="Arial"/>
          <w:sz w:val="18"/>
          <w:szCs w:val="18"/>
          <w:color w:val="auto"/>
        </w:rPr>
        <w:t>. With reference to this Agreement and each other Loan Document, unless otherwise specified herein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Loan Document:</w:t>
      </w:r>
    </w:p>
    <w:p>
      <w:pPr>
        <w:spacing w:after="0" w:line="166" w:lineRule="exact"/>
        <w:rPr>
          <w:sz w:val="20"/>
          <w:szCs w:val="20"/>
          <w:color w:val="auto"/>
        </w:rPr>
      </w:pPr>
    </w:p>
    <w:p>
      <w:pPr>
        <w:jc w:val="both"/>
        <w:ind w:firstLine="656"/>
        <w:spacing w:after="0" w:line="284" w:lineRule="auto"/>
        <w:tabs>
          <w:tab w:leader="none" w:pos="111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 “</w:t>
      </w:r>
      <w:r>
        <w:rPr>
          <w:rFonts w:ascii="Arial" w:cs="Arial" w:eastAsia="Arial" w:hAnsi="Arial"/>
          <w:sz w:val="16"/>
          <w:szCs w:val="16"/>
          <w:u w:val="single" w:color="auto"/>
          <w:color w:val="auto"/>
        </w:rPr>
        <w:t>or</w:t>
      </w:r>
      <w:r>
        <w:rPr>
          <w:rFonts w:ascii="Arial" w:cs="Arial" w:eastAsia="Arial" w:hAnsi="Arial"/>
          <w:sz w:val="16"/>
          <w:szCs w:val="16"/>
          <w:color w:val="auto"/>
        </w:rPr>
        <w:t>” is not exclusive and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4" w:lineRule="exact"/>
        <w:rPr>
          <w:rFonts w:ascii="Arial" w:cs="Arial" w:eastAsia="Arial" w:hAnsi="Arial"/>
          <w:sz w:val="16"/>
          <w:szCs w:val="16"/>
          <w:color w:val="auto"/>
        </w:rPr>
      </w:pPr>
    </w:p>
    <w:p>
      <w:pPr>
        <w:jc w:val="both"/>
        <w:ind w:firstLine="8"/>
        <w:spacing w:after="0" w:line="281" w:lineRule="auto"/>
        <w:tabs>
          <w:tab w:leader="none" w:pos="28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any reference herein to any Person shall be construed to include such Person’s successors and permitted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w:t>
      </w:r>
    </w:p>
    <w:p>
      <w:pPr>
        <w:spacing w:after="0" w:line="3" w:lineRule="exact"/>
        <w:rPr>
          <w:rFonts w:ascii="Arial" w:cs="Arial" w:eastAsia="Arial" w:hAnsi="Arial"/>
          <w:sz w:val="16"/>
          <w:szCs w:val="16"/>
          <w:color w:val="auto"/>
        </w:rPr>
      </w:pPr>
    </w:p>
    <w:p>
      <w:pPr>
        <w:ind w:firstLine="8"/>
        <w:spacing w:after="0" w:line="260" w:lineRule="auto"/>
        <w:tabs>
          <w:tab w:leader="none" w:pos="30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85" w:lineRule="exact"/>
        <w:rPr>
          <w:rFonts w:ascii="Arial" w:cs="Arial" w:eastAsia="Arial" w:hAnsi="Arial"/>
          <w:sz w:val="18"/>
          <w:szCs w:val="18"/>
          <w:color w:val="auto"/>
        </w:rPr>
      </w:pPr>
    </w:p>
    <w:p>
      <w:pPr>
        <w:ind w:firstLine="656"/>
        <w:spacing w:after="0" w:line="277" w:lineRule="auto"/>
        <w:tabs>
          <w:tab w:leader="none" w:pos="1127"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1117"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jc w:val="both"/>
        <w:ind w:firstLine="656"/>
        <w:spacing w:after="0" w:line="255" w:lineRule="auto"/>
        <w:tabs>
          <w:tab w:leader="none" w:pos="112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Accounting Terms.</w:t>
      </w:r>
    </w:p>
    <w:p>
      <w:pPr>
        <w:spacing w:after="0" w:line="229" w:lineRule="exact"/>
        <w:rPr>
          <w:sz w:val="20"/>
          <w:szCs w:val="20"/>
          <w:color w:val="auto"/>
        </w:rPr>
      </w:pPr>
    </w:p>
    <w:p>
      <w:pPr>
        <w:jc w:val="both"/>
        <w:ind w:firstLine="656"/>
        <w:spacing w:after="0" w:line="287" w:lineRule="auto"/>
        <w:tabs>
          <w:tab w:leader="none" w:pos="1117"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spacing w:after="0" w:line="171" w:lineRule="exact"/>
        <w:rPr>
          <w:rFonts w:ascii="Arial" w:cs="Arial" w:eastAsia="Arial" w:hAnsi="Arial"/>
          <w:sz w:val="16"/>
          <w:szCs w:val="16"/>
          <w:color w:val="auto"/>
        </w:rPr>
      </w:pPr>
    </w:p>
    <w:p>
      <w:pPr>
        <w:jc w:val="both"/>
        <w:ind w:firstLine="656"/>
        <w:spacing w:after="0" w:line="270" w:lineRule="auto"/>
        <w:tabs>
          <w:tab w:leader="none" w:pos="1127"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until so amended, (i) such ratio or requirement shall continue to be computed in accordance with GAAP prior to such change therein and (ii) the Company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jc w:val="both"/>
        <w:ind w:firstLine="648"/>
        <w:spacing w:after="0" w:line="266"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Company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1.05 Times of Day</w:t>
      </w:r>
      <w:r>
        <w:rPr>
          <w:rFonts w:ascii="Arial" w:cs="Arial" w:eastAsia="Arial" w:hAnsi="Arial"/>
          <w:sz w:val="18"/>
          <w:szCs w:val="18"/>
          <w:color w:val="auto"/>
        </w:rPr>
        <w:t>. 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Exchange Rates; Currency Equivalents.</w:t>
      </w:r>
    </w:p>
    <w:p>
      <w:pPr>
        <w:spacing w:after="0" w:line="229" w:lineRule="exact"/>
        <w:rPr>
          <w:sz w:val="20"/>
          <w:szCs w:val="20"/>
          <w:color w:val="auto"/>
        </w:rPr>
      </w:pPr>
    </w:p>
    <w:p>
      <w:pPr>
        <w:jc w:val="both"/>
        <w:ind w:firstLine="656"/>
        <w:spacing w:after="0" w:line="291" w:lineRule="auto"/>
        <w:tabs>
          <w:tab w:leader="none" w:pos="111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Administrative Agent or the applicable L/C Issuer, as applicable, shall determine the Spot Rates as of each Revaluation Date to be used for calculating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The Administrative Agent or the applicable L/C Issuer, as applicable, shall notify the Company from time to time upon request of the Spot Rate in effect at such time and the determination thereof.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66" w:lineRule="exact"/>
        <w:rPr>
          <w:rFonts w:ascii="Arial" w:cs="Arial" w:eastAsia="Arial" w:hAnsi="Arial"/>
          <w:sz w:val="16"/>
          <w:szCs w:val="16"/>
          <w:color w:val="auto"/>
        </w:rPr>
      </w:pPr>
    </w:p>
    <w:p>
      <w:pPr>
        <w:jc w:val="both"/>
        <w:ind w:firstLine="656"/>
        <w:spacing w:after="0" w:line="257" w:lineRule="auto"/>
        <w:tabs>
          <w:tab w:leader="none" w:pos="112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Canadian Dollars, such amount shall be the Canadian Dollar Equivalent of such Dollar amount (rounded to the nearest unit of Canadian Dollars, with 0.5 of a unit being rounded upward), as determined by the Administrative Agent or the applicable L/C Issuer, as the case may be.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1.07 Letter of Credit Amounts</w:t>
      </w:r>
      <w:r>
        <w:rPr>
          <w:rFonts w:ascii="Arial" w:cs="Arial" w:eastAsia="Arial" w:hAnsi="Arial"/>
          <w:sz w:val="16"/>
          <w:szCs w:val="16"/>
          <w:color w:val="auto"/>
        </w:rPr>
        <w:t>. Unless otherwise specified herein, the amount of a Letter of Credit at any time shall be deemed to be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Dollar Equivalent of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any Letter of Credit that, by its terms or the terms of any Issuer Document related thereto, provides for one or more automatic reductions in the stated amount thereof, the amount of such Letter of Credit shall be deemed to be the Dollar Equivalent of the amount available to be drawn under such Letter of Credit at such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648"/>
        <w:spacing w:after="0" w:line="261" w:lineRule="auto"/>
        <w:rPr>
          <w:sz w:val="20"/>
          <w:szCs w:val="20"/>
          <w:color w:val="auto"/>
        </w:rPr>
      </w:pPr>
      <w:r>
        <w:rPr>
          <w:rFonts w:ascii="Arial" w:cs="Arial" w:eastAsia="Arial" w:hAnsi="Arial"/>
          <w:sz w:val="18"/>
          <w:szCs w:val="18"/>
          <w:b w:val="1"/>
          <w:bCs w:val="1"/>
          <w:color w:val="auto"/>
        </w:rPr>
        <w:t>1.08 Interest Rates</w:t>
      </w:r>
      <w:r>
        <w:rPr>
          <w:rFonts w:ascii="Arial" w:cs="Arial" w:eastAsia="Arial" w:hAnsi="Arial"/>
          <w:sz w:val="18"/>
          <w:szCs w:val="18"/>
          <w:color w:val="auto"/>
        </w:rPr>
        <w:t>. The Administrative Agent does not warrant, nor accept responsibility, nor shall the Administrative Agent have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administration, submission or any other matter related to the rates in the definition of “Eurocurrency Rate” or with respect to any rate that is an alternative or replacement for or successor to any of such rate (including, without limitation, any Benchmark Replacement) or the effect of any of the foregoing, or of any Benchmark Replacement Conforming Changes.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THE COMMITMENTS AND CREDIT EXTENSIONS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2.01 Committed Loans</w:t>
      </w:r>
      <w:r>
        <w:rPr>
          <w:rFonts w:ascii="Arial" w:cs="Arial" w:eastAsia="Arial" w:hAnsi="Arial"/>
          <w:sz w:val="17"/>
          <w:szCs w:val="17"/>
          <w:color w:val="auto"/>
        </w:rPr>
        <w:t>. Subject to the terms and conditions set forth herein, each Lender severally agrees to make loans to finance Hedged</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Inventory (each such loan, a “</w:t>
      </w:r>
      <w:r>
        <w:rPr>
          <w:rFonts w:ascii="Arial" w:cs="Arial" w:eastAsia="Arial" w:hAnsi="Arial"/>
          <w:sz w:val="17"/>
          <w:szCs w:val="17"/>
          <w:u w:val="single" w:color="auto"/>
          <w:color w:val="auto"/>
        </w:rPr>
        <w:t>Committed Loan</w:t>
      </w:r>
      <w:r>
        <w:rPr>
          <w:rFonts w:ascii="Arial" w:cs="Arial" w:eastAsia="Arial" w:hAnsi="Arial"/>
          <w:sz w:val="17"/>
          <w:szCs w:val="17"/>
          <w:color w:val="auto"/>
        </w:rPr>
        <w:t xml:space="preserve">”) to each requesting Borrower in Dollars or in Canadian Dollars, as so requested, from time to time, and accept drafts of Canadian Bankers’ Acceptances issued under this Agreement by PMCULC, in each case, on a several basis, on any Business Day during the Availability Period, in an aggregate principal amount not to exceed at any time outstanding the amount of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immediately after giving effect to any Committed Borrowing and determined as of the date on which such Committed Loans are made, (i) the Total Outstandings shall not exceed the Aggregate Commitments, (ii) the Outstanding Amount of all Loans, all L/C Obligations and all Canadian BA’s of any Borrower does not exceed such Borrower’s Collateral Value, and (iii) the aggregate Outstanding Amount of the Committed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Canadian BA’s (or Canadian BA Equivalent Loans) accepted and purchased from PMCULC shall not exceed such Lender’s Commitment. Within the limits of each Lender’s Commitment, and subject to the other terms and conditions hereof, each requesting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Committed Loans may be Base Rate Loans (with respect to Loans denominated in Dollars), Canadian Prime Rate Loans (with respect to Loans denominated in Canadian Dollars), or Eurocurrency Rate Loans, as further provided herein.</w:t>
      </w:r>
    </w:p>
    <w:p>
      <w:pPr>
        <w:spacing w:after="0" w:line="1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Committed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Each Committed Borrowing, each conversion of Committed Loans from one Type to the other, and each continuation of Eurocurrency Rate Committed Loans shall be made upon a Borrower’s irrevocable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notice to the Administrative Agent, which may be given by</w:t>
      </w:r>
    </w:p>
    <w:p>
      <w:pPr>
        <w:jc w:val="both"/>
        <w:ind w:firstLine="8"/>
        <w:spacing w:after="0" w:line="284" w:lineRule="auto"/>
        <w:tabs>
          <w:tab w:leader="none" w:pos="31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telephone, or (B) a Committed Loan Notice; provided that any telephonic notice must be confirmed immediately by delivery to the Administrative Agent of a Committed Loan Notice. Each such Committed Loan Notice must be received by the Administrative Agent not later than 12:00 p.m. (i) three Business Days prior to the requested date of (A) any Borrowing of Eurocurrency Rate Committed Loans (as to Canadian Dollars), (B) any continuation of Eurocurrency Rate Committed Loans (as to Canadian Dollars) or (C) any Borrowing of Canadian BA’s, (ii) two Business Days prior to the requested date of (A) any Borrowing of Eurocurrency Rate Committed Loans (with respect to Loans denominated in Dollars), or (B) any conversion to or continuation of Eurocurrency Rate Committed Loans (with respect to Loans denominated in Dollars), and (iii) on the requested date of any Borrowing of or conversion to Base Rate Committed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Borrower wishes to request (x) Eurocurrency Rate Committed Loans (with respect to Loans denominated in Dollars) having an Interest Period other than one month, three months or six months in duration or (y) Eurocurrency Rate Committed Loans (with respect to Loans denominated in Canadian Dollars) having an Interest Period other than one month, two months or three months, in each case,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all such Lenders and (y) not later than 12:00 p.m., two Business Days before the requested date of such Borrowing, conversion or continuation, shall notify such Borrower (which notice may be by telephone) whether or not the requested Interest Period has been consented to by all the Lenders.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firstLine="656"/>
        <w:spacing w:after="0" w:line="301" w:lineRule="auto"/>
        <w:tabs>
          <w:tab w:leader="none" w:pos="112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Each Borrowing of, conversion to or continuation of Eurocurrency Rate Committed Loans shall be (A) with respect to Loans denominated in Dollars, in a principal amount of $1,000,000 or a whole multiple of $100,000 in excess thereof and (B) with respect to Loans denominated in Canadian Dollars, in a principal amount of C$1,000,000 or a whole multiple of C$100,000 in excess thereof. Except as provided in </w:t>
      </w:r>
      <w:r>
        <w:rPr>
          <w:rFonts w:ascii="Arial" w:cs="Arial" w:eastAsia="Arial" w:hAnsi="Arial"/>
          <w:sz w:val="16"/>
          <w:szCs w:val="16"/>
          <w:u w:val="single" w:color="auto"/>
          <w:color w:val="auto"/>
        </w:rPr>
        <w:t>Sections 2.03(f)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Committed Loans shall be in a principal amount of $1,000,000 or a whole multiple of $100,000 in excess thereof.</w:t>
      </w:r>
    </w:p>
    <w:p>
      <w:pPr>
        <w:spacing w:after="0" w:line="157" w:lineRule="exact"/>
        <w:rPr>
          <w:rFonts w:ascii="Arial" w:cs="Arial" w:eastAsia="Arial" w:hAnsi="Arial"/>
          <w:sz w:val="16"/>
          <w:szCs w:val="16"/>
          <w:color w:val="auto"/>
        </w:rPr>
      </w:pPr>
    </w:p>
    <w:p>
      <w:pPr>
        <w:jc w:val="both"/>
        <w:ind w:firstLine="656"/>
        <w:spacing w:after="0" w:line="286" w:lineRule="auto"/>
        <w:tabs>
          <w:tab w:leader="none" w:pos="111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Each Committed Loan Notice shall specify (i) whether such Borrower is requesting a Committed Borrowing, a conversion of Committed Loans from one Type to the other, or a continuation of Eurocurrency Rate Committed Loans, (ii) the requested date of the Borrowing, conversion or continuation, as the case may be (which shall be a Business Day), (iii) the principal amount of Committed Loans to be borrowed, converted or continued (or the aggregate face amount of the Canadian BA’s to be accepted, if applicable), (iv) the Type of Committed Loans to be borrowed or to which existing Committed Loans are to be converted, (v) if applicable, the duration of the Interest Period with respect thereto (or the maturity of the Canadian BA’s, if applicable), (vi) the currency of the Committed Loans to be borrowed and (vii) the applicable Borrower. If a Borrower fails to specify a currency in a Committed Loan Notice requesting a Borrowing, then the Committed Loans so requested shall be made in Dollars. If a Borrower fails to specify a Type of Committed Loan in a Committed Loan Notice or if a Borrower fails to give a timely notice requesting a conversion or continuation, then the applicable Committed Loans shall be made as, or converted to Base Rate Loans (with respect to Loans denominated in Dollars); provided, however, that in the case of a failure to timely request a continuation of Committed Loans denominated in Canadian Dollars,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Committed Loans. If a Borrower requests a Borrowing of, conversion to, or continuation of Eurocurrency Rate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656"/>
        <w:spacing w:after="0" w:line="286" w:lineRule="auto"/>
        <w:tabs>
          <w:tab w:leader="none" w:pos="112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(and currency) of its Applicable Percentage of the applicable Committed Loans or Canadian BA’s, and if no timely notice of a conversion or continuation is provided by the Company,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Canadian Dollars (or, in the case of Canadian BA’s, such amount with respect thereto in accordance with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2.01A)</w:t>
      </w:r>
      <w:r>
        <w:rPr>
          <w:rFonts w:ascii="Arial" w:cs="Arial" w:eastAsia="Arial" w:hAnsi="Arial"/>
          <w:sz w:val="16"/>
          <w:szCs w:val="16"/>
          <w:color w:val="auto"/>
        </w:rPr>
        <w:t xml:space="preserve">, in each case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applicable Borrower in like funds as received by the Administrative Agent, at the Company’s election, either by (i) crediting the account of such Borrower on the books of Bank of America with the amount of such funds or (ii) wire transfer of such funds, in each case in accordance with instructions provided to the Administrative Agent by the Company as set forth in the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immediately prior to delivery by the applicable Borrower of the Committed Loan Notice with respect to such Borrowing, there are L/C Borrowings in such currency outstanding, then the proceeds of such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applicable Borrower as provided above.</w:t>
      </w:r>
    </w:p>
    <w:p>
      <w:pPr>
        <w:spacing w:after="0" w:line="170" w:lineRule="exact"/>
        <w:rPr>
          <w:rFonts w:ascii="Arial" w:cs="Arial" w:eastAsia="Arial" w:hAnsi="Arial"/>
          <w:sz w:val="16"/>
          <w:szCs w:val="16"/>
          <w:color w:val="auto"/>
        </w:rPr>
      </w:pPr>
    </w:p>
    <w:p>
      <w:pPr>
        <w:jc w:val="both"/>
        <w:ind w:firstLine="656"/>
        <w:spacing w:after="0" w:line="255" w:lineRule="auto"/>
        <w:tabs>
          <w:tab w:leader="none" w:pos="111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Except as otherwise provided herein, a Eurocurrency Rate Committed Loan may be continued or converted only on the last day of an Interest Period for such Eurocurrency Rate Committed Loan. Upon the occurrence and during the continuation of an Event of Default, no Loans may be requested as, converted to or continued as Eurocurrency Rate Committed Loans (whether in Dollars or Canadian Dollars) without the consent of the Required Lenders, and the Required Lenders may demand that any or all of the then outstanding Eurocurrency Rate Loans denominated in Canadian Dollars be prepaid, or redenominated into Dollars in the amount of the Dollar Equivalent thereof, in each case, on the last day of the then current Interest Period with respect thereto.</w:t>
      </w:r>
    </w:p>
    <w:p>
      <w:pPr>
        <w:spacing w:after="0" w:line="192" w:lineRule="exact"/>
        <w:rPr>
          <w:rFonts w:ascii="Arial" w:cs="Arial" w:eastAsia="Arial" w:hAnsi="Arial"/>
          <w:sz w:val="18"/>
          <w:szCs w:val="18"/>
          <w:color w:val="auto"/>
        </w:rPr>
      </w:pPr>
    </w:p>
    <w:p>
      <w:pPr>
        <w:jc w:val="both"/>
        <w:ind w:firstLine="656"/>
        <w:spacing w:after="0" w:line="259" w:lineRule="auto"/>
        <w:tabs>
          <w:tab w:leader="none" w:pos="11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Company and the Lenders of the interest rate applicable to any Interest Period for Eurocurrency Rate Committed Loans upon determination of such interest rate. At any time that Base Rate Loans are outstanding, the Administrative Agent shall notify the Company and the Lenders of any change in Bank of America’s prime rate used in determining the Base Rate and the effective date thereof promptly following the public announcement of such change.</w:t>
      </w:r>
    </w:p>
    <w:p>
      <w:pPr>
        <w:spacing w:after="0" w:line="186" w:lineRule="exact"/>
        <w:rPr>
          <w:rFonts w:ascii="Arial" w:cs="Arial" w:eastAsia="Arial" w:hAnsi="Arial"/>
          <w:sz w:val="18"/>
          <w:szCs w:val="18"/>
          <w:color w:val="auto"/>
        </w:rPr>
      </w:pPr>
    </w:p>
    <w:p>
      <w:pPr>
        <w:ind w:firstLine="656"/>
        <w:spacing w:after="0" w:line="308" w:lineRule="auto"/>
        <w:tabs>
          <w:tab w:leader="none" w:pos="1127"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After giving effect to all Committed Borrowings, all conversions of Committed Loans from one Type to the other, and all continuations of Committed Loans as the same Type, there shall not be more than ten Interest Periods in effect at any one time with respect to Committed Loans.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ind w:left="660"/>
        <w:spacing w:after="0"/>
        <w:tabs>
          <w:tab w:leader="none" w:pos="11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117"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in addition to the Loans provided for in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each L/C Issuer agrees, at the request of any Borrower and in reliance on the agreements of the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to issue (and to renew, amend or extend), at any time and from time to time during the Availability Period, Letters of Credit denominated in Dollars or in Canadian Dollars (unless the applicable LC Issuer shall have notified the Company that such L/C Issuer does not as of such requested issuance date issue Letters of Credit in Canadian Dollars) for the account of the Company or PMCULC in favor of sellers of Financed Hedged Eligible Inventory, as beneficiaries, to secure purchases of Financed Hedged Eligible Inventory in such form as is acceptable to the Administrative Agent and such L/C Issuer in its reasonable determination. Letters of Credit issued hereunder shall constitute utilization of the Commitments. All Existing Letters of Credit shall be deemed to have been issued pursuant hereto, and from and after the Closing Date shall be subject to and governed by the terms and conditions hereof.</w:t>
      </w:r>
    </w:p>
    <w:p>
      <w:pPr>
        <w:spacing w:after="0" w:line="178" w:lineRule="exact"/>
        <w:rPr>
          <w:rFonts w:ascii="Arial" w:cs="Arial" w:eastAsia="Arial" w:hAnsi="Arial"/>
          <w:sz w:val="17"/>
          <w:szCs w:val="17"/>
          <w:color w:val="auto"/>
        </w:rPr>
      </w:pPr>
    </w:p>
    <w:p>
      <w:pPr>
        <w:jc w:val="both"/>
        <w:ind w:firstLine="656"/>
        <w:spacing w:after="0" w:line="268" w:lineRule="auto"/>
        <w:tabs>
          <w:tab w:leader="none" w:pos="1127"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Extension, Reinstatement or Renewal</w:t>
      </w:r>
      <w:r>
        <w:rPr>
          <w:rFonts w:ascii="Arial" w:cs="Arial" w:eastAsia="Arial" w:hAnsi="Arial"/>
          <w:sz w:val="17"/>
          <w:szCs w:val="17"/>
          <w:color w:val="auto"/>
        </w:rPr>
        <w:t xml:space="preserve">. To request the issuance of a Letter of Credit (or the amendment of the terms and conditions, extension of the terms and conditions, extension of the expiration date, or reinstatement of amounts paid, or renewal of an outstanding Letter of Credit), the applicable Borrower shall deliver (or transmit by electronic communication, if arrangements for doing so have been approved by the applicable L/C Issuer) to an L/C Issuer selected by it and to the Administrative Agent not later than 12:00 p.m. at least two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clause (d)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applicable Borrower also shall submit a Letter of Credit Application in connection with any request for a Letter of Credit. In the event of any inconsistency between the terms and conditions of this Agreement and the terms and conditions of any form of letter of credit application and reimbursement agreement or other agreement submitted by the applicable Borrower to, or entered into by such Borrower with, an L/C Issuer relating to any Letter of Credit, the terms and conditions of this Agreement shall control.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both"/>
        <w:ind w:firstLine="648"/>
        <w:spacing w:after="0" w:line="267" w:lineRule="auto"/>
        <w:rPr>
          <w:sz w:val="20"/>
          <w:szCs w:val="20"/>
          <w:color w:val="auto"/>
        </w:rPr>
      </w:pPr>
      <w:r>
        <w:rPr>
          <w:rFonts w:ascii="Arial" w:cs="Arial" w:eastAsia="Arial" w:hAnsi="Arial"/>
          <w:sz w:val="17"/>
          <w:szCs w:val="17"/>
          <w:color w:val="auto"/>
        </w:rPr>
        <w:t>If a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provided that any such Auto-Extension Letter of Credit must permit such L/C Issuer to prevent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in each such twelve-month period to be agreed upon between such Borrower and the applicable L/C Issuer at the time such Letter of Credit is issued. Each L/C Issuer of any Auto-Extension Letter of Credit hereby agrees to contemporaneously furnish to the applicable Borrower a copy of any denial of the extension of such Auto-Extension Letter of Credit. Unless otherwise directed by the applicable L/C Issuer, the applicable Borrower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provided, however,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Section 2.03(c) or otherwise), or (B) it has received notice (which may be by telephone or in writing) on or before the day that is seven Business Days before the Non-Extension Notice Date (1) from the Administrative Agent (who hereby agrees to provide contemporaneous notice to the requesting Borrower) that the Required Lenders have elected not to permit such extension or (2) from the Administrative Agent (who hereby agrees to provide contemporaneous notice to such Borrower) or such Borrower that one or more of the applicable conditions specified in Section 4.02 is not then satisfied, specifying in reasonable detail the relevant condition or conditions not then satisfied, and such condition or conditions, as applicable, are unsatisfied on such extension date, and the basis for such assertion, and in each such case directing such L/C Issuer not to permit such extension.</w:t>
      </w:r>
    </w:p>
    <w:p>
      <w:pPr>
        <w:spacing w:after="0" w:line="190" w:lineRule="exact"/>
        <w:rPr>
          <w:sz w:val="20"/>
          <w:szCs w:val="20"/>
          <w:color w:val="auto"/>
        </w:rPr>
      </w:pPr>
    </w:p>
    <w:p>
      <w:pPr>
        <w:jc w:val="both"/>
        <w:ind w:firstLine="656"/>
        <w:spacing w:after="0" w:line="269" w:lineRule="auto"/>
        <w:tabs>
          <w:tab w:leader="none" w:pos="1117"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Limitations on Amounts, Issuance and Amendment</w:t>
      </w:r>
      <w:r>
        <w:rPr>
          <w:rFonts w:ascii="Arial" w:cs="Arial" w:eastAsia="Arial" w:hAnsi="Arial"/>
          <w:sz w:val="17"/>
          <w:szCs w:val="17"/>
          <w:color w:val="auto"/>
        </w:rPr>
        <w:t>. A Letter of Credit shall be issued, amended, extended, reinstated or renewed only if (and upon issuance, amendment, extension, reinstatement or renewal of each Letter of Credit the applicable Borrower shall be deemed to represent and warrant that (based on the Company’s reasonable determination of the Dollar Equivalent of any such Obligations denominated in Canadian Dollars), after giving effect to such issuance, amendment, extension, reinstatement or renewal, (i) the aggregate amount of the outstanding Letters of Credit issued by any L/C Issuer shall not exceed its L/C Commitment, (ii) the aggregate L/C Obligations shall not exceed the Letter of Credit Sublimit, (iii) the Total Outstandings shall not exceed the Aggregate Commitments, (iv) the aggregate Outstanding Amount of the Committed Loans of any Lender, plus such Lender’s Applicable Percentage of the Outstanding Amount of all L/C Obligations, plus such Lender’s Applicable Percentage of the Outstanding Amount of all Swing Line Loans, plus such Lender’s Canadian BA’s (or Canadian BA Equivalent Loans) accepted and purchased from PMCULC shall not exceed such Lender’s Commitment, and (v) the aggregate Outstanding Amount of all L/C Obligations shall not exceed the Letter of Credit Sublimit. Within the foregoing limits, and subject to the terms and conditions hereof, the Borrowers’ ability to obtain Letters of Credit shall be fully revolving, and accordingly a Borrower may, during the foregoing period, obtain Letters of Credit to replace Letters of Credit that have expired or that have been drawn upon and reimbursed.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ind w:left="620" w:hanging="436"/>
        <w:spacing w:after="0"/>
        <w:tabs>
          <w:tab w:leader="none" w:pos="6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225" w:lineRule="exact"/>
        <w:rPr>
          <w:rFonts w:ascii="Arial" w:cs="Arial" w:eastAsia="Arial" w:hAnsi="Arial"/>
          <w:sz w:val="18"/>
          <w:szCs w:val="18"/>
          <w:color w:val="auto"/>
        </w:rPr>
      </w:pPr>
    </w:p>
    <w:p>
      <w:pPr>
        <w:jc w:val="both"/>
        <w:ind w:left="180" w:firstLine="652"/>
        <w:spacing w:after="0" w:line="271" w:lineRule="auto"/>
        <w:tabs>
          <w:tab w:leader="none" w:pos="1348" w:val="left"/>
        </w:tabs>
        <w:numPr>
          <w:ilvl w:val="1"/>
          <w:numId w:val="231"/>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entitled to be, but is not so, compensated hereunder) not in effect on the Closing Date, or shall impose upon such L/C Issuer any loss, cost or expense which was not applicable on the Closing Date and which such L/C Issuer in good faith deems material to it (for which such L/C Issuer is entitled to be, but is not so, reimbursed hereunder);</w:t>
      </w:r>
    </w:p>
    <w:p>
      <w:pPr>
        <w:spacing w:after="0" w:line="178" w:lineRule="exact"/>
        <w:rPr>
          <w:rFonts w:ascii="Arial" w:cs="Arial" w:eastAsia="Arial" w:hAnsi="Arial"/>
          <w:sz w:val="17"/>
          <w:szCs w:val="17"/>
          <w:color w:val="auto"/>
        </w:rPr>
      </w:pPr>
    </w:p>
    <w:p>
      <w:pPr>
        <w:jc w:val="both"/>
        <w:ind w:left="180" w:firstLine="652"/>
        <w:spacing w:after="0" w:line="263" w:lineRule="auto"/>
        <w:tabs>
          <w:tab w:leader="none" w:pos="133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issuance of the Letter of Credit would violate one or more policies of such L/C Issuer applicable to letters of credit generally; provided that, upon request of the applicable Borrower, the applicable L/C Issuer shall provide to such Borrower a reasonably detailed description thereof;</w:t>
      </w:r>
    </w:p>
    <w:p>
      <w:pPr>
        <w:spacing w:after="0" w:line="183" w:lineRule="exact"/>
        <w:rPr>
          <w:rFonts w:ascii="Arial" w:cs="Arial" w:eastAsia="Arial" w:hAnsi="Arial"/>
          <w:sz w:val="18"/>
          <w:szCs w:val="18"/>
          <w:color w:val="auto"/>
        </w:rPr>
      </w:pPr>
    </w:p>
    <w:p>
      <w:pPr>
        <w:ind w:left="180" w:firstLine="652"/>
        <w:spacing w:after="0" w:line="277" w:lineRule="auto"/>
        <w:tabs>
          <w:tab w:leader="none" w:pos="133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L/C Issuer, the Letter of Credit is in an initial stated amount less than $100,000;</w:t>
      </w:r>
    </w:p>
    <w:p>
      <w:pPr>
        <w:spacing w:after="0" w:line="170" w:lineRule="exact"/>
        <w:rPr>
          <w:rFonts w:ascii="Arial" w:cs="Arial" w:eastAsia="Arial" w:hAnsi="Arial"/>
          <w:sz w:val="18"/>
          <w:szCs w:val="18"/>
          <w:color w:val="auto"/>
        </w:rPr>
      </w:pPr>
    </w:p>
    <w:p>
      <w:pPr>
        <w:ind w:left="1360" w:hanging="528"/>
        <w:spacing w:after="0"/>
        <w:tabs>
          <w:tab w:leader="none" w:pos="13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 or Canadian Dollars;</w:t>
      </w:r>
    </w:p>
    <w:p>
      <w:pPr>
        <w:spacing w:after="0" w:line="225" w:lineRule="exact"/>
        <w:rPr>
          <w:rFonts w:ascii="Arial" w:cs="Arial" w:eastAsia="Arial" w:hAnsi="Arial"/>
          <w:sz w:val="18"/>
          <w:szCs w:val="18"/>
          <w:color w:val="auto"/>
        </w:rPr>
      </w:pPr>
    </w:p>
    <w:p>
      <w:pPr>
        <w:ind w:left="1360" w:hanging="528"/>
        <w:spacing w:after="0"/>
        <w:tabs>
          <w:tab w:leader="none" w:pos="13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such L/C Issuer does not as of the issuance date of such requested Letter of Credit issue Letters of Credit in the requested</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currency;</w:t>
      </w:r>
    </w:p>
    <w:p>
      <w:pPr>
        <w:spacing w:after="0" w:line="210" w:lineRule="exact"/>
        <w:rPr>
          <w:rFonts w:ascii="Arial" w:cs="Arial" w:eastAsia="Arial" w:hAnsi="Arial"/>
          <w:sz w:val="16"/>
          <w:szCs w:val="16"/>
          <w:color w:val="auto"/>
        </w:rPr>
      </w:pPr>
    </w:p>
    <w:p>
      <w:pPr>
        <w:jc w:val="both"/>
        <w:ind w:left="180" w:firstLine="652"/>
        <w:spacing w:after="0" w:line="272" w:lineRule="auto"/>
        <w:tabs>
          <w:tab w:leader="none" w:pos="134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any Lender is at that time a Defaulting Lender, unless either (1) the requesting Borrower has delivered to the Administrative Agent Cash Collateral in an amount equal to such L/C Issuer’s actual Fronting Exposure (after giving effect to Section 2.17(a)(iv) and any other Cash Collateral provided by the Defaulting Lender) with respect to the Defaulting Lender or (2) such L/C Issuer has otherwise entered into arrangements satisfactory to such L/C Issuer (in its sole discretion) with the Company or such Lender to eliminate such L/C Issuer’s Fronting Exposure (after giving effect to Section 2.17(a)(iv)) with respect to the Defaulting Lender, in either case, arising from either the Letter of Credit then proposed to be issued or that Letter of Credit and all other L/C Obligations as to which such L/C Issuer has Fronting Exposure, as it may elect in its sole discretion; or</w:t>
      </w:r>
    </w:p>
    <w:p>
      <w:pPr>
        <w:spacing w:after="0" w:line="177" w:lineRule="exact"/>
        <w:rPr>
          <w:rFonts w:ascii="Arial" w:cs="Arial" w:eastAsia="Arial" w:hAnsi="Arial"/>
          <w:sz w:val="17"/>
          <w:szCs w:val="17"/>
          <w:color w:val="auto"/>
        </w:rPr>
      </w:pPr>
    </w:p>
    <w:p>
      <w:pPr>
        <w:ind w:left="1380" w:hanging="548"/>
        <w:spacing w:after="0"/>
        <w:tabs>
          <w:tab w:leader="none" w:pos="138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the Letter of Credit contains any provisions for automatic reinstatement of the stated amount after any drawing</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left="-460" w:firstLine="644"/>
        <w:spacing w:after="0" w:line="277" w:lineRule="auto"/>
        <w:tabs>
          <w:tab w:leader="none" w:pos="6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the Letter of Credit in its amended form under the terms hereof.</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68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0" w:name="page241"/>
    <w:bookmarkEnd w:id="240"/>
    <w:p>
      <w:pPr>
        <w:jc w:val="both"/>
        <w:ind w:firstLine="656"/>
        <w:spacing w:after="0" w:line="286" w:lineRule="auto"/>
        <w:tabs>
          <w:tab w:leader="none" w:pos="1127"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have a stated expiration date no later than the earlier of (i) subject to </w:t>
      </w:r>
      <w:r>
        <w:rPr>
          <w:rFonts w:ascii="Arial" w:cs="Arial" w:eastAsia="Arial" w:hAnsi="Arial"/>
          <w:sz w:val="17"/>
          <w:szCs w:val="17"/>
          <w:u w:val="single" w:color="auto"/>
          <w:color w:val="auto"/>
        </w:rPr>
        <w:t>Section 2.03(b)</w:t>
      </w:r>
      <w:r>
        <w:rPr>
          <w:rFonts w:ascii="Arial" w:cs="Arial" w:eastAsia="Arial" w:hAnsi="Arial"/>
          <w:sz w:val="17"/>
          <w:szCs w:val="17"/>
          <w:color w:val="auto"/>
        </w:rPr>
        <w:t>, the date twelve months after the date of the issuance of such Letter of Credit (or, in the case of any extension of the expiration date thereof, whether automatic or by amendment, twelve months after the then current expiration date of such Letter of Credit) and (ii) the Letter of Credit Expiration Date.</w:t>
      </w:r>
    </w:p>
    <w:p>
      <w:pPr>
        <w:spacing w:after="0" w:line="165" w:lineRule="exact"/>
        <w:rPr>
          <w:rFonts w:ascii="Arial" w:cs="Arial" w:eastAsia="Arial" w:hAnsi="Arial"/>
          <w:sz w:val="17"/>
          <w:szCs w:val="17"/>
          <w:color w:val="auto"/>
        </w:rPr>
      </w:pPr>
    </w:p>
    <w:p>
      <w:pPr>
        <w:jc w:val="both"/>
        <w:ind w:firstLine="656"/>
        <w:spacing w:after="0" w:line="254" w:lineRule="auto"/>
        <w:tabs>
          <w:tab w:leader="none" w:pos="1117"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By the issuance of a Letter of Credit (or an amendment to a Letter of Credit increasing the amount or extending the expiration date thereof), and without any further action on the part of the applicable L/C Issuer or the Lenders, such L/C Issuer hereby grants to each Lender, and each Lender hereby acquires from such L/C Issuer, a participation in such Letter of Credit equal to such Lender’s Applicable Percentage of the aggregate amount available to be drawn under such Letter of Credit. Each Lender acknowledges and agrees that its obligation to acquire participations pursuant to this clause (e)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Commitments.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consideration and in furtherance of the foregoing, each Lender hereby absolutely, unconditionally and irrevocably agrees to pay to the Administrative Agent, for account of the applicable L/C Issuer, such Lender’s Applicable Percentage of each L/C Disbursement made by an L/C Issuer not later than 1:00 p.m. on the Business Day specified in the notice provided by the Administrative Agent to the Lenders pursuant to </w:t>
      </w:r>
      <w:r>
        <w:rPr>
          <w:rFonts w:ascii="Arial" w:cs="Arial" w:eastAsia="Arial" w:hAnsi="Arial"/>
          <w:sz w:val="17"/>
          <w:szCs w:val="17"/>
          <w:u w:val="single" w:color="auto"/>
          <w:color w:val="auto"/>
        </w:rPr>
        <w:t>Section 2.03(f)</w:t>
      </w:r>
      <w:r>
        <w:rPr>
          <w:rFonts w:ascii="Arial" w:cs="Arial" w:eastAsia="Arial" w:hAnsi="Arial"/>
          <w:sz w:val="17"/>
          <w:szCs w:val="17"/>
          <w:color w:val="auto"/>
        </w:rPr>
        <w:t xml:space="preserve"> until such L/C Disbursement is reimbursed by the Company or at any time after any reimbursement payment is required to be refunded to the Company for any reason, including after the Maturity Date. Such payment shall be made without any offset, abatement, withholding or reduction whatsoever. Each such payment shall be made in the same manner as provided in Section 2.02 with respect to Loans made by such Lender (and Section 2.02 shall apply, mutatis mutandis, to the payment obligations of the Lenders), and the Administrative Agent shall promptly pay to the applicable L/C Issuer the amounts so received by it from the Lenders. Promptly following receipt by the Administrative Agent of any payment from the Company pursuant to </w:t>
      </w:r>
      <w:r>
        <w:rPr>
          <w:rFonts w:ascii="Arial" w:cs="Arial" w:eastAsia="Arial" w:hAnsi="Arial"/>
          <w:sz w:val="17"/>
          <w:szCs w:val="17"/>
          <w:u w:val="single" w:color="auto"/>
          <w:color w:val="auto"/>
        </w:rPr>
        <w:t>Section 2.03(f)</w:t>
      </w:r>
      <w:r>
        <w:rPr>
          <w:rFonts w:ascii="Arial" w:cs="Arial" w:eastAsia="Arial" w:hAnsi="Arial"/>
          <w:sz w:val="17"/>
          <w:szCs w:val="17"/>
          <w:color w:val="auto"/>
        </w:rPr>
        <w:t>, the Administrative Agent shall distribute such payment to the applicable L/C Issuer or, to the extent that the Lenders have made payments pursuant to this clause (e) to reimburse such L/C Issuer, then to such Lenders and such L/C Issuer as their interests may appear. Any payment made by a Lender pursuant to this clause (e) to reimburse an L/C Issuer for any L/C Disbursement shall not constitute a Loan and shall not relieve the Company of its obligation to reimburse such L/C Disbursement.</w:t>
      </w:r>
    </w:p>
    <w:p>
      <w:pPr>
        <w:spacing w:after="0" w:line="17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as a result of an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or otherwise pursuant to this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jc w:val="both"/>
        <w:ind w:firstLine="648"/>
        <w:spacing w:after="0" w:line="253" w:lineRule="auto"/>
        <w:rPr>
          <w:sz w:val="20"/>
          <w:szCs w:val="20"/>
          <w:color w:val="auto"/>
        </w:rPr>
      </w:pPr>
      <w:r>
        <w:rPr>
          <w:rFonts w:ascii="Arial" w:cs="Arial" w:eastAsia="Arial" w:hAnsi="Arial"/>
          <w:sz w:val="18"/>
          <w:szCs w:val="18"/>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18"/>
          <w:szCs w:val="18"/>
          <w:u w:val="single" w:color="auto"/>
          <w:color w:val="auto"/>
        </w:rPr>
        <w:t>Section 2.03(e)</w:t>
      </w:r>
      <w:r>
        <w:rPr>
          <w:rFonts w:ascii="Arial" w:cs="Arial" w:eastAsia="Arial" w:hAnsi="Arial"/>
          <w:sz w:val="18"/>
          <w:szCs w:val="18"/>
          <w:color w:val="auto"/>
        </w:rPr>
        <w:t>,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applicable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(without interest and fees as aforesaid) shall constitute such Lender’s Committed Loan included in the relevant Committed Borrowing or L/C Advance in respect of the relevant L/C Borrowing, as the case may be. A certificate of any L/C Issuer submitted to any Lender (through the Administrative Agent) with respect to any amounts owing under this clause (vi) shall be conclusive absent manifest error.</w:t>
      </w:r>
    </w:p>
    <w:p>
      <w:pPr>
        <w:spacing w:after="0" w:line="194" w:lineRule="exact"/>
        <w:rPr>
          <w:sz w:val="20"/>
          <w:szCs w:val="20"/>
          <w:color w:val="auto"/>
        </w:rPr>
      </w:pPr>
    </w:p>
    <w:p>
      <w:pPr>
        <w:jc w:val="both"/>
        <w:ind w:firstLine="656"/>
        <w:spacing w:after="0" w:line="284" w:lineRule="auto"/>
        <w:tabs>
          <w:tab w:leader="none" w:pos="1120"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 L/C Issuer shall make any L/C Disbursement in respect of a Letter of Credit, the Borrower shall reimburse such L/C Issuer in respect of such L/C Disbursement (in the case of a Letter of Credit denominated in Canadian Dollars, the applicable Borrower shall reimburse the applicable L/C Issuer in Canadian Dollars, unless such Borrower and such L/C Issuer agree that such Borrower will reimburse such L/C Issuer in Dollars; in the case of any such reimbursement in Dollars of a drawing under a Letter of Credit denominated in Canadian Dollars, the applicable L/C Issuer shall notify the applicable Borrower of the Dollar Equivalent of the amount of the drawing promptly following the determination thereof) by paying to the Administrative Agent an amount equal to such L/C Disbursement not later than 12:00 noon on (i) the Business Day that the applicable Borrower receives notice of such L/C Disbursement, if such notice is received prior to 10:00 a.m. on the date of any payment by such L/C Issuer under a Letter of Credit to be reimbursed in Dollars, or the Applicable Time on the date of any payment by such L/C Issuer under a Letter of Credit to be reimbursed in Canadian Dollars or (ii) the Business Day immediately following the day that the applicable Borrower receives such notice, if such notice is not received prior to such time, provided that, if such L/C Disbursement is not less than $1,000,000, the applicable Borrower may, subject to the conditions to borrowing set forth herein, request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that such payment be financed with a Committed Borrowing of Base Rate Loans (with respect to Letters of Credit denominated in Dollars) or Canadian Prime Rate Loans (with respect to Letters of Credit denominated in Canadian Dollars) in an equivalent amount and, to the extent so financed, such Borrower’s obligation to make such payment shall be discharged and replaced by the resulting Borrowing of Committed Borrowing of Base Rate Loans (with respect to Letters of Credit denominated in Dollars) or Canadian Prime Rate Loans (with respect to Letters of Credit denominated in Canadian Dollars. If the applicable Borrower fails to make such payment when due, the Administrative Agent shall notify each Lender of the applicable L/C Disbursement, the payment then due from such Borrower in respect thereof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such Lender’s Applicable Percentage thereof. In such event, the applicable Borrower shall be deemed to have requested a Committed Borrowing of Base Rate Loans (with respect to Letters of Credit denominated in Dollars) or Canadian Prime Rate Loans (with respect to Letters of Credit denominated in Canadian Dollars) to be disbursed on the date of payment by the applicable L/C Issuer under a Letter of Credit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(with respect to Letters of Credit denominated in Dollars) or Canadian Prime Rate Loans (with respect to Letters of Credit denominated in Canadian Dollars), but subject to the amount of the unutilized portion of the Aggregate Commitments and the conditions set forth in Section 4.02 (other than the delivery of a Committed Loan Notice and without giving effect to such Borrower’s failure to so reimburse such L/C Issuer as provided in this clause (f)). Any notice given by any L/C Issuer or the Administrative Agent pursuant to this </w:t>
      </w:r>
      <w:r>
        <w:rPr>
          <w:rFonts w:ascii="Arial" w:cs="Arial" w:eastAsia="Arial" w:hAnsi="Arial"/>
          <w:sz w:val="16"/>
          <w:szCs w:val="16"/>
          <w:u w:val="single" w:color="auto"/>
          <w:color w:val="auto"/>
        </w:rPr>
        <w:t>Section 2.03(f)</w:t>
      </w:r>
      <w:r>
        <w:rPr>
          <w:rFonts w:ascii="Arial" w:cs="Arial" w:eastAsia="Arial" w:hAnsi="Arial"/>
          <w:sz w:val="16"/>
          <w:szCs w:val="16"/>
          <w:color w:val="auto"/>
        </w:rPr>
        <w:t xml:space="preserve"> may be given by telephone if immediately confirmed in writing; provided that the lack of such an immediate confirmation shall not affect the conclusiveness or binding effect of such notice.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ind w:firstLine="656"/>
        <w:spacing w:after="0" w:line="263" w:lineRule="auto"/>
        <w:tabs>
          <w:tab w:leader="none" w:pos="1127"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applicable Borrower to reimburse each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3" w:lineRule="exact"/>
        <w:rPr>
          <w:rFonts w:ascii="Arial" w:cs="Arial" w:eastAsia="Arial" w:hAnsi="Arial"/>
          <w:sz w:val="18"/>
          <w:szCs w:val="18"/>
          <w:color w:val="auto"/>
        </w:rPr>
      </w:pPr>
    </w:p>
    <w:p>
      <w:pPr>
        <w:ind w:left="1740" w:hanging="436"/>
        <w:spacing w:after="0"/>
        <w:tabs>
          <w:tab w:leader="none" w:pos="17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7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80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3" w:lineRule="exact"/>
        <w:rPr>
          <w:rFonts w:ascii="Arial" w:cs="Arial" w:eastAsia="Arial" w:hAnsi="Arial"/>
          <w:sz w:val="18"/>
          <w:szCs w:val="18"/>
          <w:color w:val="auto"/>
        </w:rPr>
      </w:pPr>
    </w:p>
    <w:p>
      <w:pPr>
        <w:ind w:left="660" w:firstLine="644"/>
        <w:spacing w:after="0" w:line="277" w:lineRule="auto"/>
        <w:tabs>
          <w:tab w:leader="none" w:pos="179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waiver by any L/C Issuer of any requirement that exists for such L/C Issuer’s protection and not the protection of any Borrower or any waiver by such L/C Issuer which does not in fact materially prejudice any Borrower;</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required that demand be in the form of a</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draft;</w:t>
      </w:r>
    </w:p>
    <w:p>
      <w:pPr>
        <w:spacing w:after="0" w:line="210" w:lineRule="exact"/>
        <w:rPr>
          <w:rFonts w:ascii="Arial" w:cs="Arial" w:eastAsia="Arial" w:hAnsi="Arial"/>
          <w:sz w:val="17"/>
          <w:szCs w:val="17"/>
          <w:color w:val="auto"/>
        </w:rPr>
      </w:pPr>
    </w:p>
    <w:p>
      <w:pPr>
        <w:jc w:val="both"/>
        <w:ind w:left="660" w:firstLine="644"/>
        <w:spacing w:after="0" w:line="263" w:lineRule="auto"/>
        <w:tabs>
          <w:tab w:leader="none" w:pos="179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8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ind w:left="660" w:firstLine="644"/>
        <w:spacing w:after="0" w:line="277" w:lineRule="auto"/>
        <w:tabs>
          <w:tab w:leader="none" w:pos="184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Canadian Dollars to the Company or any Subsidiary or in the relevant currency markets generally; or</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81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other event or circumstance whatsoever, whether or not similar to any of the foregoing, that might, but for the provisions of this Section 2.03, constitute a legal or equitable discharge of, or provide a right of setoff against, any Borrower’s obligations hereunder.</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promptly notify the applicable L/C Issuer and such L/C Issuer will correct such claim in conformity with such Borrower’s instructions or as otherwise agreed between such Borrower and such L/C Issuer, subject to the terms hereof. Each Borrower shall be conclusively deemed to have waived any such claim against each L/C Issuer and its correspondents unless such notice is given as aforesaid.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provided that the foregoing shall not be construed to excuse an L/C Issuer from liability to any Borrower to the extent of any direct damages (as opposed to consequential damages, claims in respect of which are hereby waived by each Borrower to the extent permitted by Applicable Law) suffered by such Borrower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spacing w:after="0" w:line="182" w:lineRule="exact"/>
        <w:rPr>
          <w:sz w:val="20"/>
          <w:szCs w:val="20"/>
          <w:color w:val="auto"/>
        </w:rPr>
      </w:pPr>
    </w:p>
    <w:p>
      <w:pPr>
        <w:ind w:left="660" w:firstLine="644"/>
        <w:spacing w:after="0" w:line="277" w:lineRule="auto"/>
        <w:tabs>
          <w:tab w:leader="none" w:pos="174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L/C Issuer may replace a purportedly lost, stolen, or destroyed original Letter of Credit or missing amendment thereto with a certified true copy marked as such or waive a requirement for its presentation;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7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ind w:left="660" w:firstLine="644"/>
        <w:spacing w:after="0" w:line="277" w:lineRule="auto"/>
        <w:tabs>
          <w:tab w:leader="none" w:pos="180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 L/C Issuer shall have the right, in its sole discretion, to decline to accept such documents and to make such payment if such documents are not in strict compliance with the terms of such Letter of Credit;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9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3" w:lineRule="exact"/>
        <w:rPr>
          <w:rFonts w:ascii="Arial" w:cs="Arial" w:eastAsia="Arial" w:hAnsi="Arial"/>
          <w:sz w:val="18"/>
          <w:szCs w:val="18"/>
          <w:color w:val="auto"/>
        </w:rPr>
      </w:pPr>
    </w:p>
    <w:p>
      <w:pPr>
        <w:jc w:val="both"/>
        <w:ind w:left="660" w:firstLine="644"/>
        <w:spacing w:after="0" w:line="287" w:lineRule="auto"/>
        <w:tabs>
          <w:tab w:leader="none" w:pos="1765" w:val="left"/>
        </w:tabs>
        <w:numPr>
          <w:ilvl w:val="1"/>
          <w:numId w:val="237"/>
        </w:numPr>
        <w:rPr>
          <w:rFonts w:ascii="Arial" w:cs="Arial" w:eastAsia="Arial" w:hAnsi="Arial"/>
          <w:sz w:val="16"/>
          <w:szCs w:val="16"/>
          <w:color w:val="auto"/>
        </w:rPr>
      </w:pPr>
      <w:r>
        <w:rPr>
          <w:rFonts w:ascii="Arial" w:cs="Arial" w:eastAsia="Arial" w:hAnsi="Arial"/>
          <w:sz w:val="16"/>
          <w:szCs w:val="16"/>
          <w:color w:val="auto"/>
        </w:rPr>
        <w:t>Without limiting the foregoing, none of the Administrative Agent, the Lenders, any L/C Issuer, or any of their Related Parties shall have any liability or responsibility by reason of (i) any presentation that includes forged or fraudulent documents or that is otherwise affected by the fraudulent, bad faith, or illegal conduct of the beneficiary or other Person, (ii) an L/C Issuer declining to take-up documents and make payment</w:t>
      </w:r>
    </w:p>
    <w:p>
      <w:pPr>
        <w:spacing w:after="0" w:line="2" w:lineRule="exact"/>
        <w:rPr>
          <w:rFonts w:ascii="Arial" w:cs="Arial" w:eastAsia="Arial" w:hAnsi="Arial"/>
          <w:sz w:val="16"/>
          <w:szCs w:val="16"/>
          <w:color w:val="auto"/>
        </w:rPr>
      </w:pPr>
    </w:p>
    <w:p>
      <w:pPr>
        <w:jc w:val="both"/>
        <w:ind w:left="660" w:hanging="4"/>
        <w:spacing w:after="0" w:line="273" w:lineRule="auto"/>
        <w:tabs>
          <w:tab w:leader="none" w:pos="97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against documents that are fraudulent, forged, or for other reasons by which that it is entitled not to honor or (B) following a Borrower’s waiver of discrepancies with respect to such documents or request for honor of such documents or (iii) an L/C Issuer retaining proceeds of a Letter of Credit based on an apparently applicable attachment order, blocking regulation, or third-party claim notified to such L/C Issuer, and upon the occurrence of any of the foregoing, the applicable L/C Issuer shall promptly notify the applicable Borrower of the details thereof.</w:t>
      </w:r>
    </w:p>
    <w:p>
      <w:pPr>
        <w:spacing w:after="0" w:line="176" w:lineRule="exact"/>
        <w:rPr>
          <w:sz w:val="20"/>
          <w:szCs w:val="20"/>
          <w:color w:val="auto"/>
        </w:rPr>
      </w:pPr>
    </w:p>
    <w:p>
      <w:pPr>
        <w:jc w:val="both"/>
        <w:ind w:firstLine="656"/>
        <w:spacing w:after="0" w:line="270" w:lineRule="auto"/>
        <w:tabs>
          <w:tab w:leader="none" w:pos="1127"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Applicability of ISP and UCP</w:t>
      </w:r>
      <w:r>
        <w:rPr>
          <w:rFonts w:ascii="Arial" w:cs="Arial" w:eastAsia="Arial" w:hAnsi="Arial"/>
          <w:sz w:val="17"/>
          <w:szCs w:val="17"/>
          <w:color w:val="auto"/>
        </w:rPr>
        <w:t>. Unless otherwise expressly agreed by the applicable L/C Issuer and the applicable Borrower when a Letter of Credit is issued, including any such agreement applicable to an Existing Letter of Credit, (i) the rules of the ISP shall apply to each standby Letter of Credit, and (ii) the rules of the UCP, as most recently published at the time of issuance, shall apply to each commercial Letter of Credit. Notwithstanding the foregoing, no L/C Issuer shall be responsible to any Borrower for, and no L/C Issuer’s rights and remedies against a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0" w:lineRule="exact"/>
        <w:rPr>
          <w:rFonts w:ascii="Arial" w:cs="Arial" w:eastAsia="Arial" w:hAnsi="Arial"/>
          <w:sz w:val="17"/>
          <w:szCs w:val="17"/>
          <w:color w:val="auto"/>
        </w:rPr>
      </w:pPr>
    </w:p>
    <w:p>
      <w:pPr>
        <w:jc w:val="both"/>
        <w:ind w:firstLine="656"/>
        <w:spacing w:after="0" w:line="257" w:lineRule="auto"/>
        <w:tabs>
          <w:tab w:leader="none" w:pos="111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L/C Issuer shall act on behalf of the Lenders with respect to any Letters of Credit issued by it and the documents associated therewith, and each L/C Issuer shall have all of the benefits and immunities (A)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such L/C Issuer with respect to such acts or omissions, and (B) as additionally provided herein with respect to such L/C Issuer.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both"/>
        <w:ind w:firstLine="656"/>
        <w:spacing w:after="0" w:line="286" w:lineRule="auto"/>
        <w:tabs>
          <w:tab w:leader="none" w:pos="111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Company shall pay to the Administrative Agent for the account of each Lender in accordance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commercial or standby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any Letter of Credit Fees otherwise payable for the account of a Defaulting Lender with respect to any Letter of Credit as to which such Defaulting Lender or the Company has not provided Cash Collateral satisfactory to the applicable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with the balance of such fee, if any, payable to such L/C Issuer for its own account.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Such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during any Default Rate Period, all Letter of Credit Fees shall accrue at the Default Rate.</w:t>
      </w:r>
    </w:p>
    <w:p>
      <w:pPr>
        <w:spacing w:after="0" w:line="173" w:lineRule="exact"/>
        <w:rPr>
          <w:rFonts w:ascii="Arial" w:cs="Arial" w:eastAsia="Arial" w:hAnsi="Arial"/>
          <w:sz w:val="16"/>
          <w:szCs w:val="16"/>
          <w:color w:val="auto"/>
        </w:rPr>
      </w:pPr>
    </w:p>
    <w:p>
      <w:pPr>
        <w:jc w:val="both"/>
        <w:ind w:firstLine="656"/>
        <w:spacing w:after="0" w:line="268" w:lineRule="auto"/>
        <w:tabs>
          <w:tab w:leader="none" w:pos="1127"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xml:space="preserve">. The Company shall pay directly to the applicable L/C Issuer for its own account a fronting fee (i) with respect to each commercial Letter of Credit, at the rate specified in the Fee Letters, computed on the Dollar Equivalent of the amount of such Letter of Credit, and payable upon the issuance thereof, and (ii) with respect to each standby Letter of Credit, at the rate per annum specified in the Fee Letters, computed on the Dollar Equivalent of the daily amount available to be drawn under such Letter of Credit on a quarterly basis in arrears. Such fronting fee with respect to standby Letters of Credit shall be due and payable on the third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In addition, the Company shall pay directly to the applicable L/C Issuer for its own account in Dollars the customary issuance, presentation, amendment and other processing fees, and other standard costs and charges, of the such L/C Issuer relating to letters of credit as from time to time in effect, effective schedules of which will be provided to the Company upon its request. Such customary fees and standard costs and charges are due and payable quarterly in arrears on the first Business Day after the end of each March, June, September and December and are nonrefundable.</w:t>
      </w:r>
    </w:p>
    <w:p>
      <w:pPr>
        <w:spacing w:after="0" w:line="186" w:lineRule="exact"/>
        <w:rPr>
          <w:rFonts w:ascii="Arial" w:cs="Arial" w:eastAsia="Arial" w:hAnsi="Arial"/>
          <w:sz w:val="17"/>
          <w:szCs w:val="17"/>
          <w:color w:val="auto"/>
        </w:rPr>
      </w:pPr>
    </w:p>
    <w:p>
      <w:pPr>
        <w:jc w:val="both"/>
        <w:ind w:firstLine="656"/>
        <w:spacing w:after="0" w:line="275" w:lineRule="auto"/>
        <w:tabs>
          <w:tab w:leader="none" w:pos="1110"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The applicable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applicable Borrower in writing of such demand for payment if such L/C Issuer has made or will make an L/C Disbursement thereunder; provided that any failure to give or delay in giving such notice shall not relieve such Borrower of its obligation to reimburse such L/C Issuer and the Lenders with respect to any such L/C Disbursement.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firstLine="656"/>
        <w:spacing w:after="0" w:line="286" w:lineRule="auto"/>
        <w:tabs>
          <w:tab w:leader="none" w:pos="1155"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If the applicable L/C Issuer for any Letter of Credit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the rate per annum then applicable to Base Rate Loans; provided that if such Borrower fails to reimburse such L/C Disbursement when due pursuant to clause</w:t>
      </w:r>
    </w:p>
    <w:p>
      <w:pPr>
        <w:spacing w:after="0" w:line="1" w:lineRule="exact"/>
        <w:rPr>
          <w:rFonts w:ascii="Arial" w:cs="Arial" w:eastAsia="Arial" w:hAnsi="Arial"/>
          <w:sz w:val="16"/>
          <w:szCs w:val="16"/>
          <w:color w:val="auto"/>
        </w:rPr>
      </w:pPr>
    </w:p>
    <w:p>
      <w:pPr>
        <w:jc w:val="both"/>
        <w:ind w:firstLine="8"/>
        <w:spacing w:after="0" w:line="255" w:lineRule="auto"/>
        <w:tabs>
          <w:tab w:leader="none" w:pos="23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then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shall apply. Interest accrued pursuant to this clause (m) shall be for account of such L/C Issuer, except that interest accrued on and after the date of payment by any Lender pursuant to clause (c)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to reimburse such L/C Issuer shall be for account of such Lender to the extent of such payment.</w:t>
      </w:r>
    </w:p>
    <w:p>
      <w:pPr>
        <w:spacing w:after="0" w:line="189" w:lineRule="exact"/>
        <w:rPr>
          <w:rFonts w:ascii="Arial" w:cs="Arial" w:eastAsia="Arial" w:hAnsi="Arial"/>
          <w:sz w:val="18"/>
          <w:szCs w:val="18"/>
          <w:color w:val="auto"/>
        </w:rPr>
      </w:pPr>
    </w:p>
    <w:p>
      <w:pPr>
        <w:jc w:val="both"/>
        <w:ind w:firstLine="656"/>
        <w:spacing w:after="0" w:line="270" w:lineRule="auto"/>
        <w:tabs>
          <w:tab w:leader="none" w:pos="1127"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Replacement of any L/C Issuer</w:t>
      </w:r>
      <w:r>
        <w:rPr>
          <w:rFonts w:ascii="Arial" w:cs="Arial" w:eastAsia="Arial" w:hAnsi="Arial"/>
          <w:sz w:val="17"/>
          <w:szCs w:val="17"/>
          <w:color w:val="auto"/>
        </w:rPr>
        <w:t xml:space="preserve">. Any L/C Issuer may be replaced at any time by written agreement between the Company, the Administrative Agent, the replaced L/C Issuer and the successor L/C Issuer. The Administrative Agent shall notify the Lenders of any such replacement of an L/C Issuer. At the time any such replacement shall become effective, the applicable Borrower shall pay all unpaid fees accrued for the account of the replaced L/C Issuer pursuant to </w:t>
      </w:r>
      <w:r>
        <w:rPr>
          <w:rFonts w:ascii="Arial" w:cs="Arial" w:eastAsia="Arial" w:hAnsi="Arial"/>
          <w:sz w:val="17"/>
          <w:szCs w:val="17"/>
          <w:u w:val="single" w:color="auto"/>
          <w:color w:val="auto"/>
        </w:rPr>
        <w:t>Section 2.03(j)</w:t>
      </w:r>
      <w:r>
        <w:rPr>
          <w:rFonts w:ascii="Arial" w:cs="Arial" w:eastAsia="Arial" w:hAnsi="Arial"/>
          <w:sz w:val="17"/>
          <w:szCs w:val="17"/>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0" w:lineRule="exact"/>
        <w:rPr>
          <w:rFonts w:ascii="Arial" w:cs="Arial" w:eastAsia="Arial" w:hAnsi="Arial"/>
          <w:sz w:val="17"/>
          <w:szCs w:val="17"/>
          <w:color w:val="auto"/>
        </w:rPr>
      </w:pPr>
    </w:p>
    <w:p>
      <w:pPr>
        <w:jc w:val="both"/>
        <w:ind w:firstLine="656"/>
        <w:spacing w:after="0" w:line="269" w:lineRule="auto"/>
        <w:tabs>
          <w:tab w:leader="none" w:pos="1127"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If any Event of Default shall occur and be continuing, on the Business Day that the Company receives notice from the Administrative Agent or the Required Lenders (or, if the maturity of the Loans has been accelerated, Lenders with L/C Obligations representing at least 66-2/3% of the total L/C Obligations) demanding the deposit of cash collateral pursuant to this clause (o), such Borrower shall immediately deposit into an account established and maintained on the books and records of the Administrative Agent (the “</w:t>
      </w:r>
      <w:r>
        <w:rPr>
          <w:rFonts w:ascii="Arial" w:cs="Arial" w:eastAsia="Arial" w:hAnsi="Arial"/>
          <w:sz w:val="17"/>
          <w:szCs w:val="17"/>
          <w:u w:val="single" w:color="auto"/>
          <w:color w:val="auto"/>
        </w:rPr>
        <w:t>Collateral Account</w:t>
      </w:r>
      <w:r>
        <w:rPr>
          <w:rFonts w:ascii="Arial" w:cs="Arial" w:eastAsia="Arial" w:hAnsi="Arial"/>
          <w:sz w:val="17"/>
          <w:szCs w:val="17"/>
          <w:color w:val="auto"/>
        </w:rPr>
        <w:t xml:space="preserve">”) an amount in cash equal to 102% of the total L/C Obligations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such Borrower described in clause (f) of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Such deposit shall be held by the Administrative Agent as collateral for the payment and performance of the obligations of the applicable Borrower under this Agreement. In addition, and without limiting the foregoing or clause (d)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if any L/C Obligations remain outstanding after the expiration date specified in said clause (d), the applicable Borrower shall immediately deposit into the Collateral Account an amount in cash equal to 102% of such L/C Obligations as of such date plus any accrued and unpaid interest thereon.</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applicable Borrower for the L/C Obligations at such time or, if the maturity of the Loans has been accelerated (but subject to the consent of Lenders with L/C Obligations representing 66-2/3% of the total L/C Obligations), be applied to satisfy other obligations of such Borrower under this Agreement. If the applicable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w:t>
      </w:r>
    </w:p>
    <w:p>
      <w:pPr>
        <w:spacing w:after="0" w:line="185" w:lineRule="exact"/>
        <w:rPr>
          <w:sz w:val="20"/>
          <w:szCs w:val="20"/>
          <w:color w:val="auto"/>
        </w:rPr>
      </w:pPr>
    </w:p>
    <w:p>
      <w:pPr>
        <w:ind w:firstLine="656"/>
        <w:spacing w:after="0" w:line="342" w:lineRule="auto"/>
        <w:tabs>
          <w:tab w:leader="none" w:pos="1127"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L/C Issuer Reports to the Administrative Agent</w:t>
      </w:r>
      <w:r>
        <w:rPr>
          <w:rFonts w:ascii="Arial" w:cs="Arial" w:eastAsia="Arial" w:hAnsi="Arial"/>
          <w:sz w:val="16"/>
          <w:szCs w:val="16"/>
          <w:color w:val="auto"/>
        </w:rPr>
        <w:t xml:space="preserve">. Unless otherwise agreed by the Administrative Agent, each L/C Issuer shall, in addition to its notification obligations set forth elsewhere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provide the Administrative Agent a Letter of Credit Report, as set forth below:</w:t>
      </w:r>
    </w:p>
    <w:p>
      <w:pPr>
        <w:spacing w:after="0" w:line="123" w:lineRule="exact"/>
        <w:rPr>
          <w:rFonts w:ascii="Arial" w:cs="Arial" w:eastAsia="Arial" w:hAnsi="Arial"/>
          <w:sz w:val="16"/>
          <w:szCs w:val="16"/>
          <w:color w:val="auto"/>
        </w:rPr>
      </w:pPr>
    </w:p>
    <w:p>
      <w:pPr>
        <w:jc w:val="both"/>
        <w:ind w:left="660" w:firstLine="644"/>
        <w:spacing w:after="0" w:line="263" w:lineRule="auto"/>
        <w:tabs>
          <w:tab w:leader="none" w:pos="174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on each Business Day on which such L/C Issuer makes a payment pursuant to a Letter of Credit, the date and amount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payment;</w:t>
      </w:r>
    </w:p>
    <w:p>
      <w:pPr>
        <w:spacing w:after="0" w:line="210" w:lineRule="exact"/>
        <w:rPr>
          <w:rFonts w:ascii="Arial" w:cs="Arial" w:eastAsia="Arial" w:hAnsi="Arial"/>
          <w:sz w:val="16"/>
          <w:szCs w:val="16"/>
          <w:color w:val="auto"/>
        </w:rPr>
      </w:pPr>
    </w:p>
    <w:p>
      <w:pPr>
        <w:ind w:left="660" w:right="20" w:firstLine="644"/>
        <w:spacing w:after="0" w:line="277" w:lineRule="auto"/>
        <w:tabs>
          <w:tab w:leader="none" w:pos="180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on any Business Day on which a Borrower fails to reimburse a payment made pursuant to a Letter of Credit required to be reimbursed to such L/C Issuer on such day, the date of such failure and the amount of such payment;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79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on any other Business Day, such other information as the Administrative Agent shall reasonably request as to the Letters of Credit issued by such L/C Issuer; and</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for so long as any Letter of Credit issued by an L/C Issuer is outstanding, such L/C Issuer shall deliver to the Administrative Agent</w:t>
      </w:r>
    </w:p>
    <w:p>
      <w:pPr>
        <w:spacing w:after="0" w:line="46" w:lineRule="exact"/>
        <w:rPr>
          <w:sz w:val="20"/>
          <w:szCs w:val="20"/>
          <w:color w:val="auto"/>
        </w:rPr>
      </w:pPr>
    </w:p>
    <w:p>
      <w:pPr>
        <w:jc w:val="both"/>
        <w:ind w:left="660" w:hanging="4"/>
        <w:spacing w:after="0" w:line="227" w:lineRule="auto"/>
        <w:tabs>
          <w:tab w:leader="none" w:pos="96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both"/>
        <w:ind w:firstLine="656"/>
        <w:spacing w:after="0" w:line="279" w:lineRule="auto"/>
        <w:tabs>
          <w:tab w:leader="none" w:pos="1127"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Additional L/C Issuers</w:t>
      </w:r>
      <w:r>
        <w:rPr>
          <w:rFonts w:ascii="Arial" w:cs="Arial" w:eastAsia="Arial" w:hAnsi="Arial"/>
          <w:sz w:val="17"/>
          <w:szCs w:val="17"/>
          <w:color w:val="auto"/>
        </w:rPr>
        <w:t>. Any Lender hereunder may become an L/C Issuer upon receipt by the Administrative Agent of a fully executed Notice of Additional L/C Issuer which shall be signed by the Company, the Administrative Agent and the applicable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spacing w:after="0" w:line="171" w:lineRule="exact"/>
        <w:rPr>
          <w:rFonts w:ascii="Arial" w:cs="Arial" w:eastAsia="Arial" w:hAnsi="Arial"/>
          <w:sz w:val="17"/>
          <w:szCs w:val="17"/>
          <w:color w:val="auto"/>
        </w:rPr>
      </w:pPr>
    </w:p>
    <w:p>
      <w:pPr>
        <w:ind w:firstLine="656"/>
        <w:spacing w:after="0" w:line="277" w:lineRule="auto"/>
        <w:tabs>
          <w:tab w:leader="none" w:pos="1098"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auto"/>
        </w:rPr>
      </w:pPr>
    </w:p>
    <w:p>
      <w:pPr>
        <w:jc w:val="both"/>
        <w:ind w:firstLine="656"/>
        <w:spacing w:after="0" w:line="293" w:lineRule="auto"/>
        <w:tabs>
          <w:tab w:leader="none" w:pos="1108"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 issued or outstanding hereunder is in support of any obligations of a Subsidiary, the applicable Borrower (and not any such Subsidiary) that requested such Letter of Credit shall be obligated to reimburse, indemnify and compensate the applicable L/C Issuer hereunder for any and all drawings under such Letter of Credit requested by it. Each Borrower irrevocably waives any and all defenses that might otherwise be available to it as a guarantor or surety of any or all of the obligations of such Subsidiary in respect of such Letter of Credit. Each Borrower hereby acknowledges that the issuance of Letters of Credit requested by it in support of the obligations of any of its Subsidiaries inures to the benefit of such Borrower, and that such Borrower’s business derives benefits from the business of such Subsidiary.</w:t>
      </w:r>
    </w:p>
    <w:p>
      <w:pPr>
        <w:spacing w:after="0" w:line="16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Swing Line Loans.</w:t>
      </w:r>
    </w:p>
    <w:p>
      <w:pPr>
        <w:spacing w:after="0" w:line="229" w:lineRule="exact"/>
        <w:rPr>
          <w:sz w:val="20"/>
          <w:szCs w:val="20"/>
          <w:color w:val="auto"/>
        </w:rPr>
      </w:pPr>
    </w:p>
    <w:p>
      <w:pPr>
        <w:jc w:val="both"/>
        <w:ind w:firstLine="656"/>
        <w:spacing w:after="0" w:line="268" w:lineRule="auto"/>
        <w:tabs>
          <w:tab w:leader="none" w:pos="1117"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The Swing Line</w:t>
      </w:r>
      <w:r>
        <w:rPr>
          <w:rFonts w:ascii="Arial" w:cs="Arial" w:eastAsia="Arial" w:hAnsi="Arial"/>
          <w:sz w:val="17"/>
          <w:szCs w:val="17"/>
          <w:color w:val="auto"/>
        </w:rPr>
        <w:t xml:space="preserve">. Subject to the terms and conditions set forth herein, the Swing Line Lender agrees, in reliance upon the agreements of the other Lenders set forth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to make loans in Dollars or in Canadian Dollars from time to time (each such loan, a “</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to each requesting Borrower, in each case, on a several basis,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Swing Line Loan, (i) the Total Outstandings shall not exceed the Aggregate Commitments, and (ii) the aggregate Outstanding Amount of the Committed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Canadian BA’s (or Canadian BA Equivalent Loans) accepted from PMCULC shall not exceed such Lender’s Commitment,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Borrowers shall not use the proceeds of any Swing Line Loan to refinance any outstanding Swing Line Loan. Within the foregoing limits, and subject to the other terms and conditions hereof, each requesting Borrower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Swing Line Loans may be Base Rate Loans, Canadian Prime Rate Loans or Eurocurrency Rate Loans. Immediately upon the making of a Swing Line Loan to a Borrower,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firstLine="656"/>
        <w:spacing w:after="0" w:line="283" w:lineRule="auto"/>
        <w:tabs>
          <w:tab w:leader="none" w:pos="1127"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a Borrower’s irrevocable notice to the Swing Line Lender and the Administrative Agent, which may be given by (A) telephone, or (B) a Swing Line Loan Notice; provided 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of $1,000,000 (with respect to Swing Line Loans denominated in Dollars) or C$1,000,000 (with respect to Swing Line Loans denominated in Canadian Dollars), (ii) whether such Swing Line Loan is a Base Rate Loan, a Canadian Prime Rate Loan or a Eurocurrency Rate Loan (and if a Eurocurrency Rate Loan, either (x) the applicable Interest Period thereof or (y) that the daily floating Eurocurrency Rate provided in clause (b) of the definition thereof shall apply), (iii) the requested borrowing date, which shall be a Business Day and (iv) the currency of the Swing Line Loan to be borrowed.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jc w:val="both"/>
        <w:ind w:firstLine="8"/>
        <w:spacing w:after="0" w:line="268" w:lineRule="auto"/>
        <w:tabs>
          <w:tab w:leader="none" w:pos="28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that it believes in good faith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Swing Line Lender will, not later than 3:00 p.m., in the case of any Swing Line Loan denominated in Dollars, and not later than the Applicable Time specified by the Administrative Agent in the case of any Swing Line Loan in Canadian Dollars, in each case on the borrowing date specified in such Swing Line Loan Notice, make the amount of its Swing Line Loan available to such Borrower, at such Borrower’s election, either by (i) crediting the account of such Borrower on the books of Bank of America with the amount of such funds or (ii) wire transfer of such funds, in each case in accordance with instructions provided to the Administrative Agent by such Borrower as set forth in the Swing Line Loan Notice.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49" w:name="page250"/>
    <w:bookmarkEnd w:id="249"/>
    <w:p>
      <w:pPr>
        <w:ind w:left="464" w:hanging="464"/>
        <w:spacing w:after="0"/>
        <w:tabs>
          <w:tab w:leader="none" w:pos="464"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86" w:lineRule="auto"/>
        <w:tabs>
          <w:tab w:leader="none" w:pos="111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discretion may request, on behalf of the applicable Borrower (which hereby irrevocably authorizes the Swing Line Lender to so request on its behalf), that each Lender make a Base Rate Committed Loan (with respect to Swing Line Loans denominated in Dollars) or a Canadian Prime Rate Loan (with respect to Swing Line Loans denominated in Canadian Dollars), in each case, in an amount equal to such Lender’s Applicable Percentage of the amount of Swing Line Loans denominated in such currency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or Canadian Prime Rate Loans, but subject to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applicable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Committed Loan (with respect Swing Line Loans denominated in Dollars) or Canadian Prime Rate Loan (with respect Swing Line Loans denominated in Canadian Dollars) to the applicable Borrower in such amount. The Administrative Agent shall remit the funds so received to the Swing Line Lender.</w:t>
      </w:r>
    </w:p>
    <w:p>
      <w:pPr>
        <w:spacing w:after="0" w:line="167" w:lineRule="exact"/>
        <w:rPr>
          <w:rFonts w:ascii="Arial" w:cs="Arial" w:eastAsia="Arial" w:hAnsi="Arial"/>
          <w:sz w:val="16"/>
          <w:szCs w:val="16"/>
          <w:color w:val="auto"/>
        </w:rPr>
      </w:pPr>
    </w:p>
    <w:p>
      <w:pPr>
        <w:ind w:left="1124" w:hanging="476"/>
        <w:spacing w:after="0"/>
        <w:tabs>
          <w:tab w:leader="none" w:pos="112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Committed Borrowing in accordance with </w:t>
      </w:r>
      <w:r>
        <w:rPr>
          <w:rFonts w:ascii="Arial" w:cs="Arial" w:eastAsia="Arial" w:hAnsi="Arial"/>
          <w:sz w:val="16"/>
          <w:szCs w:val="16"/>
          <w:u w:val="single" w:color="auto"/>
          <w:color w:val="auto"/>
        </w:rPr>
        <w:t>Section 2.04(c)</w:t>
      </w:r>
    </w:p>
    <w:p>
      <w:pPr>
        <w:spacing w:after="0" w:line="46" w:lineRule="exact"/>
        <w:rPr>
          <w:rFonts w:ascii="Arial" w:cs="Arial" w:eastAsia="Arial" w:hAnsi="Arial"/>
          <w:sz w:val="16"/>
          <w:szCs w:val="16"/>
          <w:color w:val="auto"/>
        </w:rPr>
      </w:pPr>
    </w:p>
    <w:p>
      <w:pPr>
        <w:jc w:val="both"/>
        <w:ind w:left="4" w:hanging="4"/>
        <w:spacing w:after="0" w:line="273" w:lineRule="auto"/>
        <w:tabs>
          <w:tab w:leader="none" w:pos="238" w:val="left"/>
        </w:tabs>
        <w:numPr>
          <w:ilvl w:val="0"/>
          <w:numId w:val="250"/>
        </w:numPr>
        <w:rPr>
          <w:rFonts w:ascii="Arial" w:cs="Arial" w:eastAsia="Arial" w:hAnsi="Arial"/>
          <w:sz w:val="17"/>
          <w:szCs w:val="17"/>
          <w:u w:val="single" w:color="auto"/>
          <w:color w:val="auto"/>
        </w:rPr>
      </w:pPr>
      <w:r>
        <w:rPr>
          <w:rFonts w:ascii="Arial" w:cs="Arial" w:eastAsia="Arial" w:hAnsi="Arial"/>
          <w:sz w:val="17"/>
          <w:szCs w:val="17"/>
          <w:color w:val="auto"/>
        </w:rPr>
        <w:t xml:space="preserve">or pursuant to a Borrowing requested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as the case may be, the request for Base Rate Committed Loans or Canadian Prime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shall be deemed payment in respect of such participation.</w:t>
      </w:r>
    </w:p>
    <w:p>
      <w:pPr>
        <w:spacing w:after="0" w:line="176" w:lineRule="exact"/>
        <w:rPr>
          <w:rFonts w:ascii="Arial" w:cs="Arial" w:eastAsia="Arial" w:hAnsi="Arial"/>
          <w:sz w:val="17"/>
          <w:szCs w:val="17"/>
          <w:u w:val="single" w:color="auto"/>
          <w:color w:val="auto"/>
        </w:rPr>
      </w:pPr>
    </w:p>
    <w:p>
      <w:pPr>
        <w:jc w:val="both"/>
        <w:ind w:left="4" w:firstLine="644"/>
        <w:spacing w:after="0" w:line="269" w:lineRule="auto"/>
        <w:tabs>
          <w:tab w:leader="none" w:pos="114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applicable Overnight Rate from time to time in effect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portion thereof equal to such Lender’s Applicable Percentage of the Outstanding Amount of all Swing Line Loans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39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0" w:name="page251"/>
    <w:bookmarkEnd w:id="250"/>
    <w:p>
      <w:pPr>
        <w:jc w:val="both"/>
        <w:ind w:left="660" w:firstLine="644"/>
        <w:spacing w:after="0" w:line="272" w:lineRule="auto"/>
        <w:tabs>
          <w:tab w:leader="none" w:pos="1793" w:val="left"/>
        </w:tabs>
        <w:numPr>
          <w:ilvl w:val="1"/>
          <w:numId w:val="251"/>
        </w:numPr>
        <w:rPr>
          <w:rFonts w:ascii="Arial" w:cs="Arial" w:eastAsia="Arial" w:hAnsi="Arial"/>
          <w:sz w:val="17"/>
          <w:szCs w:val="17"/>
          <w:color w:val="auto"/>
        </w:rPr>
      </w:pPr>
      <w:r>
        <w:rPr>
          <w:rFonts w:ascii="Arial" w:cs="Arial" w:eastAsia="Arial" w:hAnsi="Arial"/>
          <w:sz w:val="17"/>
          <w:szCs w:val="17"/>
          <w:color w:val="auto"/>
        </w:rPr>
        <w:t xml:space="preserve">Each Lender’s obligation to make Committed Loans or to purchase and fund risk participations in Swing Line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Swing Line Lender, the Company, PMCULC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Lender’s obligation to make Committed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No such funding of risk participations shall relieve or otherwise impair the obligation of the Company to repay Swing Line Loans, together with interest as provided herein.</w:t>
      </w:r>
    </w:p>
    <w:p>
      <w:pPr>
        <w:spacing w:after="0" w:line="177" w:lineRule="exact"/>
        <w:rPr>
          <w:rFonts w:ascii="Arial" w:cs="Arial" w:eastAsia="Arial" w:hAnsi="Arial"/>
          <w:sz w:val="17"/>
          <w:szCs w:val="17"/>
          <w:color w:val="auto"/>
        </w:rPr>
      </w:pPr>
    </w:p>
    <w:p>
      <w:pPr>
        <w:ind w:left="1140" w:hanging="484"/>
        <w:spacing w:after="0"/>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186" w:lineRule="exact"/>
        <w:rPr>
          <w:rFonts w:ascii="Arial" w:cs="Arial" w:eastAsia="Arial" w:hAnsi="Arial"/>
          <w:sz w:val="18"/>
          <w:szCs w:val="18"/>
          <w:color w:val="auto"/>
        </w:rPr>
      </w:pPr>
    </w:p>
    <w:p>
      <w:pPr>
        <w:jc w:val="both"/>
        <w:ind w:left="660" w:firstLine="644"/>
        <w:spacing w:after="0" w:line="293" w:lineRule="auto"/>
        <w:tabs>
          <w:tab w:leader="none" w:pos="1775"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payment Obligations and the termination of this Agreement.</w:t>
      </w:r>
    </w:p>
    <w:p>
      <w:pPr>
        <w:spacing w:after="0" w:line="164" w:lineRule="exact"/>
        <w:rPr>
          <w:rFonts w:ascii="Arial" w:cs="Arial" w:eastAsia="Arial" w:hAnsi="Arial"/>
          <w:sz w:val="16"/>
          <w:szCs w:val="16"/>
          <w:color w:val="auto"/>
        </w:rPr>
      </w:pPr>
    </w:p>
    <w:p>
      <w:pPr>
        <w:jc w:val="both"/>
        <w:ind w:firstLine="656"/>
        <w:spacing w:after="0" w:line="259" w:lineRule="auto"/>
        <w:tabs>
          <w:tab w:leader="none" w:pos="1117"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applicable Borrower for interest on the Swing Line Loans. Until each Lender funds its Base Rate Committed Loan or Canadian Prime Rate Committed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186" w:lineRule="exact"/>
        <w:rPr>
          <w:rFonts w:ascii="Arial" w:cs="Arial" w:eastAsia="Arial" w:hAnsi="Arial"/>
          <w:sz w:val="18"/>
          <w:szCs w:val="18"/>
          <w:color w:val="auto"/>
        </w:rPr>
      </w:pPr>
    </w:p>
    <w:p>
      <w:pPr>
        <w:ind w:firstLine="656"/>
        <w:spacing w:after="0" w:line="277" w:lineRule="auto"/>
        <w:tabs>
          <w:tab w:leader="none" w:pos="112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applicable Borrower shall make all payments of principal and interest in respect of the Swing Line Loans directly to the Swing Line Lender.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ind w:left="660"/>
        <w:spacing w:after="0"/>
        <w:tabs>
          <w:tab w:leader="none" w:pos="11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color w:val="auto"/>
        </w:rPr>
        <w:t>Prepayments.</w:t>
      </w:r>
    </w:p>
    <w:p>
      <w:pPr>
        <w:spacing w:after="0" w:line="229" w:lineRule="exact"/>
        <w:rPr>
          <w:sz w:val="20"/>
          <w:szCs w:val="20"/>
          <w:color w:val="auto"/>
        </w:rPr>
      </w:pPr>
    </w:p>
    <w:p>
      <w:pPr>
        <w:jc w:val="both"/>
        <w:ind w:firstLine="656"/>
        <w:spacing w:after="0" w:line="267" w:lineRule="auto"/>
        <w:tabs>
          <w:tab w:leader="none" w:pos="111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Each Borrower may, upon notice from such Borrower to the Administrative Agent, at any time or from time to time voluntarily prepay Committed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Administrative Agent not later than 12:00 p.m. (A) three (with respect to Committed Loans denominated in Canadian Dollars) or two (with respect to Committed Loans denominated in Dollars) Business Days prior to any date of prepayment of Eurocurrency Rate Committed Loans and (B) on the date of prepayment of Base Rate Committed Loans or Canadian Prime Rate Loans; (ii) any prepayment of Eurocurrency Rate Committed Loans denominated in Dollars shall be in a principal amount of $2,500,000 or a whole multiple of $250,000 in excess thereof; (iii) any prepayment of Eurocurrency Rate Loans denominated in Canadian Dollars shall be in a minimum principal amount of C$2,500,000 or a whole multiple of C$500,000 in excess thereof, (iv) any prepayment of Base Rate Committed Loans shall be in a principal amount of $250,000 or a whole multiple of $50,000 in excess thereof and (v) any prepayment of Canadian Prime Rate Loans shall be in a principal amount of C$250,000 or a whole multiple of C$50,000 in excess thereof, or, in each case, if less, the entire principal amount thereof then outstanding. Each such notice shall specify the date and amount of such prepayment and the Type(s) of Committed Loans to be prepaid and, if Eurocurrency Rate Committed Loans are to be prepaid, the Interest Period(s) of such Loans. The Administrative Agent will promptly notify each Lender of its receipt of each such notice, and of the amount of such Lender’s Applicable Percentage of such prepayment. If such notice is given by a Borrower, such Borrower shall make such prepayment and the payment amount specified in such notice shall be due and payable on the date specified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delivered by such Borrower may state that such notice is conditioned upon the effectiveness of other credit facilities or the closing of a securities offering, and the receipt of proceeds thereunder, in which case such notice may be revoked by such Borrower (by notice to the Administrative Agent on or prior to the specified effective date) if such conditions are not satisfied. Any prepayment of a Eurocurrency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each such prepayment shall be applied to the Committed Loans of the Lenders in accordance with their respective Applicable Percentages. No Canadian BA may be prepaid except by depositing the full face amount of such Canadian BA with the Administrative Agent in accordance with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2.01A</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jc w:val="both"/>
        <w:ind w:firstLine="656"/>
        <w:spacing w:after="0" w:line="275" w:lineRule="auto"/>
        <w:tabs>
          <w:tab w:leader="none" w:pos="112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Each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176" w:lineRule="exact"/>
        <w:rPr>
          <w:rFonts w:ascii="Arial" w:cs="Arial" w:eastAsia="Arial" w:hAnsi="Arial"/>
          <w:sz w:val="17"/>
          <w:szCs w:val="17"/>
          <w:color w:val="auto"/>
        </w:rPr>
      </w:pPr>
    </w:p>
    <w:p>
      <w:pPr>
        <w:jc w:val="both"/>
        <w:ind w:firstLine="656"/>
        <w:spacing w:after="0" w:line="275" w:lineRule="auto"/>
        <w:tabs>
          <w:tab w:leader="none" w:pos="111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If for any reason the Outstanding Amount of all Loans, all L/C Obligations and all Canadian BA’s of any Borrower at any time exceeds such Borrower’s Collateral Value, such Borrower shall immediately upon demand prepay Loans to such Borrower and/or Cash Collateralize the L/C Obligations or Canadian BA’s of such Borrower in an aggregate amount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Borrower shall not be required to Cash Collateralize the L/C Obligations or Canadian BA’s pursuant to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unless after the prepayment in full of the Committed Loans and Swing Line Loans to such Borrower, the Total Outstandings exceed the Aggregate Commitments then in effect.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firstLine="656"/>
        <w:spacing w:after="0" w:line="273" w:lineRule="auto"/>
        <w:tabs>
          <w:tab w:leader="none" w:pos="112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If for any reason the Total Outstandings at any time exceed an amount equal to 105% of the Aggregate Commitments then in effect, then each Borrower, as applicable, shall immediately upon demand prepay Loans made to such Borrower denominated in Canadian Dollars and/or Cash Collateralize L/C Obligations of such Borrower in Canadian Dollars and/or Canadian BA’s issued by such Borrower in an aggregate amount for all Borrowers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Borrower shall be required to Cash Collateralize L/C Obligations denominated in Canadian Dollars or Canadian BA’s pursuant to this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unless after the prepayment in full of the Committed Loans and Swing Line Loans denominated in Canadian Dollars, the Total Outstandings exceed the Aggregate Commitments.</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2.06 Termination or Reduction of Commitments</w:t>
      </w:r>
      <w:r>
        <w:rPr>
          <w:rFonts w:ascii="Arial" w:cs="Arial" w:eastAsia="Arial" w:hAnsi="Arial"/>
          <w:sz w:val="16"/>
          <w:szCs w:val="16"/>
          <w:color w:val="auto"/>
        </w:rPr>
        <w:t>. The Company may, upon notice to the Administrative Agent, terminate the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(iii) the Company shall not terminate or reduce the Aggregate Commitments if, after giving effect thereto and to any concurrent prepayments hereunder, the Total Outstandings would exceed the Aggregate Commitments, and (iv) if, after giving effect to any reduction of the Aggregate Commitments, the Letter of Credit Sublimit or the Swing Line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Letter of Credit Sublimit or the Swing Line Sublimit unless otherwise specified by the Company.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6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Repayment of Loans.</w:t>
      </w:r>
    </w:p>
    <w:p>
      <w:pPr>
        <w:spacing w:after="0" w:line="229" w:lineRule="exact"/>
        <w:rPr>
          <w:sz w:val="20"/>
          <w:szCs w:val="20"/>
          <w:color w:val="auto"/>
        </w:rPr>
      </w:pPr>
    </w:p>
    <w:p>
      <w:pPr>
        <w:ind w:right="20" w:firstLine="656"/>
        <w:spacing w:after="0" w:line="277" w:lineRule="auto"/>
        <w:tabs>
          <w:tab w:leader="none" w:pos="111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Each Borrower shall repay to the Lenders on the Maturity Date the aggregate principal amount of Committed Loans made to such Borrower outstanding on such date.</w:t>
      </w:r>
    </w:p>
    <w:p>
      <w:pPr>
        <w:spacing w:after="0" w:line="170" w:lineRule="exact"/>
        <w:rPr>
          <w:rFonts w:ascii="Arial" w:cs="Arial" w:eastAsia="Arial" w:hAnsi="Arial"/>
          <w:sz w:val="18"/>
          <w:szCs w:val="18"/>
          <w:color w:val="auto"/>
        </w:rPr>
      </w:pPr>
    </w:p>
    <w:p>
      <w:pPr>
        <w:jc w:val="both"/>
        <w:ind w:firstLine="656"/>
        <w:spacing w:after="0" w:line="301" w:lineRule="auto"/>
        <w:tabs>
          <w:tab w:leader="none" w:pos="112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Each Borrower shall repay each Swing Line Loan made to such Borrower on the earlier to occur of (i) the date ten Business Days after such Loan is made and (ii) the Maturity Date. At any time that there shall exist a Defaulting Lender, immediately upon the request of the Swing Line Lender, and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and any Cash Collateral then held by the Swing Line Lender, the Company shall repay the outstanding Swing Line Loans made by such Swing Line Lender in an amount sufficient to eliminate any Fronting Exposure in respect of such Swing Line Loans.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ind w:left="660"/>
        <w:spacing w:after="0"/>
        <w:tabs>
          <w:tab w:leader="none" w:pos="116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color w:val="auto"/>
        </w:rPr>
        <w:t>Interest.</w:t>
      </w:r>
    </w:p>
    <w:p>
      <w:pPr>
        <w:spacing w:after="0" w:line="229" w:lineRule="exact"/>
        <w:rPr>
          <w:sz w:val="20"/>
          <w:szCs w:val="20"/>
          <w:color w:val="auto"/>
        </w:rPr>
      </w:pPr>
    </w:p>
    <w:p>
      <w:pPr>
        <w:jc w:val="both"/>
        <w:ind w:firstLine="656"/>
        <w:spacing w:after="0" w:line="291" w:lineRule="auto"/>
        <w:tabs>
          <w:tab w:leader="none" w:pos="1117"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(i) each Eurocurrency Rate Committed Loan shall bear interest on the outstanding principal amount thereof for each Interest Period at a rate per annum equal to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w:t>
      </w:r>
    </w:p>
    <w:p>
      <w:pPr>
        <w:jc w:val="both"/>
        <w:ind w:firstLine="8"/>
        <w:spacing w:after="0" w:line="268" w:lineRule="auto"/>
        <w:tabs>
          <w:tab w:leader="none" w:pos="26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each Base Rate Committed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(iii) each Canadian Prime Rate Committed Loan shall bear interest on the outstanding principal amount thereof from the applicable borrowing date at a rate per annum equal to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(iv) each Eurocurrency Rate Swing Line Loan shall bear interest on the outstanding principal amount thereof for each Interest Period at a rate per annum equal to the daily floating Eurocurrency Rate provided in clause (b) of the definition thereof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(v) each Base Rate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and (vi) each Canadian Prime Rate Swing Line Loan shall bear interest on the outstanding principal amount thereof from the applicable borrowing date at a rate per annum equal to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w:t>
      </w:r>
    </w:p>
    <w:p>
      <w:pPr>
        <w:spacing w:after="0" w:line="183" w:lineRule="exact"/>
        <w:rPr>
          <w:rFonts w:ascii="Arial" w:cs="Arial" w:eastAsia="Arial" w:hAnsi="Arial"/>
          <w:sz w:val="17"/>
          <w:szCs w:val="17"/>
          <w:color w:val="auto"/>
        </w:rPr>
      </w:pPr>
    </w:p>
    <w:p>
      <w:pPr>
        <w:jc w:val="both"/>
        <w:ind w:firstLine="656"/>
        <w:spacing w:after="0" w:line="263" w:lineRule="auto"/>
        <w:tabs>
          <w:tab w:leader="none" w:pos="112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775" w:val="left"/>
        </w:tabs>
        <w:numPr>
          <w:ilvl w:val="2"/>
          <w:numId w:val="257"/>
        </w:numPr>
        <w:rPr>
          <w:rFonts w:ascii="Arial" w:cs="Arial" w:eastAsia="Arial" w:hAnsi="Arial"/>
          <w:sz w:val="17"/>
          <w:szCs w:val="17"/>
          <w:color w:val="auto"/>
        </w:rPr>
      </w:pPr>
      <w:r>
        <w:rPr>
          <w:rFonts w:ascii="Arial" w:cs="Arial" w:eastAsia="Arial" w:hAnsi="Arial"/>
          <w:sz w:val="17"/>
          <w:szCs w:val="17"/>
          <w:color w:val="auto"/>
        </w:rPr>
        <w:t>If any amount (other than principal of any Loan) payable by any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65" w:lineRule="exact"/>
        <w:rPr>
          <w:rFonts w:ascii="Arial" w:cs="Arial" w:eastAsia="Arial" w:hAnsi="Arial"/>
          <w:sz w:val="17"/>
          <w:szCs w:val="17"/>
          <w:color w:val="auto"/>
        </w:rPr>
      </w:pPr>
    </w:p>
    <w:p>
      <w:pPr>
        <w:ind w:left="660" w:firstLine="644"/>
        <w:spacing w:after="0" w:line="308" w:lineRule="auto"/>
        <w:tabs>
          <w:tab w:leader="none" w:pos="1803" w:val="left"/>
        </w:tabs>
        <w:numPr>
          <w:ilvl w:val="2"/>
          <w:numId w:val="257"/>
        </w:numPr>
        <w:rPr>
          <w:rFonts w:ascii="Arial" w:cs="Arial" w:eastAsia="Arial" w:hAnsi="Arial"/>
          <w:sz w:val="17"/>
          <w:szCs w:val="17"/>
          <w:color w:val="auto"/>
        </w:rPr>
      </w:pPr>
      <w:r>
        <w:rPr>
          <w:rFonts w:ascii="Arial" w:cs="Arial" w:eastAsia="Arial" w:hAnsi="Arial"/>
          <w:sz w:val="17"/>
          <w:szCs w:val="17"/>
          <w:color w:val="auto"/>
        </w:rPr>
        <w:t>During any Default Rate Period, the Borrowers shall pay interest on the principal amount of all outstanding Obligations hereunder at a fluctuating interest rate per annum at all times equal to the Default Rate to the fullest extent permitted by Applicable Laws.</w:t>
      </w:r>
    </w:p>
    <w:p>
      <w:pPr>
        <w:spacing w:after="0" w:line="146" w:lineRule="exact"/>
        <w:rPr>
          <w:rFonts w:ascii="Arial" w:cs="Arial" w:eastAsia="Arial" w:hAnsi="Arial"/>
          <w:sz w:val="17"/>
          <w:szCs w:val="17"/>
          <w:color w:val="auto"/>
        </w:rPr>
      </w:pPr>
    </w:p>
    <w:p>
      <w:pPr>
        <w:ind w:left="1780" w:hanging="476"/>
        <w:spacing w:after="0"/>
        <w:tabs>
          <w:tab w:leader="none" w:pos="1780" w:val="left"/>
        </w:tabs>
        <w:numPr>
          <w:ilvl w:val="2"/>
          <w:numId w:val="257"/>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11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12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rates of interest stipulated herein are intended to be nominal rates and not effective rates or yields.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left="660"/>
        <w:spacing w:after="0"/>
        <w:tabs>
          <w:tab w:leader="none" w:pos="116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(h)</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117"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Each Borrower shall pay to the Administrative Agent for the account of each Lender in accordance with its Applicable Percentage, a commitment fee in Dollars equal to (A) fifty percent (50%) times (B) (1)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(2) the actual daily amount by which the Aggregate Commitments exceed the sum of (i) the Outstanding Amount of all Committed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the Outstanding Amount of all Canadian Bankers’ Acceptances, subject to adjustment as provided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2" w:lineRule="exact"/>
        <w:rPr>
          <w:sz w:val="20"/>
          <w:szCs w:val="20"/>
          <w:color w:val="auto"/>
        </w:rPr>
      </w:pPr>
    </w:p>
    <w:p>
      <w:pPr>
        <w:ind w:left="1760" w:hanging="456"/>
        <w:spacing w:after="0"/>
        <w:tabs>
          <w:tab w:leader="none" w:pos="176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63" w:lineRule="auto"/>
        <w:tabs>
          <w:tab w:leader="none" w:pos="174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shall pay to the Arrangers and the Administrative Agent for their own respective accounts in Dollars fees in the amounts and at the times specified in their respective Fee Letters. Such fees shall be fully earned when paid and shall not be refundable for any reason whatsoever, except as expressly set forth therein.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7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shall pay to the Lenders such fees as shall have been separately agreed upon between the Company and the Administrative Agent and/or Lenders, as the case may be, in writing in the amounts and at the times so specified. Such fees shall be fully earned when paid and shall not be refundable for any reason whatsoever, except as expressly agreed to in writing.</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2.10 Computation of Interest and Fees</w:t>
      </w:r>
      <w:r>
        <w:rPr>
          <w:rFonts w:ascii="Arial" w:cs="Arial" w:eastAsia="Arial" w:hAnsi="Arial"/>
          <w:sz w:val="16"/>
          <w:szCs w:val="16"/>
          <w:color w:val="auto"/>
        </w:rPr>
        <w:t>. All computations of interest for Base Rate Loans (including Base Rate Loans determined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Eurocurrency Rate) and Canadian Prime Rate Loans and Eurocurrency Rate Loans denominated in Canadian Dollars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ind w:left="660"/>
        <w:spacing w:after="0"/>
        <w:tabs>
          <w:tab w:leader="none" w:pos="11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Evidence of Debt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8" w:lineRule="auto"/>
        <w:tabs>
          <w:tab w:leader="none" w:pos="111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each Borrower and the interest and payments thereon. Any failure to so record or any error in doing so shall not, however, limit or otherwise affect the obligation of the Borrowers hereunder to pay any amount owing on their respective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Committed Loan Note and/or a Swing Line Note, as applicable,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68" w:lineRule="exact"/>
        <w:rPr>
          <w:rFonts w:ascii="Arial" w:cs="Arial" w:eastAsia="Arial" w:hAnsi="Arial"/>
          <w:sz w:val="16"/>
          <w:szCs w:val="16"/>
          <w:color w:val="auto"/>
        </w:rPr>
      </w:pPr>
    </w:p>
    <w:p>
      <w:pPr>
        <w:jc w:val="both"/>
        <w:ind w:firstLine="656"/>
        <w:spacing w:after="0" w:line="279" w:lineRule="auto"/>
        <w:tabs>
          <w:tab w:leader="none" w:pos="112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6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Payments Generally; Administrative Agent’s Clawback</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8" w:lineRule="auto"/>
        <w:tabs>
          <w:tab w:leader="none" w:pos="1117"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Borrowers shall be made without condition or deduction for any counterclaim, defense, recoupment or setoff. Except as otherwise expressly provided herein and except with respect to principal of and interest on Loans denominated in Canadian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Lenders to which such payment is owed, at the applicable Administrative Agent’s Office in Canadian Dollars and in Same Day Funds not later than the Applicable Time specified by the Administrative Agent on the dates specified herein. If, for any reason, any Borrower is prohibited by any Law from making any required payment hereunder in Canadian Dollars, such Borrower shall make such payment in Dollars in the Dollar Equivalent of the Canadian Dollars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jc w:val="both"/>
        <w:ind w:left="-460" w:firstLine="644"/>
        <w:spacing w:after="0" w:line="285" w:lineRule="auto"/>
        <w:tabs>
          <w:tab w:leader="none" w:pos="53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Eurocurrency Rate Loans (or, in the case of any Committed Borrowing of Base Rate Loans or Canadian Prime Rate Loans prior to 1:00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or Canadian Prime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Lender shall pay such principal or interest to the Administrative Agent for the same or an overlapping period, the Administrative Agent shall promptly remit to such Borrower the amount of such principal and interest paid by such Borrower for such period. If such Lender pays its share of the applicable Committed Borrowing to the Administrative Agent, then the amount so paid (excluding interest and fees as aforesaid)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69" w:lineRule="exact"/>
        <w:rPr>
          <w:sz w:val="20"/>
          <w:szCs w:val="20"/>
          <w:color w:val="auto"/>
        </w:rPr>
      </w:pPr>
    </w:p>
    <w:p>
      <w:pPr>
        <w:jc w:val="both"/>
        <w:ind w:left="-460" w:firstLine="644"/>
        <w:spacing w:after="0" w:line="257" w:lineRule="auto"/>
        <w:tabs>
          <w:tab w:leader="none" w:pos="655"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Payments by Borrowers; Presumptions by Administrative Agent</w:t>
      </w:r>
      <w:r>
        <w:rPr>
          <w:rFonts w:ascii="Arial" w:cs="Arial" w:eastAsia="Arial" w:hAnsi="Arial"/>
          <w:sz w:val="18"/>
          <w:szCs w:val="18"/>
          <w:color w:val="auto"/>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the applicable L/C Issuers, as the case may be, the amount due.</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7" w:name="page258"/>
    <w:bookmarkEnd w:id="257"/>
    <w:p>
      <w:pPr>
        <w:jc w:val="both"/>
        <w:ind w:left="660" w:firstLine="644"/>
        <w:spacing w:after="0" w:line="270" w:lineRule="auto"/>
        <w:tabs>
          <w:tab w:leader="none" w:pos="1803" w:val="left"/>
        </w:tabs>
        <w:numPr>
          <w:ilvl w:val="1"/>
          <w:numId w:val="266"/>
        </w:numPr>
        <w:rPr>
          <w:rFonts w:ascii="Arial" w:cs="Arial" w:eastAsia="Arial" w:hAnsi="Arial"/>
          <w:sz w:val="17"/>
          <w:szCs w:val="17"/>
          <w:color w:val="auto"/>
        </w:rPr>
      </w:pPr>
      <w:r>
        <w:rPr>
          <w:rFonts w:ascii="Arial" w:cs="Arial" w:eastAsia="Arial" w:hAnsi="Arial"/>
          <w:sz w:val="17"/>
          <w:szCs w:val="17"/>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“Rescindable Amount”):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0" w:lineRule="exact"/>
        <w:rPr>
          <w:rFonts w:ascii="Arial" w:cs="Arial" w:eastAsia="Arial" w:hAnsi="Arial"/>
          <w:sz w:val="17"/>
          <w:szCs w:val="17"/>
          <w:color w:val="auto"/>
        </w:rPr>
      </w:pPr>
    </w:p>
    <w:p>
      <w:pPr>
        <w:ind w:left="660" w:right="20" w:firstLine="644"/>
        <w:spacing w:after="0" w:line="277" w:lineRule="auto"/>
        <w:tabs>
          <w:tab w:leader="none" w:pos="1793"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 notice of the Administrative Agent to any Lender or Borrower with respect to any amount owing under this subsection (b) shall be conclusive, absent manifest error.</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117"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such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jc w:val="both"/>
        <w:ind w:firstLine="656"/>
        <w:spacing w:after="0" w:line="254" w:lineRule="auto"/>
        <w:tabs>
          <w:tab w:leader="none" w:pos="1127"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Obligations of Lenders and L/C Issuers Several</w:t>
      </w:r>
      <w:r>
        <w:rPr>
          <w:rFonts w:ascii="Arial" w:cs="Arial" w:eastAsia="Arial" w:hAnsi="Arial"/>
          <w:sz w:val="18"/>
          <w:szCs w:val="18"/>
          <w:color w:val="auto"/>
        </w:rPr>
        <w:t xml:space="preserve">. The obligations of (i) the Lenders hereunder to make Committed Loans, to fund participations in Letters of Credit and Swing Line Loans and to make payments pursuant to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and (ii) the L/C Issuers hereunder to issue (and to renew, amend or extend) Letters of Credit, are in each case several and not joint. The failure of (i) any Lender to make any Committed Loan, to fund any such participation or to make any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or (ii) any L/C Issuer to issue (or renew, amend or extend) any Letter of Credit, on any date required hereunder shall not in either case relieve any other Lender or L/C Issuer, as applicable, of its corresponding obligation to do so on such date, and (x) no Lender shall be responsible for the failure of any other Lender to so make its Committed Loan, to purchase its participation or to make its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and (y) no L/C Issuer shall be responsible for the failure of any other L/C Issuer to so issue (or renew, amend or extend) any such Letter of Credit.</w:t>
      </w:r>
    </w:p>
    <w:p>
      <w:pPr>
        <w:spacing w:after="0" w:line="191" w:lineRule="exact"/>
        <w:rPr>
          <w:rFonts w:ascii="Arial" w:cs="Arial" w:eastAsia="Arial" w:hAnsi="Arial"/>
          <w:sz w:val="18"/>
          <w:szCs w:val="18"/>
          <w:color w:val="auto"/>
        </w:rPr>
      </w:pPr>
    </w:p>
    <w:p>
      <w:pPr>
        <w:ind w:right="20" w:firstLine="656"/>
        <w:spacing w:after="0" w:line="308" w:lineRule="auto"/>
        <w:tabs>
          <w:tab w:leader="none" w:pos="1117"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jc w:val="both"/>
        <w:ind w:firstLine="648"/>
        <w:spacing w:after="0" w:line="291" w:lineRule="auto"/>
        <w:rPr>
          <w:sz w:val="20"/>
          <w:szCs w:val="20"/>
          <w:color w:val="auto"/>
        </w:rPr>
      </w:pPr>
      <w:r>
        <w:rPr>
          <w:rFonts w:ascii="Arial" w:cs="Arial" w:eastAsia="Arial" w:hAnsi="Arial"/>
          <w:sz w:val="16"/>
          <w:szCs w:val="16"/>
          <w:b w:val="1"/>
          <w:bCs w:val="1"/>
          <w:color w:val="auto"/>
        </w:rPr>
        <w:t>2.13 Sharing of Payments by Lenders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11.08</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 Defaulting Lender, if any Lender shall, by exercising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 of setoff or counterclaim or otherwise, obtain payment in respect of any principal of or interest on any of the Committed Loans made by it or Canadian BA’s accepted by it, or the participations in L/C Obligations or in Swing Line Loans held by it resulting in such Lender’s receiving payment of a proportion of the aggregate amount of such Committed Loans or participations and accrued interest thereon greater than its Applicable Percentage thereof as provided herein, then the Lender receiving such greater proportion shall (a) notify the Administrative Agent of such fact, and (b) purchase (for cash at face value) participations in the Committed Loans and Canadian BA’s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63" w:lineRule="exact"/>
        <w:rPr>
          <w:sz w:val="20"/>
          <w:szCs w:val="20"/>
          <w:color w:val="auto"/>
        </w:rPr>
      </w:pPr>
    </w:p>
    <w:p>
      <w:pPr>
        <w:ind w:left="660" w:firstLine="644"/>
        <w:spacing w:after="0" w:line="342" w:lineRule="auto"/>
        <w:tabs>
          <w:tab w:leader="none" w:pos="1748" w:val="left"/>
        </w:tabs>
        <w:numPr>
          <w:ilvl w:val="1"/>
          <w:numId w:val="268"/>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23" w:lineRule="exact"/>
        <w:rPr>
          <w:rFonts w:ascii="Arial" w:cs="Arial" w:eastAsia="Arial" w:hAnsi="Arial"/>
          <w:sz w:val="16"/>
          <w:szCs w:val="16"/>
          <w:color w:val="auto"/>
        </w:rPr>
      </w:pPr>
    </w:p>
    <w:p>
      <w:pPr>
        <w:jc w:val="both"/>
        <w:ind w:left="660" w:firstLine="644"/>
        <w:spacing w:after="0" w:line="291" w:lineRule="auto"/>
        <w:tabs>
          <w:tab w:leader="none" w:pos="1775"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provisions of this Section shall not be construed to apply to (x) any payment made by or on behalf of a Borrower pursuant to and in accordance with the express terms of this Agreement (including the application of funds arising from the existence of a Defaulting Lender),</w:t>
      </w:r>
    </w:p>
    <w:p>
      <w:pPr>
        <w:jc w:val="both"/>
        <w:ind w:left="660" w:hanging="4"/>
        <w:spacing w:after="0" w:line="253" w:lineRule="auto"/>
        <w:tabs>
          <w:tab w:leader="none" w:pos="916" w:val="left"/>
        </w:tabs>
        <w:numPr>
          <w:ilvl w:val="0"/>
          <w:numId w:val="269"/>
        </w:numPr>
        <w:rPr>
          <w:rFonts w:ascii="Arial" w:cs="Arial" w:eastAsia="Arial" w:hAnsi="Arial"/>
          <w:sz w:val="18"/>
          <w:szCs w:val="18"/>
          <w:color w:val="191919"/>
        </w:rPr>
      </w:pPr>
      <w:r>
        <w:rPr>
          <w:rFonts w:ascii="Arial" w:cs="Arial" w:eastAsia="Arial" w:hAnsi="Arial"/>
          <w:sz w:val="18"/>
          <w:szCs w:val="18"/>
          <w:color w:val="191919"/>
        </w:rPr>
        <w:t xml:space="preserve">the application of Cash Collateral provided for in </w:t>
      </w:r>
      <w:r>
        <w:rPr>
          <w:rFonts w:ascii="Arial" w:cs="Arial" w:eastAsia="Arial" w:hAnsi="Arial"/>
          <w:sz w:val="18"/>
          <w:szCs w:val="18"/>
          <w:u w:val="single" w:color="auto"/>
          <w:color w:val="191919"/>
        </w:rPr>
        <w:t>Section 2.16</w:t>
      </w:r>
      <w:r>
        <w:rPr>
          <w:rFonts w:ascii="Arial" w:cs="Arial" w:eastAsia="Arial" w:hAnsi="Arial"/>
          <w:sz w:val="18"/>
          <w:szCs w:val="18"/>
          <w:color w:val="191919"/>
        </w:rPr>
        <w:t xml:space="preserve">, or (z) </w:t>
      </w:r>
      <w:r>
        <w:rPr>
          <w:rFonts w:ascii="Arial" w:cs="Arial" w:eastAsia="Arial" w:hAnsi="Arial"/>
          <w:sz w:val="18"/>
          <w:szCs w:val="18"/>
          <w:color w:val="000000"/>
        </w:rPr>
        <w:t>any payment obtained by a Lender as consideration for the assignment of</w:t>
      </w:r>
      <w:r>
        <w:rPr>
          <w:rFonts w:ascii="Arial" w:cs="Arial" w:eastAsia="Arial" w:hAnsi="Arial"/>
          <w:sz w:val="18"/>
          <w:szCs w:val="18"/>
          <w:color w:val="191919"/>
        </w:rPr>
        <w:t xml:space="preserve"> </w:t>
      </w:r>
      <w:r>
        <w:rPr>
          <w:rFonts w:ascii="Arial" w:cs="Arial" w:eastAsia="Arial" w:hAnsi="Arial"/>
          <w:sz w:val="18"/>
          <w:szCs w:val="18"/>
          <w:color w:val="000000"/>
        </w:rPr>
        <w:t>or sale of a participation in any of its Committed Loans or Canadian BA’s or subparticipations in L/C Obligations or Swing Line Loans to any permitted assignee or participant, other than an assignment to the Company or any Subsidiary thereof (as to which the provisions of this Section shall apply).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Extension of Maturity Date.</w:t>
      </w:r>
    </w:p>
    <w:p>
      <w:pPr>
        <w:spacing w:after="0" w:line="229" w:lineRule="exact"/>
        <w:rPr>
          <w:sz w:val="20"/>
          <w:szCs w:val="20"/>
          <w:color w:val="auto"/>
        </w:rPr>
      </w:pPr>
    </w:p>
    <w:p>
      <w:pPr>
        <w:jc w:val="both"/>
        <w:ind w:firstLine="656"/>
        <w:spacing w:after="0" w:line="259" w:lineRule="auto"/>
        <w:tabs>
          <w:tab w:leader="none" w:pos="1117"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once each calendar year during the Availability Period, by notice to the Administrative Agent (who shall promptly notify the Lenders) not earlier than 30 days prior to the first anniversary of the Closing Date and not later than 30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one additional year from the Existing Maturity Date.</w:t>
      </w:r>
    </w:p>
    <w:p>
      <w:pPr>
        <w:spacing w:after="0" w:line="186" w:lineRule="exact"/>
        <w:rPr>
          <w:rFonts w:ascii="Arial" w:cs="Arial" w:eastAsia="Arial" w:hAnsi="Arial"/>
          <w:sz w:val="18"/>
          <w:szCs w:val="18"/>
          <w:color w:val="auto"/>
        </w:rPr>
      </w:pPr>
    </w:p>
    <w:p>
      <w:pPr>
        <w:jc w:val="both"/>
        <w:ind w:firstLine="656"/>
        <w:spacing w:after="0" w:line="272" w:lineRule="auto"/>
        <w:tabs>
          <w:tab w:leader="none" w:pos="1127"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Lender Elections to Extend</w:t>
      </w:r>
      <w:r>
        <w:rPr>
          <w:rFonts w:ascii="Arial" w:cs="Arial" w:eastAsia="Arial" w:hAnsi="Arial"/>
          <w:sz w:val="17"/>
          <w:szCs w:val="17"/>
          <w:color w:val="auto"/>
        </w:rPr>
        <w:t>. Each Lender, acting in its sole and individual discretion, shall, by notice to the Administrative Agent given not later than the date (the “</w:t>
      </w:r>
      <w:r>
        <w:rPr>
          <w:rFonts w:ascii="Arial" w:cs="Arial" w:eastAsia="Arial" w:hAnsi="Arial"/>
          <w:sz w:val="17"/>
          <w:szCs w:val="17"/>
          <w:u w:val="single" w:color="auto"/>
          <w:color w:val="auto"/>
        </w:rPr>
        <w:t>Notice Date</w:t>
      </w:r>
      <w:r>
        <w:rPr>
          <w:rFonts w:ascii="Arial" w:cs="Arial" w:eastAsia="Arial" w:hAnsi="Arial"/>
          <w:sz w:val="17"/>
          <w:szCs w:val="17"/>
          <w:color w:val="auto"/>
        </w:rPr>
        <w:t>”) that is 15 days after the date of the Company’s notice to the Administrative Agent under subsection (a) above, advise the Administrative Agent (and the Administrative Agent shall upon the Company’s request prior to the Notice Date advise the Company as to Lenders’ responses) whether or not such Lender agrees to such extension, and each Lender that determines not to so extend its Maturity Date (a “</w:t>
      </w:r>
      <w:r>
        <w:rPr>
          <w:rFonts w:ascii="Arial" w:cs="Arial" w:eastAsia="Arial" w:hAnsi="Arial"/>
          <w:sz w:val="17"/>
          <w:szCs w:val="17"/>
          <w:u w:val="single" w:color="auto"/>
          <w:color w:val="auto"/>
        </w:rPr>
        <w:t>Non-Extending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shall notify the Administrative Agent of such fact promptly after such determination (but in any event no later than the Notice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Lender that does not so advise the Administrative Agent on or before the Notice Date shall be deemed to be a Non-Extending Lender. The election of any Lender to agree to such extension shall not obligate any other Lender to so agree.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ind w:firstLine="656"/>
        <w:spacing w:after="0" w:line="277" w:lineRule="auto"/>
        <w:tabs>
          <w:tab w:leader="none" w:pos="1117"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Notification by the Administrative Agent</w:t>
      </w:r>
      <w:r>
        <w:rPr>
          <w:rFonts w:ascii="Arial" w:cs="Arial" w:eastAsia="Arial" w:hAnsi="Arial"/>
          <w:sz w:val="18"/>
          <w:szCs w:val="18"/>
          <w:color w:val="auto"/>
        </w:rPr>
        <w:t>. The Administrative Agent shall notify the Company of each Lender’s determination under this Section on the Notice Date (or, if such date is not a Business Day, on the next following Business Day).</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127"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Additional Commitment Lenders</w:t>
      </w:r>
      <w:r>
        <w:rPr>
          <w:rFonts w:ascii="Arial" w:cs="Arial" w:eastAsia="Arial" w:hAnsi="Arial"/>
          <w:sz w:val="16"/>
          <w:szCs w:val="16"/>
          <w:color w:val="auto"/>
        </w:rPr>
        <w:t xml:space="preserve">. The Company shall have the right, both before and after the effectiveness of a requested extension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to replace any Non-Extending Lender (with respect to all or any portion of its Commitment) with, and add as “Lenders” under this Agreement in place thereof, one or more Eligible Assignees (each such Eligible Assignee replacing a Non-Extending Lender on or before the effectiveness of a requested extension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an “</w:t>
      </w:r>
      <w:r>
        <w:rPr>
          <w:rFonts w:ascii="Arial" w:cs="Arial" w:eastAsia="Arial" w:hAnsi="Arial"/>
          <w:sz w:val="16"/>
          <w:szCs w:val="16"/>
          <w:u w:val="single" w:color="auto"/>
          <w:color w:val="auto"/>
        </w:rPr>
        <w:t>Additional Commitment Lender</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Section 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Additional Commitment Lender shall enter into an Assignment and Assumption pursuant to which such Additional Commitment Lender shall, effective as of the effectiveness of such requested extension, undertake a Commitment (and, if any such Additional Commitment Lender is a Lender on the effective date referenced in the immediately succeeding clause (e),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pacing w:after="0" w:line="166" w:lineRule="exact"/>
        <w:rPr>
          <w:rFonts w:ascii="Arial" w:cs="Arial" w:eastAsia="Arial" w:hAnsi="Arial"/>
          <w:sz w:val="16"/>
          <w:szCs w:val="16"/>
          <w:color w:val="auto"/>
        </w:rPr>
      </w:pPr>
    </w:p>
    <w:p>
      <w:pPr>
        <w:jc w:val="both"/>
        <w:ind w:firstLine="656"/>
        <w:spacing w:after="0" w:line="270" w:lineRule="auto"/>
        <w:tabs>
          <w:tab w:leader="none" w:pos="1117"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Minimum Extension Requirement</w:t>
      </w:r>
      <w:r>
        <w:rPr>
          <w:rFonts w:ascii="Arial" w:cs="Arial" w:eastAsia="Arial" w:hAnsi="Arial"/>
          <w:sz w:val="17"/>
          <w:szCs w:val="17"/>
          <w:color w:val="auto"/>
        </w:rPr>
        <w:t>. If (and only if) the total of the Commitments of the Lenders that have agreed so to extend their Maturity Date (each an “</w:t>
      </w:r>
      <w:r>
        <w:rPr>
          <w:rFonts w:ascii="Arial" w:cs="Arial" w:eastAsia="Arial" w:hAnsi="Arial"/>
          <w:sz w:val="17"/>
          <w:szCs w:val="17"/>
          <w:u w:val="single" w:color="auto"/>
          <w:color w:val="auto"/>
        </w:rPr>
        <w:t>Extending Lender</w:t>
      </w:r>
      <w:r>
        <w:rPr>
          <w:rFonts w:ascii="Arial" w:cs="Arial" w:eastAsia="Arial" w:hAnsi="Arial"/>
          <w:sz w:val="17"/>
          <w:szCs w:val="17"/>
          <w:color w:val="auto"/>
        </w:rPr>
        <w:t xml:space="preserve">”) and the additional Commitments of the Additional Commitment Lenders shall be more than 50% of the aggregate amount of the Commitments in effect on the Notice Date, then, subject to the conditions set forth in </w:t>
      </w:r>
      <w:r>
        <w:rPr>
          <w:rFonts w:ascii="Arial" w:cs="Arial" w:eastAsia="Arial" w:hAnsi="Arial"/>
          <w:sz w:val="17"/>
          <w:szCs w:val="17"/>
          <w:u w:val="single" w:color="auto"/>
          <w:color w:val="auto"/>
        </w:rPr>
        <w:t>Section 2.14(d)</w:t>
      </w:r>
      <w:r>
        <w:rPr>
          <w:rFonts w:ascii="Arial" w:cs="Arial" w:eastAsia="Arial" w:hAnsi="Arial"/>
          <w:sz w:val="17"/>
          <w:szCs w:val="17"/>
          <w:color w:val="auto"/>
        </w:rPr>
        <w:t xml:space="preserve">, effective as of the Notice Date, or such later date as the Administrative Agent and the Company shall agree, the Maturity Date of each Extending Lender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shall continue to have the right to replace any such Non-Extending Lender (with respect to all or any portion of its Commitment) following the effectiveness of any such extension as provided in </w:t>
      </w:r>
      <w:r>
        <w:rPr>
          <w:rFonts w:ascii="Arial" w:cs="Arial" w:eastAsia="Arial" w:hAnsi="Arial"/>
          <w:sz w:val="17"/>
          <w:szCs w:val="17"/>
          <w:u w:val="single" w:color="auto"/>
          <w:color w:val="auto"/>
        </w:rPr>
        <w:t>Section 2.14(d)</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p>
      <w:pPr>
        <w:jc w:val="both"/>
        <w:ind w:firstLine="656"/>
        <w:spacing w:after="0" w:line="288" w:lineRule="auto"/>
        <w:tabs>
          <w:tab w:leader="none" w:pos="1120"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Extensions</w:t>
      </w:r>
      <w:r>
        <w:rPr>
          <w:rFonts w:ascii="Arial" w:cs="Arial" w:eastAsia="Arial" w:hAnsi="Arial"/>
          <w:sz w:val="16"/>
          <w:szCs w:val="16"/>
          <w:color w:val="auto"/>
        </w:rPr>
        <w:t xml:space="preserve">. As a condition precedent to such extension, the Company shall deliver to the Administrative Agent a certificate dated as of the Notice Date signed by a Responsible Officer of the Company (i) certifying and attaching the resolutions adopted by the Company approving or consenting to such extension and (ii) certifying that, before and immediately after giving effect to such extension,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(2) any Loan Party in any other Loan Document are true and correct in all material respects on and as of the Notice Date,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or Event of Default exists. In addition, on the Maturity Date of each Non-Extending Lender, each Borrower shall prepay the Loans made to such Borrower and outstanding on such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outstanding Loans ratable with any revised Applicable Percentages of the Lenders effective as of such date.</w:t>
      </w:r>
    </w:p>
    <w:p>
      <w:pPr>
        <w:spacing w:after="0" w:line="168" w:lineRule="exact"/>
        <w:rPr>
          <w:rFonts w:ascii="Arial" w:cs="Arial" w:eastAsia="Arial" w:hAnsi="Arial"/>
          <w:sz w:val="16"/>
          <w:szCs w:val="16"/>
          <w:color w:val="auto"/>
        </w:rPr>
      </w:pPr>
    </w:p>
    <w:p>
      <w:pPr>
        <w:ind w:left="1140" w:hanging="484"/>
        <w:spacing w:after="0"/>
        <w:tabs>
          <w:tab w:leader="none" w:pos="114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Increase in Commitments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117"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Request for Increase</w:t>
      </w:r>
      <w:r>
        <w:rPr>
          <w:rFonts w:ascii="Arial" w:cs="Arial" w:eastAsia="Arial" w:hAnsi="Arial"/>
          <w:sz w:val="17"/>
          <w:szCs w:val="17"/>
          <w:color w:val="auto"/>
        </w:rPr>
        <w:t>. Provided there exists no Default, upon (i) notice to the Administrative Agent (which shall promptly notify the Lenders) and (ii) substantially contemporaneous notice (with copy thereof to the Administrative Agent) to Eligible Assignees not then Lenders (each such Eligible Assignee, a “</w:t>
      </w:r>
      <w:r>
        <w:rPr>
          <w:rFonts w:ascii="Arial" w:cs="Arial" w:eastAsia="Arial" w:hAnsi="Arial"/>
          <w:sz w:val="17"/>
          <w:szCs w:val="17"/>
          <w:u w:val="single" w:color="auto"/>
          <w:color w:val="auto"/>
        </w:rPr>
        <w:t>Proposed Lender</w:t>
      </w:r>
      <w:r>
        <w:rPr>
          <w:rFonts w:ascii="Arial" w:cs="Arial" w:eastAsia="Arial" w:hAnsi="Arial"/>
          <w:sz w:val="17"/>
          <w:szCs w:val="17"/>
          <w:color w:val="auto"/>
        </w:rPr>
        <w:t xml:space="preserve">”), the Company shall have the right promptly to effectuate from time to time and at any time, in accordance with the terms hereof, an increase in the aggregate amount of the then Aggregate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 the aggregate amount of the Aggregate Commitments as so increased shall not at any time exceed $1,900,000,000, and (z) each such increase shall be in a minimum amount of $50,000,000. At the time of sending such notices, the Company (in consultation with the Administrative Agent) shall specify the time period within which each Lender and Proposed Lender is requested to respond (which shall in no event be less than five Business Days from the date of delivery of such notice to the Lenders, and which may be extended upon agreement by the Company and the Administrative Agent).</w:t>
      </w:r>
    </w:p>
    <w:p>
      <w:pPr>
        <w:spacing w:after="0" w:line="178" w:lineRule="exact"/>
        <w:rPr>
          <w:rFonts w:ascii="Arial" w:cs="Arial" w:eastAsia="Arial" w:hAnsi="Arial"/>
          <w:sz w:val="17"/>
          <w:szCs w:val="17"/>
          <w:color w:val="auto"/>
        </w:rPr>
      </w:pPr>
    </w:p>
    <w:p>
      <w:pPr>
        <w:jc w:val="both"/>
        <w:ind w:firstLine="656"/>
        <w:spacing w:after="0" w:line="254" w:lineRule="auto"/>
        <w:tabs>
          <w:tab w:leader="none" w:pos="1127"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Lender shall promptly notify the Administrative Agent and the Company within such time period whether or not it agrees to increase the amount of its Commitment and, if so, whether by an amount equal to, greater than, or less than its Applicable Percentage (as it existed immediately prior to such proposed increase) and the amount of such proposed increase. Each Proposed Lender shall promptly notify the Administrative Agent and the Company within such time period whether or not it agrees to participate in such increased amount of the Aggregate Commitments, and at what amount it proposes to participate in such increased amount. Any Lender or Proposed Lender not responding within such time period shall be deemed to have declined to increase its Commitment, or participate in the increase in the aggregate amount of the Aggregate Commitments, as the case may be.</w:t>
      </w:r>
    </w:p>
    <w:p>
      <w:pPr>
        <w:spacing w:after="0" w:line="194" w:lineRule="exact"/>
        <w:rPr>
          <w:rFonts w:ascii="Arial" w:cs="Arial" w:eastAsia="Arial" w:hAnsi="Arial"/>
          <w:sz w:val="18"/>
          <w:szCs w:val="18"/>
          <w:color w:val="auto"/>
        </w:rPr>
      </w:pPr>
    </w:p>
    <w:p>
      <w:pPr>
        <w:jc w:val="both"/>
        <w:ind w:firstLine="656"/>
        <w:spacing w:after="0" w:line="279" w:lineRule="auto"/>
        <w:tabs>
          <w:tab w:leader="none" w:pos="1117"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Effective Date and Allocations</w:t>
      </w:r>
      <w:r>
        <w:rPr>
          <w:rFonts w:ascii="Arial" w:cs="Arial" w:eastAsia="Arial" w:hAnsi="Arial"/>
          <w:sz w:val="17"/>
          <w:szCs w:val="17"/>
          <w:color w:val="auto"/>
        </w:rPr>
        <w:t xml:space="preserve">. If the aggregate amount of Aggregate Commitments are increased in accordance with this </w:t>
      </w:r>
      <w:r>
        <w:rPr>
          <w:rFonts w:ascii="Arial" w:cs="Arial" w:eastAsia="Arial" w:hAnsi="Arial"/>
          <w:sz w:val="17"/>
          <w:szCs w:val="17"/>
          <w:u w:val="single" w:color="auto"/>
          <w:color w:val="auto"/>
        </w:rPr>
        <w:t>Section 2.15</w:t>
      </w:r>
      <w:r>
        <w:rPr>
          <w:rFonts w:ascii="Arial" w:cs="Arial" w:eastAsia="Arial" w:hAnsi="Arial"/>
          <w:sz w:val="17"/>
          <w:szCs w:val="17"/>
          <w:color w:val="auto"/>
        </w:rPr>
        <w:t>, the Administrative Agent and the Company shall promptly thereafter determine the effective date thereof (the “</w:t>
      </w:r>
      <w:r>
        <w:rPr>
          <w:rFonts w:ascii="Arial" w:cs="Arial" w:eastAsia="Arial" w:hAnsi="Arial"/>
          <w:sz w:val="17"/>
          <w:szCs w:val="17"/>
          <w:u w:val="single" w:color="auto"/>
          <w:color w:val="auto"/>
        </w:rPr>
        <w:t>Increase Effective Date</w:t>
      </w:r>
      <w:r>
        <w:rPr>
          <w:rFonts w:ascii="Arial" w:cs="Arial" w:eastAsia="Arial" w:hAnsi="Arial"/>
          <w:sz w:val="17"/>
          <w:szCs w:val="17"/>
          <w:color w:val="auto"/>
        </w:rPr>
        <w:t>”) and the final allocation of such increase, and the Administrative Agent shall promptly notify the Company and the Lenders (including Proposed Lenders that have agreed to participate in such increase) of the final allocation of such increase and the Increase Effective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1" w:name="page262"/>
    <w:bookmarkEnd w:id="261"/>
    <w:p>
      <w:pPr>
        <w:jc w:val="both"/>
        <w:ind w:right="20" w:firstLine="656"/>
        <w:spacing w:after="0" w:line="287" w:lineRule="auto"/>
        <w:tabs>
          <w:tab w:leader="none" w:pos="1127"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As conditions precedent to each increase, (i) the Company shall deliver to the Administrative Agent a certificate of the Company dated as of the applicable Increase Effective Date, signed by a Responsible Officer of the Company, (y) certifying and attaching the resolutions adopted by the Company and PMCULC, respectively, authorizing or consenting to such increase, as the case may be, and</w:t>
      </w:r>
    </w:p>
    <w:p>
      <w:pPr>
        <w:spacing w:after="0" w:line="2" w:lineRule="exact"/>
        <w:rPr>
          <w:rFonts w:ascii="Arial" w:cs="Arial" w:eastAsia="Arial" w:hAnsi="Arial"/>
          <w:sz w:val="16"/>
          <w:szCs w:val="16"/>
          <w:color w:val="auto"/>
        </w:rPr>
      </w:pPr>
    </w:p>
    <w:p>
      <w:pPr>
        <w:jc w:val="both"/>
        <w:ind w:firstLine="8"/>
        <w:spacing w:after="0" w:line="281" w:lineRule="auto"/>
        <w:tabs>
          <w:tab w:leader="none" w:pos="26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certifying that, immediately before and after giving effect to such increase,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and (2) any Loan Party in any other Loan Document are true and correct in all material respects on and as of such applicable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(B) no Default or Event of Default exists, (ii) (x) upon the reasonable request of any Lender made at least three Business Days prior to the Increase Effective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Business Days prior to the Increase Effective Date and (y) at least three Business Days prior to the Increase Effective Date, any Loan Party that qualifies as a “legal entity customer” under the Beneficial Ownership Regulation shall have delivered, to each Lender that so requests, a Beneficial Ownership Certification in relation to such Loan Party, and (iii) each Proposed Lender that is becoming a Lender shall</w:t>
      </w:r>
    </w:p>
    <w:p>
      <w:pPr>
        <w:spacing w:after="0" w:line="3" w:lineRule="exact"/>
        <w:rPr>
          <w:rFonts w:ascii="Arial" w:cs="Arial" w:eastAsia="Arial" w:hAnsi="Arial"/>
          <w:sz w:val="16"/>
          <w:szCs w:val="16"/>
          <w:color w:val="auto"/>
        </w:rPr>
      </w:pPr>
    </w:p>
    <w:p>
      <w:pPr>
        <w:jc w:val="both"/>
        <w:ind w:firstLine="8"/>
        <w:spacing w:after="0" w:line="270" w:lineRule="auto"/>
        <w:tabs>
          <w:tab w:leader="none" w:pos="29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be subject to the reasonable approval of the Administrative Agent, the L/C Issuers and the Swing Line Lender, which approvals shall not be unreasonably withheld, delayed or conditioned, and (z) execute and deliver a joinder agreement in form and substance reasonably satisfactory to the Administrative Agent, the L/C Issuers, the Swing Line Lender and the Company. Each Borrower, as applicable, shall prepay any Committed Loans made to such Borrower and outstanding on such applicable Increase Effective Date (and pay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to the extent necessary to keep the outstanding Committed Loans ratable with the Applicable Percentages resulting from any non-ratable increase in the amount of the Aggregate Commitments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in effect after giving effect thereto.</w:t>
      </w:r>
    </w:p>
    <w:p>
      <w:pPr>
        <w:spacing w:after="0" w:line="178" w:lineRule="exact"/>
        <w:rPr>
          <w:rFonts w:ascii="Arial" w:cs="Arial" w:eastAsia="Arial" w:hAnsi="Arial"/>
          <w:sz w:val="17"/>
          <w:szCs w:val="17"/>
          <w:color w:val="auto"/>
        </w:rPr>
      </w:pPr>
    </w:p>
    <w:p>
      <w:pPr>
        <w:ind w:left="1120" w:hanging="464"/>
        <w:spacing w:after="0"/>
        <w:tabs>
          <w:tab w:leader="none" w:pos="1120"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ind w:left="660"/>
        <w:spacing w:after="0"/>
        <w:tabs>
          <w:tab w:leader="none" w:pos="11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117"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Obligation to Cash Collateralize</w:t>
      </w:r>
      <w:r>
        <w:rPr>
          <w:rFonts w:ascii="Arial" w:cs="Arial" w:eastAsia="Arial" w:hAnsi="Arial"/>
          <w:sz w:val="17"/>
          <w:szCs w:val="17"/>
          <w:color w:val="auto"/>
        </w:rPr>
        <w:t xml:space="preserve">. At any time that there shall exist a Defaulting Lender, within one Business Day following the written request of the Administrative Agent or any L/C Issuer (with a copy to the Administrative Agent), the Company shall Cash Collateralize the L/C Issuers’ Fronting Exposure with respect to such Defaulting Lender (determined after giving effect to </w:t>
      </w:r>
      <w:r>
        <w:rPr>
          <w:rFonts w:ascii="Arial" w:cs="Arial" w:eastAsia="Arial" w:hAnsi="Arial"/>
          <w:sz w:val="17"/>
          <w:szCs w:val="17"/>
          <w:u w:val="single" w:color="auto"/>
          <w:color w:val="auto"/>
        </w:rPr>
        <w:t>Section 2.17(a)(iv)</w:t>
      </w:r>
      <w:r>
        <w:rPr>
          <w:rFonts w:ascii="Arial" w:cs="Arial" w:eastAsia="Arial" w:hAnsi="Arial"/>
          <w:sz w:val="17"/>
          <w:szCs w:val="17"/>
          <w:color w:val="auto"/>
        </w:rPr>
        <w:t xml:space="preserve"> and any Cash Collateral provided by such Defaulting Lender) in an amount not less than the Minimum Collateral Amount. Additionally, if the Administrative Agent notifies the Company at any time that the Outstanding Amount of all L/C Obligations at such time exceeds 105% of the Letter of Credit Sublimit then in effect, then within two (2) Business Days after receipt of such notice, the Company shall provide Cash Collateral for the Outstanding Amount of the L/C Obligations in an amount not less than the amount by which the Outstanding Amount of all L/C Obligations then exceeds the Letter of Credit Sublimit.</w:t>
      </w:r>
    </w:p>
    <w:p>
      <w:pPr>
        <w:spacing w:after="0" w:line="177" w:lineRule="exact"/>
        <w:rPr>
          <w:rFonts w:ascii="Arial" w:cs="Arial" w:eastAsia="Arial" w:hAnsi="Arial"/>
          <w:sz w:val="17"/>
          <w:szCs w:val="17"/>
          <w:color w:val="auto"/>
        </w:rPr>
      </w:pPr>
    </w:p>
    <w:p>
      <w:pPr>
        <w:jc w:val="both"/>
        <w:ind w:firstLine="656"/>
        <w:spacing w:after="0" w:line="287" w:lineRule="auto"/>
        <w:tabs>
          <w:tab w:leader="none" w:pos="1127"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Company,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Cash Collateral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2.16(c)</w:t>
      </w:r>
      <w:r>
        <w:rPr>
          <w:rFonts w:ascii="Arial" w:cs="Arial" w:eastAsia="Arial" w:hAnsi="Arial"/>
          <w:sz w:val="16"/>
          <w:szCs w:val="16"/>
          <w:color w:val="auto"/>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(determined in the case of Cash Collateral provided pursuant to clause (a)(iv) above, after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and any Cash Collateral provided by the Defaulting Lender). All Cash Collateral (other than credit support not constituting funds subject to deposit) shall be maintained in one or more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71" w:lineRule="exact"/>
        <w:rPr>
          <w:rFonts w:ascii="Arial" w:cs="Arial" w:eastAsia="Arial" w:hAnsi="Arial"/>
          <w:sz w:val="16"/>
          <w:szCs w:val="16"/>
          <w:color w:val="auto"/>
        </w:rPr>
      </w:pPr>
    </w:p>
    <w:p>
      <w:pPr>
        <w:jc w:val="both"/>
        <w:ind w:firstLine="656"/>
        <w:spacing w:after="0" w:line="257" w:lineRule="auto"/>
        <w:tabs>
          <w:tab w:leader="none" w:pos="1117"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but subject to subsection (d) below, Cash Collateral provided under any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or Canadian BA’s shall be held and applied to the satisfaction of the specific L/C Obligations, Swing Line Loans and obligations to fund participations therein and Canadian BA’s (including, as to Cash Collateral provided by a Defaulting Lender, any interest accrued on such obligation), prior to any other application of such property as may be provided for herein.</w:t>
      </w:r>
    </w:p>
    <w:p>
      <w:pPr>
        <w:spacing w:after="0" w:line="187" w:lineRule="exact"/>
        <w:rPr>
          <w:rFonts w:ascii="Arial" w:cs="Arial" w:eastAsia="Arial" w:hAnsi="Arial"/>
          <w:sz w:val="18"/>
          <w:szCs w:val="18"/>
          <w:color w:val="auto"/>
        </w:rPr>
      </w:pPr>
    </w:p>
    <w:p>
      <w:pPr>
        <w:jc w:val="both"/>
        <w:ind w:firstLine="656"/>
        <w:spacing w:after="0" w:line="291" w:lineRule="auto"/>
        <w:tabs>
          <w:tab w:leader="none" w:pos="1127"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Section </w:t>
      </w:r>
      <w:r>
        <w:rPr>
          <w:rFonts w:ascii="Arial" w:cs="Arial" w:eastAsia="Arial" w:hAnsi="Arial"/>
          <w:sz w:val="16"/>
          <w:szCs w:val="16"/>
          <w:u w:val="single" w:color="auto"/>
          <w:color w:val="auto"/>
        </w:rPr>
        <w:t>11.06(b)(vi)</w:t>
      </w:r>
      <w:r>
        <w:rPr>
          <w:rFonts w:ascii="Arial" w:cs="Arial" w:eastAsia="Arial" w:hAnsi="Arial"/>
          <w:sz w:val="16"/>
          <w:szCs w:val="16"/>
          <w:color w:val="auto"/>
        </w:rPr>
        <w:t>)) or (ii) the reasonable determination by the Administrative Agent and the applicable L/C Issuer that there exists excess Cash Collateral; provided,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ind w:left="660"/>
        <w:spacing w:after="0"/>
        <w:tabs>
          <w:tab w:leader="none" w:pos="11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Defaulting Lenders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117"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not prohibited by Applicable Law:</w:t>
      </w:r>
    </w:p>
    <w:p>
      <w:pPr>
        <w:spacing w:after="0" w:line="170" w:lineRule="exact"/>
        <w:rPr>
          <w:rFonts w:ascii="Arial" w:cs="Arial" w:eastAsia="Arial" w:hAnsi="Arial"/>
          <w:sz w:val="18"/>
          <w:szCs w:val="18"/>
          <w:color w:val="auto"/>
        </w:rPr>
      </w:pPr>
    </w:p>
    <w:p>
      <w:pPr>
        <w:ind w:left="660" w:firstLine="644"/>
        <w:spacing w:after="0" w:line="277" w:lineRule="auto"/>
        <w:tabs>
          <w:tab w:leader="none" w:pos="1748"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83" w:lineRule="auto"/>
        <w:tabs>
          <w:tab w:leader="none" w:pos="1775"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Article VIII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 pro rata basis of any amounts owing by such Defaulting Lender to any L/C Issuer or the Swing Line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and the Company or requested by an L/C Issuer or the Swing Line Lender (and after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and any Cash Collateral then held by such L/C Issuer or the Swing Line Lender), to Cash Collateralize the Fronting Exposure with respect to such Defaulting Lender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or, so long as the amount of the Cash Collateral at such time is equal to the actual Fronting Exposure at such time, to substitute for and release to the applicable Borrower on a dollar-for-dollar basis, Cash Collateral previously provided by the applicable Borrower with respect to the applicable Defaulting Lender (subject to documentation in form and substance reasonably satisfactory to the Administrative Agent and the applicable L/C Issuer or the Swing Line Lender, as applicable, and such substituted amounts otherwise satisfying the requirements to constitute Cash Collateral hereunder);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sixth,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seventh, so long as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8.01(g)</w:t>
      </w:r>
      <w:r>
        <w:rPr>
          <w:rFonts w:ascii="Arial" w:cs="Arial" w:eastAsia="Arial" w:hAnsi="Arial"/>
          <w:sz w:val="16"/>
          <w:szCs w:val="16"/>
          <w:color w:val="auto"/>
        </w:rPr>
        <w:t xml:space="preserve"> has occurred and is continuing, to the payment of any amounts owing to any Loan Party hereunder as a result of any judgment of a court of competent jurisdiction obtained by such Loan Party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2.17(a)(ii)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ind w:left="700" w:hanging="516"/>
        <w:spacing w:after="0"/>
        <w:tabs>
          <w:tab w:leader="none" w:pos="70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652"/>
        <w:spacing w:after="0" w:line="263" w:lineRule="auto"/>
        <w:tabs>
          <w:tab w:leader="none" w:pos="1325"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83" w:lineRule="exact"/>
        <w:rPr>
          <w:rFonts w:ascii="Arial" w:cs="Arial" w:eastAsia="Arial" w:hAnsi="Arial"/>
          <w:sz w:val="18"/>
          <w:szCs w:val="18"/>
          <w:color w:val="auto"/>
        </w:rPr>
      </w:pPr>
    </w:p>
    <w:p>
      <w:pPr>
        <w:jc w:val="both"/>
        <w:ind w:left="180" w:firstLine="652"/>
        <w:spacing w:after="0" w:line="263" w:lineRule="auto"/>
        <w:tabs>
          <w:tab w:leader="none" w:pos="133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80" w:firstLine="652"/>
        <w:spacing w:after="0" w:line="272" w:lineRule="auto"/>
        <w:tabs>
          <w:tab w:leader="none" w:pos="1338" w:val="left"/>
        </w:tabs>
        <w:numPr>
          <w:ilvl w:val="1"/>
          <w:numId w:val="279"/>
        </w:numPr>
        <w:rPr>
          <w:rFonts w:ascii="Arial" w:cs="Arial" w:eastAsia="Arial" w:hAnsi="Arial"/>
          <w:sz w:val="17"/>
          <w:szCs w:val="17"/>
          <w:color w:val="auto"/>
        </w:rPr>
      </w:pPr>
      <w:r>
        <w:rPr>
          <w:rFonts w:ascii="Arial" w:cs="Arial" w:eastAsia="Arial" w:hAnsi="Arial"/>
          <w:sz w:val="17"/>
          <w:szCs w:val="17"/>
          <w:color w:val="auto"/>
        </w:rPr>
        <w:t xml:space="preserve">With respect to any fee payable under </w:t>
      </w:r>
      <w:r>
        <w:rPr>
          <w:rFonts w:ascii="Arial" w:cs="Arial" w:eastAsia="Arial" w:hAnsi="Arial"/>
          <w:sz w:val="17"/>
          <w:szCs w:val="17"/>
          <w:u w:val="single" w:color="auto"/>
          <w:color w:val="auto"/>
        </w:rPr>
        <w:t>Section 2.09(a)</w:t>
      </w:r>
      <w:r>
        <w:rPr>
          <w:rFonts w:ascii="Arial" w:cs="Arial" w:eastAsia="Arial" w:hAnsi="Arial"/>
          <w:sz w:val="17"/>
          <w:szCs w:val="17"/>
          <w:color w:val="auto"/>
        </w:rPr>
        <w:t>, and any Letter of Credit Fee not required to be paid to any Defaulting Lender pursuant to clause (A) or (B) above, the Company shall (x) pay to the Administrative Agent for the account of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each L/C Issuer and the Swing Line Lender, as applicable, the amount of any such fee otherwise payable to such Defaulting Lender to the extent allocable to such L/C Issuer’s or such Swing Line Lender’s Fronting Exposure to such Defaulting Lender, and (z) not be required to pay to any Person the remaining amount of any such fee.</w:t>
      </w:r>
    </w:p>
    <w:p>
      <w:pPr>
        <w:spacing w:after="0" w:line="177" w:lineRule="exact"/>
        <w:rPr>
          <w:rFonts w:ascii="Arial" w:cs="Arial" w:eastAsia="Arial" w:hAnsi="Arial"/>
          <w:sz w:val="17"/>
          <w:szCs w:val="17"/>
          <w:color w:val="auto"/>
        </w:rPr>
      </w:pPr>
    </w:p>
    <w:p>
      <w:pPr>
        <w:jc w:val="both"/>
        <w:ind w:left="-460" w:firstLine="644"/>
        <w:spacing w:after="0" w:line="289" w:lineRule="auto"/>
        <w:tabs>
          <w:tab w:leader="none" w:pos="673"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Outstanding Amount of the Committed Loans of any Non-Defaulting Lender, plus such Non-Defaulting Lender’s Applicable Percentage of the Outstanding Amount of all L/C Obligations, plus such Non-Defaulting Lender’s Applicable Percentage of the Outstanding Amount of all Swing Line Loans, plus such Non-Defaulting Lender’s Canadian BA’s (or Canadian BA Equivalent Loans) accepted and purchased from PMCULC to exceed such Non-Defaulting Lender’s Commitment. Subject to </w:t>
      </w:r>
      <w:r>
        <w:rPr>
          <w:rFonts w:ascii="Arial" w:cs="Arial" w:eastAsia="Arial" w:hAnsi="Arial"/>
          <w:sz w:val="16"/>
          <w:szCs w:val="16"/>
          <w:u w:val="single" w:color="auto"/>
          <w:color w:val="auto"/>
        </w:rPr>
        <w:t>Section 11.24</w:t>
      </w:r>
      <w:r>
        <w:rPr>
          <w:rFonts w:ascii="Arial" w:cs="Arial" w:eastAsia="Arial" w:hAnsi="Arial"/>
          <w:sz w:val="16"/>
          <w:szCs w:val="16"/>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5" w:name="page266"/>
    <w:bookmarkEnd w:id="265"/>
    <w:p>
      <w:pPr>
        <w:jc w:val="both"/>
        <w:ind w:left="660" w:firstLine="644"/>
        <w:spacing w:after="0" w:line="259" w:lineRule="auto"/>
        <w:tabs>
          <w:tab w:leader="none" w:pos="1765"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clause (a)(iv)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127"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Company, the Administrative Agent, Swing Line Lender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and reimbursement of costs and expenses to each Loan Party),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any Loan Party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8" w:lineRule="exact"/>
        <w:rPr>
          <w:rFonts w:ascii="Arial" w:cs="Arial" w:eastAsia="Arial" w:hAnsi="Arial"/>
          <w:sz w:val="16"/>
          <w:szCs w:val="16"/>
          <w:color w:val="auto"/>
        </w:rPr>
      </w:pPr>
    </w:p>
    <w:p>
      <w:pPr>
        <w:jc w:val="both"/>
        <w:ind w:firstLine="656"/>
        <w:spacing w:after="0" w:line="259" w:lineRule="auto"/>
        <w:tabs>
          <w:tab w:leader="none" w:pos="1117"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Rights and Remedies against a Defaulting Lender</w:t>
      </w:r>
      <w:r>
        <w:rPr>
          <w:rFonts w:ascii="Arial" w:cs="Arial" w:eastAsia="Arial" w:hAnsi="Arial"/>
          <w:sz w:val="18"/>
          <w:szCs w:val="18"/>
          <w:color w:val="auto"/>
        </w:rPr>
        <w:t xml:space="preserve">. The Company may replace any Defaulting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The rights and remedies against, and with respect to, a Defaulting Lender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are in addition to, and cumulative and not in limitation of, all other rights and remedies that each of the Administrative Agent, the L/C Issuers, the Lenders and the Loan Parties may, at any time, have against, or with respect to, such Defaulting Lender.</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27"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New Swing Line Loans/Letters of Credit</w:t>
      </w:r>
      <w:r>
        <w:rPr>
          <w:rFonts w:ascii="Arial" w:cs="Arial" w:eastAsia="Arial" w:hAnsi="Arial"/>
          <w:sz w:val="18"/>
          <w:szCs w:val="18"/>
          <w:color w:val="auto"/>
        </w:rPr>
        <w:t xml:space="preserve">.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in each case it is satisfied that it will have no Fronting Exposure after giving effect thereto and after giving effect to clause (b)(iv) of this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jc w:val="center"/>
        <w:ind w:right="-19"/>
        <w:spacing w:after="0"/>
        <w:tabs>
          <w:tab w:leader="none" w:pos="260" w:val="left"/>
        </w:tabs>
        <w:rPr>
          <w:sz w:val="20"/>
          <w:szCs w:val="20"/>
          <w:color w:val="auto"/>
        </w:rPr>
      </w:pPr>
      <w:r>
        <w:rPr>
          <w:rFonts w:ascii="Arial" w:cs="Arial" w:eastAsia="Arial" w:hAnsi="Arial"/>
          <w:sz w:val="18"/>
          <w:szCs w:val="18"/>
          <w:b w:val="1"/>
          <w:bCs w:val="1"/>
          <w:color w:val="auto"/>
        </w:rPr>
        <w:t>ARTICLE III.</w:t>
        <w:tab/>
        <w:t>TAXES, YIELD PROTECTION AND ILLEGALITY</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29" w:lineRule="exact"/>
        <w:rPr>
          <w:sz w:val="20"/>
          <w:szCs w:val="20"/>
          <w:color w:val="auto"/>
        </w:rPr>
      </w:pPr>
    </w:p>
    <w:p>
      <w:pPr>
        <w:ind w:left="1120" w:hanging="464"/>
        <w:spacing w:after="0"/>
        <w:tabs>
          <w:tab w:leader="none" w:pos="1120"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3.01, the term “Applicable Law” includes FATCA.</w:t>
      </w:r>
    </w:p>
    <w:p>
      <w:pPr>
        <w:spacing w:after="0" w:line="225" w:lineRule="exact"/>
        <w:rPr>
          <w:rFonts w:ascii="Arial" w:cs="Arial" w:eastAsia="Arial" w:hAnsi="Arial"/>
          <w:sz w:val="18"/>
          <w:szCs w:val="18"/>
          <w:color w:val="auto"/>
        </w:rPr>
      </w:pPr>
    </w:p>
    <w:p>
      <w:pPr>
        <w:jc w:val="both"/>
        <w:ind w:firstLine="656"/>
        <w:spacing w:after="0" w:line="254" w:lineRule="auto"/>
        <w:tabs>
          <w:tab w:leader="none" w:pos="1127"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91" w:lineRule="exact"/>
        <w:rPr>
          <w:rFonts w:ascii="Arial" w:cs="Arial" w:eastAsia="Arial" w:hAnsi="Arial"/>
          <w:sz w:val="18"/>
          <w:szCs w:val="18"/>
          <w:color w:val="auto"/>
        </w:rPr>
      </w:pPr>
    </w:p>
    <w:p>
      <w:pPr>
        <w:ind w:firstLine="656"/>
        <w:spacing w:after="0" w:line="277" w:lineRule="auto"/>
        <w:tabs>
          <w:tab w:leader="none" w:pos="1117"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Each of the Borrowers</w:t>
      </w:r>
      <w:r>
        <w:rPr>
          <w:rFonts w:ascii="Arial" w:cs="Arial" w:eastAsia="Arial" w:hAnsi="Arial"/>
          <w:sz w:val="18"/>
          <w:szCs w:val="18"/>
          <w:color w:val="auto"/>
        </w:rPr>
        <w:t>. The Loan Parties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127"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Indemnification by Borrowers</w:t>
      </w:r>
      <w:r>
        <w:rPr>
          <w:rFonts w:ascii="Arial" w:cs="Arial" w:eastAsia="Arial" w:hAnsi="Arial"/>
          <w:sz w:val="17"/>
          <w:szCs w:val="17"/>
          <w:color w:val="auto"/>
        </w:rPr>
        <w:t xml:space="preserve">. Each of the Loan Parties shall indemnify each Recipient, within 10 Business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77" w:lineRule="exact"/>
        <w:rPr>
          <w:rFonts w:ascii="Arial" w:cs="Arial" w:eastAsia="Arial" w:hAnsi="Arial"/>
          <w:sz w:val="17"/>
          <w:szCs w:val="17"/>
          <w:color w:val="auto"/>
        </w:rPr>
      </w:pPr>
    </w:p>
    <w:p>
      <w:pPr>
        <w:ind w:left="1120" w:hanging="464"/>
        <w:spacing w:after="0"/>
        <w:tabs>
          <w:tab w:leader="none" w:pos="1120"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w:t>
      </w:r>
    </w:p>
    <w:p>
      <w:pPr>
        <w:spacing w:after="0" w:line="46" w:lineRule="exact"/>
        <w:rPr>
          <w:rFonts w:ascii="Arial" w:cs="Arial" w:eastAsia="Arial" w:hAnsi="Arial"/>
          <w:sz w:val="16"/>
          <w:szCs w:val="16"/>
          <w:color w:val="auto"/>
        </w:rPr>
      </w:pPr>
    </w:p>
    <w:p>
      <w:pPr>
        <w:jc w:val="both"/>
        <w:ind w:firstLine="8"/>
        <w:spacing w:after="0" w:line="287" w:lineRule="auto"/>
        <w:tabs>
          <w:tab w:leader="none" w:pos="2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6"/>
          <w:szCs w:val="16"/>
          <w:u w:val="single" w:color="auto"/>
          <w:color w:val="auto"/>
        </w:rPr>
        <w:t>Section 11.06(d)</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both"/>
        <w:ind w:firstLine="656"/>
        <w:spacing w:after="0" w:line="259" w:lineRule="auto"/>
        <w:tabs>
          <w:tab w:leader="none" w:pos="11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the Company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84" w:lineRule="auto"/>
        <w:tabs>
          <w:tab w:leader="none" w:pos="174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(ii)</w:t>
      </w:r>
    </w:p>
    <w:p>
      <w:pPr>
        <w:ind w:left="660" w:right="20"/>
        <w:spacing w:after="0" w:line="290" w:lineRule="auto"/>
        <w:rPr>
          <w:rFonts w:ascii="Arial" w:cs="Arial" w:eastAsia="Arial" w:hAnsi="Arial"/>
          <w:sz w:val="16"/>
          <w:szCs w:val="16"/>
          <w:color w:val="auto"/>
        </w:rPr>
      </w:pPr>
      <w:r>
        <w:rPr>
          <w:rFonts w:ascii="Arial" w:cs="Arial" w:eastAsia="Arial" w:hAnsi="Arial"/>
          <w:sz w:val="17"/>
          <w:szCs w:val="17"/>
          <w:color w:val="auto"/>
        </w:rPr>
        <w:t>(D)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rFonts w:ascii="Arial" w:cs="Arial" w:eastAsia="Arial" w:hAnsi="Arial"/>
          <w:sz w:val="16"/>
          <w:szCs w:val="16"/>
          <w:color w:val="auto"/>
        </w:rPr>
      </w:pPr>
    </w:p>
    <w:p>
      <w:pPr>
        <w:ind w:left="1780" w:hanging="476"/>
        <w:spacing w:after="0"/>
        <w:tabs>
          <w:tab w:leader="none" w:pos="17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a U.S. Person,</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445" w:val="left"/>
        </w:tabs>
        <w:numPr>
          <w:ilvl w:val="2"/>
          <w:numId w:val="284"/>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jc w:val="both"/>
        <w:ind w:left="180" w:firstLine="652"/>
        <w:spacing w:after="0" w:line="259" w:lineRule="auto"/>
        <w:tabs>
          <w:tab w:leader="none" w:pos="129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6" w:lineRule="exact"/>
        <w:rPr>
          <w:rFonts w:ascii="Arial" w:cs="Arial" w:eastAsia="Arial" w:hAnsi="Arial"/>
          <w:sz w:val="18"/>
          <w:szCs w:val="18"/>
          <w:color w:val="auto"/>
        </w:rPr>
      </w:pPr>
    </w:p>
    <w:p>
      <w:pPr>
        <w:ind w:left="1900" w:hanging="420"/>
        <w:spacing w:after="0"/>
        <w:tabs>
          <w:tab w:leader="none" w:pos="190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jc w:val="both"/>
        <w:ind w:left="840"/>
        <w:spacing w:after="0" w:line="253" w:lineRule="auto"/>
        <w:rPr>
          <w:rFonts w:ascii="Arial" w:cs="Arial" w:eastAsia="Arial" w:hAnsi="Arial"/>
          <w:sz w:val="16"/>
          <w:szCs w:val="16"/>
          <w:color w:val="auto"/>
        </w:rPr>
      </w:pPr>
      <w:r>
        <w:rPr>
          <w:rFonts w:ascii="Arial" w:cs="Arial" w:eastAsia="Arial" w:hAnsi="Arial"/>
          <w:sz w:val="18"/>
          <w:szCs w:val="18"/>
          <w:color w:val="auto"/>
        </w:rPr>
        <w:t>(x)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91" w:lineRule="exact"/>
        <w:rPr>
          <w:sz w:val="20"/>
          <w:szCs w:val="20"/>
          <w:color w:val="auto"/>
        </w:rPr>
      </w:pPr>
    </w:p>
    <w:p>
      <w:pPr>
        <w:ind w:left="1940" w:hanging="460"/>
        <w:spacing w:after="0"/>
        <w:tabs>
          <w:tab w:leader="none" w:pos="19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sz w:val="20"/>
          <w:szCs w:val="20"/>
          <w:color w:val="auto"/>
        </w:rPr>
      </w:pPr>
    </w:p>
    <w:p>
      <w:pPr>
        <w:jc w:val="both"/>
        <w:ind w:left="840" w:firstLine="640"/>
        <w:spacing w:after="0" w:line="296" w:lineRule="auto"/>
        <w:tabs>
          <w:tab w:leader="none" w:pos="199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Company within the meaning of Section 881(c)(3)(B) of the Code, or a “controlled foreign corporation” described in Section 881(c)(3)(C) of the Code (a “U.S. Tax Compliance Certificate”) and (y) executed copies of IRS Form W-8BEN-E (or W-8BEN, as applicable), or</w:t>
      </w:r>
    </w:p>
    <w:p>
      <w:pPr>
        <w:spacing w:after="0" w:line="161" w:lineRule="exact"/>
        <w:rPr>
          <w:sz w:val="20"/>
          <w:szCs w:val="20"/>
          <w:color w:val="auto"/>
        </w:rPr>
      </w:pPr>
    </w:p>
    <w:p>
      <w:pPr>
        <w:jc w:val="both"/>
        <w:ind w:left="840" w:firstLine="648"/>
        <w:spacing w:after="0" w:line="273" w:lineRule="auto"/>
        <w:rPr>
          <w:sz w:val="20"/>
          <w:szCs w:val="20"/>
          <w:color w:val="auto"/>
        </w:rPr>
      </w:pPr>
      <w:r>
        <w:rPr>
          <w:rFonts w:ascii="Arial" w:cs="Arial" w:eastAsia="Arial" w:hAnsi="Arial"/>
          <w:sz w:val="17"/>
          <w:szCs w:val="17"/>
          <w:color w:val="auto"/>
        </w:rPr>
        <w:t>(IV) to the extent a Foreign Lender is not the beneficial owner, executed copies of IRS Form W-8IMY, accompanied by IRS Form W-8ECI, IRS Form W-8BEN-E (or W-8BEN, as applicable),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78" w:lineRule="exact"/>
        <w:rPr>
          <w:sz w:val="20"/>
          <w:szCs w:val="20"/>
          <w:color w:val="auto"/>
        </w:rPr>
      </w:pPr>
    </w:p>
    <w:p>
      <w:pPr>
        <w:jc w:val="both"/>
        <w:ind w:left="180" w:firstLine="652"/>
        <w:spacing w:after="0" w:line="293" w:lineRule="auto"/>
        <w:tabs>
          <w:tab w:leader="none" w:pos="1293"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3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269" w:name="page270"/>
    <w:bookmarkEnd w:id="269"/>
    <w:p>
      <w:pPr>
        <w:jc w:val="both"/>
        <w:ind w:left="1300" w:firstLine="652"/>
        <w:spacing w:after="0" w:line="270" w:lineRule="auto"/>
        <w:tabs>
          <w:tab w:leader="none" w:pos="2423" w:val="left"/>
        </w:tabs>
        <w:numPr>
          <w:ilvl w:val="2"/>
          <w:numId w:val="289"/>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1803"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083"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indemnifying party an amount equal to such refund (but only to the extent of indemnity payments made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indemnified party, agrees to repay to such indemnified party the amount paid over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in no event will the indemnified party be required to pay any amount to any indemnifying party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the payment of which would place the indemnified party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indemnifying party or any other Person.</w:t>
      </w:r>
    </w:p>
    <w:p>
      <w:pPr>
        <w:spacing w:after="0" w:line="178" w:lineRule="exact"/>
        <w:rPr>
          <w:rFonts w:ascii="Arial" w:cs="Arial" w:eastAsia="Arial" w:hAnsi="Arial"/>
          <w:sz w:val="17"/>
          <w:szCs w:val="17"/>
          <w:color w:val="auto"/>
        </w:rPr>
      </w:pPr>
    </w:p>
    <w:p>
      <w:pPr>
        <w:jc w:val="both"/>
        <w:ind w:firstLine="656"/>
        <w:spacing w:after="0" w:line="263" w:lineRule="auto"/>
        <w:tabs>
          <w:tab w:leader="none" w:pos="1043"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jc w:val="both"/>
        <w:ind w:firstLine="648"/>
        <w:spacing w:after="0" w:line="267" w:lineRule="auto"/>
        <w:rPr>
          <w:sz w:val="20"/>
          <w:szCs w:val="20"/>
          <w:color w:val="auto"/>
        </w:rPr>
      </w:pPr>
      <w:r>
        <w:rPr>
          <w:rFonts w:ascii="Arial" w:cs="Arial" w:eastAsia="Arial" w:hAnsi="Arial"/>
          <w:sz w:val="17"/>
          <w:szCs w:val="17"/>
          <w:b w:val="1"/>
          <w:bCs w:val="1"/>
          <w:color w:val="auto"/>
        </w:rPr>
        <w:t>3.02 Illegality</w:t>
      </w:r>
      <w:r>
        <w:rPr>
          <w:rFonts w:ascii="Arial" w:cs="Arial" w:eastAsia="Arial" w:hAnsi="Arial"/>
          <w:sz w:val="17"/>
          <w:szCs w:val="17"/>
          <w:color w:val="auto"/>
        </w:rPr>
        <w:t>. If any Lender determines that any Change in Law has made it unlawful, or that any Governmental Authority has asserted that it</w:t>
      </w:r>
      <w:r>
        <w:rPr>
          <w:rFonts w:ascii="Arial" w:cs="Arial" w:eastAsia="Arial" w:hAnsi="Arial"/>
          <w:sz w:val="17"/>
          <w:szCs w:val="17"/>
          <w:b w:val="1"/>
          <w:bCs w:val="1"/>
          <w:color w:val="auto"/>
        </w:rPr>
        <w:t xml:space="preserve"> </w:t>
      </w:r>
      <w:r>
        <w:rPr>
          <w:rFonts w:ascii="Arial" w:cs="Arial" w:eastAsia="Arial" w:hAnsi="Arial"/>
          <w:sz w:val="17"/>
          <w:szCs w:val="17"/>
          <w:color w:val="auto"/>
        </w:rPr>
        <w:t>is unlawful, for any Lender or its applicable Lending Office to make, maintain or fund Loans whose interest is determined by reference to the Eurocurrency Rate (whether denominated in Dollars or Canadian Dollars) or to accept Canadian BA’s, or to determine or charge interest rates based upon the Eurocurrency Rate, or any Governmental Authority has imposed material restrictions on the authority of such Lender to purchase or sell, or to take deposits of, Dollars or Canadian Dollars in the applicable interbank market, then, on notice thereof by such Lender to the Company through the Administrative Agent, (i) any obligation of such Lender to make or continue Eurocurrency Rate Loans in the affected currency or currencies or, in the case of Eurocurrency Rate Loans in Dollars or to convert Base Rate Committed Loans to Eurocurrency Rate Committed Loans or accept Canadian BA’s, as the case may be,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convert all Eurocurrency Rate Loans of such Lender to Base Rate Loans (with respect to Loans denominated in Dollars) or Canadian Prime Rate Loans (with respect to Committed Loans denominated in Canadian Dollars) (the interest rate on which Base Rate Loans or Canadian Prime Rate Loans of such Lender shall, if necessary to avoid such illegality, be determined by the Administrative Agent without reference to the Eurocurrency Rate or CDOR component of the Base Rate or Canadian Prime Rate, respectively),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84"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Inability to Determine Rates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5" w:lineRule="auto"/>
        <w:tabs>
          <w:tab w:leader="none" w:pos="107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in connection with any request for a Eurocurrency Rate Loan or a conversion to or continuation thereof, (i) the Administrative Agent determines that (A) deposits (whether in Dollars or Canadian Dollars) are not being offered to banks in the applicable offshore interbank Eurocurrency market for such currency for the applicable amount and Interest Period of such Eurocurrency Rate Loan, or (B) (x) adequate and reasonable means do not exist for determining the Eurocurrency Rate for any requested Interest Period with respect to a proposed Eurocurrency Rate Committed Loan (whether denominated in Dollars or Canadian Dollars) or in connection with an existing or proposed Base Rate Loan and (y) the circumstances described in Section 3.03(c)(i) do not apply (in each case with respect to this clause (i), “Impacted Loans”), or (ii) the Administrative Agent or the Required Lenders determine that for any reason (x) the Eurocurrency Rate for any requested Interest Period with respect to a proposed Eurocurrency Rate Committed Loan does not adequately and fairly reflect the cost to such Lenders of funding such Loan, or (y) with respect to Canadian BA’s that adequate and reasonable means do not exist for determining pricing with respect to such Canadian BA’s, the Administrative Agent will promptly so notify the Company and each Lender. Thereafter, (x) the obligation of the Lenders to make or maintain Eurocurrency Rate Loans in the affected currency or currencies or to issue Canadian BA’s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Lenders described in clause (ii) of Section 3.03(a), until the Administrative Agent upon instruction of the Required Lenders) revokes such notice. Upon receipt of such notice, the Company may revoke any pending request for a Borrowing of, conversion to or continuation of Eurocurrency Rate Committed Loans in the affected currency or currencies or for Canadian BA’s, as applicable, or, failing that, will be deemed to have converted such request into a request for a Committed Borrowing of Base Rate Loans in the amount specified therein or, in the case of a request for Eurocurrency Rate Loans denominated in Canadian Dollars or Canadian BA’s, a request for a Committed Borrowing of Canadian Prime Rate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jc w:val="both"/>
        <w:ind w:left="-20" w:firstLine="656"/>
        <w:spacing w:after="0" w:line="289" w:lineRule="auto"/>
        <w:tabs>
          <w:tab w:leader="none" w:pos="108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the Administrative Agent has made the determination described in clause (i) of </w:t>
      </w:r>
      <w:r>
        <w:rPr>
          <w:rFonts w:ascii="Arial" w:cs="Arial" w:eastAsia="Arial" w:hAnsi="Arial"/>
          <w:sz w:val="16"/>
          <w:szCs w:val="16"/>
          <w:u w:val="single" w:color="auto"/>
          <w:color w:val="auto"/>
        </w:rPr>
        <w:t>Section 3.03(a)</w:t>
      </w:r>
      <w:r>
        <w:rPr>
          <w:rFonts w:ascii="Arial" w:cs="Arial" w:eastAsia="Arial" w:hAnsi="Arial"/>
          <w:sz w:val="16"/>
          <w:szCs w:val="16"/>
          <w:color w:val="auto"/>
        </w:rPr>
        <w:t xml:space="preserve">, the Administrative Agent, in consultation with the Company and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w:t>
      </w:r>
      <w:r>
        <w:rPr>
          <w:rFonts w:ascii="Arial" w:cs="Arial" w:eastAsia="Arial" w:hAnsi="Arial"/>
          <w:sz w:val="16"/>
          <w:szCs w:val="16"/>
          <w:u w:val="single" w:color="auto"/>
          <w:color w:val="auto"/>
        </w:rPr>
        <w:t>Section 3.03(a)</w:t>
      </w:r>
      <w:r>
        <w:rPr>
          <w:rFonts w:ascii="Arial" w:cs="Arial" w:eastAsia="Arial" w:hAnsi="Arial"/>
          <w:sz w:val="16"/>
          <w:szCs w:val="16"/>
          <w:color w:val="auto"/>
        </w:rPr>
        <w:t>, (ii) the Administrative Agent or the Required Lenders notify the Administrative Agent and the Company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66" w:lineRule="exact"/>
        <w:rPr>
          <w:rFonts w:ascii="Arial" w:cs="Arial" w:eastAsia="Arial" w:hAnsi="Arial"/>
          <w:sz w:val="16"/>
          <w:szCs w:val="16"/>
          <w:color w:val="auto"/>
        </w:rPr>
      </w:pPr>
    </w:p>
    <w:p>
      <w:pPr>
        <w:ind w:left="1080" w:hanging="444"/>
        <w:spacing w:after="0"/>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w:t>
      </w:r>
    </w:p>
    <w:p>
      <w:pPr>
        <w:spacing w:after="0" w:line="225" w:lineRule="exact"/>
        <w:rPr>
          <w:rFonts w:ascii="Arial" w:cs="Arial" w:eastAsia="Arial" w:hAnsi="Arial"/>
          <w:sz w:val="18"/>
          <w:szCs w:val="18"/>
          <w:color w:val="auto"/>
        </w:rPr>
      </w:pPr>
    </w:p>
    <w:p>
      <w:pPr>
        <w:jc w:val="both"/>
        <w:ind w:left="640" w:firstLine="644"/>
        <w:spacing w:after="0" w:line="253" w:lineRule="auto"/>
        <w:tabs>
          <w:tab w:leader="none" w:pos="168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On March 5, 2021 the Financial Conduct Authority (“</w:t>
      </w:r>
      <w:r>
        <w:rPr>
          <w:rFonts w:ascii="Arial" w:cs="Arial" w:eastAsia="Arial" w:hAnsi="Arial"/>
          <w:sz w:val="18"/>
          <w:szCs w:val="18"/>
          <w:u w:val="single" w:color="auto"/>
          <w:color w:val="auto"/>
        </w:rPr>
        <w:t>FCA</w:t>
      </w:r>
      <w:r>
        <w:rPr>
          <w:rFonts w:ascii="Arial" w:cs="Arial" w:eastAsia="Arial" w:hAnsi="Arial"/>
          <w:sz w:val="18"/>
          <w:szCs w:val="18"/>
          <w:color w:val="auto"/>
        </w:rPr>
        <w:t>”), the regulatory supervisor of LIBOR’s administrator (“</w:t>
      </w:r>
      <w:r>
        <w:rPr>
          <w:rFonts w:ascii="Arial" w:cs="Arial" w:eastAsia="Arial" w:hAnsi="Arial"/>
          <w:sz w:val="18"/>
          <w:szCs w:val="18"/>
          <w:u w:val="single" w:color="auto"/>
          <w:color w:val="auto"/>
        </w:rPr>
        <w:t>IBA</w:t>
      </w:r>
      <w:r>
        <w:rPr>
          <w:rFonts w:ascii="Arial" w:cs="Arial" w:eastAsia="Arial" w:hAnsi="Arial"/>
          <w:sz w:val="18"/>
          <w:szCs w:val="18"/>
          <w:color w:val="auto"/>
        </w:rPr>
        <w:t>”),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72" w:name="page273"/>
    <w:bookmarkEnd w:id="272"/>
    <w:p>
      <w:pPr>
        <w:jc w:val="both"/>
        <w:ind w:left="-460" w:firstLine="644"/>
        <w:spacing w:after="0" w:line="289" w:lineRule="auto"/>
        <w:tabs>
          <w:tab w:leader="none" w:pos="633" w:val="left"/>
        </w:tabs>
        <w:numPr>
          <w:ilvl w:val="0"/>
          <w:numId w:val="294"/>
        </w:numPr>
        <w:rPr>
          <w:rFonts w:ascii="Arial" w:cs="Arial" w:eastAsia="Arial" w:hAnsi="Arial"/>
          <w:sz w:val="16"/>
          <w:szCs w:val="16"/>
          <w:color w:val="auto"/>
        </w:rPr>
      </w:pPr>
      <w:r>
        <w:rPr>
          <w:rFonts w:ascii="Arial" w:cs="Arial" w:eastAsia="Arial" w:hAnsi="Arial"/>
          <w:sz w:val="16"/>
          <w:szCs w:val="16"/>
          <w:color w:val="auto"/>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provided 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w:t>
      </w:r>
    </w:p>
    <w:p>
      <w:pPr>
        <w:spacing w:after="0" w:line="166" w:lineRule="exact"/>
        <w:rPr>
          <w:rFonts w:ascii="Arial" w:cs="Arial" w:eastAsia="Arial" w:hAnsi="Arial"/>
          <w:sz w:val="16"/>
          <w:szCs w:val="16"/>
          <w:color w:val="auto"/>
        </w:rPr>
      </w:pPr>
    </w:p>
    <w:p>
      <w:pPr>
        <w:jc w:val="both"/>
        <w:ind w:left="180" w:firstLine="652"/>
        <w:spacing w:after="0" w:line="259" w:lineRule="auto"/>
        <w:tabs>
          <w:tab w:leader="none" w:pos="126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87" w:lineRule="exact"/>
        <w:rPr>
          <w:sz w:val="20"/>
          <w:szCs w:val="20"/>
          <w:color w:val="auto"/>
        </w:rPr>
      </w:pPr>
    </w:p>
    <w:p>
      <w:pPr>
        <w:jc w:val="both"/>
        <w:ind w:left="-460" w:firstLine="644"/>
        <w:spacing w:after="0" w:line="290" w:lineRule="auto"/>
        <w:tabs>
          <w:tab w:leader="none" w:pos="683"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Company may revoke any request for a borrowing of, conversion to or continuation of Loans to be made, converted or continued that would bear interest by reference to such Benchmark until the Company’s receipt of notice from the Administrative Agent that a Benchmark Replacement has replaced such Benchmark, and, failing that, the Company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65" w:lineRule="exact"/>
        <w:rPr>
          <w:rFonts w:ascii="Arial" w:cs="Arial" w:eastAsia="Arial" w:hAnsi="Arial"/>
          <w:sz w:val="16"/>
          <w:szCs w:val="16"/>
          <w:color w:val="auto"/>
        </w:rPr>
      </w:pPr>
    </w:p>
    <w:p>
      <w:pPr>
        <w:jc w:val="both"/>
        <w:ind w:left="-460" w:firstLine="644"/>
        <w:spacing w:after="0" w:line="259" w:lineRule="auto"/>
        <w:tabs>
          <w:tab w:leader="none" w:pos="67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3" w:name="page274"/>
    <w:bookmarkEnd w:id="273"/>
    <w:p>
      <w:pPr>
        <w:jc w:val="both"/>
        <w:ind w:left="660" w:firstLine="644"/>
        <w:spacing w:after="0" w:line="255" w:lineRule="auto"/>
        <w:tabs>
          <w:tab w:leader="none" w:pos="174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Company and the Lenders of (A) the implementation of any Benchmark Replacement and (B) 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3.03(c).</w:t>
      </w:r>
    </w:p>
    <w:p>
      <w:pPr>
        <w:spacing w:after="0" w:line="192" w:lineRule="exact"/>
        <w:rPr>
          <w:rFonts w:ascii="Arial" w:cs="Arial" w:eastAsia="Arial" w:hAnsi="Arial"/>
          <w:sz w:val="18"/>
          <w:szCs w:val="18"/>
          <w:color w:val="auto"/>
        </w:rPr>
      </w:pPr>
    </w:p>
    <w:p>
      <w:pPr>
        <w:jc w:val="both"/>
        <w:ind w:left="660" w:firstLine="644"/>
        <w:spacing w:after="0" w:line="259" w:lineRule="auto"/>
        <w:tabs>
          <w:tab w:leader="none" w:pos="179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8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Increased Costs; Reserves on Eurocurrency Rate Loans</w:t>
      </w:r>
      <w:r>
        <w:rPr>
          <w:rFonts w:ascii="Arial" w:cs="Arial" w:eastAsia="Arial" w:hAnsi="Arial"/>
          <w:sz w:val="15"/>
          <w:szCs w:val="15"/>
          <w:color w:val="auto"/>
        </w:rPr>
        <w:t>.</w:t>
      </w:r>
    </w:p>
    <w:p>
      <w:pPr>
        <w:spacing w:after="0" w:line="229" w:lineRule="exact"/>
        <w:rPr>
          <w:sz w:val="20"/>
          <w:szCs w:val="20"/>
          <w:color w:val="auto"/>
        </w:rPr>
      </w:pPr>
    </w:p>
    <w:p>
      <w:pPr>
        <w:ind w:left="1120" w:hanging="464"/>
        <w:spacing w:after="0"/>
        <w:tabs>
          <w:tab w:leader="none" w:pos="112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03"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3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left="660" w:firstLine="644"/>
        <w:spacing w:after="0" w:line="308" w:lineRule="auto"/>
        <w:tabs>
          <w:tab w:leader="none" w:pos="1758" w:val="left"/>
        </w:tabs>
        <w:numPr>
          <w:ilvl w:val="1"/>
          <w:numId w:val="297"/>
        </w:numPr>
        <w:rPr>
          <w:rFonts w:ascii="Arial" w:cs="Arial" w:eastAsia="Arial" w:hAnsi="Arial"/>
          <w:sz w:val="17"/>
          <w:szCs w:val="17"/>
          <w:color w:val="auto"/>
        </w:rPr>
      </w:pPr>
      <w:r>
        <w:rPr>
          <w:rFonts w:ascii="Arial" w:cs="Arial" w:eastAsia="Arial" w:hAnsi="Arial"/>
          <w:sz w:val="17"/>
          <w:szCs w:val="17"/>
          <w:color w:val="auto"/>
        </w:rPr>
        <w:t>impose on any Lender or L/C Issuer or the London interbank market or the market for Canadian BA’s or any other condition, cost or expense affecting this Agreement or Eurocurrency Rate Loans made by such Lender or any Letter of Credit or participation therein;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the interest on which is determined by reference to the Eurocurrency Rate (or of maintaining its obligation to make any such Eurocurrency Rate Loan), of accepting any Canadian BA’s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in each case, by an amount deemed in good faith by such Lender or L/C Issuer to be material, then, within 10 days after written demand therefor by such Lender or L/C Issuer, the Company will pay (or cause PMCULC to pay) to such Lender or L/C Issuer, as the case may be, such additional amount or amounts as will compensate such Lender or L/C Issuer, as the case may be, for such additional costs incurred or reduction suffered.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jc w:val="both"/>
        <w:ind w:firstLine="656"/>
        <w:spacing w:after="0" w:line="288" w:lineRule="auto"/>
        <w:tabs>
          <w:tab w:leader="none" w:pos="1083"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or the acceptance by such Lender of any Canadian BA, by an amount deemed in good faith by such Lender or L/C Issuer to be material based on that which such Lender or such L/C Issuer or such Lender’s or such L/C Issuer’s holding company could have achieved but for such Change in Law (taking into consideration such Lender’s or such L/C Issuer’s policies and the policies of such Lender’s or L/C Issuer’s holding company with respect to capital adequacy), then from time to time within 10 days after written demand therefor, the Company will pay (or cause PMCULC to pay) to such Lender or such L/C Issuer, as the case may be, such additional amount or amounts as will compensate such Lender or such L/C Issuer or such Lender’s or such L/C Issuer’s holding company, if any, for any such reduction suffered.</w:t>
      </w:r>
    </w:p>
    <w:p>
      <w:pPr>
        <w:spacing w:after="0" w:line="168" w:lineRule="exact"/>
        <w:rPr>
          <w:rFonts w:ascii="Arial" w:cs="Arial" w:eastAsia="Arial" w:hAnsi="Arial"/>
          <w:sz w:val="16"/>
          <w:szCs w:val="16"/>
          <w:color w:val="auto"/>
        </w:rPr>
      </w:pPr>
    </w:p>
    <w:p>
      <w:pPr>
        <w:jc w:val="both"/>
        <w:ind w:firstLine="656"/>
        <w:spacing w:after="0" w:line="275" w:lineRule="auto"/>
        <w:tabs>
          <w:tab w:leader="none" w:pos="1072"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Lender or L/C Issuer setting forth the amount or amounts necessary to compensate such Lender or L/C Issuer or its holding company, as the case may be, as specified in subsection (a) or (b) of this Section and delivered to the Company shall be conclusive absent manifest error. The Company shall pay (or cause PMCULC to pay) such Lender or L/C Issuer, as the case may be, the amount shown as due on any such certificate within 10 days after receipt thereof. Upon request by the Company, a Lender or L/C Issuer, as the case may be, shall also provide a certificate that such Lender or L/C Issuer is generally requesting such compensation from its other borrowers.</w:t>
      </w:r>
    </w:p>
    <w:p>
      <w:pPr>
        <w:spacing w:after="0" w:line="176" w:lineRule="exact"/>
        <w:rPr>
          <w:rFonts w:ascii="Arial" w:cs="Arial" w:eastAsia="Arial" w:hAnsi="Arial"/>
          <w:sz w:val="17"/>
          <w:szCs w:val="17"/>
          <w:color w:val="auto"/>
        </w:rPr>
      </w:pPr>
    </w:p>
    <w:p>
      <w:pPr>
        <w:jc w:val="both"/>
        <w:ind w:firstLine="656"/>
        <w:spacing w:after="0" w:line="293" w:lineRule="auto"/>
        <w:tabs>
          <w:tab w:leader="none" w:pos="1083"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L/C Issuer pursuant to the foregoing provisions of this Section for any increased costs incurred or reductions suffered more than six months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jc w:val="both"/>
        <w:ind w:firstLine="656"/>
        <w:spacing w:after="0" w:line="286" w:lineRule="auto"/>
        <w:tabs>
          <w:tab w:leader="none" w:pos="1072"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Reserves on Eurocurrency Rate Loans</w:t>
      </w:r>
      <w:r>
        <w:rPr>
          <w:rFonts w:ascii="Arial" w:cs="Arial" w:eastAsia="Arial" w:hAnsi="Arial"/>
          <w:sz w:val="16"/>
          <w:szCs w:val="16"/>
          <w:color w:val="auto"/>
        </w:rPr>
        <w:t>. The Company shall pay (or cause PMCULC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absent manifest error), and</w:t>
      </w:r>
    </w:p>
    <w:p>
      <w:pPr>
        <w:spacing w:after="0" w:line="1" w:lineRule="exact"/>
        <w:rPr>
          <w:rFonts w:ascii="Arial" w:cs="Arial" w:eastAsia="Arial" w:hAnsi="Arial"/>
          <w:sz w:val="16"/>
          <w:szCs w:val="16"/>
          <w:color w:val="auto"/>
        </w:rPr>
      </w:pPr>
    </w:p>
    <w:p>
      <w:pPr>
        <w:jc w:val="both"/>
        <w:ind w:firstLine="8"/>
        <w:spacing w:after="0" w:line="288" w:lineRule="auto"/>
        <w:tabs>
          <w:tab w:leader="none" w:pos="29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3.05 Compensation for Losses</w:t>
      </w:r>
      <w:r>
        <w:rPr>
          <w:rFonts w:ascii="Arial" w:cs="Arial" w:eastAsia="Arial" w:hAnsi="Arial"/>
          <w:sz w:val="18"/>
          <w:szCs w:val="18"/>
          <w:color w:val="auto"/>
        </w:rPr>
        <w:t>. Upon demand of any Lender (with a copy to the Administrative Agent) from time to time,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compensate (or cause PMCULC to compensate) such Lender for and hold such Lender harmless from any loss, cost or expense incurred by it as a result of:</w:t>
      </w:r>
    </w:p>
    <w:p>
      <w:pPr>
        <w:spacing w:after="0" w:line="180" w:lineRule="exact"/>
        <w:rPr>
          <w:sz w:val="20"/>
          <w:szCs w:val="20"/>
          <w:color w:val="auto"/>
        </w:rPr>
      </w:pPr>
    </w:p>
    <w:p>
      <w:pPr>
        <w:ind w:right="20" w:firstLine="656"/>
        <w:spacing w:after="0" w:line="308" w:lineRule="auto"/>
        <w:tabs>
          <w:tab w:leader="none" w:pos="1072"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any Loan other than a Base Rate Loan or a Canadian Prime Rate Loan on a day other than the last day of the Interest Period for such Loan (whether voluntary, mandatory, automatic, by reason of acceleration, or otherwise);</w:t>
      </w:r>
    </w:p>
    <w:p>
      <w:pPr>
        <w:spacing w:after="0" w:line="146" w:lineRule="exact"/>
        <w:rPr>
          <w:rFonts w:ascii="Arial" w:cs="Arial" w:eastAsia="Arial" w:hAnsi="Arial"/>
          <w:sz w:val="17"/>
          <w:szCs w:val="17"/>
          <w:color w:val="auto"/>
        </w:rPr>
      </w:pPr>
    </w:p>
    <w:p>
      <w:pPr>
        <w:ind w:firstLine="656"/>
        <w:spacing w:after="0" w:line="342" w:lineRule="auto"/>
        <w:tabs>
          <w:tab w:leader="none" w:pos="108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any failure by any Borrower (for a reason other than the failure of such Lender to make a Loan) to prepay, borrow, continue or convert any Loan other than a Base Rate Loan or a Canadian Prime Rate Loan on the date or in the amount notified by the Company or PMCULC, as applicable; or</w:t>
      </w:r>
    </w:p>
    <w:p>
      <w:pPr>
        <w:spacing w:after="0" w:line="123" w:lineRule="exact"/>
        <w:rPr>
          <w:rFonts w:ascii="Arial" w:cs="Arial" w:eastAsia="Arial" w:hAnsi="Arial"/>
          <w:sz w:val="16"/>
          <w:szCs w:val="16"/>
          <w:color w:val="auto"/>
        </w:rPr>
      </w:pPr>
    </w:p>
    <w:p>
      <w:pPr>
        <w:ind w:firstLine="656"/>
        <w:spacing w:after="0" w:line="277" w:lineRule="auto"/>
        <w:tabs>
          <w:tab w:leader="none" w:pos="107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Canadian Dollars on its scheduled due date or any payment thereof in a different currency, or</w:t>
      </w:r>
    </w:p>
    <w:p>
      <w:pPr>
        <w:spacing w:after="0" w:line="170" w:lineRule="exact"/>
        <w:rPr>
          <w:rFonts w:ascii="Arial" w:cs="Arial" w:eastAsia="Arial" w:hAnsi="Arial"/>
          <w:sz w:val="18"/>
          <w:szCs w:val="18"/>
          <w:color w:val="auto"/>
        </w:rPr>
      </w:pPr>
    </w:p>
    <w:p>
      <w:pPr>
        <w:ind w:firstLine="656"/>
        <w:spacing w:after="0" w:line="277" w:lineRule="auto"/>
        <w:tabs>
          <w:tab w:leader="none" w:pos="108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on a day other than the last day of the Interest Period therefor as a result of a request by the Company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Company shall also pay (or cause PMCULC to pay) any customary administrative fees charged by such Lender in connection with the foregoing.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6" w:name="page277"/>
    <w:bookmarkEnd w:id="276"/>
    <w:p>
      <w:pPr>
        <w:jc w:val="both"/>
        <w:spacing w:after="0" w:line="296" w:lineRule="auto"/>
        <w:rPr>
          <w:sz w:val="20"/>
          <w:szCs w:val="20"/>
          <w:color w:val="auto"/>
        </w:rPr>
      </w:pPr>
      <w:r>
        <w:rPr>
          <w:rFonts w:ascii="Arial" w:cs="Arial" w:eastAsia="Arial" w:hAnsi="Arial"/>
          <w:sz w:val="16"/>
          <w:szCs w:val="16"/>
          <w:color w:val="auto"/>
        </w:rPr>
        <w:t xml:space="preserve">A certificate of such Lender setting forth the amount of any such loss, cost or expense, including reasonably detailed calculations thereof, shall be delivered to the Company and the Administrative Agent and be conclusive absent manifest error. For purposes of calculating amounts payable by the Company (or the applicable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Eurocurrency Rate Committed Loan made by it at the Eurocurrency Rate for such Loan by a matching deposit or other borrowing in the offshore interbank eurocurrency market for such currency for a comparable amount and for a comparable period, whether or not such Eurocurrency Rate Committed Loan was in fact so funded.</w:t>
      </w:r>
    </w:p>
    <w:p>
      <w:pPr>
        <w:spacing w:after="0" w:line="15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9" w:lineRule="auto"/>
        <w:tabs>
          <w:tab w:leader="none" w:pos="1072"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any Borrower is required to pay any additional amount to any Lender, any L/C Issuer, or any Governmental Authority for the account of any Lender or any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or such L/C Issuer shall, as applicable, use reasonable efforts to designate a different Lending Office for funding or booking its Loans or accepting Canadian BA’s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(or to cause PMCULC to pay) all reasonable costs and expenses incurred by any Lender or such L/C Issuer in connection with any such designation or assignment.</w:t>
      </w:r>
    </w:p>
    <w:p>
      <w:pPr>
        <w:spacing w:after="0" w:line="166" w:lineRule="exact"/>
        <w:rPr>
          <w:rFonts w:ascii="Arial" w:cs="Arial" w:eastAsia="Arial" w:hAnsi="Arial"/>
          <w:sz w:val="16"/>
          <w:szCs w:val="16"/>
          <w:color w:val="auto"/>
        </w:rPr>
      </w:pPr>
    </w:p>
    <w:p>
      <w:pPr>
        <w:jc w:val="both"/>
        <w:ind w:firstLine="656"/>
        <w:spacing w:after="0" w:line="255" w:lineRule="auto"/>
        <w:tabs>
          <w:tab w:leader="none" w:pos="1083"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(i)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gives a notice pursuant to Section 3.02 and does not subsequently designate a different Lending Office or assign its rights and obligations hereunder to another of its offices, branches or affiliates as provided above, (ii) any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(iii) any Lender becomes a Defaulting Lender, (iv) other than as set forth in the immediately succeeding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any Lender becomes a Non-Consenting Lender or (v) any Lender becomes a Non-Extending Lender, then in each case, the Company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3.07 Survival</w:t>
      </w:r>
      <w:r>
        <w:rPr>
          <w:rFonts w:ascii="Arial" w:cs="Arial" w:eastAsia="Arial" w:hAnsi="Arial"/>
          <w:sz w:val="18"/>
          <w:szCs w:val="18"/>
          <w:color w:val="auto"/>
        </w:rPr>
        <w:t>. 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Obligations hereunder, and resignation of the Administrative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jc w:val="center"/>
        <w:spacing w:after="0"/>
        <w:tabs>
          <w:tab w:leader="none" w:pos="220" w:val="left"/>
        </w:tabs>
        <w:rPr>
          <w:sz w:val="20"/>
          <w:szCs w:val="20"/>
          <w:color w:val="auto"/>
        </w:rPr>
      </w:pPr>
      <w:r>
        <w:rPr>
          <w:rFonts w:ascii="Arial" w:cs="Arial" w:eastAsia="Arial" w:hAnsi="Arial"/>
          <w:sz w:val="18"/>
          <w:szCs w:val="18"/>
          <w:b w:val="1"/>
          <w:bCs w:val="1"/>
          <w:color w:val="auto"/>
        </w:rPr>
        <w:t>ARTICLE IV.</w:t>
        <w:tab/>
        <w:t>CONDITIONS PRECEDENT TO CREDIT EXTENSIONS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4.01 Conditions Precedent to Initial Credit Extension</w:t>
      </w:r>
      <w:r>
        <w:rPr>
          <w:rFonts w:ascii="Arial" w:cs="Arial" w:eastAsia="Arial" w:hAnsi="Arial"/>
          <w:sz w:val="18"/>
          <w:szCs w:val="18"/>
          <w:color w:val="auto"/>
        </w:rPr>
        <w:t>. The obligation of each L/C Issuer and each Lender to make its initial Credit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is subject to satisfaction of the following conditions precedent:</w:t>
      </w:r>
    </w:p>
    <w:p>
      <w:pPr>
        <w:spacing w:after="0" w:line="166" w:lineRule="exact"/>
        <w:rPr>
          <w:sz w:val="20"/>
          <w:szCs w:val="20"/>
          <w:color w:val="auto"/>
        </w:rPr>
      </w:pPr>
    </w:p>
    <w:p>
      <w:pPr>
        <w:jc w:val="both"/>
        <w:ind w:firstLine="656"/>
        <w:spacing w:after="0" w:line="259" w:lineRule="auto"/>
        <w:tabs>
          <w:tab w:leader="none" w:pos="10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Closing Date (or, in the case of certificates of governmental officials, a recent date before the Closing Date) and each in form and substance reasonably satisfactory to the Administrative Agent:</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executed counterparts of this Agreement, sufficient in number for distribution to the Administrative Agent, each Lender and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660" w:firstLine="644"/>
        <w:spacing w:after="0" w:line="277" w:lineRule="auto"/>
        <w:tabs>
          <w:tab w:leader="none" w:pos="173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if so requested at least three Business Days prior to the Closing Date, Swing Line Notes executed by each Borrower in favor of the Swing Line Lender and a Committed Loan Note executed by each Borrower in favor of each requesting Lender;</w:t>
      </w:r>
    </w:p>
    <w:p>
      <w:pPr>
        <w:spacing w:after="0" w:line="170" w:lineRule="exact"/>
        <w:rPr>
          <w:rFonts w:ascii="Arial" w:cs="Arial" w:eastAsia="Arial" w:hAnsi="Arial"/>
          <w:sz w:val="18"/>
          <w:szCs w:val="18"/>
          <w:color w:val="auto"/>
        </w:rPr>
      </w:pPr>
    </w:p>
    <w:p>
      <w:pPr>
        <w:jc w:val="both"/>
        <w:ind w:left="660" w:firstLine="644"/>
        <w:spacing w:after="0" w:line="254" w:lineRule="auto"/>
        <w:tabs>
          <w:tab w:leader="none" w:pos="175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 amended and restated security agreement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duly executed by the Company, covering Financed Hedged Eligible Inventory, and related Swap Contracts, Petroleum Product sales contracts and Receivables therefrom and proceeds thereof as from time to time specified by the Company (and, for the avoidance of doubt, excluding Permian Excluded Inventory), together with financing statements that the Administrative Agent, in its reasonable opinion, may deem necessary to perfect the Liens created under the Security Agreement, covering the Collateral described in the Security Agreement, recent financing statement searches in the State of Texas that name the Company as debtor, and such other Collateral Documents as the Administrative Agent, in its reasonable opinion, may deem necessary to perfect the Liens created thereby;</w:t>
      </w:r>
    </w:p>
    <w:p>
      <w:pPr>
        <w:spacing w:after="0" w:line="194" w:lineRule="exact"/>
        <w:rPr>
          <w:rFonts w:ascii="Arial" w:cs="Arial" w:eastAsia="Arial" w:hAnsi="Arial"/>
          <w:sz w:val="18"/>
          <w:szCs w:val="18"/>
          <w:color w:val="auto"/>
        </w:rPr>
      </w:pPr>
    </w:p>
    <w:p>
      <w:pPr>
        <w:jc w:val="both"/>
        <w:ind w:left="660" w:firstLine="644"/>
        <w:spacing w:after="0" w:line="311" w:lineRule="auto"/>
        <w:tabs>
          <w:tab w:leader="none" w:pos="1748" w:val="left"/>
        </w:tabs>
        <w:numPr>
          <w:ilvl w:val="1"/>
          <w:numId w:val="303"/>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and General Partner is duly organized or formed, and that the Company is validly existing and in good standing in its jurisdiction of organization, issued by the appropriate authorities of such jurisdiction;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4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favorable opinions of Richard McGee, Esq., General Counsel for the Company, PAA and PMCULC, Shearman &amp; Sterling, LLP, special New York counsel to the Company, PAA and PMCULC, and Cox Taylor, special Canadian counsel to PMCULC, in each case addressed to the Administrative Agent and each Lender;</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Audited Financial Statements;</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the Company certifying (A) that the conditions specified in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jc w:val="both"/>
        <w:ind w:left="660" w:hanging="4"/>
        <w:spacing w:after="0" w:line="255" w:lineRule="auto"/>
        <w:tabs>
          <w:tab w:leader="none" w:pos="925" w:val="left"/>
        </w:tabs>
        <w:numPr>
          <w:ilvl w:val="0"/>
          <w:numId w:val="303"/>
        </w:numPr>
        <w:rPr>
          <w:rFonts w:ascii="Arial" w:cs="Arial" w:eastAsia="Arial" w:hAnsi="Arial"/>
          <w:sz w:val="18"/>
          <w:szCs w:val="18"/>
          <w:u w:val="single" w:color="auto"/>
          <w:color w:val="auto"/>
        </w:rPr>
      </w:pPr>
      <w:r>
        <w:rPr>
          <w:rFonts w:ascii="Arial" w:cs="Arial" w:eastAsia="Arial" w:hAnsi="Arial"/>
          <w:sz w:val="18"/>
          <w:szCs w:val="18"/>
          <w:color w:val="auto"/>
        </w:rPr>
        <w:t>have been satisfied, (B) that there has been no event or circumstance since the date of the most recent Audited Financial Statements that has had or could be reasonably expected to have, either individually or in the aggregate, a Material Adverse Effect, (C) the current PAA Debt Ratings, and (D) the Borrower’s true and correct U.S. taxpayer identification number;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ind w:left="1780" w:hanging="476"/>
        <w:spacing w:after="0"/>
        <w:tabs>
          <w:tab w:leader="none" w:pos="178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may reasonably require.</w:t>
      </w:r>
    </w:p>
    <w:p>
      <w:pPr>
        <w:spacing w:after="0" w:line="236" w:lineRule="exact"/>
        <w:rPr>
          <w:rFonts w:ascii="Arial" w:cs="Arial" w:eastAsia="Arial" w:hAnsi="Arial"/>
          <w:sz w:val="17"/>
          <w:szCs w:val="17"/>
          <w:color w:val="auto"/>
        </w:rPr>
      </w:pPr>
    </w:p>
    <w:p>
      <w:pPr>
        <w:ind w:firstLine="656"/>
        <w:spacing w:after="0" w:line="308" w:lineRule="auto"/>
        <w:tabs>
          <w:tab w:leader="none" w:pos="1083"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All consents, licenses and approvals required in connection with the execution, delivery and performance by each Loan Party and the validity against each Loan Party of the Loan Documents to which it is a party shall have been obtained and shall be in full force and effect.</w:t>
      </w:r>
    </w:p>
    <w:p>
      <w:pPr>
        <w:spacing w:after="0" w:line="146" w:lineRule="exact"/>
        <w:rPr>
          <w:rFonts w:ascii="Arial" w:cs="Arial" w:eastAsia="Arial" w:hAnsi="Arial"/>
          <w:sz w:val="17"/>
          <w:szCs w:val="17"/>
          <w:color w:val="auto"/>
        </w:rPr>
      </w:pPr>
    </w:p>
    <w:p>
      <w:pPr>
        <w:jc w:val="both"/>
        <w:ind w:firstLine="656"/>
        <w:spacing w:after="0" w:line="254" w:lineRule="auto"/>
        <w:tabs>
          <w:tab w:leader="none" w:pos="10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 No Default shall have occurred and be continuing as of the Closing Date, or would immediately result from the closing of the transactions hereunder and under the other Loan Documents, and (ii) there shall not have occurred during the period from the date of the most recent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94" w:lineRule="exact"/>
        <w:rPr>
          <w:rFonts w:ascii="Arial" w:cs="Arial" w:eastAsia="Arial" w:hAnsi="Arial"/>
          <w:sz w:val="18"/>
          <w:szCs w:val="18"/>
          <w:color w:val="auto"/>
        </w:rPr>
      </w:pPr>
    </w:p>
    <w:p>
      <w:pPr>
        <w:ind w:firstLine="656"/>
        <w:spacing w:after="0" w:line="308" w:lineRule="auto"/>
        <w:tabs>
          <w:tab w:leader="none" w:pos="1083"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Any fees, including any arrangement fees, agency fees and upfront fees, and any expenses of the Arrangers and Administrative Agent, in each case, as agreed in writing by the Company, required to be paid on or before the Closing Date shall have been paid.</w:t>
      </w:r>
    </w:p>
    <w:p>
      <w:pPr>
        <w:spacing w:after="0" w:line="146" w:lineRule="exact"/>
        <w:rPr>
          <w:rFonts w:ascii="Arial" w:cs="Arial" w:eastAsia="Arial" w:hAnsi="Arial"/>
          <w:sz w:val="17"/>
          <w:szCs w:val="17"/>
          <w:color w:val="auto"/>
        </w:rPr>
      </w:pPr>
    </w:p>
    <w:p>
      <w:pPr>
        <w:ind w:right="20" w:firstLine="656"/>
        <w:spacing w:after="0" w:line="277" w:lineRule="auto"/>
        <w:tabs>
          <w:tab w:leader="none" w:pos="10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shall have paid all reasonable fees, charges and disbursements of counsel to the Administrative Agent to the extent invoiced prior to or on the Closing Date.</w:t>
      </w:r>
    </w:p>
    <w:p>
      <w:pPr>
        <w:spacing w:after="0" w:line="170" w:lineRule="exact"/>
        <w:rPr>
          <w:rFonts w:ascii="Arial" w:cs="Arial" w:eastAsia="Arial" w:hAnsi="Arial"/>
          <w:sz w:val="18"/>
          <w:szCs w:val="18"/>
          <w:color w:val="auto"/>
        </w:rPr>
      </w:pPr>
    </w:p>
    <w:p>
      <w:pPr>
        <w:jc w:val="both"/>
        <w:ind w:firstLine="656"/>
        <w:spacing w:after="0" w:line="275" w:lineRule="auto"/>
        <w:tabs>
          <w:tab w:leader="none" w:pos="1053" w:val="left"/>
        </w:tabs>
        <w:numPr>
          <w:ilvl w:val="0"/>
          <w:numId w:val="305"/>
        </w:numPr>
        <w:rPr>
          <w:rFonts w:ascii="Arial" w:cs="Arial" w:eastAsia="Arial" w:hAnsi="Arial"/>
          <w:sz w:val="17"/>
          <w:szCs w:val="17"/>
          <w:color w:val="auto"/>
        </w:rPr>
      </w:pPr>
      <w:r>
        <w:rPr>
          <w:rFonts w:ascii="Arial" w:cs="Arial" w:eastAsia="Arial" w:hAnsi="Arial"/>
          <w:sz w:val="17"/>
          <w:szCs w:val="17"/>
          <w:color w:val="auto"/>
        </w:rPr>
        <w:t>(i) Upon the reasonable request of any Lender made at least seven days prior to the Closing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days prior to the Closing Date and (ii) any Loan Party that qualifies as a “legal entity customer” under the Beneficial Ownership Regulation shall have delivered to each Lender that so requests, a Beneficial Ownership Certification in relation to such Loan Party.</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Company with a copy of any such notice received by the Administrative Agent.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9" w:name="page280"/>
    <w:bookmarkEnd w:id="279"/>
    <w:p>
      <w:pPr>
        <w:jc w:val="both"/>
        <w:ind w:firstLine="648"/>
        <w:spacing w:after="0" w:line="266" w:lineRule="auto"/>
        <w:rPr>
          <w:sz w:val="20"/>
          <w:szCs w:val="20"/>
          <w:color w:val="auto"/>
        </w:rPr>
      </w:pPr>
      <w:r>
        <w:rPr>
          <w:rFonts w:ascii="Arial" w:cs="Arial" w:eastAsia="Arial" w:hAnsi="Arial"/>
          <w:sz w:val="18"/>
          <w:szCs w:val="18"/>
          <w:b w:val="1"/>
          <w:bCs w:val="1"/>
          <w:color w:val="auto"/>
        </w:rPr>
        <w:t>4.02 Conditions to all Credit Extensions</w:t>
      </w:r>
      <w:r>
        <w:rPr>
          <w:rFonts w:ascii="Arial" w:cs="Arial" w:eastAsia="Arial" w:hAnsi="Arial"/>
          <w:sz w:val="18"/>
          <w:szCs w:val="18"/>
          <w:color w:val="auto"/>
        </w:rPr>
        <w:t>. The obligation of each Lender to honor any Request for Credit Extension (other than a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Notice requesting only a conversion of Committed Loans to the other Type, or a continuation of Eurocurrency Rate Committed Loans) is subject to the following conditions precedent:</w:t>
      </w:r>
    </w:p>
    <w:p>
      <w:pPr>
        <w:spacing w:after="0" w:line="180" w:lineRule="exact"/>
        <w:rPr>
          <w:sz w:val="20"/>
          <w:szCs w:val="20"/>
          <w:color w:val="auto"/>
        </w:rPr>
      </w:pPr>
    </w:p>
    <w:p>
      <w:pPr>
        <w:jc w:val="both"/>
        <w:ind w:firstLine="656"/>
        <w:spacing w:after="0" w:line="275" w:lineRule="auto"/>
        <w:tabs>
          <w:tab w:leader="none" w:pos="1072"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(i) the Company (and PMCULC, solely as to itself)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(ii) each Loan Party in any other Loan Document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subsections (a)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clauses (a)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right="20" w:firstLine="656"/>
        <w:spacing w:after="0" w:line="277" w:lineRule="auto"/>
        <w:tabs>
          <w:tab w:leader="none" w:pos="108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immediately result from such proposed Credit Extension or from the application of the proceeds thereof.</w:t>
      </w:r>
    </w:p>
    <w:p>
      <w:pPr>
        <w:spacing w:after="0" w:line="170" w:lineRule="exact"/>
        <w:rPr>
          <w:rFonts w:ascii="Arial" w:cs="Arial" w:eastAsia="Arial" w:hAnsi="Arial"/>
          <w:sz w:val="18"/>
          <w:szCs w:val="18"/>
          <w:color w:val="auto"/>
        </w:rPr>
      </w:pPr>
    </w:p>
    <w:p>
      <w:pPr>
        <w:ind w:right="20" w:firstLine="656"/>
        <w:spacing w:after="0" w:line="277" w:lineRule="auto"/>
        <w:tabs>
          <w:tab w:leader="none" w:pos="10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Administrative Agent and, if applicable, the applicable L/C Issuer or the Swing Line Lender shall have received a Request for Credit Extension in accordance with the requirements hereof.</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8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Borrower shall represent and warrant in such Request for Credit Extension that the Outstanding Amount of all Loans, all L/C Obligations and all Canadian BA’s of such Borrower does not exceed such Borrower’s Collateral Value at such time, immediately after giving effect to such Credit Extension.</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0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Canadian Dollars, there shall not have occurred, and the effect thereof be then continuing, any change in currency controls or exchange regulations, or any change in the national or international financial, political or economic conditions is imposed in Canada, that results in, in the reasonable opinion of the Administrative Agent (in the case of any Committed Loans to be denominated in Canadian Dollars) or any L/C Issuer (in the case of any Letter of Credit to be denominated in Canadian Dollars (i) Canadian Dollars no longer being readily available, freely transferable and convertible into Dollars, (ii) a Dollar Equivalent is no longer readily calculable with respect to Canadian Dollars, (iii) providing Canadian Dollars are impracticable for the Lenders or (iv) no longer a currency in which the Required Lenders are willing to make such Credit Extensions.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PMCULC, solely as to itself) represents and warrants to the Administrative Agent and the Lenders that:</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5.01 Existence, Qualification and Power</w:t>
      </w:r>
      <w:r>
        <w:rPr>
          <w:rFonts w:ascii="Arial" w:cs="Arial" w:eastAsia="Arial" w:hAnsi="Arial"/>
          <w:sz w:val="18"/>
          <w:szCs w:val="18"/>
          <w:color w:val="auto"/>
        </w:rPr>
        <w:t>. Each Loan Party (a) is duly organized or formed, validly existing and, as applicable,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jc w:val="both"/>
        <w:ind w:firstLine="648"/>
        <w:spacing w:after="0" w:line="294" w:lineRule="auto"/>
        <w:rPr>
          <w:sz w:val="20"/>
          <w:szCs w:val="20"/>
          <w:color w:val="auto"/>
        </w:rPr>
      </w:pPr>
      <w:r>
        <w:rPr>
          <w:rFonts w:ascii="Arial" w:cs="Arial" w:eastAsia="Arial" w:hAnsi="Arial"/>
          <w:sz w:val="16"/>
          <w:szCs w:val="16"/>
          <w:b w:val="1"/>
          <w:bCs w:val="1"/>
          <w:color w:val="auto"/>
        </w:rPr>
        <w:t>5.02 Authorization; No Contravention</w:t>
      </w:r>
      <w:r>
        <w:rPr>
          <w:rFonts w:ascii="Arial" w:cs="Arial" w:eastAsia="Arial" w:hAnsi="Arial"/>
          <w:sz w:val="16"/>
          <w:szCs w:val="16"/>
          <w:color w:val="auto"/>
        </w:rPr>
        <w:t>. The execution, delivery and performance by each Loan Party of each Loan Document to which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5.03 Governmental Authorization; Other Consents</w:t>
      </w:r>
      <w:r>
        <w:rPr>
          <w:rFonts w:ascii="Arial" w:cs="Arial" w:eastAsia="Arial" w:hAnsi="Arial"/>
          <w:sz w:val="16"/>
          <w:szCs w:val="16"/>
          <w:color w:val="auto"/>
        </w:rPr>
        <w:t>. Except as expressly contemplated in or permitted by the Loan Documents,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5.03</w:t>
      </w:r>
      <w:r>
        <w:rPr>
          <w:rFonts w:ascii="Arial" w:cs="Arial" w:eastAsia="Arial" w:hAnsi="Arial"/>
          <w:sz w:val="16"/>
          <w:szCs w:val="16"/>
          <w:color w:val="auto"/>
        </w:rPr>
        <w:t xml:space="preserve"> or disclosed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no approval, consent, exemption or authorization of, or other action by, or notice to, or filing with, any Governmental Authority or any other Person is required (a) in connection with the execution, delivery or performance by, or enforcement against, any Loan Party of this Agreement or any other Loan Document to which it is a party, (b) the grant by each Borrower of the Liens granted by it pursuant to the Collateral Documents, (c) the perfection or maintenance of the Liens created under the Collateral Documents (including the first priority nature thereof), or</w:t>
      </w:r>
    </w:p>
    <w:p>
      <w:pPr>
        <w:spacing w:after="0" w:line="2" w:lineRule="exact"/>
        <w:rPr>
          <w:sz w:val="20"/>
          <w:szCs w:val="20"/>
          <w:color w:val="auto"/>
        </w:rPr>
      </w:pPr>
    </w:p>
    <w:p>
      <w:pPr>
        <w:ind w:firstLine="8"/>
        <w:spacing w:after="0" w:line="260" w:lineRule="auto"/>
        <w:tabs>
          <w:tab w:leader="none" w:pos="25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exercise by the Administrative Agent or any Lender of its rights under the Collateral Documents or remedies in respect of the Collateral pursuant to the Collateral Documents.</w:t>
      </w:r>
    </w:p>
    <w:p>
      <w:pPr>
        <w:spacing w:after="0" w:line="18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5.04 Binding Effect</w:t>
      </w:r>
      <w:r>
        <w:rPr>
          <w:rFonts w:ascii="Arial" w:cs="Arial" w:eastAsia="Arial" w:hAnsi="Arial"/>
          <w:sz w:val="16"/>
          <w:szCs w:val="16"/>
          <w:color w:val="auto"/>
        </w:rPr>
        <w:t>. This Agreement has been, and each other Loan Document to which a Loan Party is a party, when delivered hereunder, will</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executed and delivered by such Loan Party. This Agreement constitutes, and each other such Loan Document when so executed and delivered will constitute, a legal, valid and binding obligation of the Loan Party a party hereto or thereto, as the case may be, enforceable against such Loan Party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6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color w:val="auto"/>
        </w:rPr>
        <w:t>Financial Statements; No Material Adverse Effect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9" w:lineRule="auto"/>
        <w:tabs>
          <w:tab w:leader="none" w:pos="107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the financial condition of PAA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1" w:name="page282"/>
    <w:bookmarkEnd w:id="281"/>
    <w:p>
      <w:pPr>
        <w:jc w:val="both"/>
        <w:ind w:firstLine="656"/>
        <w:spacing w:after="0" w:line="286" w:lineRule="auto"/>
        <w:tabs>
          <w:tab w:leader="none" w:pos="1083"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The unaudited consolidated balance sheets of PAA and its Subsidiaries dated June 30, 2021,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PAA and its Subsidiaries on a consolidated basis as of the date thereof and their results of operations for the period covered thereby, subject, in the case of clauses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and (ii), to the absence of footnotes and to normal year-end audit adjustments.</w:t>
      </w:r>
    </w:p>
    <w:p>
      <w:pPr>
        <w:spacing w:after="0" w:line="210" w:lineRule="exact"/>
        <w:rPr>
          <w:rFonts w:ascii="Arial" w:cs="Arial" w:eastAsia="Arial" w:hAnsi="Arial"/>
          <w:sz w:val="18"/>
          <w:szCs w:val="18"/>
          <w:color w:val="auto"/>
        </w:rPr>
      </w:pPr>
    </w:p>
    <w:p>
      <w:pPr>
        <w:ind w:firstLine="656"/>
        <w:spacing w:after="0" w:line="342" w:lineRule="auto"/>
        <w:tabs>
          <w:tab w:leader="none" w:pos="1072" w:val="left"/>
        </w:tabs>
        <w:numPr>
          <w:ilvl w:val="1"/>
          <w:numId w:val="310"/>
        </w:numPr>
        <w:rPr>
          <w:rFonts w:ascii="Arial" w:cs="Arial" w:eastAsia="Arial" w:hAnsi="Arial"/>
          <w:sz w:val="16"/>
          <w:szCs w:val="16"/>
          <w:color w:val="auto"/>
        </w:rPr>
      </w:pPr>
      <w:r>
        <w:rPr>
          <w:rFonts w:ascii="Arial" w:cs="Arial" w:eastAsia="Arial" w:hAnsi="Arial"/>
          <w:sz w:val="16"/>
          <w:szCs w:val="16"/>
          <w:color w:val="auto"/>
        </w:rPr>
        <w:t>As of the Closing Date, for the period from December 31, 2020 through the Closing Date, there exists no event or circumstance with respect to the Company and its Subsidiaries taken as a whole, either individually or in the aggregate, that has then resulted in a Material Adverse Effect.</w:t>
      </w:r>
    </w:p>
    <w:p>
      <w:pPr>
        <w:spacing w:after="0" w:line="1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5.06 Litigation</w:t>
      </w:r>
      <w:r>
        <w:rPr>
          <w:rFonts w:ascii="Arial" w:cs="Arial" w:eastAsia="Arial" w:hAnsi="Arial"/>
          <w:sz w:val="16"/>
          <w:szCs w:val="16"/>
          <w:color w:val="auto"/>
        </w:rPr>
        <w:t>. Except as disclosed in the Audited Financial Statements,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5.06</w:t>
      </w:r>
      <w:r>
        <w:rPr>
          <w:rFonts w:ascii="Arial" w:cs="Arial" w:eastAsia="Arial" w:hAnsi="Arial"/>
          <w:sz w:val="16"/>
          <w:szCs w:val="16"/>
          <w:b w:val="1"/>
          <w:bCs w:val="1"/>
          <w:color w:val="auto"/>
        </w:rPr>
        <w:t xml:space="preserve"> </w:t>
      </w:r>
      <w:r>
        <w:rPr>
          <w:rFonts w:ascii="Arial" w:cs="Arial" w:eastAsia="Arial" w:hAnsi="Arial"/>
          <w:sz w:val="16"/>
          <w:szCs w:val="16"/>
          <w:color w:val="auto"/>
        </w:rPr>
        <w:t>or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6.03</w:t>
      </w:r>
      <w:r>
        <w:rPr>
          <w:rFonts w:ascii="Arial" w:cs="Arial" w:eastAsia="Arial" w:hAnsi="Arial"/>
          <w:sz w:val="16"/>
          <w:szCs w:val="16"/>
          <w:color w:val="auto"/>
        </w:rPr>
        <w:t>, there are no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suits, proceedings, claims or disputes pending or, to the knowledge of the Company, overtly threatened in writing, at law, in equity, in arbitration or before any Governmental Authority, (a) adversely affecting or against any Collateral (including, without limitation, any which challenge or otherwise pertain to any Borrower’s title to any Collateral), (b) purport to affect or pertain to the validity or enforceability of, or otherwise seek to invalidate, this Agreement or any other Loan Document, or (c) either individually or in the aggregate could reasonably be expected to have a Material Adverse Effect.</w:t>
      </w:r>
    </w:p>
    <w:p>
      <w:pPr>
        <w:spacing w:after="0" w:line="15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5.07 Ownership of Property; Liens; Receivables</w:t>
      </w:r>
      <w:r>
        <w:rPr>
          <w:rFonts w:ascii="Arial" w:cs="Arial" w:eastAsia="Arial" w:hAnsi="Arial"/>
          <w:sz w:val="16"/>
          <w:szCs w:val="16"/>
          <w:color w:val="auto"/>
        </w:rPr>
        <w:t>. Each Borrower has good and defensible title to all of its material property necessary or used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ordinary conduct of its business, free and clear of any (a) impediments in the use of such property except for such impediments that could not, individually or in the aggregate, reasonably be expected to have a Material Adverse Effect and (b) Liens, other than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5.08 Environmental Compliance</w:t>
      </w:r>
      <w:r>
        <w:rPr>
          <w:rFonts w:ascii="Arial" w:cs="Arial" w:eastAsia="Arial" w:hAnsi="Arial"/>
          <w:sz w:val="18"/>
          <w:szCs w:val="18"/>
          <w:color w:val="auto"/>
        </w:rPr>
        <w:t>. Except as disclosed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5.08</w:t>
      </w:r>
      <w:r>
        <w:rPr>
          <w:rFonts w:ascii="Arial" w:cs="Arial" w:eastAsia="Arial" w:hAnsi="Arial"/>
          <w:sz w:val="18"/>
          <w:szCs w:val="18"/>
          <w:b w:val="1"/>
          <w:bCs w:val="1"/>
          <w:color w:val="auto"/>
        </w:rPr>
        <w:t xml:space="preserve"> </w:t>
      </w:r>
      <w:r>
        <w:rPr>
          <w:rFonts w:ascii="Arial" w:cs="Arial" w:eastAsia="Arial" w:hAnsi="Arial"/>
          <w:sz w:val="18"/>
          <w:szCs w:val="18"/>
          <w:color w:val="auto"/>
        </w:rPr>
        <w:t>or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the Company and its Subsidiaries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their 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18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5.09</w:t>
      </w:r>
      <w:r>
        <w:rPr>
          <w:sz w:val="20"/>
          <w:szCs w:val="20"/>
          <w:color w:val="auto"/>
        </w:rPr>
        <w:tab/>
      </w:r>
      <w:r>
        <w:rPr>
          <w:rFonts w:ascii="Arial" w:cs="Arial" w:eastAsia="Arial" w:hAnsi="Arial"/>
          <w:sz w:val="16"/>
          <w:szCs w:val="16"/>
          <w:b w:val="1"/>
          <w:bCs w:val="1"/>
          <w:color w:val="auto"/>
        </w:rPr>
        <w:t>ERISA Compliance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072"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each Plan is in compliance in all material respects with the applicable provisions of ERISA, the Code and other applicable Federal or state laws, to the extent that any non-compliance therewith could reasonably be expected to result in a Material Adverse Effect.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Company, nothing has occurred with respect to the Company or any ERISA Affiliate that would prevent or cause the loss of such tax-qualified status.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jc w:val="both"/>
        <w:ind w:firstLine="656"/>
        <w:spacing w:after="0" w:line="275" w:lineRule="auto"/>
        <w:tabs>
          <w:tab w:leader="none" w:pos="1083"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there are no pending or, to the knowledge of the Company, overtly threatened in writing, claims, actions or lawsuits, or action by any Governmental Authority, with respect to any Plan that could reasonably be expected to have a Material Adverse Effect. Except as disclosed in the Audited Financial Statements, in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there has been no prohibited transaction or violation of the fiduciary responsibility rules with respect to any Plan that has resulted or, actually known to the Company, could reasonably be expected to result in a Material Adverse Effect.</w:t>
      </w:r>
    </w:p>
    <w:p>
      <w:pPr>
        <w:spacing w:after="0" w:line="176" w:lineRule="exact"/>
        <w:rPr>
          <w:rFonts w:ascii="Arial" w:cs="Arial" w:eastAsia="Arial" w:hAnsi="Arial"/>
          <w:sz w:val="17"/>
          <w:szCs w:val="17"/>
          <w:color w:val="auto"/>
        </w:rPr>
      </w:pPr>
    </w:p>
    <w:p>
      <w:pPr>
        <w:jc w:val="both"/>
        <w:ind w:firstLine="656"/>
        <w:spacing w:after="0" w:line="283" w:lineRule="auto"/>
        <w:tabs>
          <w:tab w:leader="none" w:pos="1072" w:val="left"/>
        </w:tabs>
        <w:numPr>
          <w:ilvl w:val="1"/>
          <w:numId w:val="312"/>
        </w:numPr>
        <w:rPr>
          <w:rFonts w:ascii="Arial" w:cs="Arial" w:eastAsia="Arial" w:hAnsi="Arial"/>
          <w:sz w:val="16"/>
          <w:szCs w:val="16"/>
          <w:color w:val="auto"/>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(i) no ERISA Event has occurred, and neither the Company nor any ERISA Affiliate has actual knowledge of any fact, event or circumstance that could reasonably be expected to constitute or result in an ERISA Event with respect to any Pension Plan, (ii) the Company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has actual knowledge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or obligations of immaterial amounts, and there are no premium payments which have become due that are delinquent or are being contested in good faith,</w:t>
      </w:r>
    </w:p>
    <w:p>
      <w:pPr>
        <w:spacing w:after="0" w:line="5" w:lineRule="exact"/>
        <w:rPr>
          <w:rFonts w:ascii="Arial" w:cs="Arial" w:eastAsia="Arial" w:hAnsi="Arial"/>
          <w:sz w:val="16"/>
          <w:szCs w:val="16"/>
          <w:color w:val="auto"/>
        </w:rPr>
      </w:pPr>
    </w:p>
    <w:p>
      <w:pPr>
        <w:jc w:val="both"/>
        <w:ind w:firstLine="8"/>
        <w:spacing w:after="0" w:line="253" w:lineRule="auto"/>
        <w:tabs>
          <w:tab w:leader="none" w:pos="29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neither the Company nor any ERISA Affiliate has, to its actual knowledge, engaged in a transaction that could be subject to Section 4069 or Section 4212(c) of ERISA, and (vi) to the Company’s actual knowledge, no Pension Plan has been terminated by the plan administrator thereof nor by the PBGC, and no event or circumstance has occurred or exists that could reasonably be expected to cause the PBGC to institute proceedings under Title IV of ERISA to terminate any Pension Plan, in each case with respect to each of the foregoing clauses (i) through (vi) of this </w:t>
      </w:r>
      <w:r>
        <w:rPr>
          <w:rFonts w:ascii="Arial" w:cs="Arial" w:eastAsia="Arial" w:hAnsi="Arial"/>
          <w:sz w:val="18"/>
          <w:szCs w:val="18"/>
          <w:u w:val="single" w:color="auto"/>
          <w:color w:val="auto"/>
        </w:rPr>
        <w:t>Section 5.09(c)</w:t>
      </w:r>
      <w:r>
        <w:rPr>
          <w:rFonts w:ascii="Arial" w:cs="Arial" w:eastAsia="Arial" w:hAnsi="Arial"/>
          <w:sz w:val="18"/>
          <w:szCs w:val="18"/>
          <w:color w:val="auto"/>
        </w:rPr>
        <w:t xml:space="preserve">, except as disclosed in the Audited Financial Statements, in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represents and warrants as of the Closing Date that the Company is not and will not be using “plan assets” (within the meaning of 29 CFR § 2510.3-101, as modified by Section 3(42) of ERISA or otherwise) of one or more Benefit Plans in connection with the Loans, the Letters of Credit or the Commitments.</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Margin Regulations; Investment Company Act</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308" w:lineRule="auto"/>
        <w:tabs>
          <w:tab w:leader="none" w:pos="1072" w:val="left"/>
        </w:tabs>
        <w:numPr>
          <w:ilvl w:val="0"/>
          <w:numId w:val="314"/>
        </w:numPr>
        <w:rPr>
          <w:rFonts w:ascii="Arial" w:cs="Arial" w:eastAsia="Arial" w:hAnsi="Arial"/>
          <w:sz w:val="17"/>
          <w:szCs w:val="17"/>
          <w:color w:val="auto"/>
        </w:rPr>
      </w:pPr>
      <w:r>
        <w:rPr>
          <w:rFonts w:ascii="Arial" w:cs="Arial" w:eastAsia="Arial" w:hAnsi="Arial"/>
          <w:sz w:val="17"/>
          <w:szCs w:val="17"/>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ind w:left="1100" w:hanging="444"/>
        <w:spacing w:after="0"/>
        <w:tabs>
          <w:tab w:leader="none" w:pos="11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Loan Party is required to be registered as an “investment company” under the Investment Company Act of 1940.</w:t>
      </w:r>
    </w:p>
    <w:p>
      <w:pPr>
        <w:spacing w:after="0" w:line="22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b w:val="1"/>
          <w:bCs w:val="1"/>
          <w:color w:val="auto"/>
        </w:rPr>
        <w:t>Disclosure</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90" w:lineRule="auto"/>
        <w:tabs>
          <w:tab w:leader="none" w:pos="107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No report, financial statement, certificate or other information (excluding any projected and forecast financial information and information of a general economic or general industry nature) furnished by or on behalf of any Loan Party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when taken as a whole, contains any material misstatement of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and forecast financial information, the Company represents only that such projections and forecasts were prepared in good faith based upon assumptions deemed reasonable by the Company or PAA at the time.</w:t>
      </w:r>
    </w:p>
    <w:p>
      <w:pPr>
        <w:spacing w:after="0" w:line="165" w:lineRule="exact"/>
        <w:rPr>
          <w:rFonts w:ascii="Arial" w:cs="Arial" w:eastAsia="Arial" w:hAnsi="Arial"/>
          <w:sz w:val="16"/>
          <w:szCs w:val="16"/>
          <w:color w:val="auto"/>
        </w:rPr>
      </w:pPr>
    </w:p>
    <w:p>
      <w:pPr>
        <w:ind w:left="1100" w:hanging="444"/>
        <w:spacing w:after="0"/>
        <w:tabs>
          <w:tab w:leader="none" w:pos="110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information included in the Beneficial Ownership Certification, if applicable, is true and correct in all respects as of the Closing Date.</w:t>
      </w:r>
    </w:p>
    <w:p>
      <w:pPr>
        <w:spacing w:after="0" w:line="2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5.12 Compliance with Laws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5.12</w:t>
      </w:r>
      <w:r>
        <w:rPr>
          <w:rFonts w:ascii="Arial" w:cs="Arial" w:eastAsia="Arial" w:hAnsi="Arial"/>
          <w:sz w:val="18"/>
          <w:szCs w:val="18"/>
          <w:b w:val="1"/>
          <w:bCs w:val="1"/>
          <w:color w:val="auto"/>
        </w:rPr>
        <w:t xml:space="preserve"> </w:t>
      </w:r>
      <w:r>
        <w:rPr>
          <w:rFonts w:ascii="Arial" w:cs="Arial" w:eastAsia="Arial" w:hAnsi="Arial"/>
          <w:sz w:val="18"/>
          <w:szCs w:val="18"/>
          <w:color w:val="auto"/>
        </w:rPr>
        <w:t>or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each Loan Party and each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5.13 Collateral Documents</w:t>
      </w:r>
      <w:r>
        <w:rPr>
          <w:rFonts w:ascii="Arial" w:cs="Arial" w:eastAsia="Arial" w:hAnsi="Arial"/>
          <w:sz w:val="18"/>
          <w:szCs w:val="18"/>
          <w:color w:val="auto"/>
        </w:rPr>
        <w:t>. The provisions of the Collateral Documents are effective to create in favor of the Administrative Agent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benefit of the Secured Parties a legal, valid and enforceable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on all right, title and interest of each Borrower in all of such Borrower’s (i) Petroleum Products inventory (excluding tank bottoms and pipeline linefill of such Borrower and Permian Excluded Inventory), (ii) Swap Contracts covering Petroleum Products inventory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(iii) present and future contracts for the sale of Petroleum Products inventory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and Receivables thereunder, and (iv) proceeds and products of the foregoing and all other Collateral described therein. Except for filings completed prior to the Closing Date and as contemplated hereby and by the Collateral Documents, no filing or other action will be necessary to perfect or protect such Liens.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5.14 OFAC. </w:t>
      </w:r>
      <w:r>
        <w:rPr>
          <w:rFonts w:ascii="Arial" w:cs="Arial" w:eastAsia="Arial" w:hAnsi="Arial"/>
          <w:sz w:val="16"/>
          <w:szCs w:val="16"/>
          <w:color w:val="auto"/>
        </w:rPr>
        <w:t>Neither the Company, nor any of its Subsidiaries, nor, to the knowledge of the Company and its Subsidiaries, any director,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agent, affiliate or representative thereof that will act in any capacity in connection with or benefit from the credit facility established hereby, is an individual or entity that is, or is owned or controlled by one or more individuals or entities that are (a) currently the subject or target of any Sanctions,</w:t>
      </w:r>
    </w:p>
    <w:p>
      <w:pPr>
        <w:spacing w:after="0" w:line="2" w:lineRule="exact"/>
        <w:rPr>
          <w:sz w:val="20"/>
          <w:szCs w:val="20"/>
          <w:color w:val="auto"/>
        </w:rPr>
      </w:pPr>
    </w:p>
    <w:p>
      <w:pPr>
        <w:jc w:val="both"/>
        <w:ind w:firstLine="8"/>
        <w:spacing w:after="0" w:line="268" w:lineRule="auto"/>
        <w:tabs>
          <w:tab w:leader="none" w:pos="2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included on OFAC’s List of Specially Designated Nationals or HMT’s Consolidated List of Financial Sanctions Targets, or any similar list enforced by any other relevant sanctions authority of any relevant jurisdiction where any Loan Party or their respective Subsidiaries maintains assets or engages in business, or (c) operating, organized or resident in a Designated Jurisdiction (each Person referred to in any of the preceding clauses (a) - (c), a “</w:t>
      </w:r>
      <w:r>
        <w:rPr>
          <w:rFonts w:ascii="Arial" w:cs="Arial" w:eastAsia="Arial" w:hAnsi="Arial"/>
          <w:sz w:val="17"/>
          <w:szCs w:val="17"/>
          <w:u w:val="single" w:color="auto"/>
          <w:color w:val="auto"/>
        </w:rPr>
        <w:t>Designated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w:t>
      </w:r>
      <w:r>
        <w:rPr>
          <w:rFonts w:ascii="Arial" w:cs="Arial" w:eastAsia="Arial" w:hAnsi="Arial"/>
          <w:sz w:val="17"/>
          <w:szCs w:val="17"/>
          <w:color w:val="auto"/>
        </w:rPr>
        <w:t>”). The Company and its Subsidiaries have (y) conducted their businesses in compliance in all material respects with all applicable Sanctions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(z) instituted and maintained policies and procedures designed to promote and achieve compliance with such Sanctions.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5.15 Anti-Corruption Laws. </w:t>
      </w:r>
      <w:r>
        <w:rPr>
          <w:rFonts w:ascii="Arial" w:cs="Arial" w:eastAsia="Arial" w:hAnsi="Arial"/>
          <w:sz w:val="18"/>
          <w:szCs w:val="18"/>
          <w:color w:val="auto"/>
        </w:rPr>
        <w:t>The Company and its Subsidiaries have (a) conducted their businesses in compliance in all material respects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Foreign Corrupt Practices Act of 1977, the UK Bribery Act 2010, and other applicable anti-corruption legislation in other jurisdictions and applicable anti-money laundering rules and regulations (collectively, the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(b) instituted and maintained policies and procedures designed to promote and achieve compliance with such laws.</w:t>
      </w:r>
    </w:p>
    <w:p>
      <w:pPr>
        <w:spacing w:after="0" w:line="189" w:lineRule="exact"/>
        <w:rPr>
          <w:sz w:val="20"/>
          <w:szCs w:val="20"/>
          <w:color w:val="auto"/>
        </w:rPr>
      </w:pPr>
    </w:p>
    <w:p>
      <w:pPr>
        <w:ind w:left="660"/>
        <w:spacing w:after="0"/>
        <w:tabs>
          <w:tab w:leader="none" w:pos="1180" w:val="left"/>
          <w:tab w:leader="none" w:pos="3640" w:val="left"/>
        </w:tabs>
        <w:rPr>
          <w:sz w:val="20"/>
          <w:szCs w:val="20"/>
          <w:color w:val="auto"/>
        </w:rPr>
      </w:pPr>
      <w:r>
        <w:rPr>
          <w:rFonts w:ascii="Arial" w:cs="Arial" w:eastAsia="Arial" w:hAnsi="Arial"/>
          <w:sz w:val="18"/>
          <w:szCs w:val="18"/>
          <w:b w:val="1"/>
          <w:bCs w:val="1"/>
          <w:color w:val="auto"/>
        </w:rPr>
        <w:t>5.16</w:t>
        <w:tab/>
        <w:t>Affected Financial Institution.</w:t>
      </w:r>
      <w:r>
        <w:rPr>
          <w:sz w:val="20"/>
          <w:szCs w:val="20"/>
          <w:color w:val="auto"/>
        </w:rPr>
        <w:tab/>
      </w:r>
      <w:r>
        <w:rPr>
          <w:rFonts w:ascii="Arial" w:cs="Arial" w:eastAsia="Arial" w:hAnsi="Arial"/>
          <w:sz w:val="16"/>
          <w:szCs w:val="16"/>
          <w:color w:val="auto"/>
        </w:rPr>
        <w:t>No Loan Party is an Affected Financial Institution.</w:t>
      </w:r>
    </w:p>
    <w:p>
      <w:pPr>
        <w:spacing w:after="0" w:line="22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ARTICLE VI.</w:t>
        <w:tab/>
        <w:t>AFFIRMATIVE COVENANTS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or (unless a collateral arrangement satisfactory to the applicable L/C Issuers has been entered into) any Letter of Credit shall remain outstanding, the Company shall (and PMCULC, solely as to itself, shall):</w:t>
      </w:r>
    </w:p>
    <w:p>
      <w:pPr>
        <w:spacing w:after="0" w:line="18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7"/>
          <w:szCs w:val="17"/>
          <w:b w:val="1"/>
          <w:bCs w:val="1"/>
          <w:color w:val="auto"/>
        </w:rPr>
        <w:t>Financial Statements</w:t>
      </w:r>
      <w:r>
        <w:rPr>
          <w:rFonts w:ascii="Arial" w:cs="Arial" w:eastAsia="Arial" w:hAnsi="Arial"/>
          <w:sz w:val="17"/>
          <w:szCs w:val="17"/>
          <w:color w:val="auto"/>
        </w:rPr>
        <w:t>. Deliver to the Administrative Agent and each Lender the following statements and reports, at the Company’s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jc w:val="both"/>
        <w:ind w:firstLine="656"/>
        <w:spacing w:after="0" w:line="290" w:lineRule="auto"/>
        <w:tabs>
          <w:tab w:leader="none" w:pos="107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promptly upon the filing thereof, and in any event within ninety (90) days after the end of each fiscal year, a copy of PAA’s Form 10-K, which report shall include PAA’s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the general partner of PAA,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 following the termination or release of the PAA Guaranty and within the time periods specified herein, the Company’s complete audited annual consolidated financial statements, prepared in reasonable detail in accordance with GAAP);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5" w:name="page286"/>
    <w:bookmarkEnd w:id="285"/>
    <w:p>
      <w:pPr>
        <w:jc w:val="both"/>
        <w:ind w:firstLine="656"/>
        <w:spacing w:after="0" w:line="273" w:lineRule="auto"/>
        <w:tabs>
          <w:tab w:leader="none" w:pos="1083" w:val="left"/>
        </w:tabs>
        <w:numPr>
          <w:ilvl w:val="0"/>
          <w:numId w:val="319"/>
        </w:numPr>
        <w:rPr>
          <w:rFonts w:ascii="Arial" w:cs="Arial" w:eastAsia="Arial" w:hAnsi="Arial"/>
          <w:sz w:val="17"/>
          <w:szCs w:val="17"/>
          <w:color w:val="auto"/>
        </w:rPr>
      </w:pPr>
      <w:r>
        <w:rPr>
          <w:rFonts w:ascii="Arial" w:cs="Arial" w:eastAsia="Arial" w:hAnsi="Arial"/>
          <w:sz w:val="17"/>
          <w:szCs w:val="17"/>
          <w:color w:val="auto"/>
        </w:rPr>
        <w:t>promptly upon the filing thereof, and in any event within sixty (60) days after the end of each of the first three fiscal quarters of each fiscal year, a copy of PAA’s Form 10-Q, which report shall include PAA’s unaudited consolidated balance sheet as of the end of such fiscal quarter and consolidated statements of PAA’s earnings and cash flows for such fiscal quarter and for the period from the beginning of the then current fiscal year to the end of such fiscal quarter (and, following the termination or release of the PAA Guaranty and within the time periods specified herein, the Company’s unaudited consolidated balance sheet as of the end of such fiscal quarter and consolidated statements of the Company’s earnings and cash flows for such fiscal quarter and for the period from the beginning of the then current fiscal year to the end of such fiscal quarter).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any of the foregoing information is contained in materials filed by PAA with the SEC,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7"/>
          <w:szCs w:val="17"/>
          <w:b w:val="1"/>
          <w:bCs w:val="1"/>
          <w:color w:val="auto"/>
        </w:rPr>
        <w:t>Certificates; Other Information</w:t>
      </w:r>
      <w:r>
        <w:rPr>
          <w:rFonts w:ascii="Arial" w:cs="Arial" w:eastAsia="Arial" w:hAnsi="Arial"/>
          <w:sz w:val="17"/>
          <w:szCs w:val="17"/>
          <w:color w:val="auto"/>
        </w:rPr>
        <w:t>. Deliver to the Administrative Agent and each Lender (except as otherwise provided in subsection</w:t>
      </w:r>
    </w:p>
    <w:p>
      <w:pPr>
        <w:spacing w:after="0" w:line="27" w:lineRule="exact"/>
        <w:rPr>
          <w:sz w:val="20"/>
          <w:szCs w:val="20"/>
          <w:color w:val="auto"/>
        </w:rPr>
      </w:pPr>
    </w:p>
    <w:p>
      <w:pPr>
        <w:ind w:left="260" w:hanging="252"/>
        <w:spacing w:after="0"/>
        <w:tabs>
          <w:tab w:leader="none" w:pos="2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below), in form and detail reasonably satisfactory to the Administrative Agent:</w:t>
      </w:r>
    </w:p>
    <w:p>
      <w:pPr>
        <w:spacing w:after="0" w:line="210" w:lineRule="exact"/>
        <w:rPr>
          <w:rFonts w:ascii="Arial" w:cs="Arial" w:eastAsia="Arial" w:hAnsi="Arial"/>
          <w:sz w:val="18"/>
          <w:szCs w:val="18"/>
          <w:color w:val="auto"/>
        </w:rPr>
      </w:pPr>
    </w:p>
    <w:p>
      <w:pPr>
        <w:ind w:firstLine="656"/>
        <w:spacing w:after="0" w:line="277" w:lineRule="auto"/>
        <w:tabs>
          <w:tab w:leader="none" w:pos="107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copy of the certificate delivered to the administrative agent and the lenders under the PAA Credit Agreement pursuant to Section 6.02(a) thereof;</w:t>
      </w:r>
    </w:p>
    <w:p>
      <w:pPr>
        <w:spacing w:after="0" w:line="173" w:lineRule="exact"/>
        <w:rPr>
          <w:rFonts w:ascii="Arial" w:cs="Arial" w:eastAsia="Arial" w:hAnsi="Arial"/>
          <w:sz w:val="18"/>
          <w:szCs w:val="18"/>
          <w:color w:val="auto"/>
        </w:rPr>
      </w:pPr>
    </w:p>
    <w:p>
      <w:pPr>
        <w:ind w:firstLine="656"/>
        <w:spacing w:after="0" w:line="224" w:lineRule="auto"/>
        <w:tabs>
          <w:tab w:leader="none" w:pos="1083" w:val="left"/>
        </w:tabs>
        <w:numPr>
          <w:ilvl w:val="1"/>
          <w:numId w:val="320"/>
        </w:numPr>
        <w:rPr>
          <w:rFonts w:ascii="Arial" w:cs="Arial" w:eastAsia="Arial" w:hAnsi="Arial"/>
          <w:sz w:val="17"/>
          <w:szCs w:val="17"/>
          <w:color w:val="auto"/>
        </w:rPr>
      </w:pPr>
      <w:r>
        <w:rPr>
          <w:rFonts w:ascii="Arial" w:cs="Arial" w:eastAsia="Arial" w:hAnsi="Arial"/>
          <w:sz w:val="17"/>
          <w:szCs w:val="17"/>
          <w:color w:val="auto"/>
        </w:rPr>
        <w:t>on or about (but not later than) the seventeenth (17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month (or the next succeeding Business Day, if the 17th is not a Business Day), a certificate from a Responsible Officer of the Company with respect to the representation and warranty set forth in </w:t>
      </w:r>
      <w:r>
        <w:rPr>
          <w:rFonts w:ascii="Arial" w:cs="Arial" w:eastAsia="Arial" w:hAnsi="Arial"/>
          <w:sz w:val="17"/>
          <w:szCs w:val="17"/>
          <w:u w:val="single" w:color="auto"/>
          <w:color w:val="auto"/>
        </w:rPr>
        <w:t>Section 4.02(d)</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jc w:val="both"/>
        <w:ind w:firstLine="656"/>
        <w:spacing w:after="0" w:line="259" w:lineRule="auto"/>
        <w:tabs>
          <w:tab w:leader="none" w:pos="107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promptly, to the Administrative Agent, upon written request, such additional information regarding the business, financial, legal or corporate affairs of the Company or any Subsidiary, or compliance with the terms of the Loan Documents (including supporting information with respect to Collateral Value and the calculation thereof), in each case which are reasonably requested by the Administrative Agent or any Lender and not subject to confidentiality restrictions or attorney-client privilege;</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notice of any public announcement by Moody’s or S&amp;P of any downgrade in a PAA Debt Rating; and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7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6" w:name="page287"/>
    <w:bookmarkEnd w:id="286"/>
    <w:p>
      <w:pPr>
        <w:jc w:val="both"/>
        <w:ind w:firstLine="648"/>
        <w:spacing w:after="0" w:line="287"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Company or PAA posts such documents, or provides a link thereto on PAA’s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w:t>
      </w:r>
    </w:p>
    <w:p>
      <w:pPr>
        <w:spacing w:after="0" w:line="2" w:lineRule="exact"/>
        <w:rPr>
          <w:sz w:val="20"/>
          <w:szCs w:val="20"/>
          <w:color w:val="auto"/>
        </w:rPr>
      </w:pPr>
    </w:p>
    <w:p>
      <w:pPr>
        <w:jc w:val="both"/>
        <w:ind w:firstLine="8"/>
        <w:spacing w:after="0" w:line="270" w:lineRule="auto"/>
        <w:tabs>
          <w:tab w:leader="none" w:pos="282" w:val="left"/>
        </w:tabs>
        <w:numPr>
          <w:ilvl w:val="0"/>
          <w:numId w:val="321"/>
        </w:numPr>
        <w:rPr>
          <w:rFonts w:ascii="Arial" w:cs="Arial" w:eastAsia="Arial" w:hAnsi="Arial"/>
          <w:sz w:val="17"/>
          <w:szCs w:val="17"/>
          <w:color w:val="auto"/>
        </w:rPr>
      </w:pPr>
      <w:r>
        <w:rPr>
          <w:rFonts w:ascii="Arial" w:cs="Arial" w:eastAsia="Arial" w:hAnsi="Arial"/>
          <w:sz w:val="17"/>
          <w:szCs w:val="17"/>
          <w:color w:val="auto"/>
        </w:rPr>
        <w:t>on which such documents are delivered to the Administrative Agent for posting to the Platform or (iii) on which such documents are posted on the Company’s or PAA’s behalf on any other Internet or intranet website, if any, to which each Lender and the Administrative Agent have access (whether a commercial, third-party website or whether sponsored by the Administrative Agent), and in either case, the Company or PAA notifies the Administrative Agent of such posting or link.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Borrower and PAA hereby acknowledges that (a) the Administrative Agent or its authorized Affiliates will make available to the Lenders and the L/C Issuers materials and/or information provided by or on behalf of such Borrower and PAA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Syndtrak, ClearPar or another substantially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any of the Borrowers, PAA or their respective Affiliates, or the respective securities of any of the foregoing, and who may be engaged in investment and other market-related activities with respect to such Persons’ securities. Each Borrower and PAA hereby agrees that (w) all Borrower Materials that it instructs to be made available to Public Lenders shall be clearly and conspicuously marked “PUBLIC” which, at a minimum, shall mean that the word “PUBLIC” shall appear prominently on the first page thereof; (x) by marking Borrower Materials “PUBLIC,” each Borrower and PAA shall be deemed to have authorized the Administrative Agent or its authorized Affiliates, the L/C Issuers and the Lenders to treat such Borrower Materials as not containing any material non-public information with respect to any Borrower or PAA or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Borrower Materials so marked “PUBLIC” are permitted to 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 Notwithstanding the foregoing, Borrowers shall be under no obligation to mark any Borrower Materials “PUBLIC”.</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7" w:name="page288"/>
    <w:bookmarkEnd w:id="287"/>
    <w:p>
      <w:pPr>
        <w:ind w:left="660"/>
        <w:spacing w:after="0"/>
        <w:tabs>
          <w:tab w:leader="none" w:pos="118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7"/>
          <w:szCs w:val="17"/>
          <w:b w:val="1"/>
          <w:bCs w:val="1"/>
          <w:color w:val="auto"/>
        </w:rPr>
        <w:t>Notices</w:t>
      </w:r>
      <w:r>
        <w:rPr>
          <w:rFonts w:ascii="Arial" w:cs="Arial" w:eastAsia="Arial" w:hAnsi="Arial"/>
          <w:sz w:val="17"/>
          <w:szCs w:val="17"/>
          <w:color w:val="auto"/>
        </w:rPr>
        <w:t>. Promptly notify the Administrative Agent and each Lender not later than five Business Days after any executive officer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has knowledge:</w:t>
      </w:r>
    </w:p>
    <w:p>
      <w:pPr>
        <w:spacing w:after="0" w:line="211" w:lineRule="exact"/>
        <w:rPr>
          <w:sz w:val="20"/>
          <w:szCs w:val="20"/>
          <w:color w:val="auto"/>
        </w:rPr>
      </w:pPr>
    </w:p>
    <w:p>
      <w:pPr>
        <w:ind w:left="1180" w:hanging="524"/>
        <w:spacing w:after="0"/>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 and</w:t>
      </w:r>
    </w:p>
    <w:p>
      <w:pPr>
        <w:spacing w:after="0" w:line="225" w:lineRule="exact"/>
        <w:rPr>
          <w:rFonts w:ascii="Arial" w:cs="Arial" w:eastAsia="Arial" w:hAnsi="Arial"/>
          <w:sz w:val="18"/>
          <w:szCs w:val="18"/>
          <w:color w:val="auto"/>
        </w:rPr>
      </w:pPr>
    </w:p>
    <w:p>
      <w:pPr>
        <w:ind w:firstLine="656"/>
        <w:spacing w:after="0" w:line="277" w:lineRule="auto"/>
        <w:tabs>
          <w:tab w:leader="none" w:pos="116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change in the information provided in the Beneficial Ownership Certification that would result in a change to the list of beneficial owners identified in parts (c) or (d) of such certification.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Each notice pursuant to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6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6.04 Payment of Taxes, Etc</w:t>
      </w:r>
      <w:r>
        <w:rPr>
          <w:rFonts w:ascii="Arial" w:cs="Arial" w:eastAsia="Arial" w:hAnsi="Arial"/>
          <w:sz w:val="17"/>
          <w:szCs w:val="17"/>
          <w:color w:val="auto"/>
        </w:rPr>
        <w:t>. Pay and discharge (and cause PMCULC to pay and discharge) as the same shall become due and payable, all Tax</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assessments and governmental charges or levies imposed upon it or its properties or assets, unless (i) the same are being contested in good faith by appropriate proceedings diligently conducted and adequate reserves in accordance with GAAP are being maintained by the Company or such Subsidiary, or (ii) such failure would not reasonably be expected to result in a Material Adverse Effect.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6.05 Preservation of Existence, Etc</w:t>
      </w:r>
      <w:r>
        <w:rPr>
          <w:rFonts w:ascii="Arial" w:cs="Arial" w:eastAsia="Arial" w:hAnsi="Arial"/>
          <w:sz w:val="18"/>
          <w:szCs w:val="18"/>
          <w:color w:val="auto"/>
        </w:rPr>
        <w:t>. (a) Preserve, renew and maintain (and cause PMCULC to preserve, renew and maintain)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 its legal existence and good standing under the Laws of the jurisdiction of its organization, (b) take (and cause PMCULC to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as a result of statutory conversions, continuances or similar statutorily-permitted arrangements, and (c) PAA will preserve and maintain its legal existence and good standing under the Laws of the jurisdiction of its organization; except (i) where the failure so to maintain or preserve (as the case may be) would not reasonably be expected to cause a Material Adverse Effect (as defined in the PAA Credit Agreement) or (ii) as a result of statutory conversions.</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6.06 Maintenance of Properties</w:t>
      </w:r>
      <w:r>
        <w:rPr>
          <w:rFonts w:ascii="Arial" w:cs="Arial" w:eastAsia="Arial" w:hAnsi="Arial"/>
          <w:sz w:val="18"/>
          <w:szCs w:val="18"/>
          <w:color w:val="auto"/>
        </w:rPr>
        <w:t>. Maintain, preserve and protect (and cause PMCULC to maintain, preserve and protect) all Collateral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maintain all of its other material properties and equipment that are necessary in the operation of its business in good working order and condition, ordinary wear and tear and casualty or condemnation excepted, (i) except where the failure to do so could not reasonably be expected to have a Material Adverse Effect or (ii) as permitted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as a result of statutory conversions.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6.07 Maintenance of Insurance</w:t>
      </w:r>
      <w:r>
        <w:rPr>
          <w:rFonts w:ascii="Arial" w:cs="Arial" w:eastAsia="Arial" w:hAnsi="Arial"/>
          <w:sz w:val="17"/>
          <w:szCs w:val="17"/>
          <w:color w:val="auto"/>
        </w:rPr>
        <w:t>. Maintain (and cause PMCULC to maintain), with financially sound and reputable insurance companies,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insurance or, at its option, self-insure in such amounts (after giving effect to any self-insurance compatible with the following standards) and against such risks as are customarily insured by other Persons engaged in the same or similar businesses and owning similar properties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provisions of this </w:t>
      </w:r>
      <w:r>
        <w:rPr>
          <w:rFonts w:ascii="Arial" w:cs="Arial" w:eastAsia="Arial" w:hAnsi="Arial"/>
          <w:sz w:val="17"/>
          <w:szCs w:val="17"/>
          <w:u w:val="single" w:color="auto"/>
          <w:color w:val="auto"/>
        </w:rPr>
        <w:t>Section 6.07</w:t>
      </w:r>
      <w:r>
        <w:rPr>
          <w:rFonts w:ascii="Arial" w:cs="Arial" w:eastAsia="Arial" w:hAnsi="Arial"/>
          <w:sz w:val="17"/>
          <w:szCs w:val="17"/>
          <w:color w:val="auto"/>
        </w:rPr>
        <w:t>, the Company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Company, based on coverages carried by prudent owners of similar property, and may be maintained by PAA.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jc w:val="both"/>
        <w:ind w:firstLine="648"/>
        <w:spacing w:after="0" w:line="254" w:lineRule="auto"/>
        <w:rPr>
          <w:sz w:val="20"/>
          <w:szCs w:val="20"/>
          <w:color w:val="auto"/>
        </w:rPr>
      </w:pPr>
      <w:r>
        <w:rPr>
          <w:rFonts w:ascii="Arial" w:cs="Arial" w:eastAsia="Arial" w:hAnsi="Arial"/>
          <w:sz w:val="18"/>
          <w:szCs w:val="18"/>
          <w:b w:val="1"/>
          <w:bCs w:val="1"/>
          <w:color w:val="auto"/>
        </w:rPr>
        <w:t>6.08 Compliance with Laws; Compliance with Contracts for Sale of Hedged Eligible Inventory</w:t>
      </w:r>
      <w:r>
        <w:rPr>
          <w:rFonts w:ascii="Arial" w:cs="Arial" w:eastAsia="Arial" w:hAnsi="Arial"/>
          <w:sz w:val="18"/>
          <w:szCs w:val="18"/>
          <w:color w:val="auto"/>
        </w:rPr>
        <w:t>. Comply (and cause PMCULC to comply)</w:t>
      </w:r>
      <w:r>
        <w:rPr>
          <w:rFonts w:ascii="Arial" w:cs="Arial" w:eastAsia="Arial" w:hAnsi="Arial"/>
          <w:sz w:val="18"/>
          <w:szCs w:val="18"/>
          <w:b w:val="1"/>
          <w:bCs w:val="1"/>
          <w:color w:val="auto"/>
        </w:rPr>
        <w:t xml:space="preserve"> </w:t>
      </w:r>
      <w:r>
        <w:rPr>
          <w:rFonts w:ascii="Arial" w:cs="Arial" w:eastAsia="Arial" w:hAnsi="Arial"/>
          <w:sz w:val="18"/>
          <w:szCs w:val="18"/>
          <w:color w:val="auto"/>
        </w:rPr>
        <w:t>in all material respects with the requirements of all Laws (including Anti-Corruption Laws and applicable Sanctions)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Each Borrower will perform and observe in all material respects all terms and provisions of each contract for the sale of Hedged Eligible Inventory to be performed or observed by it. The Company and its Subsidiaries will institute and maintain commercially reasonably policies and procedures which they reasonably believe are designed to promote and achieve their respective compliance with Anti-Corruption Laws and applicable Sanctions.</w:t>
      </w:r>
    </w:p>
    <w:p>
      <w:pPr>
        <w:spacing w:after="0" w:line="19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6.09 Books and Records</w:t>
      </w:r>
      <w:r>
        <w:rPr>
          <w:rFonts w:ascii="Arial" w:cs="Arial" w:eastAsia="Arial" w:hAnsi="Arial"/>
          <w:sz w:val="18"/>
          <w:szCs w:val="18"/>
          <w:color w:val="auto"/>
        </w:rPr>
        <w:t>. Maintain (and cause PMCULC to maintain) proper books of record and account in which full, true and correct</w:t>
      </w:r>
      <w:r>
        <w:rPr>
          <w:rFonts w:ascii="Arial" w:cs="Arial" w:eastAsia="Arial" w:hAnsi="Arial"/>
          <w:sz w:val="18"/>
          <w:szCs w:val="18"/>
          <w:b w:val="1"/>
          <w:bCs w:val="1"/>
          <w:color w:val="auto"/>
        </w:rPr>
        <w:t xml:space="preserve"> </w:t>
      </w:r>
      <w:r>
        <w:rPr>
          <w:rFonts w:ascii="Arial" w:cs="Arial" w:eastAsia="Arial" w:hAnsi="Arial"/>
          <w:sz w:val="18"/>
          <w:szCs w:val="18"/>
          <w:color w:val="auto"/>
        </w:rPr>
        <w:t>entries in conformity with GAAP consistently applied shall be made of all financial transactions and matters involving the assets and business of the Company or such Subsidiary, as the case may be.</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6.10 Inspection Rights</w:t>
      </w:r>
      <w:r>
        <w:rPr>
          <w:rFonts w:ascii="Arial" w:cs="Arial" w:eastAsia="Arial" w:hAnsi="Arial"/>
          <w:sz w:val="17"/>
          <w:szCs w:val="17"/>
          <w:color w:val="auto"/>
        </w:rPr>
        <w:t>. Permit (and cause PMCULC to permit) representatives and independent contractors of the Administrative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during the continuance of an Event of Default, representatives and independent contractors of any Lender) to visit and inspect any of its properties, to 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Company; provided, (i) all such visits and inspections during the continuance of an Event of Default shall be coordinated through the Administrative Agent and (ii) unless an Event of Default has occurred and is continuing, such visits and inspections can occur no more frequently than once per year. Each of the foregoing inspections and examinations shall be made subject to compliance with applicable safety standards and the same conditions applicable to any Borrower in respect of property of such Borrower on the premises of Persons other than such Borrower or an Affiliate of the Company, and all information, books and records furnished or requested to be made, all information to be investigated or verified, all copies and abstracts of all information, books and records and all discussion conducted with any officer, employee or representative of any Borrower, in each case, shall be subject to any applicable attorney-client privilege exceptions which the Company determines is reasonably necessary and compliance with conditions to disclosures under non-disclosure agreements between such Borrower and Persons other than such Borrower or an Affiliate of the Company and the express undertaking of each Person acting at the direction of or on behalf of any Lender Party to be bound by the confidentiality provisions of </w:t>
      </w:r>
      <w:r>
        <w:rPr>
          <w:rFonts w:ascii="Arial" w:cs="Arial" w:eastAsia="Arial" w:hAnsi="Arial"/>
          <w:sz w:val="17"/>
          <w:szCs w:val="17"/>
          <w:u w:val="single" w:color="auto"/>
          <w:color w:val="auto"/>
        </w:rPr>
        <w:t>Section 11.07</w:t>
      </w:r>
      <w:r>
        <w:rPr>
          <w:rFonts w:ascii="Arial" w:cs="Arial" w:eastAsia="Arial" w:hAnsi="Arial"/>
          <w:sz w:val="17"/>
          <w:szCs w:val="17"/>
          <w:color w:val="auto"/>
        </w:rPr>
        <w:t xml:space="preserve"> of this Agreement. The Administrative Agent and the Lenders shall give the Company the opportunity to participate in any discussions with the Company’s independent public accountants.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9" w:name="page290"/>
    <w:bookmarkEnd w:id="289"/>
    <w:p>
      <w:pPr>
        <w:jc w:val="both"/>
        <w:ind w:firstLine="648"/>
        <w:spacing w:after="0" w:line="261" w:lineRule="auto"/>
        <w:rPr>
          <w:sz w:val="20"/>
          <w:szCs w:val="20"/>
          <w:color w:val="auto"/>
        </w:rPr>
      </w:pPr>
      <w:r>
        <w:rPr>
          <w:rFonts w:ascii="Arial" w:cs="Arial" w:eastAsia="Arial" w:hAnsi="Arial"/>
          <w:sz w:val="18"/>
          <w:szCs w:val="18"/>
          <w:b w:val="1"/>
          <w:bCs w:val="1"/>
          <w:color w:val="auto"/>
        </w:rPr>
        <w:t>6.11 Use of Proceeds</w:t>
      </w:r>
      <w:r>
        <w:rPr>
          <w:rFonts w:ascii="Arial" w:cs="Arial" w:eastAsia="Arial" w:hAnsi="Arial"/>
          <w:sz w:val="18"/>
          <w:szCs w:val="18"/>
          <w:color w:val="auto"/>
        </w:rPr>
        <w:t>. Use (and cause PMCULC to use) the proceeds of the Borrowings to refinance outstanding Indebtedness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Credit Agreement, finance purchases and storage of Hedged Eligible Inventory and refinance Unreimbursed Amounts, and use (and cause PMCULC to use) all Letters of Credit and Canadian BA’s solely to secure purchases of Hedged Eligible Inventory and other general corporate purposes not in violation of any Law applicable to it and not resulting in a Default or Event of Default.</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6.12 Covenant to Give Security</w:t>
      </w:r>
      <w:r>
        <w:rPr>
          <w:rFonts w:ascii="Arial" w:cs="Arial" w:eastAsia="Arial" w:hAnsi="Arial"/>
          <w:sz w:val="16"/>
          <w:szCs w:val="16"/>
          <w:color w:val="auto"/>
        </w:rPr>
        <w:t>. Each Borrower, at its expense, will deliver, to further secure its Obligations whenever requested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in its sole and absolute discretion, chattel mortgages, security agreements, financing statements and other Collateral Documents in form and substance satisfactory to Administrative Agent for the purpose of granting, confirming, and perfecting first and prior liens or security interests in favor of the Administrative Agent for the benefit of the Lender Parties, subject to applicable Liens permitted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 all of such Borrower’s (i) Petroleum Products inventory (excluding tank bottoms, pipeline linefill of such Borrower, Permian Excluded Inventory and Commodity Intermediary Subject Inventory), (ii) Swap Contracts covering Petroleum Products inventory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(iii) present and future contracts for the sale of Petroleum Products inventory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Receivables thereunder, and (iv) proceeds and products of the foregoing.</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6.13 Further Assurances</w:t>
      </w:r>
      <w:r>
        <w:rPr>
          <w:rFonts w:ascii="Arial" w:cs="Arial" w:eastAsia="Arial" w:hAnsi="Arial"/>
          <w:sz w:val="16"/>
          <w:szCs w:val="16"/>
          <w:color w:val="auto"/>
        </w:rPr>
        <w:t>. Promptly upon request by the Administrative Agent, deliver (and cause PMCULC to deliver) such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Documents, in form and substance reasonably satisfactory to the Administrative Agent, as the Administrative Agent may reasonably request from time to time, to (i) the fullest extent permitted by Applicable Law, subject all Collateral of any Borrower to the Liens now or hereafter intended to be covered by any of the Collateral Documents to secure the Obligations of such Borrower, (ii) perfect and maintain the validity, effectiveness and priority of any of the Collateral Documents and any of the Liens intended to be created thereunder, subject to applicable Liens permitted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and</w:t>
      </w:r>
    </w:p>
    <w:p>
      <w:pPr>
        <w:spacing w:after="0" w:line="2" w:lineRule="exact"/>
        <w:rPr>
          <w:sz w:val="20"/>
          <w:szCs w:val="20"/>
          <w:color w:val="auto"/>
        </w:rPr>
      </w:pPr>
    </w:p>
    <w:p>
      <w:pPr>
        <w:ind w:right="20" w:firstLine="8"/>
        <w:spacing w:after="0" w:line="260" w:lineRule="auto"/>
        <w:tabs>
          <w:tab w:leader="none" w:pos="33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assure, convey, grant, assign, transfer, preserve, protect and confirm unto the Secured Parties the rights granted or now or hereafter intended to be granted to the Secured Parties under any Collateral Document.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NEGATIVE COVENANTS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or (unless collateral arrangements satisfactory to the applicable L/C Issuers have been entered into) any Letter of Credit shall remain outstanding, no Borrower shall:</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color w:val="auto"/>
        </w:rPr>
        <w:t>Liens</w:t>
      </w:r>
      <w:r>
        <w:rPr>
          <w:rFonts w:ascii="Arial" w:cs="Arial" w:eastAsia="Arial" w:hAnsi="Arial"/>
          <w:sz w:val="16"/>
          <w:szCs w:val="16"/>
          <w:color w:val="auto"/>
        </w:rPr>
        <w:t>. Create, incur, assume or permit to exist any Lien upon</w:t>
      </w:r>
    </w:p>
    <w:p>
      <w:pPr>
        <w:spacing w:after="0" w:line="229" w:lineRule="exact"/>
        <w:rPr>
          <w:sz w:val="20"/>
          <w:szCs w:val="20"/>
          <w:color w:val="auto"/>
        </w:rPr>
      </w:pPr>
    </w:p>
    <w:p>
      <w:pPr>
        <w:jc w:val="both"/>
        <w:ind w:firstLine="656"/>
        <w:spacing w:after="0" w:line="263" w:lineRule="auto"/>
        <w:tabs>
          <w:tab w:leader="none" w:pos="111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Collateral except (i) Liens created pursuant to the Collateral Documents, (ii) Permitted Inventory Liens, (iii) statutory Liens in respect of First Purchase Crude Payables, (iv) Broker Liens on margin deposits with respect to Swap Contracts, and (v) any other Liens expressly permitted to encumber such Collateral under any Collateral Document;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0" w:name="page291"/>
    <w:bookmarkEnd w:id="290"/>
    <w:p>
      <w:pPr>
        <w:ind w:left="1140" w:hanging="484"/>
        <w:spacing w:after="0"/>
        <w:tabs>
          <w:tab w:leader="none" w:pos="11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tank bottoms or pipeline linefill commingled with Petroleum Product inventory constituting Collateral; or</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Liens granted in connection with Commodity Intermediary Transactions permitted pursuant to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7.02 Fundamental Changes; Dispositions</w:t>
      </w:r>
      <w:r>
        <w:rPr>
          <w:rFonts w:ascii="Arial" w:cs="Arial" w:eastAsia="Arial" w:hAnsi="Arial"/>
          <w:sz w:val="18"/>
          <w:szCs w:val="18"/>
          <w:color w:val="auto"/>
        </w:rPr>
        <w:t>. Merge, dissolve, liquidate, consolidate with or into another Person, or Dispose of (whether in one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in a series of related transactions) all or substantially all of its assets (whether now owned or hereafter acquired) to or in favor of any Person (including, in each case, pursuant to a Division), except that:</w:t>
      </w:r>
    </w:p>
    <w:p>
      <w:pPr>
        <w:spacing w:after="0" w:line="180" w:lineRule="exact"/>
        <w:rPr>
          <w:sz w:val="20"/>
          <w:szCs w:val="20"/>
          <w:color w:val="auto"/>
        </w:rPr>
      </w:pPr>
    </w:p>
    <w:p>
      <w:pPr>
        <w:jc w:val="both"/>
        <w:ind w:right="20" w:firstLine="656"/>
        <w:spacing w:after="0" w:line="263" w:lineRule="auto"/>
        <w:tabs>
          <w:tab w:leader="none" w:pos="111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so long as no Default exists or, upon giving pro forma effect thereto, would immediately result therefrom, a Borrower may merge or consolidate with another Subsidiary of PAA,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Borrower is the acquiring or surviving entity and immediately after giving effect thereto, no Default exists, and</w:t>
      </w:r>
    </w:p>
    <w:p>
      <w:pPr>
        <w:spacing w:after="0" w:line="183" w:lineRule="exact"/>
        <w:rPr>
          <w:rFonts w:ascii="Arial" w:cs="Arial" w:eastAsia="Arial" w:hAnsi="Arial"/>
          <w:sz w:val="18"/>
          <w:szCs w:val="18"/>
          <w:color w:val="auto"/>
        </w:rPr>
      </w:pPr>
    </w:p>
    <w:p>
      <w:pPr>
        <w:ind w:left="660" w:hanging="4"/>
        <w:spacing w:after="0" w:line="277" w:lineRule="auto"/>
        <w:tabs>
          <w:tab w:leader="none" w:pos="113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 the Company and POPB Marketing, and Plains Pipeline and POPB Pipeline, may undertake the divisive mergers pursuant to the “Divisive Merger Agreements” (as such term is defined in the Permian JV Merger Agreement);</w:t>
      </w:r>
    </w:p>
    <w:p>
      <w:pPr>
        <w:spacing w:after="0" w:line="170" w:lineRule="exact"/>
        <w:rPr>
          <w:rFonts w:ascii="Arial" w:cs="Arial" w:eastAsia="Arial" w:hAnsi="Arial"/>
          <w:sz w:val="18"/>
          <w:szCs w:val="18"/>
          <w:color w:val="auto"/>
        </w:rPr>
      </w:pPr>
    </w:p>
    <w:p>
      <w:pPr>
        <w:jc w:val="both"/>
        <w:ind w:left="340" w:firstLine="964"/>
        <w:spacing w:after="0" w:line="263" w:lineRule="auto"/>
        <w:tabs>
          <w:tab w:leader="none" w:pos="175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POPB Marketing and POPB Pipeline may convert to Delaware limited liability companies pursuant to the “Marketing Conversion Certificates” and the “Pipeline Conversion Certificates” (as such terms are defined in the Permian JV Merger Agreement) for the purpose of domesticating POPB Marketing and POPB Pipeline in Delaware;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7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POPB Marketing and POPB Pipeline may enter into the “Marketing Sub Merger” and the “Pipeline Sub Merger” respectively (as such terms are defined in the Permian JV Merger Agreement).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7.03 Dispositions of Collateral</w:t>
      </w:r>
      <w:r>
        <w:rPr>
          <w:rFonts w:ascii="Arial" w:cs="Arial" w:eastAsia="Arial" w:hAnsi="Arial"/>
          <w:sz w:val="18"/>
          <w:szCs w:val="18"/>
          <w:color w:val="auto"/>
        </w:rPr>
        <w:t>. Make any sale, transfer, lease, exchange or disposition of any Collateral except (i)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on ordinary trade terms, (ii) in connection with Commodity Intermediary Transactions permitted pursuant to </w:t>
      </w:r>
      <w:r>
        <w:rPr>
          <w:rFonts w:ascii="Arial" w:cs="Arial" w:eastAsia="Arial" w:hAnsi="Arial"/>
          <w:sz w:val="18"/>
          <w:szCs w:val="18"/>
          <w:u w:val="single" w:color="auto"/>
          <w:color w:val="auto"/>
        </w:rPr>
        <w:t>Section 7.08</w:t>
      </w:r>
      <w:r>
        <w:rPr>
          <w:rFonts w:ascii="Arial" w:cs="Arial" w:eastAsia="Arial" w:hAnsi="Arial"/>
          <w:sz w:val="18"/>
          <w:szCs w:val="18"/>
          <w:color w:val="auto"/>
        </w:rPr>
        <w:t>, and (iii) sales of Permian Excluded Inventory to Permian JV pursuant to Permian JV Inventory Transactions.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7.04 Transactions with Affiliates</w:t>
      </w:r>
      <w:r>
        <w:rPr>
          <w:rFonts w:ascii="Arial" w:cs="Arial" w:eastAsia="Arial" w:hAnsi="Arial"/>
          <w:sz w:val="16"/>
          <w:szCs w:val="16"/>
          <w:color w:val="auto"/>
        </w:rPr>
        <w:t>. Enter into any material transaction of any kind with any Affiliate of the Company, whether or not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ordinary course of business, other than on terms that are no less favorable to such Borrower as would be obtainable by such Borrower at the time in an arm’s length transaction with a Person other than an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to any of the following transactions:</w:t>
      </w:r>
    </w:p>
    <w:p>
      <w:pPr>
        <w:spacing w:after="0" w:line="2" w:lineRule="exact"/>
        <w:rPr>
          <w:sz w:val="20"/>
          <w:szCs w:val="20"/>
          <w:color w:val="auto"/>
        </w:rPr>
      </w:pPr>
    </w:p>
    <w:p>
      <w:pPr>
        <w:jc w:val="both"/>
        <w:ind w:firstLine="8"/>
        <w:spacing w:after="0" w:line="269" w:lineRule="auto"/>
        <w:tabs>
          <w:tab w:leader="none" w:pos="271"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transactions between or among the Company and any of its Subsidiaries; (b) any employment, equity award, equity option or equity appreciation agreement or plan entered into by a Borrower in the ordinary course of business of such Borrower; (c) transactions effected in accordance with the terms of tax sharing, management services, indemnification, omnibus and other agreements with PAA and its Affiliates; (d) customary compensation, indemnification and other benefits made available to officers, directors or employees of a Borrower, any of its Subsidiaries or the General Partner, including reimbursement or advancement of out-of-pocket expenses and provisions of officers’ and directors’ liability insurance; (e) transactions as contemplated by the Company’s agreement of limited partnership or PMCULC’s articles of amalgamation; and (f) if and to the extent constituting transactions with Affiliates, transactions governed by the Permian JV Transaction Documents as in effect on the Closing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1" w:name="page292"/>
    <w:bookmarkEnd w:id="291"/>
    <w:p>
      <w:pPr>
        <w:jc w:val="both"/>
        <w:ind w:firstLine="648"/>
        <w:spacing w:after="0" w:line="289" w:lineRule="auto"/>
        <w:rPr>
          <w:sz w:val="20"/>
          <w:szCs w:val="20"/>
          <w:color w:val="auto"/>
        </w:rPr>
      </w:pPr>
      <w:r>
        <w:rPr>
          <w:rFonts w:ascii="Arial" w:cs="Arial" w:eastAsia="Arial" w:hAnsi="Arial"/>
          <w:sz w:val="17"/>
          <w:szCs w:val="17"/>
          <w:b w:val="1"/>
          <w:bCs w:val="1"/>
          <w:color w:val="auto"/>
        </w:rPr>
        <w:t>7.05 Burdensome Agreements</w:t>
      </w:r>
      <w:r>
        <w:rPr>
          <w:rFonts w:ascii="Arial" w:cs="Arial" w:eastAsia="Arial" w:hAnsi="Arial"/>
          <w:sz w:val="17"/>
          <w:szCs w:val="17"/>
          <w:color w:val="auto"/>
        </w:rPr>
        <w:t>. Except as expressly provided for in the Loan Documents, as described in any Schedule hereto or pursuant to 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Exception, the substance of which, in detail reasonably satisfactory to the Administrative Agent, is promptly reported to Administrative Agent, enter into any Contractual Obligation that limits the ability of any Borrower to create, incur, assume or permit to exist Liens on any Collateral.</w:t>
      </w:r>
    </w:p>
    <w:p>
      <w:pPr>
        <w:spacing w:after="0" w:line="15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7.06 Use of Proceeds</w:t>
      </w:r>
      <w:r>
        <w:rPr>
          <w:rFonts w:ascii="Arial" w:cs="Arial" w:eastAsia="Arial" w:hAnsi="Arial"/>
          <w:sz w:val="17"/>
          <w:szCs w:val="17"/>
          <w:color w:val="auto"/>
        </w:rPr>
        <w:t>. Use the proceeds of any Loans, whether directly or indirectly, and whether immediately, incidentally or ultimately, (a)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Company or its Subsidiaries, or (d) in furtherance of an offer, payment, promise to pay, or authorization of the payment or giving of money, or anything else of value, to any Person in violation of any Anti-Corruption Laws.</w:t>
      </w:r>
    </w:p>
    <w:p>
      <w:pPr>
        <w:spacing w:after="0" w:line="17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7.07 PAA Consolidated Leverage Ratio</w:t>
      </w:r>
      <w:r>
        <w:rPr>
          <w:rFonts w:ascii="Arial" w:cs="Arial" w:eastAsia="Arial" w:hAnsi="Arial"/>
          <w:sz w:val="18"/>
          <w:szCs w:val="18"/>
          <w:color w:val="auto"/>
        </w:rPr>
        <w:t>. Permit the PAA Consolidated Leverage Ratio as of the end of any fiscal quarter of PAA to be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ratio set forth below opposite such period, calculated, with respect to Consolidated EBITDA (as defined in the PAA Credit Agreement and after giving effect to the provisos set forth therein), on a trailing four-quarter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Consolidated</w:t>
            </w:r>
          </w:p>
        </w:tc>
      </w:tr>
      <w:tr>
        <w:trPr>
          <w:trHeight w:val="234"/>
        </w:trPr>
        <w:tc>
          <w:tcPr>
            <w:tcW w:w="9000" w:type="dxa"/>
            <w:vAlign w:val="bottom"/>
            <w:gridSpan w:val="2"/>
          </w:tcPr>
          <w:p>
            <w:pPr>
              <w:ind w:left="3700"/>
              <w:spacing w:after="0"/>
              <w:rPr>
                <w:sz w:val="20"/>
                <w:szCs w:val="20"/>
                <w:color w:val="auto"/>
              </w:rPr>
            </w:pPr>
            <w:r>
              <w:rPr>
                <w:rFonts w:ascii="Arial" w:cs="Arial" w:eastAsia="Arial" w:hAnsi="Arial"/>
                <w:sz w:val="18"/>
                <w:szCs w:val="18"/>
                <w:b w:val="1"/>
                <w:bCs w:val="1"/>
                <w:color w:val="auto"/>
              </w:rPr>
              <w:t>Applicable Period</w:t>
            </w:r>
          </w:p>
        </w:tc>
        <w:tc>
          <w:tcPr>
            <w:tcW w:w="22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Leverage Ratio</w:t>
            </w:r>
          </w:p>
        </w:tc>
      </w:tr>
      <w:tr>
        <w:trPr>
          <w:trHeight w:val="210"/>
        </w:trPr>
        <w:tc>
          <w:tcPr>
            <w:tcW w:w="8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   During an Acquisition Period</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5.50:1.0</w:t>
            </w:r>
          </w:p>
        </w:tc>
      </w:t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   Other than during an Acquisition Period</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5.00:1.0</w:t>
            </w:r>
          </w:p>
        </w:tc>
      </w:tr>
      <w:tr>
        <w:trPr>
          <w:trHeight w:val="432"/>
        </w:trPr>
        <w:tc>
          <w:tcPr>
            <w:tcW w:w="9000" w:type="dxa"/>
            <w:vAlign w:val="bottom"/>
            <w:gridSpan w:val="2"/>
          </w:tcPr>
          <w:p>
            <w:pPr>
              <w:ind w:left="660"/>
              <w:spacing w:after="0"/>
              <w:rPr>
                <w:sz w:val="20"/>
                <w:szCs w:val="20"/>
                <w:color w:val="auto"/>
              </w:rPr>
            </w:pPr>
            <w:r>
              <w:rPr>
                <w:rFonts w:ascii="Arial" w:cs="Arial" w:eastAsia="Arial" w:hAnsi="Arial"/>
                <w:sz w:val="18"/>
                <w:szCs w:val="18"/>
                <w:b w:val="1"/>
                <w:bCs w:val="1"/>
                <w:color w:val="auto"/>
                <w:w w:val="96"/>
              </w:rPr>
              <w:t>7.08  Commodity Intermediary Transactions</w:t>
            </w:r>
            <w:r>
              <w:rPr>
                <w:rFonts w:ascii="Arial" w:cs="Arial" w:eastAsia="Arial" w:hAnsi="Arial"/>
                <w:sz w:val="18"/>
                <w:szCs w:val="18"/>
                <w:color w:val="auto"/>
                <w:w w:val="96"/>
              </w:rPr>
              <w:t>. Enter into any Commodity Intermediary Transaction, unless:</w:t>
            </w:r>
          </w:p>
        </w:tc>
        <w:tc>
          <w:tcPr>
            <w:tcW w:w="2240" w:type="dxa"/>
            <w:vAlign w:val="bottom"/>
          </w:tcPr>
          <w:p>
            <w:pPr>
              <w:spacing w:after="0"/>
              <w:rPr>
                <w:sz w:val="24"/>
                <w:szCs w:val="24"/>
                <w:color w:val="auto"/>
              </w:rPr>
            </w:pPr>
          </w:p>
        </w:tc>
      </w:tr>
    </w:tbl>
    <w:p>
      <w:pPr>
        <w:spacing w:after="0" w:line="202" w:lineRule="exact"/>
        <w:rPr>
          <w:sz w:val="20"/>
          <w:szCs w:val="20"/>
          <w:color w:val="auto"/>
        </w:rPr>
      </w:pPr>
    </w:p>
    <w:p>
      <w:pPr>
        <w:jc w:val="both"/>
        <w:ind w:firstLine="656"/>
        <w:spacing w:after="0" w:line="255" w:lineRule="auto"/>
        <w:tabs>
          <w:tab w:leader="none" w:pos="111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aggregate value of the maximum volume of Commodity Intermediary Subject Inventory and Commodity Intermediary Subject Receivables shall not exceed an amount equal to the lesser of (i) $500 million and (ii) 20% of the value of all of the Company’s Petroleum Product inventory and all of the Company’s Receivables therefrom at such time; provided that, in the case of a Commodity Intermediary Transaction that is documented under a master or framework agreement and contemplates an ongoing series of transactions, such calculation shall be made only at the commencement of a Commodity Intermediary Transaction and each time thereafter that the maximum volume of Commodity Intermediary Subject Inventory is increased by the Company and the applicable Commodity Intermediary;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2" w:name="page293"/>
    <w:bookmarkEnd w:id="292"/>
    <w:p>
      <w:pPr>
        <w:jc w:val="both"/>
        <w:ind w:firstLine="656"/>
        <w:spacing w:after="0" w:line="284" w:lineRule="auto"/>
        <w:tabs>
          <w:tab w:leader="none" w:pos="1127"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The Company shall (i) notify the Administrative Agent of the specific locations of Commodity Intermediary Subject Inventory, certifying that no Petroleum Product inventory constituting Collateral is stored or located at any such location, and any corresponding Swap Contracts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Commodity Intermediary Transaction that is documented under a master or framework agreement and contemplates an ongoing series of transactions, the foregoing requirement shall be satisfied by the Company providing such notice to the Administrative Agent at the inception of such Commodity Intermediary Transaction and upon (A) the addition of any new locations at which Commodity Intermediary Subject Inventory is stored or located or (B) any such location at which Commodity Intermediary Subject Inventory ceases to be stored or located, and</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expressly identify any Commodity Intermediary Subject Receivables as such in the Company’s records;</w:t>
      </w:r>
    </w:p>
    <w:p>
      <w:pPr>
        <w:spacing w:after="0" w:line="210" w:lineRule="exact"/>
        <w:rPr>
          <w:rFonts w:ascii="Arial" w:cs="Arial" w:eastAsia="Arial" w:hAnsi="Arial"/>
          <w:sz w:val="18"/>
          <w:szCs w:val="18"/>
          <w:color w:val="auto"/>
        </w:rPr>
      </w:pPr>
    </w:p>
    <w:p>
      <w:pPr>
        <w:jc w:val="both"/>
        <w:ind w:firstLine="656"/>
        <w:spacing w:after="0" w:line="263" w:lineRule="auto"/>
        <w:tabs>
          <w:tab w:leader="none" w:pos="111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In connection with any requested release of Collateral with respect to Commodity Intermediary Subject Inventory, any corresponding Swap Contracts with respect thereto and any Commodity Intermediary Subject Receivables, the Company shall certify that after giving effect to such release, the Collateral Value shall exceed Total Outstandings;</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2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With respect to any release of Petroleum Product inventory constituting Collateral in connection with a Commodity Intermediary Transaction, such release shall be effective with respect to such Petroleum Product inventory provided that, subject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such Petroleum Product inventory is stored or located at a specified location where either (A) only Commodity Intermediary Subject Inventory is stored or located or (B) only such Petroleum Product inventory (and no other Petroleum Product inventory constituting Collateral) is stored or located. Immediately upon the termination of (A) the Commodity Intermediary Transaction regarding such Commodity Intermediary Subject Inventory or (B) the Borrower’s relationship with the applicable Commodity Intermediary, all Petroleum Product inventory stored or located at such location shall thereafter constitute Collateral;</w:t>
      </w:r>
    </w:p>
    <w:p>
      <w:pPr>
        <w:spacing w:after="0" w:line="194" w:lineRule="exact"/>
        <w:rPr>
          <w:rFonts w:ascii="Arial" w:cs="Arial" w:eastAsia="Arial" w:hAnsi="Arial"/>
          <w:sz w:val="18"/>
          <w:szCs w:val="18"/>
          <w:color w:val="auto"/>
        </w:rPr>
      </w:pPr>
    </w:p>
    <w:p>
      <w:pPr>
        <w:ind w:left="1120" w:hanging="464"/>
        <w:spacing w:after="0"/>
        <w:tabs>
          <w:tab w:leader="none" w:pos="11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Commodity Intermediary Subject Inventory shall not be commingled with any Collateral at any time;</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No corresponding Swap Contract with respect to Commodity Intermediary Subject Inventory shall be (i) pursuant to or governed by any ISDA Master Agreement governing any Swap Contracts with respect to any Collateral, (ii) subject to netting with respect to any Swap Contract with respect to any Collateral, or (iii) secured by any Collateral;</w:t>
      </w:r>
    </w:p>
    <w:p>
      <w:pPr>
        <w:spacing w:after="0" w:line="183" w:lineRule="exact"/>
        <w:rPr>
          <w:rFonts w:ascii="Arial" w:cs="Arial" w:eastAsia="Arial" w:hAnsi="Arial"/>
          <w:sz w:val="18"/>
          <w:szCs w:val="18"/>
          <w:color w:val="auto"/>
        </w:rPr>
      </w:pPr>
    </w:p>
    <w:p>
      <w:pPr>
        <w:jc w:val="both"/>
        <w:ind w:right="20" w:firstLine="656"/>
        <w:spacing w:after="0" w:line="263" w:lineRule="auto"/>
        <w:tabs>
          <w:tab w:leader="none" w:pos="112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Upon the sale to any third party (other than a Commodity Intermediary) of any Commodity Intermediary Subject Inventory (or corresponding Commodity Intermediary Subject Receivable (if any)), the Company shall promptly pay to the applicable Commodity Intermediary the corresponding account payable with respect thereto;</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2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Following the occurrence and during the continuance of any Event of Default, all proceeds of the sale of Commodity Intermediary Subject Inventory or any Commodity Intermediary Subject Receivables shall be segregated by the Company from its other funds, held in a segregated deposit account and not commingled with any other funds of the Company;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p>
      <w:pPr>
        <w:ind w:firstLine="656"/>
        <w:spacing w:after="0" w:line="277" w:lineRule="auto"/>
        <w:tabs>
          <w:tab w:leader="none" w:pos="108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Company shall enter into an intercreditor agreement in form and substance satisfactory to the Administrative Agent in all respects with any Commodity Intermediary party to any Commodity Intermediary Transaction.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Lender hereby authorizes the Administrative Agent to enter into amendments to the Collateral Documents, in form and substance satisfactory to the Administrative Agent, to evidence the foregoing and consents to each such amendment.</w:t>
      </w:r>
    </w:p>
    <w:p>
      <w:pPr>
        <w:spacing w:after="0" w:line="16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ARTICLE VIII. EVENTS OF DEFAULT AND REMEDIES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Any of the following shall constitute an Event of Default:</w:t>
      </w:r>
    </w:p>
    <w:p>
      <w:pPr>
        <w:spacing w:after="0" w:line="229" w:lineRule="exact"/>
        <w:rPr>
          <w:sz w:val="20"/>
          <w:szCs w:val="20"/>
          <w:color w:val="auto"/>
        </w:rPr>
      </w:pPr>
    </w:p>
    <w:p>
      <w:pPr>
        <w:ind w:left="1120" w:hanging="464"/>
        <w:spacing w:after="0"/>
        <w:tabs>
          <w:tab w:leader="none" w:pos="1120"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 (i) Any Borrower fails to pay (A) when due and payable, any amount of principal of any Loan or any L/C Obligation,</w:t>
      </w:r>
    </w:p>
    <w:p>
      <w:pPr>
        <w:spacing w:after="0" w:line="34" w:lineRule="exact"/>
        <w:rPr>
          <w:rFonts w:ascii="Arial" w:cs="Arial" w:eastAsia="Arial" w:hAnsi="Arial"/>
          <w:sz w:val="17"/>
          <w:szCs w:val="17"/>
          <w:color w:val="auto"/>
        </w:rPr>
      </w:pPr>
    </w:p>
    <w:p>
      <w:pPr>
        <w:jc w:val="both"/>
        <w:ind w:firstLine="8"/>
        <w:spacing w:after="0" w:line="253" w:lineRule="auto"/>
        <w:tabs>
          <w:tab w:leader="none" w:pos="30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within three Business Days after the same becomes due and payable, any interest on any Loan or on any L/C Obligation, or any fee due hereunder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or (C) within five Business Days after the same becomes due, any other amount payable hereunder or under any other Loan Document, or (ii) PAA fails to pay within three Business Days after the same becomes due and payable, any amount payable under the PAA Guaranty or any other Loan Document; or</w:t>
      </w:r>
    </w:p>
    <w:p>
      <w:pPr>
        <w:spacing w:after="0" w:line="192" w:lineRule="exact"/>
        <w:rPr>
          <w:rFonts w:ascii="Arial" w:cs="Arial" w:eastAsia="Arial" w:hAnsi="Arial"/>
          <w:sz w:val="18"/>
          <w:szCs w:val="18"/>
          <w:color w:val="auto"/>
        </w:rPr>
      </w:pPr>
    </w:p>
    <w:p>
      <w:pPr>
        <w:ind w:left="1140" w:hanging="484"/>
        <w:spacing w:after="0"/>
        <w:tabs>
          <w:tab w:leader="none" w:pos="1140" w:val="left"/>
        </w:tabs>
        <w:numPr>
          <w:ilvl w:val="1"/>
          <w:numId w:val="333"/>
        </w:numPr>
        <w:rPr>
          <w:rFonts w:ascii="Arial" w:cs="Arial" w:eastAsia="Arial" w:hAnsi="Arial"/>
          <w:sz w:val="17"/>
          <w:szCs w:val="17"/>
          <w:color w:val="auto"/>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Any Borrower fails to perform or observe any term, covenant or agreement contained in any of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210" w:lineRule="exact"/>
        <w:rPr>
          <w:rFonts w:ascii="Arial" w:cs="Arial" w:eastAsia="Arial" w:hAnsi="Arial"/>
          <w:sz w:val="17"/>
          <w:szCs w:val="17"/>
          <w:color w:val="auto"/>
        </w:rPr>
      </w:pPr>
    </w:p>
    <w:p>
      <w:pPr>
        <w:jc w:val="both"/>
        <w:ind w:firstLine="656"/>
        <w:spacing w:after="0" w:line="263" w:lineRule="auto"/>
        <w:tabs>
          <w:tab w:leader="none" w:pos="1117" w:val="left"/>
        </w:tabs>
        <w:numPr>
          <w:ilvl w:val="1"/>
          <w:numId w:val="333"/>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Company; or</w:t>
      </w:r>
    </w:p>
    <w:p>
      <w:pPr>
        <w:spacing w:after="0" w:line="183" w:lineRule="exact"/>
        <w:rPr>
          <w:rFonts w:ascii="Arial" w:cs="Arial" w:eastAsia="Arial" w:hAnsi="Arial"/>
          <w:sz w:val="18"/>
          <w:szCs w:val="18"/>
          <w:color w:val="auto"/>
        </w:rPr>
      </w:pPr>
    </w:p>
    <w:p>
      <w:pPr>
        <w:ind w:firstLine="656"/>
        <w:spacing w:after="0" w:line="308" w:lineRule="auto"/>
        <w:tabs>
          <w:tab w:leader="none" w:pos="1127" w:val="left"/>
        </w:tabs>
        <w:numPr>
          <w:ilvl w:val="1"/>
          <w:numId w:val="33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Any representation or warranty made or deemed made by or on behalf of the Company or PMCULC or by any other Loan Party herein or in any other Loan Document shall be incorrect when made or deemed made in any material respect; or</w:t>
      </w:r>
    </w:p>
    <w:p>
      <w:pPr>
        <w:spacing w:after="0" w:line="146" w:lineRule="exact"/>
        <w:rPr>
          <w:rFonts w:ascii="Arial" w:cs="Arial" w:eastAsia="Arial" w:hAnsi="Arial"/>
          <w:sz w:val="17"/>
          <w:szCs w:val="17"/>
          <w:color w:val="auto"/>
        </w:rPr>
      </w:pPr>
    </w:p>
    <w:p>
      <w:pPr>
        <w:jc w:val="both"/>
        <w:ind w:firstLine="656"/>
        <w:spacing w:after="0" w:line="285" w:lineRule="auto"/>
        <w:tabs>
          <w:tab w:leader="none" w:pos="1117" w:val="left"/>
        </w:tabs>
        <w:numPr>
          <w:ilvl w:val="1"/>
          <w:numId w:val="333"/>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Company, PMCULC or any other Subsidiary of the Company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the Dollar Equivalent of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the Company, PMCULC or such Subsidiary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(1) the Swap Termination Value owed by the Company, PMCULC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the Company, PMCULC or such Subsidiary as required by GAAP), (2) the effect of such Early Termination Date is to cause such Swap Termination Value to be demanded or to become due, and (3) such Swap Termination Value has not been paid when due;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4" w:name="page295"/>
    <w:bookmarkEnd w:id="294"/>
    <w:p>
      <w:pPr>
        <w:jc w:val="both"/>
        <w:ind w:firstLine="656"/>
        <w:spacing w:after="0" w:line="270" w:lineRule="auto"/>
        <w:tabs>
          <w:tab w:leader="none" w:pos="1120"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xml:space="preserve"> The Company, PMCULC, any other Subsidiary of the Company, the operations, properties or financial condition of which is significant to the Company as of the most recently ended fiscal quarter of the Company, PAA, any other Significant Restricted Person (as such term is defined in the PAA Credit Agreement), Plains All American GP LLC, Plains AAP, L.P., PAA GP LLC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any Collateral 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0" w:lineRule="exact"/>
        <w:rPr>
          <w:rFonts w:ascii="Arial" w:cs="Arial" w:eastAsia="Arial" w:hAnsi="Arial"/>
          <w:sz w:val="17"/>
          <w:szCs w:val="17"/>
          <w:color w:val="auto"/>
        </w:rPr>
      </w:pPr>
    </w:p>
    <w:p>
      <w:pPr>
        <w:jc w:val="both"/>
        <w:ind w:firstLine="656"/>
        <w:spacing w:after="0" w:line="259" w:lineRule="auto"/>
        <w:tabs>
          <w:tab w:leader="none" w:pos="112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Borrower or PAA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12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Borrower a final judgment for the payment of money in an aggregate amount (as to all such judgments or orders) the Dollar Equivalent of which exceeds the Threshold Amount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60 consecutive days after the entry of such judgment during which a discharge, stay of enforcement of such judgment, by reason of a pending appeal or otherwise, is not in effect;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5" w:name="page296"/>
    <w:bookmarkEnd w:id="295"/>
    <w:p>
      <w:pPr>
        <w:jc w:val="both"/>
        <w:ind w:firstLine="656"/>
        <w:spacing w:after="0" w:line="257" w:lineRule="auto"/>
        <w:tabs>
          <w:tab w:leader="none" w:pos="111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Company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11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or satisfaction in full of all the payment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1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for any reason (other than pursuant to the terms hereof or thereof) cease to create a valid and perfected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on the Collateral purported to be covered thereby; or</w:t>
      </w:r>
    </w:p>
    <w:p>
      <w:pPr>
        <w:spacing w:after="0" w:line="183" w:lineRule="exact"/>
        <w:rPr>
          <w:rFonts w:ascii="Arial" w:cs="Arial" w:eastAsia="Arial" w:hAnsi="Arial"/>
          <w:sz w:val="18"/>
          <w:szCs w:val="18"/>
          <w:color w:val="auto"/>
        </w:rPr>
      </w:pPr>
    </w:p>
    <w:p>
      <w:pPr>
        <w:ind w:left="1160" w:hanging="504"/>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PAA Event of Default</w:t>
      </w:r>
      <w:r>
        <w:rPr>
          <w:rFonts w:ascii="Arial" w:cs="Arial" w:eastAsia="Arial" w:hAnsi="Arial"/>
          <w:sz w:val="18"/>
          <w:szCs w:val="18"/>
          <w:color w:val="auto"/>
        </w:rPr>
        <w:t>. Any “Event of Default” shall occur, as such term is defined in the PAA Credit Agreement.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w:t>
      </w:r>
      <w:r>
        <w:rPr>
          <w:rFonts w:ascii="Arial" w:cs="Arial" w:eastAsia="Arial" w:hAnsi="Arial"/>
          <w:sz w:val="18"/>
          <w:szCs w:val="18"/>
          <w:b w:val="1"/>
          <w:bCs w:val="1"/>
          <w:color w:val="auto"/>
        </w:rPr>
        <w:t xml:space="preserve"> </w:t>
      </w:r>
      <w:r>
        <w:rPr>
          <w:rFonts w:ascii="Arial" w:cs="Arial" w:eastAsia="Arial" w:hAnsi="Arial"/>
          <w:sz w:val="18"/>
          <w:szCs w:val="18"/>
          <w:color w:val="auto"/>
        </w:rPr>
        <w:t>may, with the consent of, the Required Lenders, take any or all of the following actions:</w:t>
      </w:r>
    </w:p>
    <w:p>
      <w:pPr>
        <w:spacing w:after="0" w:line="166" w:lineRule="exact"/>
        <w:rPr>
          <w:sz w:val="20"/>
          <w:szCs w:val="20"/>
          <w:color w:val="auto"/>
        </w:rPr>
      </w:pPr>
    </w:p>
    <w:p>
      <w:pPr>
        <w:ind w:firstLine="656"/>
        <w:spacing w:after="0" w:line="342" w:lineRule="auto"/>
        <w:tabs>
          <w:tab w:leader="none" w:pos="1117" w:val="left"/>
        </w:tabs>
        <w:numPr>
          <w:ilvl w:val="0"/>
          <w:numId w:val="336"/>
        </w:numPr>
        <w:rPr>
          <w:rFonts w:ascii="Arial" w:cs="Arial" w:eastAsia="Arial" w:hAnsi="Arial"/>
          <w:sz w:val="16"/>
          <w:szCs w:val="16"/>
          <w:color w:val="auto"/>
        </w:rPr>
      </w:pPr>
      <w:r>
        <w:rPr>
          <w:rFonts w:ascii="Arial" w:cs="Arial" w:eastAsia="Arial" w:hAnsi="Arial"/>
          <w:sz w:val="16"/>
          <w:szCs w:val="16"/>
          <w:color w:val="auto"/>
        </w:rPr>
        <w:t>declare the commitment of each Lender to make Loans and any obligation of the L/C Issuers to make L/C Credit Extensions to be terminated or suspended (as the case may be), whereupon such commitments and obligation shall be terminated or suspended (as the case may be);</w:t>
      </w:r>
    </w:p>
    <w:p>
      <w:pPr>
        <w:spacing w:after="0" w:line="123" w:lineRule="exact"/>
        <w:rPr>
          <w:rFonts w:ascii="Arial" w:cs="Arial" w:eastAsia="Arial" w:hAnsi="Arial"/>
          <w:sz w:val="16"/>
          <w:szCs w:val="16"/>
          <w:color w:val="auto"/>
        </w:rPr>
      </w:pPr>
    </w:p>
    <w:p>
      <w:pPr>
        <w:jc w:val="both"/>
        <w:ind w:firstLine="656"/>
        <w:spacing w:after="0" w:line="263" w:lineRule="auto"/>
        <w:tabs>
          <w:tab w:leader="none" w:pos="112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3" w:lineRule="exact"/>
        <w:rPr>
          <w:rFonts w:ascii="Arial" w:cs="Arial" w:eastAsia="Arial" w:hAnsi="Arial"/>
          <w:sz w:val="18"/>
          <w:szCs w:val="18"/>
          <w:color w:val="auto"/>
        </w:rPr>
      </w:pPr>
    </w:p>
    <w:p>
      <w:pPr>
        <w:ind w:left="1120" w:hanging="464"/>
        <w:spacing w:after="0"/>
        <w:tabs>
          <w:tab w:leader="none" w:pos="112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require that the Company Cash Collateralize the L/C Obligations and Canadian BA’s (in an amount equal to the then Outstanding Amount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jc w:val="both"/>
        <w:ind w:firstLine="656"/>
        <w:spacing w:after="0" w:line="293" w:lineRule="auto"/>
        <w:tabs>
          <w:tab w:leader="none" w:pos="1127"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exercise on behalf of itself, the Lenders and the L/C Issuers all rights and remedies available to it, the Lenders and the L/C Issuers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occurrence of an actual or deemed entry of an order for relief with respect to any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that have accrued and are owing as aforesaid shall automatically become due and payable, and the obligation of the Company to Cash Collateralize the L/C Obligations and Canadian BA’s as aforesaid shall automatically become effective, in each case without further act of the Administrative Agent or any Lender.</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due and payable and the L/C Obligations and Canadian BA’s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2.16 and 2.17</w:t>
      </w:r>
      <w:r>
        <w:rPr>
          <w:rFonts w:ascii="Arial" w:cs="Arial" w:eastAsia="Arial" w:hAnsi="Arial"/>
          <w:sz w:val="18"/>
          <w:szCs w:val="18"/>
          <w:color w:val="auto"/>
        </w:rPr>
        <w:t>, be applied by the Administrative Agent in the following order: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Administrative Agent for the account of the L/C Issuers, to Cash Collateralize that portion of L/C Obligations comprised of the aggregate undrawn amount of Letters of Credit and Canadian BA’s to the extent not otherwise Cash Collateralized by the Company pursuant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 and 2.16</w:t>
      </w:r>
      <w:r>
        <w:rPr>
          <w:rFonts w:ascii="Arial" w:cs="Arial" w:eastAsia="Arial" w:hAnsi="Arial"/>
          <w:sz w:val="17"/>
          <w:szCs w:val="17"/>
          <w:color w:val="auto"/>
        </w:rPr>
        <w:t>, ratably among the L/C Issuers in proportion to the respective amounts described in this clause Fifth held by them; and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payment Obligations have been indefeasibly paid in full, to the Company or as otherwise required by Law.</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2.03(c) and 2.16</w:t>
      </w:r>
      <w:r>
        <w:rPr>
          <w:rFonts w:ascii="Arial" w:cs="Arial" w:eastAsia="Arial" w:hAnsi="Arial"/>
          <w:sz w:val="18"/>
          <w:szCs w:val="18"/>
          <w:color w:val="auto"/>
        </w:rPr>
        <w:t xml:space="preserve">, (x) amounts used to Cash Collateralize the aggregate undrawn amount of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shall be applied to satisfy drawings under such Letters of Credit as they occur, and (y) if any amount remains on deposit as Cash Collateral after all Letters of Credit have either been fully drawn or expired, such remaining amount shall be applied to the other payment Obligations, if any, in the order set forth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color w:val="auto"/>
        </w:rPr>
        <w:t xml:space="preserve">ARTICLE IX. </w:t>
      </w:r>
      <w:r>
        <w:rPr>
          <w:rFonts w:ascii="Arial" w:cs="Arial" w:eastAsia="Arial" w:hAnsi="Arial"/>
          <w:sz w:val="18"/>
          <w:szCs w:val="18"/>
          <w:b w:val="1"/>
          <w:bCs w:val="1"/>
          <w:color w:val="auto"/>
        </w:rPr>
        <w:t>ADMINISTRATIVE AGENT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6"/>
          <w:szCs w:val="16"/>
          <w:b w:val="1"/>
          <w:bCs w:val="1"/>
          <w:color w:val="auto"/>
        </w:rPr>
        <w:t>Appointment and Authority</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3" w:lineRule="auto"/>
        <w:tabs>
          <w:tab w:leader="none" w:pos="989"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Each of the Lenders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no Borrower shall have rights as a third party beneficiary of any of such provisions (other than the right to reasonably approve a successor Administrative Agent pursuant to </w:t>
      </w:r>
      <w:r>
        <w:rPr>
          <w:rFonts w:ascii="Arial" w:cs="Arial" w:eastAsia="Arial" w:hAnsi="Arial"/>
          <w:sz w:val="18"/>
          <w:szCs w:val="18"/>
          <w:u w:val="single" w:color="auto"/>
          <w:color w:val="auto"/>
        </w:rPr>
        <w:t>Section 9.06</w:t>
      </w:r>
      <w:r>
        <w:rPr>
          <w:rFonts w:ascii="Arial" w:cs="Arial" w:eastAsia="Arial" w:hAnsi="Arial"/>
          <w:sz w:val="18"/>
          <w:szCs w:val="18"/>
          <w:color w:val="auto"/>
        </w:rPr>
        <w: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6" w:lineRule="exact"/>
        <w:rPr>
          <w:rFonts w:ascii="Arial" w:cs="Arial" w:eastAsia="Arial" w:hAnsi="Arial"/>
          <w:sz w:val="18"/>
          <w:szCs w:val="18"/>
          <w:color w:val="auto"/>
        </w:rPr>
      </w:pPr>
    </w:p>
    <w:p>
      <w:pPr>
        <w:jc w:val="both"/>
        <w:ind w:firstLine="656"/>
        <w:spacing w:after="0" w:line="271" w:lineRule="auto"/>
        <w:tabs>
          <w:tab w:leader="none" w:pos="1127"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under the Loan Documents, and each of the Lenders and the L/C Issuers hereby irrevocably appoints and authorizes the Administrative Agent to act as the agent of such Lender and such L/C Issuer for purposes of acquiring, holding and enforcing any and all Liens on Collateral granted by any Borrower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11.04(c)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9.02 Rights as a Lender</w:t>
      </w:r>
      <w:r>
        <w:rPr>
          <w:rFonts w:ascii="Arial" w:cs="Arial" w:eastAsia="Arial" w:hAnsi="Arial"/>
          <w:sz w:val="17"/>
          <w:szCs w:val="17"/>
          <w:color w:val="auto"/>
        </w:rPr>
        <w:t>. The Person serving as the Administrative Agent hereunder shall have the same rights and powers in its capacity as a</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 underwriting or other of business with any Loan Party or any Subsidiary or other Affiliate thereof as if such Person were not the Administrative Agent hereunder and without any duty to account therefor to the Lenders or to provide notice or consent of the Lenders with respect thereto.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jc w:val="both"/>
        <w:ind w:firstLine="648"/>
        <w:spacing w:after="0" w:line="266" w:lineRule="auto"/>
        <w:rPr>
          <w:sz w:val="20"/>
          <w:szCs w:val="20"/>
          <w:color w:val="auto"/>
        </w:rPr>
      </w:pPr>
      <w:r>
        <w:rPr>
          <w:rFonts w:ascii="Arial" w:cs="Arial" w:eastAsia="Arial" w:hAnsi="Arial"/>
          <w:sz w:val="18"/>
          <w:szCs w:val="18"/>
          <w:b w:val="1"/>
          <w:bCs w:val="1"/>
          <w:color w:val="auto"/>
        </w:rPr>
        <w:t>9.03 Exculpatory Provisions</w:t>
      </w:r>
      <w:r>
        <w:rPr>
          <w:rFonts w:ascii="Arial" w:cs="Arial" w:eastAsia="Arial" w:hAnsi="Arial"/>
          <w:sz w:val="18"/>
          <w:szCs w:val="18"/>
          <w:color w:val="auto"/>
        </w:rPr>
        <w:t>. The Administrative Agent or any Arranger, as applicable, shall not have any duties or obligations except those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set forth herein and in the other Loan Documents, and its duties hereunder shall be administrative in nature. Without limiting the generality of the foregoing, the Administrative Agent or any Arranger, as applicable, and its Related Parties:</w:t>
      </w:r>
    </w:p>
    <w:p>
      <w:pPr>
        <w:spacing w:after="0" w:line="180" w:lineRule="exact"/>
        <w:rPr>
          <w:sz w:val="20"/>
          <w:szCs w:val="20"/>
          <w:color w:val="auto"/>
        </w:rPr>
      </w:pPr>
    </w:p>
    <w:p>
      <w:pPr>
        <w:ind w:left="1120" w:hanging="464"/>
        <w:spacing w:after="0"/>
        <w:tabs>
          <w:tab w:leader="none" w:pos="11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jc w:val="both"/>
        <w:ind w:firstLine="656"/>
        <w:spacing w:after="0" w:line="254" w:lineRule="auto"/>
        <w:tabs>
          <w:tab w:leader="none" w:pos="112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4" w:lineRule="exact"/>
        <w:rPr>
          <w:rFonts w:ascii="Arial" w:cs="Arial" w:eastAsia="Arial" w:hAnsi="Arial"/>
          <w:sz w:val="18"/>
          <w:szCs w:val="18"/>
          <w:color w:val="auto"/>
        </w:rPr>
      </w:pPr>
    </w:p>
    <w:p>
      <w:pPr>
        <w:jc w:val="both"/>
        <w:ind w:firstLine="656"/>
        <w:spacing w:after="0" w:line="275" w:lineRule="auto"/>
        <w:tabs>
          <w:tab w:leader="none" w:pos="1117" w:val="left"/>
        </w:tabs>
        <w:numPr>
          <w:ilvl w:val="0"/>
          <w:numId w:val="339"/>
        </w:numPr>
        <w:rPr>
          <w:rFonts w:ascii="Arial" w:cs="Arial" w:eastAsia="Arial" w:hAnsi="Arial"/>
          <w:sz w:val="17"/>
          <w:szCs w:val="17"/>
          <w:color w:val="auto"/>
        </w:rPr>
      </w:pPr>
      <w:r>
        <w:rPr>
          <w:rFonts w:ascii="Arial" w:cs="Arial" w:eastAsia="Arial" w:hAnsi="Arial"/>
          <w:sz w:val="17"/>
          <w:szCs w:val="17"/>
          <w:color w:val="auto"/>
        </w:rPr>
        <w:t>shall not, except as expressly set forth herein and in the other Loan Documents, have any duty or responsibility to disclose, and shall not be liable for the failure to disclose to any Lender or any L/C Issuer, any credit or other information concerning the business, prospects, operations, property, financial and other condition or creditworthiness of any Borrower or any of their respective Affiliates that is communicated to or obtained by the Person serving as the Administrative Agent or an Arranger or any of their Related Parties in any capacity, except for notices, reports and other documents expressly required to be furnished to the Lenders by the Administrative Agent herein;</w:t>
      </w:r>
    </w:p>
    <w:p>
      <w:pPr>
        <w:spacing w:after="0" w:line="176" w:lineRule="exact"/>
        <w:rPr>
          <w:rFonts w:ascii="Arial" w:cs="Arial" w:eastAsia="Arial" w:hAnsi="Arial"/>
          <w:sz w:val="17"/>
          <w:szCs w:val="17"/>
          <w:color w:val="auto"/>
        </w:rPr>
      </w:pPr>
    </w:p>
    <w:p>
      <w:pPr>
        <w:jc w:val="both"/>
        <w:ind w:firstLine="656"/>
        <w:spacing w:after="0" w:line="273" w:lineRule="auto"/>
        <w:tabs>
          <w:tab w:leader="none" w:pos="1127" w:val="left"/>
        </w:tabs>
        <w:numPr>
          <w:ilvl w:val="0"/>
          <w:numId w:val="339"/>
        </w:numPr>
        <w:rPr>
          <w:rFonts w:ascii="Arial" w:cs="Arial" w:eastAsia="Arial" w:hAnsi="Arial"/>
          <w:sz w:val="17"/>
          <w:szCs w:val="17"/>
          <w:color w:val="auto"/>
        </w:rPr>
      </w:pPr>
      <w:r>
        <w:rPr>
          <w:rFonts w:ascii="Arial" w:cs="Arial" w:eastAsia="Arial" w:hAnsi="Arial"/>
          <w:sz w:val="17"/>
          <w:szCs w:val="17"/>
          <w:color w:val="auto"/>
        </w:rPr>
        <w:t>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11.01 and 8.02)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the Company, a Lender or an L/C Issuer;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9" w:name="page300"/>
    <w:bookmarkEnd w:id="299"/>
    <w:p>
      <w:pPr>
        <w:ind w:left="1120" w:hanging="464"/>
        <w:spacing w:after="0"/>
        <w:tabs>
          <w:tab w:leader="none" w:pos="1120" w:val="left"/>
        </w:tabs>
        <w:numPr>
          <w:ilvl w:val="1"/>
          <w:numId w:val="340"/>
        </w:numPr>
        <w:rPr>
          <w:rFonts w:ascii="Arial" w:cs="Arial" w:eastAsia="Arial" w:hAnsi="Arial"/>
          <w:sz w:val="17"/>
          <w:szCs w:val="17"/>
          <w:color w:val="auto"/>
        </w:rPr>
      </w:pPr>
      <w:r>
        <w:rPr>
          <w:rFonts w:ascii="Arial" w:cs="Arial" w:eastAsia="Arial" w:hAnsi="Arial"/>
          <w:sz w:val="17"/>
          <w:szCs w:val="17"/>
          <w:color w:val="auto"/>
        </w:rPr>
        <w:t>shall not be responsible for or have any duty or obligation to any Lender or participant or any other Person to ascertain or inquire into</w:t>
      </w:r>
    </w:p>
    <w:p>
      <w:pPr>
        <w:spacing w:after="0" w:line="34" w:lineRule="exact"/>
        <w:rPr>
          <w:rFonts w:ascii="Arial" w:cs="Arial" w:eastAsia="Arial" w:hAnsi="Arial"/>
          <w:sz w:val="17"/>
          <w:szCs w:val="17"/>
          <w:color w:val="auto"/>
        </w:rPr>
      </w:pPr>
    </w:p>
    <w:p>
      <w:pPr>
        <w:jc w:val="both"/>
        <w:ind w:firstLine="8"/>
        <w:spacing w:after="0" w:line="290" w:lineRule="auto"/>
        <w:tabs>
          <w:tab w:leader="none" w:pos="216"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sufficiency of any Collateral,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9.04 Reliance by Administrative Agent</w:t>
      </w:r>
      <w:r>
        <w:rPr>
          <w:rFonts w:ascii="Arial" w:cs="Arial" w:eastAsia="Arial" w:hAnsi="Arial"/>
          <w:sz w:val="16"/>
          <w:szCs w:val="16"/>
          <w:color w:val="auto"/>
        </w:rPr>
        <w:t>. The Administrative Agent shall be entitled to rely upon, and shall not incur any liability for relying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9.05 Delegation of Duties</w:t>
      </w:r>
      <w:r>
        <w:rPr>
          <w:rFonts w:ascii="Arial" w:cs="Arial" w:eastAsia="Arial" w:hAnsi="Arial"/>
          <w:sz w:val="17"/>
          <w:szCs w:val="17"/>
          <w:color w:val="auto"/>
        </w:rPr>
        <w:t>. The Administrative Agent may perform any and all of its duties and exercise its rights and powers hereunder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any other Loan Document by or through any one or more sub-agents appointed by the Administrative Agent. In furtherance but not in limitation of the foregoing, certain Canadian administrative operations and duties, including with respect to Borrowings by PMCULC and Canadian collateral, may be performed by Bank of America, N.A., Canada Branch, an affiliate of Administrative Agent, on behalf of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0" w:name="page301"/>
    <w:bookmarkEnd w:id="300"/>
    <w:p>
      <w:pPr>
        <w:ind w:left="660"/>
        <w:spacing w:after="0"/>
        <w:tabs>
          <w:tab w:leader="none" w:pos="1140" w:val="left"/>
        </w:tabs>
        <w:rPr>
          <w:sz w:val="20"/>
          <w:szCs w:val="20"/>
          <w:color w:val="auto"/>
        </w:rPr>
      </w:pPr>
      <w:r>
        <w:rPr>
          <w:rFonts w:ascii="Arial" w:cs="Arial" w:eastAsia="Arial" w:hAnsi="Arial"/>
          <w:sz w:val="18"/>
          <w:szCs w:val="18"/>
          <w:b w:val="1"/>
          <w:bCs w:val="1"/>
          <w:color w:val="auto"/>
        </w:rPr>
        <w:t>9.06</w:t>
      </w:r>
      <w:r>
        <w:rPr>
          <w:sz w:val="20"/>
          <w:szCs w:val="20"/>
          <w:color w:val="auto"/>
        </w:rPr>
        <w:tab/>
      </w:r>
      <w:r>
        <w:rPr>
          <w:rFonts w:ascii="Arial" w:cs="Arial" w:eastAsia="Arial" w:hAnsi="Arial"/>
          <w:sz w:val="16"/>
          <w:szCs w:val="16"/>
          <w:b w:val="1"/>
          <w:bCs w:val="1"/>
          <w:color w:val="auto"/>
        </w:rPr>
        <w:t>Resignation or Removal of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4" w:lineRule="auto"/>
        <w:tabs>
          <w:tab w:leader="none" w:pos="111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The Administrative Agent may at any time give notice of its resignation to the Lenders, the L/C Issuers and the Company,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Company and such Person, remove such Person as Administrative Agent. Upon receipt of any such notice of resignation or issuance of notice of removal, the Required Lenders shall have the right to appoint a successor (subject to consultation with the Company, unless an Event of Default has occurred and is 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then the retiring or removed Administrative Agent may on behalf of the Lenders and the L/C Issuers, appoint a successor Administrative Agent meeting the qualifications set forth above (subject to consultation with the Company, unless an Event of Default has occurred and is continuing); provided that if the Administrative Agent shall notify the Company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(other than as provided in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and other than any rights to indemnity payments or other amounts owed to the retiring or removed Administrative Agent as of the resignation date or removal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both"/>
        <w:ind w:firstLine="656"/>
        <w:spacing w:after="0" w:line="283" w:lineRule="auto"/>
        <w:tabs>
          <w:tab w:leader="none" w:pos="1127" w:val="left"/>
        </w:tabs>
        <w:numPr>
          <w:ilvl w:val="1"/>
          <w:numId w:val="343"/>
        </w:numPr>
        <w:rPr>
          <w:rFonts w:ascii="Arial" w:cs="Arial" w:eastAsia="Arial" w:hAnsi="Arial"/>
          <w:sz w:val="16"/>
          <w:szCs w:val="16"/>
          <w:color w:val="auto"/>
        </w:rPr>
      </w:pPr>
      <w:r>
        <w:rPr>
          <w:rFonts w:ascii="Arial" w:cs="Arial" w:eastAsia="Arial" w:hAnsi="Arial"/>
          <w:sz w:val="16"/>
          <w:szCs w:val="16"/>
          <w:color w:val="auto"/>
        </w:rPr>
        <w:t xml:space="preserve">Any resignation by, or removal of, Bank of America as Administrative Agent pursuant to this Section shall also constitute its resignation or removal as an L/C Issuer and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Canadian Prime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Canadian Prime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acceptance of a successor’s appointment as Administrative Agent hereunder, (a) such successor may succeed to and become vested with all of the rights, powers, privileges and duties of the retiring or removed L/C Issuer and Swing Line Lender, (b) the retiring or removed L/C Issuer and Swing Line Lender shall be discharged from all of their respective duties and obligations hereunder or under the other Loan Documents, and</w:t>
      </w:r>
    </w:p>
    <w:p>
      <w:pPr>
        <w:spacing w:after="0" w:line="4" w:lineRule="exact"/>
        <w:rPr>
          <w:rFonts w:ascii="Arial" w:cs="Arial" w:eastAsia="Arial" w:hAnsi="Arial"/>
          <w:sz w:val="16"/>
          <w:szCs w:val="16"/>
          <w:color w:val="auto"/>
        </w:rPr>
      </w:pPr>
    </w:p>
    <w:p>
      <w:pPr>
        <w:jc w:val="both"/>
        <w:ind w:firstLine="8"/>
        <w:spacing w:after="0" w:line="255" w:lineRule="auto"/>
        <w:tabs>
          <w:tab w:leader="none" w:pos="26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successor L/C Issuer shall issue letters of credit in substitution for or in support of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9.07 Non-Reliance on Administrative Agent, the Arrangers and Other Lenders</w:t>
      </w:r>
      <w:r>
        <w:rPr>
          <w:rFonts w:ascii="Arial" w:cs="Arial" w:eastAsia="Arial" w:hAnsi="Arial"/>
          <w:sz w:val="16"/>
          <w:szCs w:val="16"/>
          <w:color w:val="auto"/>
        </w:rPr>
        <w:t>. Each Lender and each L/C Issuer expressly acknowledges</w:t>
      </w:r>
      <w:r>
        <w:rPr>
          <w:rFonts w:ascii="Arial" w:cs="Arial" w:eastAsia="Arial" w:hAnsi="Arial"/>
          <w:sz w:val="16"/>
          <w:szCs w:val="16"/>
          <w:b w:val="1"/>
          <w:bCs w:val="1"/>
          <w:color w:val="auto"/>
        </w:rPr>
        <w:t xml:space="preserve"> </w:t>
      </w:r>
      <w:r>
        <w:rPr>
          <w:rFonts w:ascii="Arial" w:cs="Arial" w:eastAsia="Arial" w:hAnsi="Arial"/>
          <w:sz w:val="16"/>
          <w:szCs w:val="16"/>
          <w:color w:val="auto"/>
        </w:rPr>
        <w:t>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such Arranger have disclosed material information in their (or their Related Parties’) possession. Each Lender and each 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2" w:name="page303"/>
    <w:bookmarkEnd w:id="302"/>
    <w:p>
      <w:pPr>
        <w:jc w:val="both"/>
        <w:ind w:firstLine="648"/>
        <w:spacing w:after="0" w:line="266" w:lineRule="auto"/>
        <w:rPr>
          <w:sz w:val="20"/>
          <w:szCs w:val="20"/>
          <w:color w:val="auto"/>
        </w:rPr>
      </w:pPr>
      <w:r>
        <w:rPr>
          <w:rFonts w:ascii="Arial" w:cs="Arial" w:eastAsia="Arial" w:hAnsi="Arial"/>
          <w:sz w:val="18"/>
          <w:szCs w:val="18"/>
          <w:b w:val="1"/>
          <w:bCs w:val="1"/>
          <w:color w:val="auto"/>
        </w:rPr>
        <w:t>9.08 No Other Duties, Etc</w:t>
      </w:r>
      <w:r>
        <w:rPr>
          <w:rFonts w:ascii="Arial" w:cs="Arial" w:eastAsia="Arial" w:hAnsi="Arial"/>
          <w:sz w:val="18"/>
          <w:szCs w:val="18"/>
          <w:color w:val="auto"/>
        </w:rPr>
        <w:t>. Anything herein to the contrary notwithstanding, none of the Arrangers or Syndication Agents shall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powers, duties or responsibilities under this Agreement or any of the other Loan Documents, except in its capacity, as applicable, as the Administrative Agent, a Lender or an L/C Issuer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9.09 Administrative Agent May File Proofs of Claim</w:t>
      </w:r>
      <w:r>
        <w:rPr>
          <w:rFonts w:ascii="Arial" w:cs="Arial" w:eastAsia="Arial" w:hAnsi="Arial"/>
          <w:sz w:val="18"/>
          <w:szCs w:val="18"/>
          <w:color w:val="auto"/>
        </w:rPr>
        <w:t>. In case of the pendency of any proceeding under any Debtor Relief Law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jc w:val="both"/>
        <w:ind w:firstLine="656"/>
        <w:spacing w:after="0" w:line="275" w:lineRule="auto"/>
        <w:tabs>
          <w:tab w:leader="none" w:pos="1117"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7"/>
          <w:szCs w:val="17"/>
          <w:u w:val="single" w:color="auto"/>
          <w:color w:val="auto"/>
        </w:rPr>
        <w:t>Sections 2.03(h)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allowed in such judicial proceeding; and</w:t>
      </w:r>
    </w:p>
    <w:p>
      <w:pPr>
        <w:spacing w:after="0" w:line="176" w:lineRule="exact"/>
        <w:rPr>
          <w:rFonts w:ascii="Arial" w:cs="Arial" w:eastAsia="Arial" w:hAnsi="Arial"/>
          <w:sz w:val="17"/>
          <w:szCs w:val="17"/>
          <w:color w:val="auto"/>
        </w:rPr>
      </w:pPr>
    </w:p>
    <w:p>
      <w:pPr>
        <w:ind w:left="1140" w:hanging="484"/>
        <w:spacing w:after="0"/>
        <w:tabs>
          <w:tab w:leader="none" w:pos="11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in each case,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Lender or any L/C Issuer any plan of reorganization, arrangement, adjustment or composition affecting the Obligations or the rights of any Lender 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L/C Issuer to authorize the Administrative Agent to vote in respect of the claim of any Lender or any L/C Issuer in any such proceeding.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jc w:val="both"/>
        <w:ind w:firstLine="648"/>
        <w:spacing w:after="0" w:line="269" w:lineRule="auto"/>
        <w:rPr>
          <w:sz w:val="20"/>
          <w:szCs w:val="20"/>
          <w:color w:val="auto"/>
        </w:rPr>
      </w:pPr>
      <w:r>
        <w:rPr>
          <w:rFonts w:ascii="Arial" w:cs="Arial" w:eastAsia="Arial" w:hAnsi="Arial"/>
          <w:sz w:val="17"/>
          <w:szCs w:val="17"/>
          <w:b w:val="1"/>
          <w:bCs w:val="1"/>
          <w:color w:val="auto"/>
        </w:rPr>
        <w:t>9.10 Collateral Matters</w:t>
      </w:r>
      <w:r>
        <w:rPr>
          <w:rFonts w:ascii="Arial" w:cs="Arial" w:eastAsia="Arial" w:hAnsi="Arial"/>
          <w:sz w:val="17"/>
          <w:szCs w:val="17"/>
          <w:color w:val="auto"/>
        </w:rPr>
        <w:t>. The Lenders and the L/C Issuers irrevocably authorize the Administrative Agent, at its option and in its discretion,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release any Lien on any property granted to or held by the Administrative Agent under any Loan Document (i) upon termination of the Aggregate Commitments and payment in full of all payment Obligations (other than contingent indemnification obligations) and the expiration or termination of all Letters of Credit (other than Letters of Credit as to which other arrangements satisfactory to the Administrative Agent and the applicable L/C Issuers shall have been made), (ii) that constitutes Permian Excluded Inventory, (iii) that is sold or to be sold as part of or in connection with any sale not prohibited hereunder or under any other Loan Document, or (iv) subject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the Administrative Agent will, at the Company’s expense, execute and deliver to the Company such documents as the Company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8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7"/>
          <w:szCs w:val="17"/>
          <w:b w:val="1"/>
          <w:bCs w:val="1"/>
          <w:color w:val="auto"/>
        </w:rPr>
        <w:t>Certain ERISA Matters.</w:t>
      </w:r>
    </w:p>
    <w:p>
      <w:pPr>
        <w:spacing w:after="0" w:line="229" w:lineRule="exact"/>
        <w:rPr>
          <w:sz w:val="20"/>
          <w:szCs w:val="20"/>
          <w:color w:val="auto"/>
        </w:rPr>
      </w:pPr>
    </w:p>
    <w:p>
      <w:pPr>
        <w:jc w:val="both"/>
        <w:ind w:firstLine="656"/>
        <w:spacing w:after="0" w:line="311" w:lineRule="auto"/>
        <w:tabs>
          <w:tab w:leader="none" w:pos="111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25" w:val="left"/>
        </w:tabs>
        <w:numPr>
          <w:ilvl w:val="1"/>
          <w:numId w:val="34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753" w:val="left"/>
        </w:tabs>
        <w:numPr>
          <w:ilvl w:val="1"/>
          <w:numId w:val="346"/>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Arial" w:cs="Arial" w:eastAsia="Arial" w:hAnsi="Arial"/>
          <w:sz w:val="17"/>
          <w:szCs w:val="17"/>
          <w:color w:val="auto"/>
        </w:rPr>
      </w:pPr>
    </w:p>
    <w:p>
      <w:pPr>
        <w:jc w:val="both"/>
        <w:ind w:left="660" w:firstLine="644"/>
        <w:spacing w:after="0" w:line="254" w:lineRule="auto"/>
        <w:tabs>
          <w:tab w:leader="none" w:pos="17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4" w:name="page305"/>
    <w:bookmarkEnd w:id="304"/>
    <w:p>
      <w:pPr>
        <w:ind w:left="660" w:firstLine="644"/>
        <w:spacing w:after="0" w:line="277" w:lineRule="auto"/>
        <w:tabs>
          <w:tab w:leader="none" w:pos="1770" w:val="left"/>
        </w:tabs>
        <w:numPr>
          <w:ilvl w:val="2"/>
          <w:numId w:val="34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127" w:val="left"/>
        </w:tabs>
        <w:numPr>
          <w:ilvl w:val="1"/>
          <w:numId w:val="348"/>
        </w:numPr>
        <w:rPr>
          <w:rFonts w:ascii="Arial" w:cs="Arial" w:eastAsia="Arial" w:hAnsi="Arial"/>
          <w:sz w:val="16"/>
          <w:szCs w:val="16"/>
          <w:color w:val="auto"/>
        </w:rPr>
      </w:pPr>
      <w:r>
        <w:rPr>
          <w:rFonts w:ascii="Arial" w:cs="Arial" w:eastAsia="Arial" w:hAnsi="Arial"/>
          <w:sz w:val="16"/>
          <w:szCs w:val="16"/>
          <w:color w:val="auto"/>
        </w:rPr>
        <w:t xml:space="preserve">In addition, unless either (1) sub-clause (i)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(2) a Lender has provided another representation, warranty and covenant in accordance with sub-clause (iv)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such Lender further</w:t>
      </w:r>
    </w:p>
    <w:p>
      <w:pPr>
        <w:jc w:val="both"/>
        <w:ind w:firstLine="8"/>
        <w:spacing w:after="0" w:line="252" w:lineRule="auto"/>
        <w:tabs>
          <w:tab w:leader="none" w:pos="26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9.12 Recovery of Erroneous Payments</w:t>
      </w:r>
      <w:r>
        <w:rPr>
          <w:rFonts w:ascii="Arial" w:cs="Arial" w:eastAsia="Arial" w:hAnsi="Arial"/>
          <w:sz w:val="16"/>
          <w:szCs w:val="16"/>
          <w:color w:val="auto"/>
        </w:rPr>
        <w:t>. Without limitation of any other provision in this Agreement, if at any time the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t>ARTICLE X. CONTINUING GUARANTY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10.01 PAA Guaranty</w:t>
      </w:r>
      <w:r>
        <w:rPr>
          <w:rFonts w:ascii="Arial" w:cs="Arial" w:eastAsia="Arial" w:hAnsi="Arial"/>
          <w:sz w:val="17"/>
          <w:szCs w:val="17"/>
          <w:color w:val="auto"/>
        </w:rPr>
        <w:t>. PAA hereby absolutely and unconditionally guarantees, as a guaranty of payment and not merely as a guaranty of</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 prompt payment when due, whether at stated maturity, by required prepayment, upon acceleration, demand or otherwise, and at all times thereafter, of any and all of the payment Obligations, whether for principal, interest, premiums, fees, indemnities, damages, costs, expenses or otherwise, of each Borrower to the Lender Parties, and whether arising hereunder or under any other Loan Document (including all renewals, extensions, amendments, refinancings and other modifications thereof and all costs, attorneys’ fees and expenses incurred by the Lender Parties in connection with the collection or enforcement thereof). The Administrative Agent’s books and records showing the amount of the payment Obligations of each Borrower shall be admissible in evidence in any action or proceeding, and shall be binding upon PAA, and conclusive absent manifest error for the purpose of establishing the amount of the payment Obligations of each Borrower. This PAA Guaranty shall not be affected by the genuineness, validity, regularity or enforceability of the Obligations of any Borrower or any instrument or agreement evidencing any Obligations of any Borrower, or by the existence, validity, enforceability, perfection, non-perfection or extent of any collateral therefor, or by any fact or circumstance relating to the Obligations which might otherwise constitute a defense to the obligations of PAA under this PAA Guaranty, and PAA hereby irrevocably waives any defenses it may now have or hereafter acquire in any way relating to any or all of the foregoing.</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10.02 Rights of Lenders</w:t>
      </w:r>
      <w:r>
        <w:rPr>
          <w:rFonts w:ascii="Arial" w:cs="Arial" w:eastAsia="Arial" w:hAnsi="Arial"/>
          <w:sz w:val="18"/>
          <w:szCs w:val="18"/>
          <w:color w:val="auto"/>
        </w:rPr>
        <w:t>. PAA consents and agrees that the Lender Parties may, at any time and from time to time, without notice or demand,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without affecting the enforceability or continuing effectiveness hereof, in each case, unless otherwise set forth herein, including in respect of </w:t>
      </w:r>
      <w:r>
        <w:rPr>
          <w:rFonts w:ascii="Arial" w:cs="Arial" w:eastAsia="Arial" w:hAnsi="Arial"/>
          <w:sz w:val="18"/>
          <w:szCs w:val="18"/>
          <w:u w:val="single" w:color="auto"/>
          <w:color w:val="auto"/>
        </w:rPr>
        <w:t>Section 11.01</w:t>
      </w:r>
      <w:r>
        <w:rPr>
          <w:rFonts w:ascii="Arial" w:cs="Arial" w:eastAsia="Arial" w:hAnsi="Arial"/>
          <w:sz w:val="18"/>
          <w:szCs w:val="18"/>
          <w:color w:val="auto"/>
        </w:rPr>
        <w:t>: (a) amend, extend, renew, compromise, discharge, accelerate or otherwise change the time for payment or the terms of the Obligations of any Borrower or any part thereof; (b) take, hold, exchange, enforce, waive, release, fail to perfect, sell, or otherwise dispose of any security for the payment of this PAA Guaranty or any Obligations of any Borrower; (c) apply such security and direct the order or manner of sale thereof as the Administrative Agent, the L/C Issuers and the Lenders in their sole discretion may determine; and (d) release or substitute one or more of any endorsers or other guarantors of any of the Obligations of any Borrower. Without limiting the generality of the foregoing, PAA consents to the taking of, or failure to take, any action by the Lender Parties which might in any manner or to any extent vary the risks of PAA under this PAA Guaranty or which, but for this provision, might operate as a discharge of PAA.</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10.03 Collateral Matters</w:t>
      </w:r>
      <w:r>
        <w:rPr>
          <w:rFonts w:ascii="Arial" w:cs="Arial" w:eastAsia="Arial" w:hAnsi="Arial"/>
          <w:sz w:val="16"/>
          <w:szCs w:val="16"/>
          <w:color w:val="auto"/>
        </w:rPr>
        <w:t>. PAA waives (a) any defense arising by reason of any disability or other defense of any Borrower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or the cessation from any cause whatsoever (including any act or omission of any Lender Party) of the liability of any Borrower (other than a defense of payment or performance); (b) any defense based on any claim that PAA’s obligations exceed or are more burdensome than those of any Borrower; (c) the benefit of any statute of limitations affecting PAA’s liability hereunder; (d) any right to proceed against any Borrower, proceed against or exhaust any security for the Obligations of any Borrower, or pursue any other remedy in the 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PAA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of any Borrower, and all notices of acceptance of this PAA Guaranty or of the existence, creation or incurrence of new or additional Obligations of any Borrower.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firstLine="648"/>
        <w:spacing w:after="0" w:line="266" w:lineRule="auto"/>
        <w:rPr>
          <w:sz w:val="20"/>
          <w:szCs w:val="20"/>
          <w:color w:val="auto"/>
        </w:rPr>
      </w:pPr>
      <w:r>
        <w:rPr>
          <w:rFonts w:ascii="Arial" w:cs="Arial" w:eastAsia="Arial" w:hAnsi="Arial"/>
          <w:sz w:val="18"/>
          <w:szCs w:val="18"/>
          <w:b w:val="1"/>
          <w:bCs w:val="1"/>
          <w:color w:val="auto"/>
        </w:rPr>
        <w:t>10.04 Obligations Independent</w:t>
      </w:r>
      <w:r>
        <w:rPr>
          <w:rFonts w:ascii="Arial" w:cs="Arial" w:eastAsia="Arial" w:hAnsi="Arial"/>
          <w:sz w:val="18"/>
          <w:szCs w:val="18"/>
          <w:color w:val="auto"/>
        </w:rPr>
        <w:t>. The obligations of PAA hereunder are those of primary obligor, and not merely as surety, and are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Obligations of each Borrower and the obligations of any other guarantor, and a separate action may be brought against PAA to enforce this PAA Guaranty whether or not any Borrower or any other person or entity is joined as a party.</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10.05 Subrogation</w:t>
      </w:r>
      <w:r>
        <w:rPr>
          <w:rFonts w:ascii="Arial" w:cs="Arial" w:eastAsia="Arial" w:hAnsi="Arial"/>
          <w:sz w:val="18"/>
          <w:szCs w:val="18"/>
          <w:color w:val="auto"/>
        </w:rPr>
        <w:t>. PAA shall not exercise any right of subrogation, contribution, indemnity, reimbursement or similar rights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it makes under this PAA Guaranty until all of the Obligations of the Borrowers and any amounts payable under this PAA Guaranty have been indefeasibly paid in full and the Commitments are terminated. If any amounts are paid to PAA in violation of the foregoing limitation, then such amounts shall be held in trust for the benefit of the Lender Parties and shall forthwith be paid to the Lender Parties to reduce the amount of the Obligations of the Borrowers, whether matured or unmatured.</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10.06 Termination; Reinstatement</w:t>
      </w:r>
      <w:r>
        <w:rPr>
          <w:rFonts w:ascii="Arial" w:cs="Arial" w:eastAsia="Arial" w:hAnsi="Arial"/>
          <w:sz w:val="17"/>
          <w:szCs w:val="17"/>
          <w:color w:val="auto"/>
        </w:rPr>
        <w:t>. This PAA Guaranty is a continuing and irrevocable guaranty of all payment Obligations of each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now or hereafter existing and shall remain in full force and effect until all payment Obligations of each Borrower are indefeasibly paid in full in cash and the Commitments with respect to each Borrower are terminated. Notwithstanding the foregoing, this PAA Guaranty shall continue in full force and effect or be revived, as the case may be, if any payment by or on behalf of any Borrower or PAA is made, or any of the Lender Parties exercises its right of setoff, in respect of the payment Obligations of any Borrower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PAA Guaranty and regardless of any prior revocation, rescission, termination or reduction. The obligations of PAA under this paragraph shall survive termination of this PAA Guaranty.</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10.07 Subordination</w:t>
      </w:r>
      <w:r>
        <w:rPr>
          <w:rFonts w:ascii="Arial" w:cs="Arial" w:eastAsia="Arial" w:hAnsi="Arial"/>
          <w:sz w:val="18"/>
          <w:szCs w:val="18"/>
          <w:color w:val="auto"/>
        </w:rPr>
        <w:t>. PAA agrees that, upon the occurrence and during the continuation of an Event of Default, the payment of all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any Borrower owing to PAA, whether now existing or hereafter arising, including but not limited to any obligation of any Borrower to PAA as subrogee of the Lender Parties or resulting from PAA’s performance under this PAA Guaranty, shall be subordinated to the indefeasible payment in full in cash of all payment Obligations of the Borrowers. Upon the occurrence and during the continuation of an Event of Default, any such obligation or indebtedness of any Borrower to PAA shall be enforced and performance received by PAA as trustee for the Lender Parties and, upon the written request of the Required Lenders, the proceeds thereof shall be paid over to the Administrative Agent, for the benefit of the Lender Parties, on account of the payment Obligations of the Borrowers, to be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but without reducing or affecting in any manner the liability of PAA under this PAA Guaranty.</w:t>
      </w:r>
    </w:p>
    <w:p>
      <w:pPr>
        <w:spacing w:after="0" w:line="19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10.08 Stay of Acceleration</w:t>
      </w:r>
      <w:r>
        <w:rPr>
          <w:rFonts w:ascii="Arial" w:cs="Arial" w:eastAsia="Arial" w:hAnsi="Arial"/>
          <w:sz w:val="18"/>
          <w:szCs w:val="18"/>
          <w:color w:val="auto"/>
        </w:rPr>
        <w:t>. If acceleration of the time for payment of any of the Obligations of any Borrower is stayed,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case commenced by or against PAA or any Borrower under any Debtor Relief Laws, or otherwise, all such amounts shall nonetheless be payable by PAA upon demand by the Lender Parties.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jc w:val="both"/>
        <w:ind w:firstLine="648"/>
        <w:spacing w:after="0" w:line="258" w:lineRule="auto"/>
        <w:rPr>
          <w:sz w:val="20"/>
          <w:szCs w:val="20"/>
          <w:color w:val="auto"/>
        </w:rPr>
      </w:pPr>
      <w:r>
        <w:rPr>
          <w:rFonts w:ascii="Arial" w:cs="Arial" w:eastAsia="Arial" w:hAnsi="Arial"/>
          <w:sz w:val="18"/>
          <w:szCs w:val="18"/>
          <w:b w:val="1"/>
          <w:bCs w:val="1"/>
          <w:color w:val="auto"/>
        </w:rPr>
        <w:t>10.09 Condition of Borrowers</w:t>
      </w:r>
      <w:r>
        <w:rPr>
          <w:rFonts w:ascii="Arial" w:cs="Arial" w:eastAsia="Arial" w:hAnsi="Arial"/>
          <w:sz w:val="18"/>
          <w:szCs w:val="18"/>
          <w:color w:val="auto"/>
        </w:rPr>
        <w:t>. PAA acknowledges and agrees that it has the sole responsibility for, and has adequate means of, obtaining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such information concerning the financial condition, business and operations of the Borrowers and any such other guarantor as PAA requires, and that none of the Lender Parties has any duty, and PAA is not relying on the Lender Parties at any time, to disclose to PAA any information relating to the business, operations or financial condition of any Borrower (PAA waiving any duty on the part of the Lender Parties to disclose such information and any defense relating to the failure to provide the same).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MISCELLANEOUS</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11.01 Amendments, Etc</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3.03</w:t>
      </w:r>
      <w:r>
        <w:rPr>
          <w:rFonts w:ascii="Arial" w:cs="Arial" w:eastAsia="Arial" w:hAnsi="Arial"/>
          <w:sz w:val="16"/>
          <w:szCs w:val="16"/>
          <w:color w:val="auto"/>
        </w:rPr>
        <w:t>, no amendment or waiver of any provision of this Agreement or any other Loan Document,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 consent to any departure by any Borrower or any other Loan Party therefrom, shall be effective unless in writing signed by the Required Lenders and each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waiver or consent shall:</w:t>
      </w:r>
    </w:p>
    <w:p>
      <w:pPr>
        <w:spacing w:after="0" w:line="155" w:lineRule="exact"/>
        <w:rPr>
          <w:sz w:val="20"/>
          <w:szCs w:val="20"/>
          <w:color w:val="auto"/>
        </w:rPr>
      </w:pPr>
    </w:p>
    <w:p>
      <w:pPr>
        <w:ind w:left="1120" w:hanging="464"/>
        <w:spacing w:after="0"/>
        <w:tabs>
          <w:tab w:leader="none" w:pos="11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225" w:lineRule="exact"/>
        <w:rPr>
          <w:rFonts w:ascii="Arial" w:cs="Arial" w:eastAsia="Arial" w:hAnsi="Arial"/>
          <w:sz w:val="18"/>
          <w:szCs w:val="18"/>
          <w:color w:val="auto"/>
        </w:rPr>
      </w:pPr>
    </w:p>
    <w:p>
      <w:pPr>
        <w:ind w:firstLine="656"/>
        <w:spacing w:after="0" w:line="277" w:lineRule="auto"/>
        <w:tabs>
          <w:tab w:leader="none" w:pos="112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1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127"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clause (iv) of the second proviso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(i) to amend the definition of “Default Rate” or to waive any obligation of any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L/C Borrowing or to reduce any fee payable hereunder;</w:t>
      </w:r>
    </w:p>
    <w:p>
      <w:pPr>
        <w:spacing w:after="0" w:line="164" w:lineRule="exact"/>
        <w:rPr>
          <w:rFonts w:ascii="Arial" w:cs="Arial" w:eastAsia="Arial" w:hAnsi="Arial"/>
          <w:sz w:val="16"/>
          <w:szCs w:val="16"/>
          <w:color w:val="auto"/>
        </w:rPr>
      </w:pPr>
    </w:p>
    <w:p>
      <w:pPr>
        <w:ind w:firstLine="656"/>
        <w:spacing w:after="0" w:line="342" w:lineRule="auto"/>
        <w:tabs>
          <w:tab w:leader="none" w:pos="1117"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modify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or any other provision hereof in a manner that would have the effect of altering the ratable reduction of Commitments or the pro rata sharing of payments otherwise required hereunder without the written consent of each Lender directly affected thereby;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both"/>
        <w:ind w:firstLine="656"/>
        <w:spacing w:after="0" w:line="263" w:lineRule="auto"/>
        <w:tabs>
          <w:tab w:leader="none" w:pos="109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12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Collateral of any Borrower in any transaction or series of related transactions, or release any Borrower from the negative pledge covenant set forth in </w:t>
      </w:r>
      <w:r>
        <w:rPr>
          <w:rFonts w:ascii="Arial" w:cs="Arial" w:eastAsia="Arial" w:hAnsi="Arial"/>
          <w:sz w:val="18"/>
          <w:szCs w:val="18"/>
          <w:u w:val="single" w:color="auto"/>
          <w:color w:val="auto"/>
        </w:rPr>
        <w:t>Section 7.05</w:t>
      </w:r>
      <w:r>
        <w:rPr>
          <w:rFonts w:ascii="Arial" w:cs="Arial" w:eastAsia="Arial" w:hAnsi="Arial"/>
          <w:sz w:val="18"/>
          <w:szCs w:val="18"/>
          <w:color w:val="auto"/>
        </w:rPr>
        <w:t>, (i) without the written consent of each Lender or (ii) unless (x) all Obligations of such Borrower have been paid in full, assumed by the other Borrower or Cash Collateralized (or any combination thereof) and all Commitments in favor of such Borrower have been terminated and (y) the Administrative Agent and Lenders shall have received a certificate from a Responsible Officer of the Company with respect to the representation and warranty set forth in Section 4.02(d)) as it pertains to the non-released Borrower’s Obligations and the non-released Borrower’s Collateral Value; or</w:t>
      </w:r>
    </w:p>
    <w:p>
      <w:pPr>
        <w:spacing w:after="0" w:line="192" w:lineRule="exact"/>
        <w:rPr>
          <w:rFonts w:ascii="Arial" w:cs="Arial" w:eastAsia="Arial" w:hAnsi="Arial"/>
          <w:sz w:val="18"/>
          <w:szCs w:val="18"/>
          <w:color w:val="auto"/>
        </w:rPr>
      </w:pPr>
    </w:p>
    <w:p>
      <w:pPr>
        <w:ind w:left="1140" w:hanging="484"/>
        <w:spacing w:after="0"/>
        <w:tabs>
          <w:tab w:leader="none" w:pos="11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PAA Guaranty, without the written consent of each Lender;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(other than as set forth in the proviso to clause (d) above)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Loan Parties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9" w:name="page310"/>
    <w:bookmarkEnd w:id="309"/>
    <w:p>
      <w:pPr>
        <w:jc w:val="both"/>
        <w:spacing w:after="0" w:line="301" w:lineRule="auto"/>
        <w:rPr>
          <w:sz w:val="20"/>
          <w:szCs w:val="20"/>
          <w:color w:val="auto"/>
        </w:rPr>
      </w:pPr>
      <w:r>
        <w:rPr>
          <w:rFonts w:ascii="Arial" w:cs="Arial" w:eastAsia="Arial" w:hAnsi="Arial"/>
          <w:sz w:val="16"/>
          <w:szCs w:val="16"/>
          <w:color w:val="auto"/>
        </w:rPr>
        <w:t>Notwithstanding anything to the contrary herein, this Agreement may be amended and restated without the consent of any Lender (but with the consent of the Loan Parties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11.02  Notices; Effectiveness; Electronic Communication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9" w:lineRule="auto"/>
        <w:tabs>
          <w:tab w:leader="none" w:pos="1117"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660" w:firstLine="644"/>
        <w:spacing w:after="0" w:line="277" w:lineRule="auto"/>
        <w:tabs>
          <w:tab w:leader="none" w:pos="1748"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if to any Borrower, PAA, the Administrative Agent, any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660" w:firstLine="644"/>
        <w:spacing w:after="0" w:line="275" w:lineRule="auto"/>
        <w:tabs>
          <w:tab w:leader="none" w:pos="1775" w:val="left"/>
        </w:tabs>
        <w:numPr>
          <w:ilvl w:val="1"/>
          <w:numId w:val="352"/>
        </w:numPr>
        <w:rPr>
          <w:rFonts w:ascii="Arial" w:cs="Arial" w:eastAsia="Arial" w:hAnsi="Arial"/>
          <w:sz w:val="17"/>
          <w:szCs w:val="17"/>
          <w:color w:val="auto"/>
        </w:rPr>
      </w:pPr>
      <w:r>
        <w:rPr>
          <w:rFonts w:ascii="Arial" w:cs="Arial" w:eastAsia="Arial" w:hAnsi="Arial"/>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The Company and PMCULC hereby agree that any notice, demand, consent, acknowledgement, direction, certification or other communication delivered to the Company in accordance with the terms of this Agreement shall constitute delivery to, and shall be deemed to have been delivered to PMCULC.</w:t>
      </w:r>
    </w:p>
    <w:p>
      <w:pPr>
        <w:spacing w:after="0" w:line="195" w:lineRule="exact"/>
        <w:rPr>
          <w:sz w:val="20"/>
          <w:szCs w:val="20"/>
          <w:color w:val="auto"/>
        </w:rPr>
      </w:pPr>
    </w:p>
    <w:p>
      <w:pPr>
        <w:jc w:val="both"/>
        <w:ind w:firstLine="656"/>
        <w:spacing w:after="0" w:line="272" w:lineRule="auto"/>
        <w:tabs>
          <w:tab w:leader="none" w:pos="1127"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any L/C Issuer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or such L/C Issuer, as applicable, has notified the Administrative Agent and the Company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0" w:name="page311"/>
    <w:bookmarkEnd w:id="310"/>
    <w:p>
      <w:pPr>
        <w:jc w:val="both"/>
        <w:ind w:firstLine="648"/>
        <w:spacing w:after="0" w:line="254"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95" w:lineRule="exact"/>
        <w:rPr>
          <w:sz w:val="20"/>
          <w:szCs w:val="20"/>
          <w:color w:val="auto"/>
        </w:rPr>
      </w:pPr>
    </w:p>
    <w:p>
      <w:pPr>
        <w:jc w:val="both"/>
        <w:ind w:firstLine="656"/>
        <w:spacing w:after="0" w:line="268" w:lineRule="auto"/>
        <w:tabs>
          <w:tab w:leader="none" w:pos="1117"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Borrower, PAA, any Lender, any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have resulted from such Agent Party’s gross negligence, willful misconduct or material breach of any of its obligations under any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186" w:lineRule="exact"/>
        <w:rPr>
          <w:rFonts w:ascii="Arial" w:cs="Arial" w:eastAsia="Arial" w:hAnsi="Arial"/>
          <w:sz w:val="17"/>
          <w:szCs w:val="17"/>
          <w:color w:val="auto"/>
        </w:rPr>
      </w:pPr>
    </w:p>
    <w:p>
      <w:pPr>
        <w:jc w:val="both"/>
        <w:ind w:firstLine="656"/>
        <w:spacing w:after="0" w:line="287" w:lineRule="auto"/>
        <w:tabs>
          <w:tab w:leader="none" w:pos="1127"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PAA, the Administrative Agent, any L/C Issuer and the Swing Line Lender may change its address, telecopier or telephone number for notices and other communications hereunder by notice to the other parties hereto. Each other Lender may change its address, facsimile or telephone number for notices and other communications hereunder by notice to the Company, the Administrative Agent, each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Subsidiaries or their respective securities for purposes of United States Federal or state securities laws.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1" w:name="page312"/>
    <w:bookmarkEnd w:id="311"/>
    <w:p>
      <w:pPr>
        <w:jc w:val="both"/>
        <w:ind w:firstLine="656"/>
        <w:spacing w:after="0" w:line="271" w:lineRule="auto"/>
        <w:tabs>
          <w:tab w:leader="none" w:pos="1117"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xml:space="preserve">. The Administrative Agent, the L/C Issuers and the Lenders shall be entitled to rely and act upon any notices (including telephonic or electronic notices,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expenses and liabilities resulting from the reliance by such Person on each notice purportedly given by or on behalf of any Borrower, to the extent provided in </w:t>
      </w:r>
      <w:r>
        <w:rPr>
          <w:rFonts w:ascii="Arial" w:cs="Arial" w:eastAsia="Arial" w:hAnsi="Arial"/>
          <w:sz w:val="17"/>
          <w:szCs w:val="17"/>
          <w:u w:val="single" w:color="auto"/>
          <w:color w:val="auto"/>
        </w:rPr>
        <w:t>Section 11.04(b)</w:t>
      </w:r>
      <w:r>
        <w:rPr>
          <w:rFonts w:ascii="Arial" w:cs="Arial" w:eastAsia="Arial" w:hAnsi="Arial"/>
          <w:sz w:val="17"/>
          <w:szCs w:val="17"/>
          <w:color w:val="auto"/>
        </w:rPr>
        <w:t>. All telephonic notices to and other telephonic communications with the Administrative Agent may be recorded by any person a party hereto, and each of the parties hereto hereby consents to such recording.</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11.03 No Waiver; Cumulative Remedies; Enforcement; Nature of Obligations</w:t>
      </w:r>
      <w:r>
        <w:rPr>
          <w:rFonts w:ascii="Arial" w:cs="Arial" w:eastAsia="Arial" w:hAnsi="Arial"/>
          <w:sz w:val="18"/>
          <w:szCs w:val="18"/>
          <w:color w:val="auto"/>
        </w:rPr>
        <w:t>. No failure by any Lender, any L/C Issuer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2" w:lineRule="exact"/>
        <w:rPr>
          <w:sz w:val="20"/>
          <w:szCs w:val="20"/>
          <w:color w:val="auto"/>
        </w:rPr>
      </w:pPr>
    </w:p>
    <w:p>
      <w:pPr>
        <w:jc w:val="both"/>
        <w:ind w:firstLine="8"/>
        <w:spacing w:after="0" w:line="251" w:lineRule="auto"/>
        <w:tabs>
          <w:tab w:leader="none" w:pos="26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2" w:name="page313"/>
    <w:bookmarkEnd w:id="312"/>
    <w:p>
      <w:pPr>
        <w:jc w:val="both"/>
        <w:ind w:firstLine="648"/>
        <w:spacing w:after="0" w:line="257" w:lineRule="auto"/>
        <w:rPr>
          <w:sz w:val="20"/>
          <w:szCs w:val="20"/>
          <w:color w:val="auto"/>
        </w:rPr>
      </w:pPr>
      <w:r>
        <w:rPr>
          <w:rFonts w:ascii="Arial" w:cs="Arial" w:eastAsia="Arial" w:hAnsi="Arial"/>
          <w:sz w:val="18"/>
          <w:szCs w:val="18"/>
          <w:color w:val="auto"/>
        </w:rPr>
        <w:t xml:space="preserve">All Obligations which are incurred by two or more Loan Parties shall be their joint and several obligations and liabilities of such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the Lender Parties acknowledge and agree that as of the Closing Date (i) Borrowings and requests for Credit Extensions made or to be made hereunder by any requesting Borrower are to be made by such requesting Borrower severally and not jointly and severally by the Borrowers, and (ii) Loans, L/C Obligations and Canadian BA’s of any Borrower are to be such Borrower’s several Obligations, and not joint and several Obligations among all Borrowers.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11.04  Expenses; Indemnity; Damage Waiver</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1117"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Company shall pay (i) all reasonable out-of-pocket expenses incurred by the Administrative Agent and its Affiliates (including the reasonable fees, charges and disbursements of a single counsel for the Administrative Agent) (and if necessary one local counsel in each applicable jurisdiction) but excluding the allocated cost of internal counsel)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reinstatement or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but excluding the allocated cost of internal counsel),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3" w:name="page314"/>
    <w:bookmarkEnd w:id="313"/>
    <w:p>
      <w:pPr>
        <w:jc w:val="both"/>
        <w:ind w:firstLine="656"/>
        <w:spacing w:after="0" w:line="283" w:lineRule="auto"/>
        <w:tabs>
          <w:tab w:leader="none" w:pos="1127"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xml:space="preserve">. The Company shall indemnify the Administrative Agent (and any sub-agent thereof), each Lender and each L/C Issuer, and each Related Party of the foregoing Persons (each such Person being called an “Indemnitee”)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(including the enforcement or defense thereof),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IN ALL CASES, WHETHER OR NOT CAUSED BY OR ARISING, IN WHOLE OR IN PART, OUT OF THE COMPARATIVE, CONTRIBUTORY OR SOLE NEGLIGENCE OF THE INDEMNITEE;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officers, directors, employees, controlled Affiliates or controlling Persons, or a material breach of any Loan Document by such Indemnitee or, (y) result from a claim brought by the Company or any other Loan Party against an Indemnitee for a material breach of such Indemnitee’s obligations hereunder or under any other Loan Document, if the Company or such Loan Party has obtained a final and nonappealable judgment in its favor on such claim as determined by a court of competent jurisdiction or (z) result from a claim not involving an act or omission of the Company or any other Loan Party and that is brought by an Indemnitee against another Indemnitee (other than against the arranger or the Administrative Agent in their capacities as such).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 In addition, so long as no Default has occurred and is continuing and the Company is financially solvent, such indemnity shall not, as to any Indemnitee, be available with respect to any settlements effected without the Company’s prior written consent, such consent not to be unreasonably withheld, conditioned or delayed; provided, the Company may not reasonably withhold consent to any settlement that an Indemnitee proposes, if the Company does not have the financial ability to pay all its obligations outstanding and asserted against the Company at that time, including the maximum potential claims against the Indemnitee to be indemnified pursuant to this Section 11.04; provided further, with respect to any such settlement consented to by the Company (which shall not include any statement as to any admission of fault, culpability or a failure to act by or on behalf of any Indemnitee), the Company shall indemnify such Indemnitee from and against any and all losses, claims, damages, liabilities and related expenses by reason of such settlement in accordance with the other provisions of this </w:t>
      </w:r>
      <w:r>
        <w:rPr>
          <w:rFonts w:ascii="Arial" w:cs="Arial" w:eastAsia="Arial" w:hAnsi="Arial"/>
          <w:sz w:val="16"/>
          <w:szCs w:val="16"/>
          <w:u w:val="single" w:color="auto"/>
          <w:color w:val="auto"/>
        </w:rPr>
        <w:t>Section 11.04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4" w:name="page315"/>
    <w:bookmarkEnd w:id="314"/>
    <w:p>
      <w:pPr>
        <w:ind w:left="1120" w:hanging="464"/>
        <w:spacing w:after="0"/>
        <w:tabs>
          <w:tab w:leader="none" w:pos="1120"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the Company for any reason fails to indefeasibly pay any amount required under subsection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59"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or (b) of this Section to be paid by it to the Administrative Agent (or any sub-agent thereof), any L/C Issuer, the Swing Line Lender or any Related Party of any of the foregoing, without affecting the Company’s payment obligations with respect thereto,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Outstandings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provided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subsection (d)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656"/>
        <w:spacing w:after="0" w:line="287" w:lineRule="auto"/>
        <w:tabs>
          <w:tab w:leader="none" w:pos="1127"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party hereto or Related Party thereof shall assert, and hereby waives, and acknowledges that no other Person shall have, any claim against any other party hereto or any Related Party thereof (including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the foregoing shall not limit Borrowers’ indemnity and reimbursement obligations set forth in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to the extent any such special, indirect, consequential or punitive damages are included in any third party claim against any Indemnitee.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its obligations under any Loan Document as found in a final and nonappealable judgment by a court of competent jurisdiction.</w:t>
      </w:r>
    </w:p>
    <w:p>
      <w:pPr>
        <w:spacing w:after="0" w:line="171" w:lineRule="exact"/>
        <w:rPr>
          <w:rFonts w:ascii="Arial" w:cs="Arial" w:eastAsia="Arial" w:hAnsi="Arial"/>
          <w:sz w:val="16"/>
          <w:szCs w:val="16"/>
          <w:color w:val="auto"/>
        </w:rPr>
      </w:pPr>
    </w:p>
    <w:p>
      <w:pPr>
        <w:ind w:left="1120" w:hanging="464"/>
        <w:spacing w:after="0"/>
        <w:tabs>
          <w:tab w:leader="none" w:pos="1120"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1098"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any L/C Issuer and the Swing Line Lender, the replacement of any Lender or L/C Issuer, the termination of the Aggregate Commitments and the repayment, satisfaction or discharge of all the other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5" w:name="page316"/>
    <w:bookmarkEnd w:id="315"/>
    <w:p>
      <w:pPr>
        <w:jc w:val="both"/>
        <w:ind w:firstLine="648"/>
        <w:spacing w:after="0" w:line="269" w:lineRule="auto"/>
        <w:rPr>
          <w:sz w:val="20"/>
          <w:szCs w:val="20"/>
          <w:color w:val="auto"/>
        </w:rPr>
      </w:pPr>
      <w:r>
        <w:rPr>
          <w:rFonts w:ascii="Arial" w:cs="Arial" w:eastAsia="Arial" w:hAnsi="Arial"/>
          <w:sz w:val="17"/>
          <w:szCs w:val="17"/>
          <w:b w:val="1"/>
          <w:bCs w:val="1"/>
          <w:color w:val="auto"/>
        </w:rPr>
        <w:t>11.05 Payments Set Aside</w:t>
      </w:r>
      <w:r>
        <w:rPr>
          <w:rFonts w:ascii="Arial" w:cs="Arial" w:eastAsia="Arial" w:hAnsi="Arial"/>
          <w:sz w:val="17"/>
          <w:szCs w:val="17"/>
          <w:color w:val="auto"/>
        </w:rPr>
        <w:t>. To the extent that any payment by or on behalf of any Borrower is made to the Administrative Agent, any L/C Issuer</w:t>
      </w:r>
      <w:r>
        <w:rPr>
          <w:rFonts w:ascii="Arial" w:cs="Arial" w:eastAsia="Arial" w:hAnsi="Arial"/>
          <w:sz w:val="17"/>
          <w:szCs w:val="17"/>
          <w:b w:val="1"/>
          <w:bCs w:val="1"/>
          <w:color w:val="auto"/>
        </w:rPr>
        <w:t xml:space="preserve"> </w:t>
      </w:r>
      <w:r>
        <w:rPr>
          <w:rFonts w:ascii="Arial" w:cs="Arial" w:eastAsia="Arial" w:hAnsi="Arial"/>
          <w:sz w:val="17"/>
          <w:szCs w:val="17"/>
          <w:color w:val="auto"/>
        </w:rPr>
        <w:t>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11.06  Successors and Assigns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1117"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no Borrower may assign or otherwise transfer any of its rights or obligations hereunder (other than assignments by PMCULC to, and corresponding assumptions by, the Company)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Agreement.</w:t>
      </w:r>
    </w:p>
    <w:p>
      <w:pPr>
        <w:spacing w:after="0" w:line="185" w:lineRule="exact"/>
        <w:rPr>
          <w:rFonts w:ascii="Arial" w:cs="Arial" w:eastAsia="Arial" w:hAnsi="Arial"/>
          <w:sz w:val="17"/>
          <w:szCs w:val="17"/>
          <w:color w:val="auto"/>
        </w:rPr>
      </w:pPr>
    </w:p>
    <w:p>
      <w:pPr>
        <w:jc w:val="both"/>
        <w:ind w:firstLine="656"/>
        <w:spacing w:after="0" w:line="259" w:lineRule="auto"/>
        <w:tabs>
          <w:tab w:leader="none" w:pos="1127"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and the other Loan Documents (including all or a portion of its Commitment and the Loans (including for purposes of this subsection (b), participations in L/C Obligations and in Swing Line Loans, and Canadian BA’s)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ind w:left="660" w:hanging="476"/>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652"/>
        <w:spacing w:after="0" w:line="263" w:lineRule="auto"/>
        <w:tabs>
          <w:tab w:leader="none" w:pos="134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3" w:lineRule="exact"/>
        <w:rPr>
          <w:rFonts w:ascii="Arial" w:cs="Arial" w:eastAsia="Arial" w:hAnsi="Arial"/>
          <w:sz w:val="18"/>
          <w:szCs w:val="18"/>
          <w:color w:val="auto"/>
        </w:rPr>
      </w:pPr>
    </w:p>
    <w:p>
      <w:pPr>
        <w:jc w:val="both"/>
        <w:ind w:left="180" w:firstLine="652"/>
        <w:spacing w:after="0" w:line="270" w:lineRule="auto"/>
        <w:tabs>
          <w:tab w:leader="none" w:pos="1338"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0" w:lineRule="exact"/>
        <w:rPr>
          <w:rFonts w:ascii="Arial" w:cs="Arial" w:eastAsia="Arial" w:hAnsi="Arial"/>
          <w:sz w:val="17"/>
          <w:szCs w:val="17"/>
          <w:color w:val="auto"/>
        </w:rPr>
      </w:pPr>
    </w:p>
    <w:p>
      <w:pPr>
        <w:jc w:val="both"/>
        <w:ind w:left="-460" w:firstLine="644"/>
        <w:spacing w:after="0" w:line="311" w:lineRule="auto"/>
        <w:tabs>
          <w:tab w:leader="none" w:pos="678"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and the other Loan Documents with respect to the Loans or the Commitment assigned, except that this clause (ii) shall not apply to rights in respect of the Swing Line Lender’s rights and obligations in respect of Swing Line Loans;</w:t>
      </w:r>
    </w:p>
    <w:p>
      <w:pPr>
        <w:spacing w:after="0" w:line="148" w:lineRule="exact"/>
        <w:rPr>
          <w:rFonts w:ascii="Arial" w:cs="Arial" w:eastAsia="Arial" w:hAnsi="Arial"/>
          <w:sz w:val="16"/>
          <w:szCs w:val="16"/>
          <w:color w:val="auto"/>
        </w:rPr>
      </w:pPr>
    </w:p>
    <w:p>
      <w:pPr>
        <w:ind w:left="-460" w:firstLine="644"/>
        <w:spacing w:after="0" w:line="277" w:lineRule="auto"/>
        <w:tabs>
          <w:tab w:leader="none" w:pos="683"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such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170" w:lineRule="exact"/>
        <w:rPr>
          <w:rFonts w:ascii="Arial" w:cs="Arial" w:eastAsia="Arial" w:hAnsi="Arial"/>
          <w:sz w:val="18"/>
          <w:szCs w:val="18"/>
          <w:color w:val="auto"/>
        </w:rPr>
      </w:pPr>
    </w:p>
    <w:p>
      <w:pPr>
        <w:jc w:val="both"/>
        <w:ind w:left="180" w:firstLine="652"/>
        <w:spacing w:after="0" w:line="257" w:lineRule="auto"/>
        <w:tabs>
          <w:tab w:leader="none" w:pos="134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the consent of the Company (such consent not to be unreasonably withheld or delayed) shall be required unless (1)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8.01(g)</w:t>
      </w:r>
      <w:r>
        <w:rPr>
          <w:rFonts w:ascii="Arial" w:cs="Arial" w:eastAsia="Arial" w:hAnsi="Arial"/>
          <w:sz w:val="18"/>
          <w:szCs w:val="18"/>
          <w:color w:val="auto"/>
        </w:rPr>
        <w:t xml:space="preserve"> has occurred and is continuing at the time of such assignment or (2) such assignment is to a Lender, an Affiliate of a Lender or an Approved Fund; provided that the Company shall be deemed to have consented to any such assignment unless it shall object thereto by written notice to the Administrative Agent within ten (10) Business Days after having received notice thereof;</w:t>
      </w:r>
    </w:p>
    <w:p>
      <w:pPr>
        <w:spacing w:after="0" w:line="187" w:lineRule="exact"/>
        <w:rPr>
          <w:rFonts w:ascii="Arial" w:cs="Arial" w:eastAsia="Arial" w:hAnsi="Arial"/>
          <w:sz w:val="18"/>
          <w:szCs w:val="18"/>
          <w:color w:val="auto"/>
        </w:rPr>
      </w:pPr>
    </w:p>
    <w:p>
      <w:pPr>
        <w:jc w:val="both"/>
        <w:ind w:left="180" w:firstLine="652"/>
        <w:spacing w:after="0" w:line="263" w:lineRule="auto"/>
        <w:tabs>
          <w:tab w:leader="none" w:pos="133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delayed or conditioned) shall be required if such assignment is to a Person that is not a Lender, an Affiliate of such Lender or an Approved Fund with respect to such Lender;</w:t>
      </w:r>
    </w:p>
    <w:p>
      <w:pPr>
        <w:spacing w:after="0" w:line="40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7" w:name="page318"/>
    <w:bookmarkEnd w:id="317"/>
    <w:p>
      <w:pPr>
        <w:ind w:left="180" w:firstLine="652"/>
        <w:spacing w:after="0" w:line="277" w:lineRule="auto"/>
        <w:tabs>
          <w:tab w:leader="none" w:pos="1338"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consent of each L/C Issuer (such consent not to be unreasonably withheld or delayed) shall be required for any assignment so long as any L/C Commitment or L/C Obligations remain outstanding; and</w:t>
      </w:r>
    </w:p>
    <w:p>
      <w:pPr>
        <w:spacing w:after="0" w:line="170" w:lineRule="exact"/>
        <w:rPr>
          <w:rFonts w:ascii="Arial" w:cs="Arial" w:eastAsia="Arial" w:hAnsi="Arial"/>
          <w:sz w:val="18"/>
          <w:szCs w:val="18"/>
          <w:color w:val="auto"/>
        </w:rPr>
      </w:pPr>
    </w:p>
    <w:p>
      <w:pPr>
        <w:ind w:left="1360" w:hanging="528"/>
        <w:spacing w:after="0"/>
        <w:tabs>
          <w:tab w:leader="none" w:pos="136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consent of the Swing Line Lender (such consent not to be unreasonably withheld or delayed) shall be required for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assignment.</w:t>
      </w:r>
    </w:p>
    <w:p>
      <w:pPr>
        <w:spacing w:after="0" w:line="210" w:lineRule="exact"/>
        <w:rPr>
          <w:rFonts w:ascii="Arial" w:cs="Arial" w:eastAsia="Arial" w:hAnsi="Arial"/>
          <w:sz w:val="16"/>
          <w:szCs w:val="16"/>
          <w:color w:val="auto"/>
        </w:rPr>
      </w:pPr>
    </w:p>
    <w:p>
      <w:pPr>
        <w:jc w:val="both"/>
        <w:ind w:left="-460" w:firstLine="644"/>
        <w:spacing w:after="0" w:line="259" w:lineRule="auto"/>
        <w:tabs>
          <w:tab w:leader="none" w:pos="695"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712"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spacing w:after="0" w:line="186" w:lineRule="exact"/>
        <w:rPr>
          <w:rFonts w:ascii="Arial" w:cs="Arial" w:eastAsia="Arial" w:hAnsi="Arial"/>
          <w:sz w:val="18"/>
          <w:szCs w:val="18"/>
          <w:color w:val="auto"/>
        </w:rPr>
      </w:pPr>
    </w:p>
    <w:p>
      <w:pPr>
        <w:ind w:left="-460" w:right="20" w:firstLine="644"/>
        <w:spacing w:after="0" w:line="308" w:lineRule="auto"/>
        <w:tabs>
          <w:tab w:leader="none" w:pos="754"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No Assignment Resulting in Additional Indemnified Taxes</w:t>
      </w:r>
      <w:r>
        <w:rPr>
          <w:rFonts w:ascii="Arial" w:cs="Arial" w:eastAsia="Arial" w:hAnsi="Arial"/>
          <w:sz w:val="17"/>
          <w:szCs w:val="17"/>
          <w:color w:val="auto"/>
        </w:rPr>
        <w:t>. No such assignment shall be made to any Person that, through its Lending Offices, is not capable of lending Canadian Dollars to each Borrower without the imposition of any additional Indemnified Taxes.</w:t>
      </w:r>
    </w:p>
    <w:p>
      <w:pPr>
        <w:spacing w:after="0" w:line="146" w:lineRule="exact"/>
        <w:rPr>
          <w:rFonts w:ascii="Arial" w:cs="Arial" w:eastAsia="Arial" w:hAnsi="Arial"/>
          <w:sz w:val="17"/>
          <w:szCs w:val="17"/>
          <w:color w:val="auto"/>
        </w:rPr>
      </w:pPr>
    </w:p>
    <w:p>
      <w:pPr>
        <w:jc w:val="both"/>
        <w:ind w:left="-460" w:firstLine="644"/>
        <w:spacing w:after="0" w:line="269" w:lineRule="auto"/>
        <w:tabs>
          <w:tab w:leader="none" w:pos="745"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Committed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9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8" w:name="page319"/>
    <w:bookmarkEnd w:id="318"/>
    <w:p>
      <w:pPr>
        <w:jc w:val="both"/>
        <w:spacing w:after="0" w:line="286"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and in connection therewith the assignor Lender shall (i) if its entire Commitment was assigned, return its Note (if any) to the Company for cancellation (or submit to the Company an affidavit regarding the loss thereof) or (ii) if only a portion of its Commitment was assigned, provide evidence that such assignor’s Note (if any), has been marked to reflect such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4" w:lineRule="exact"/>
        <w:rPr>
          <w:sz w:val="20"/>
          <w:szCs w:val="20"/>
          <w:color w:val="auto"/>
        </w:rPr>
      </w:pPr>
    </w:p>
    <w:p>
      <w:pPr>
        <w:jc w:val="both"/>
        <w:ind w:firstLine="656"/>
        <w:spacing w:after="0" w:line="272" w:lineRule="auto"/>
        <w:tabs>
          <w:tab w:leader="none" w:pos="1117"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177" w:lineRule="exact"/>
        <w:rPr>
          <w:rFonts w:ascii="Arial" w:cs="Arial" w:eastAsia="Arial" w:hAnsi="Arial"/>
          <w:sz w:val="17"/>
          <w:szCs w:val="17"/>
          <w:color w:val="auto"/>
        </w:rPr>
      </w:pPr>
    </w:p>
    <w:p>
      <w:pPr>
        <w:jc w:val="both"/>
        <w:ind w:firstLine="656"/>
        <w:spacing w:after="0" w:line="270" w:lineRule="auto"/>
        <w:tabs>
          <w:tab w:leader="none" w:pos="1127"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and Canadian BA’s));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without regard to the existence of any participation.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9" w:name="page320"/>
    <w:bookmarkEnd w:id="319"/>
    <w:p>
      <w:pPr>
        <w:jc w:val="both"/>
        <w:ind w:firstLine="648"/>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The Company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and in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the obligations imposed by such Sections to the same extent as if it were a Lender and had acquired its interest by assignment pursuant to clause (b)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provided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clause (b)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Each Lender that sells a participation agrees, at the Company’s request and expense, to use reasonable efforts to cooperate with the Company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provided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jc w:val="both"/>
        <w:ind w:firstLine="656"/>
        <w:spacing w:after="0" w:line="259" w:lineRule="auto"/>
        <w:tabs>
          <w:tab w:leader="none" w:pos="1117"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0" w:name="page321"/>
    <w:bookmarkEnd w:id="320"/>
    <w:p>
      <w:pPr>
        <w:jc w:val="both"/>
        <w:ind w:firstLine="656"/>
        <w:spacing w:after="0" w:line="285" w:lineRule="auto"/>
        <w:tabs>
          <w:tab w:leader="none" w:pos="1098"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any L/C Issuer or the Swing Line Lender assigns all of its Commitment and Loans pursuant to clause (b) above, such L/C Issuer or the Swing Line Lender, as applicable, may, (i) upon 30 days’ notice to the Administrative Agent, the Company and the Lenders, resign as an L/C Issuer and/or (ii) upon 30 days’ notice to the Company, resign as Swing Line Lender. In the event of any such resignation as an L/C Issuer or Swing Line Lender, the Company shall be entitled to appoint from among the Lenders a successor L/C Issuer (subject to such successor’s acceptance) or Swing Line Lender (subject to such successor’s acceptance) hereunder; provided, however, that no failure by the Company to appoint any such successor shall affect the resignation of the applicable L/C Issuer or Swing Line Lender, as the case may be. If the applicable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Committed Loans or Canadian Prime Rate Committed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Canadian Prime Rate Committed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spacing w:after="0" w:line="173" w:lineRule="exact"/>
        <w:rPr>
          <w:rFonts w:ascii="Arial" w:cs="Arial" w:eastAsia="Arial" w:hAnsi="Arial"/>
          <w:sz w:val="16"/>
          <w:szCs w:val="16"/>
          <w:color w:val="auto"/>
        </w:rPr>
      </w:pPr>
    </w:p>
    <w:p>
      <w:pPr>
        <w:jc w:val="both"/>
        <w:ind w:firstLine="656"/>
        <w:spacing w:after="0" w:line="279" w:lineRule="auto"/>
        <w:tabs>
          <w:tab w:leader="none" w:pos="1127"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Lost Notes</w:t>
      </w:r>
      <w:r>
        <w:rPr>
          <w:rFonts w:ascii="Arial" w:cs="Arial" w:eastAsia="Arial" w:hAnsi="Arial"/>
          <w:sz w:val="17"/>
          <w:szCs w:val="17"/>
          <w:color w:val="auto"/>
        </w:rPr>
        <w:t>. Upon receipt of an affidavit reasonably satisfactory to the Company of an officer of any Lender as to the loss, theft, destruction or mutilation of its Note which is not of public record, and, in the case of any such loss, theft, destruction or mutilation, upon cancellation of such Note, the applicable Borrower will execute and deliver, in lieu thereof, a replacement Note in the principal amount of such Lender’s then Commitment or if no Commitment is in effect, the outstanding principal amount owed to such Lender and otherwise of like tenor.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1" w:name="page322"/>
    <w:bookmarkEnd w:id="321"/>
    <w:p>
      <w:pPr>
        <w:jc w:val="both"/>
        <w:ind w:firstLine="648"/>
        <w:spacing w:after="0" w:line="284" w:lineRule="auto"/>
        <w:rPr>
          <w:sz w:val="20"/>
          <w:szCs w:val="20"/>
          <w:color w:val="auto"/>
        </w:rPr>
      </w:pPr>
      <w:r>
        <w:rPr>
          <w:rFonts w:ascii="Arial" w:cs="Arial" w:eastAsia="Arial" w:hAnsi="Arial"/>
          <w:sz w:val="16"/>
          <w:szCs w:val="16"/>
          <w:b w:val="1"/>
          <w:bCs w:val="1"/>
          <w:color w:val="auto"/>
        </w:rPr>
        <w:t>11.07 Treatment of Certain Information; Confidentiality</w:t>
      </w:r>
      <w:r>
        <w:rPr>
          <w:rFonts w:ascii="Arial" w:cs="Arial" w:eastAsia="Arial" w:hAnsi="Arial"/>
          <w:sz w:val="16"/>
          <w:szCs w:val="16"/>
          <w:color w:val="auto"/>
        </w:rPr>
        <w:t>. Each of the Administrative Agent, the Lenders and the L/C Issuers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6"/>
          <w:szCs w:val="16"/>
          <w:u w:val="single" w:color="auto"/>
          <w:color w:val="auto"/>
        </w:rPr>
        <w:t>Section 11.07</w:t>
      </w:r>
      <w:r>
        <w:rPr>
          <w:rFonts w:ascii="Arial" w:cs="Arial" w:eastAsia="Arial" w:hAnsi="Arial"/>
          <w:sz w:val="16"/>
          <w:szCs w:val="16"/>
          <w:color w:val="auto"/>
        </w:rPr>
        <w:t>, to</w:t>
      </w:r>
    </w:p>
    <w:p>
      <w:pPr>
        <w:spacing w:after="0" w:line="5" w:lineRule="exact"/>
        <w:rPr>
          <w:sz w:val="20"/>
          <w:szCs w:val="20"/>
          <w:color w:val="auto"/>
        </w:rPr>
      </w:pPr>
    </w:p>
    <w:p>
      <w:pPr>
        <w:jc w:val="both"/>
        <w:ind w:firstLine="8"/>
        <w:spacing w:after="0" w:line="285" w:lineRule="auto"/>
        <w:tabs>
          <w:tab w:leader="none" w:pos="221"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any assignee of or Participant in, or any prospective assignee of or Participant in, any of its rights and obligations under this Agreement or any Eligible Assignee invited to be a Lender pursuant to Section </w:t>
      </w:r>
      <w:r>
        <w:rPr>
          <w:rFonts w:ascii="Arial" w:cs="Arial" w:eastAsia="Arial" w:hAnsi="Arial"/>
          <w:sz w:val="16"/>
          <w:szCs w:val="16"/>
          <w:u w:val="single" w:color="auto"/>
          <w:color w:val="auto"/>
        </w:rPr>
        <w:t>2.15(c)</w:t>
      </w:r>
      <w:r>
        <w:rPr>
          <w:rFonts w:ascii="Arial" w:cs="Arial" w:eastAsia="Arial" w:hAnsi="Arial"/>
          <w:sz w:val="16"/>
          <w:szCs w:val="16"/>
          <w:color w:val="auto"/>
        </w:rPr>
        <w:t xml:space="preserve"> or (ii) any actual or prospective party (or its Related Parties) to any swap, derivative or other transaction under which payments are to be made by reference to any of the Borrowers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w:t>
      </w:r>
      <w:r>
        <w:rPr>
          <w:rFonts w:ascii="Arial" w:cs="Arial" w:eastAsia="Arial" w:hAnsi="Arial"/>
          <w:sz w:val="16"/>
          <w:szCs w:val="16"/>
          <w:u w:val="single" w:color="auto"/>
          <w:color w:val="auto"/>
        </w:rPr>
        <w:t>Section 11.07</w:t>
      </w:r>
      <w:r>
        <w:rPr>
          <w:rFonts w:ascii="Arial" w:cs="Arial" w:eastAsia="Arial" w:hAnsi="Arial"/>
          <w:sz w:val="16"/>
          <w:szCs w:val="16"/>
          <w:color w:val="auto"/>
        </w:rPr>
        <w:t xml:space="preserve">,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w:t>
      </w:r>
      <w:r>
        <w:rPr>
          <w:rFonts w:ascii="Arial" w:cs="Arial" w:eastAsia="Arial" w:hAnsi="Arial"/>
          <w:sz w:val="16"/>
          <w:szCs w:val="16"/>
          <w:u w:val="single" w:color="auto"/>
          <w:color w:val="auto"/>
        </w:rPr>
        <w:t>Section 11.07</w:t>
      </w:r>
      <w:r>
        <w:rPr>
          <w:rFonts w:ascii="Arial" w:cs="Arial" w:eastAsia="Arial" w:hAnsi="Arial"/>
          <w:sz w:val="16"/>
          <w:szCs w:val="16"/>
          <w:color w:val="auto"/>
        </w:rPr>
        <w:t>. In addition, the Administrative Agent and the Lenders may disclose the existence of this Agreement and public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this Section, “Information” means all information received from the Company, PAA or any Subsidiary relating to the Company, PAA or any Subsidiary, or any Affiliate of any of them, or any of their respective businesses, other than any such information that is available to the Administrative Agent, any Lender or any L/C Issuer on a nonconfidential basis prior to disclosure by the Company or any Subsidiary, provided that, in the case of information received from the Company or any Subsidiary after the date 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2" w:name="page323"/>
    <w:bookmarkEnd w:id="322"/>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11.08 Right of Setoff. </w:t>
      </w:r>
      <w:r>
        <w:rPr>
          <w:rFonts w:ascii="Arial" w:cs="Arial" w:eastAsia="Arial" w:hAnsi="Arial"/>
          <w:sz w:val="16"/>
          <w:szCs w:val="16"/>
          <w:color w:val="auto"/>
        </w:rPr>
        <w:t>At any time and from time to time during the continuance of any Event of Default, each Lender and each L/C Issuer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of their respective Affiliates is hereby authorized at any time and from time to time, to the fullest extent permitted by Applicable Law, to set off and apply against the Obligations,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Company or such Loan Party may be contingent or unmatured or are owed to a branch, office or Affiliate of such Lender or such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provided that the failure to give such notice shall not affect the validity of such setoff and application.</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11.09 Interest Rate Limitation</w:t>
      </w:r>
      <w:r>
        <w:rPr>
          <w:rFonts w:ascii="Arial" w:cs="Arial" w:eastAsia="Arial" w:hAnsi="Arial"/>
          <w:sz w:val="16"/>
          <w:szCs w:val="16"/>
          <w:color w:val="auto"/>
        </w:rPr>
        <w:t>. Notwithstanding anything to the contrary contained in any Loan Document, the interest paid or agreed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appropriate Borrower. In determining whether the interest contracted for, charged, or received by the Administrative Agent or a Lender exceeds the Maximum Rate, such Person may, to the extent permitted by Applicable Law,</w:t>
      </w:r>
    </w:p>
    <w:p>
      <w:pPr>
        <w:spacing w:after="0" w:line="2" w:lineRule="exact"/>
        <w:rPr>
          <w:sz w:val="20"/>
          <w:szCs w:val="20"/>
          <w:color w:val="auto"/>
        </w:rPr>
      </w:pPr>
    </w:p>
    <w:p>
      <w:pPr>
        <w:jc w:val="both"/>
        <w:ind w:firstLine="8"/>
        <w:spacing w:after="0" w:line="286" w:lineRule="auto"/>
        <w:tabs>
          <w:tab w:leader="none" w:pos="25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In no event shall the aggregate “interest” (as defined in section 347 of the Criminal Code (Canada)) payable by PMCULC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PMCULC, Administrative Agent and Lenders and the amount of such excess payment or collection shall be refunded to PMCULC. For purposes of any Notes made by PMCULC,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Administrative Agent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for the purposes of such determination.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3" w:name="page324"/>
    <w:bookmarkEnd w:id="323"/>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11.10 Counterparts; Integration; Effectiveness. </w:t>
      </w:r>
      <w:r>
        <w:rPr>
          <w:rFonts w:ascii="Arial" w:cs="Arial" w:eastAsia="Arial" w:hAnsi="Arial"/>
          <w:sz w:val="17"/>
          <w:szCs w:val="17"/>
          <w:color w:val="auto"/>
        </w:rPr>
        <w:t>This Agreement, the other Loan Documents, and any separate letter agreements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11.11 Survival of Representations and Warranties. </w:t>
      </w:r>
      <w:r>
        <w:rPr>
          <w:rFonts w:ascii="Arial" w:cs="Arial" w:eastAsia="Arial" w:hAnsi="Arial"/>
          <w:sz w:val="17"/>
          <w:szCs w:val="17"/>
          <w:color w:val="auto"/>
        </w:rPr>
        <w:t>All representations and warranties made hereunder and in any other Loan Document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11.12 Severability</w:t>
      </w:r>
      <w:r>
        <w:rPr>
          <w:rFonts w:ascii="Arial" w:cs="Arial" w:eastAsia="Arial" w:hAnsi="Arial"/>
          <w:sz w:val="18"/>
          <w:szCs w:val="18"/>
          <w:color w:val="auto"/>
        </w:rPr>
        <w:t>. If any provision of this Agreement or the other Loan Documents is held to be illegal, invalid or unenforceable, (a)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11.13 Replacement of Lenders</w:t>
      </w:r>
      <w:r>
        <w:rPr>
          <w:rFonts w:ascii="Arial" w:cs="Arial" w:eastAsia="Arial" w:hAnsi="Arial"/>
          <w:sz w:val="16"/>
          <w:szCs w:val="16"/>
          <w:color w:val="auto"/>
        </w:rPr>
        <w:t>. If the Company is entitled to replace a Lender pursuant to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3.06</w:t>
      </w:r>
      <w:r>
        <w:rPr>
          <w:rFonts w:ascii="Arial" w:cs="Arial" w:eastAsia="Arial" w:hAnsi="Arial"/>
          <w:sz w:val="16"/>
          <w:szCs w:val="16"/>
          <w:color w:val="auto"/>
        </w:rPr>
        <w:t>, or if any Lender is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3.04</w:t>
      </w:r>
      <w:r>
        <w:rPr>
          <w:rFonts w:ascii="Arial" w:cs="Arial" w:eastAsia="Arial" w:hAnsi="Arial"/>
          <w:sz w:val="16"/>
          <w:szCs w:val="16"/>
          <w:color w:val="auto"/>
        </w:rPr>
        <w:t>) and obligations under this Agreement and the related Loan Documents to an Eligible Assignee that shall assume such obligations (which assignee may be another Lender, if a Lender accepts such assignment), provided that:</w:t>
      </w:r>
    </w:p>
    <w:p>
      <w:pPr>
        <w:spacing w:after="0" w:line="164" w:lineRule="exact"/>
        <w:rPr>
          <w:sz w:val="20"/>
          <w:szCs w:val="20"/>
          <w:color w:val="auto"/>
        </w:rPr>
      </w:pPr>
    </w:p>
    <w:p>
      <w:pPr>
        <w:ind w:right="20" w:firstLine="656"/>
        <w:spacing w:after="0" w:line="277" w:lineRule="auto"/>
        <w:tabs>
          <w:tab w:leader="none" w:pos="111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unless paid by the assignee or waived by the Administrative Agent in its sole discretion, the Company shall have paid (or caused PMCULC to pay)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both"/>
        <w:ind w:firstLine="656"/>
        <w:spacing w:after="0" w:line="259" w:lineRule="auto"/>
        <w:tabs>
          <w:tab w:leader="none" w:pos="110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2.17</w:t>
      </w:r>
      <w:r>
        <w:rPr>
          <w:rFonts w:ascii="Arial" w:cs="Arial" w:eastAsia="Arial" w:hAnsi="Arial"/>
          <w:sz w:val="18"/>
          <w:szCs w:val="18"/>
          <w:color w:val="auto"/>
        </w:rPr>
        <w:t>) from the assignee (to the extent of such outstanding principal and accrued interest and fees) or the applicable Borrower (in the case of all other amounts);</w:t>
      </w:r>
    </w:p>
    <w:p>
      <w:pPr>
        <w:spacing w:after="0" w:line="186" w:lineRule="exact"/>
        <w:rPr>
          <w:rFonts w:ascii="Arial" w:cs="Arial" w:eastAsia="Arial" w:hAnsi="Arial"/>
          <w:sz w:val="18"/>
          <w:szCs w:val="18"/>
          <w:color w:val="auto"/>
        </w:rPr>
      </w:pPr>
    </w:p>
    <w:p>
      <w:pPr>
        <w:ind w:firstLine="656"/>
        <w:spacing w:after="0" w:line="277" w:lineRule="auto"/>
        <w:tabs>
          <w:tab w:leader="none" w:pos="111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right="20" w:firstLine="656"/>
        <w:spacing w:after="0" w:line="277" w:lineRule="auto"/>
        <w:tabs>
          <w:tab w:leader="none" w:pos="111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party hereto agrees that (a) an assignment required pursuant to this Section 11.13 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16"/>
          <w:szCs w:val="16"/>
          <w:u w:val="single" w:color="auto"/>
          <w:color w:val="auto"/>
        </w:rPr>
        <w:t>Section 9.06</w:t>
      </w:r>
      <w:r>
        <w:rPr>
          <w:rFonts w:ascii="Arial" w:cs="Arial" w:eastAsia="Arial" w:hAnsi="Arial"/>
          <w:sz w:val="16"/>
          <w:szCs w:val="16"/>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11.14  Governing Law; Jurisdiction; Etc</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7" w:lineRule="auto"/>
        <w:tabs>
          <w:tab w:leader="none" w:pos="1117"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5" w:name="page326"/>
    <w:bookmarkEnd w:id="325"/>
    <w:p>
      <w:pPr>
        <w:jc w:val="both"/>
        <w:ind w:firstLine="656"/>
        <w:spacing w:after="0" w:line="252" w:lineRule="auto"/>
        <w:tabs>
          <w:tab w:leader="none" w:pos="1127"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PARTY HERETO IRREVOCABLY AND UNCONDITIONALLY agrees that with respect to any action, litigation or proceeding of any kind or description, whether in law or equity, whether in contract or in tort or otherwise, against the Administrative Agent, any Lender, any L/C Issuer, any Loan Party or any Related Party of the foregoing in any way relating to this Agreement or any other Loan Document or the transactions related hereto or thereto, SUCH PARTY SUBMITS ITSELF TO THE NON-EXCLUSIVE JURISDICTION OF THE COURTS OF THE STATE OF NEW YORK SITTING IN NEW YORK COUNTY AND OF THE UNITED STATES DISTRICT COURT OF THE SOUTHERN DISTRICT OF NEW YORK, AND ANY APPELLATE COURT FROM ANY THEREOF, AND IRREVOCABLY AND UNCONDITIONALLY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L/C ISSUER OR ANY LOAN PARTY MAY OTHERWISE HAVE TO BRING ANY ACTION OR PROCEEDING RELATING TO THIS AGREEMENT OR ANY OTHER LOAN DOCUMENT AGAINST ANY OTHER PARTY HERETO OR ITS PROPERTIES IN THE COURTS OF ANY JURISDICTION.</w:t>
      </w:r>
    </w:p>
    <w:p>
      <w:pPr>
        <w:spacing w:after="0" w:line="197" w:lineRule="exact"/>
        <w:rPr>
          <w:rFonts w:ascii="Arial" w:cs="Arial" w:eastAsia="Arial" w:hAnsi="Arial"/>
          <w:sz w:val="18"/>
          <w:szCs w:val="18"/>
          <w:color w:val="auto"/>
        </w:rPr>
      </w:pPr>
    </w:p>
    <w:p>
      <w:pPr>
        <w:jc w:val="both"/>
        <w:ind w:firstLine="656"/>
        <w:spacing w:after="0" w:line="255" w:lineRule="auto"/>
        <w:tabs>
          <w:tab w:leader="none" w:pos="1117"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127"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11.15 Waiver of Jury Trial. </w:t>
      </w:r>
      <w:r>
        <w:rPr>
          <w:rFonts w:ascii="Arial" w:cs="Arial" w:eastAsia="Arial" w:hAnsi="Arial"/>
          <w:sz w:val="17"/>
          <w:szCs w:val="17"/>
          <w:color w:val="auto"/>
        </w:rPr>
        <w:t>EACH PARTY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ind w:firstLine="8"/>
        <w:spacing w:after="0" w:line="260" w:lineRule="auto"/>
        <w:tabs>
          <w:tab w:leader="none" w:pos="279"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6" w:name="page327"/>
    <w:bookmarkEnd w:id="326"/>
    <w:p>
      <w:pPr>
        <w:jc w:val="both"/>
        <w:ind w:firstLine="648"/>
        <w:spacing w:after="0" w:line="285" w:lineRule="auto"/>
        <w:rPr>
          <w:sz w:val="20"/>
          <w:szCs w:val="20"/>
          <w:color w:val="auto"/>
        </w:rPr>
      </w:pPr>
      <w:r>
        <w:rPr>
          <w:rFonts w:ascii="Arial" w:cs="Arial" w:eastAsia="Arial" w:hAnsi="Arial"/>
          <w:sz w:val="16"/>
          <w:szCs w:val="16"/>
          <w:b w:val="1"/>
          <w:bCs w:val="1"/>
          <w:color w:val="auto"/>
        </w:rPr>
        <w:t>11.16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Loan Document), each Borrower and PAA acknowledges and agrees, and acknowledges its Affiliates’ understanding, that: (a) (i) the arranging and other services regarding this Agreement provided by the Administrative Agent, the Arrangers, the Syndication Agent and the Lenders are arm’s-length commercial transactions between the Borrowers, PAA and their respective Affiliates, on the one hand, and the Administrative Agent, the Arrangers, the Syndication Agent and the Lenders, on the other hand, (ii) each of the Borrowers and PAA has consulted its own legal, accounting, regulatory and tax advisors to the extent it has deemed appropriate, and (iii) each of the Borrowers and PAA is capable of evaluating, and understands and accepts, the terms, risks and conditions of the transactions contemplated hereby and by the other Loan Documents; (b) (i) the Administrative Agent, the Syndication Agent and the Arrangers each is and has been acting solely as a principal and, except as expressly agreed in writing by the relevant parties, has not been, is not, and will not be acting as an advisor, agent or fiduciary for any Borrower, PAA or any of their respective Affiliates, or any other Person and (ii) none of the Administrative Agent, any Arranger, the Syndication Agent nor any Lender has any obligation to any Borrower or any of its Affiliates with respect to the transactions contemplated hereby except those obligations expressly set forth herein and in the other Loan Documents; and (c) the Administrative Agent, the Arrangers, the Syndication Agent, the Lenders and their respective Affiliates may be engaged in a broad range of transactions that involve interests that differ from those of the Borrowers, PAA and their respective Affiliates, and none of the Administrative Agent, any Arranger, the Syndication Agent nor any Lender has any obligation to disclose any of such interests to any Borrower, PAA or any of their respective Affiliates. To the fullest extent permitted by law, each of the Borrowers and PAA hereby waives and releases any claims that it may have against the Administrative Agent, the Syndication Agent and the Arrangers with respect to any breach or alleged breach of agency or fiduciary duty in connection with any aspect of any transaction contemplated hereby.</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11.17 No Recourse to Other Persons</w:t>
      </w:r>
      <w:r>
        <w:rPr>
          <w:rFonts w:ascii="Arial" w:cs="Arial" w:eastAsia="Arial" w:hAnsi="Arial"/>
          <w:sz w:val="18"/>
          <w:szCs w:val="18"/>
          <w:color w:val="auto"/>
        </w:rPr>
        <w:t>. No past, present or future director, officer, partner, employee, incorporator, manager,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unitholder or member of any Borrower, General Partner, PAA, PAA GP LLC, a Delaware limited liability company, Plains AAP, L.P., a Delaware limited partnership, or Plains All American GP LLC, a Delaware limited liability company, as such, and no past, present or future director, officer, partner, employee, incorporator, manager, stockholder, unitholder or member of any Subsidiary of the Company, as such, shall have any liability for any Obligations or for any claim based on, in respect of, or by reason of, the Obligations or their creation. Each party hereto, for itself and each of its Related Parties, waives and releases all such liability. The waiver and release are part of the consideration for the incurrence of Indebtedness by each Borrower hereunder and, as applicable, the making of the Notes.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11.18 Electronic Execution; Electronic Records. </w:t>
      </w:r>
      <w:r>
        <w:rPr>
          <w:rFonts w:ascii="Arial" w:cs="Arial" w:eastAsia="Arial" w:hAnsi="Arial"/>
          <w:sz w:val="16"/>
          <w:szCs w:val="16"/>
          <w:color w:val="auto"/>
        </w:rPr>
        <w:t>This Agreement, any Loan Document and any other Communication,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required to be in writing, may be in the form of an Electronic Record and may be executed using Electronic Signatures. Each of the Loan Parties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such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regardless of the appearance or form of such Electronic Signature, and (b) upon the request of the Administrative Agent or any Lender Party, any Communication executed using an Electronic Signature shall be promptly followed by a manually executed counterpart.</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None of the Administrative Agent, any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jc w:val="both"/>
        <w:ind w:firstLine="648"/>
        <w:spacing w:after="0" w:line="308" w:lineRule="auto"/>
        <w:rPr>
          <w:sz w:val="20"/>
          <w:szCs w:val="20"/>
          <w:color w:val="auto"/>
        </w:rPr>
      </w:pPr>
      <w:r>
        <w:rPr>
          <w:rFonts w:ascii="Arial" w:cs="Arial" w:eastAsia="Arial" w:hAnsi="Arial"/>
          <w:sz w:val="17"/>
          <w:szCs w:val="17"/>
          <w:color w:val="auto"/>
        </w:rPr>
        <w:t>Each of the parties represents and warrants to the other parties that it has the corporate capacity and authority to execute this Agreement and any other Communication through electronic means and there are no restrictions on doing so in that party’s constitutive documents.</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11.19 USA PATRIOT Act. </w:t>
      </w:r>
      <w:r>
        <w:rPr>
          <w:rFonts w:ascii="Arial" w:cs="Arial" w:eastAsia="Arial" w:hAnsi="Arial"/>
          <w:sz w:val="18"/>
          <w:szCs w:val="18"/>
          <w:color w:val="auto"/>
        </w:rPr>
        <w:t>Each Lender that is subject to the Act (as hereinafter defined) and the Administrative Agent (for itself and not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any Lender) hereby notifies the Borrowers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or the Administrative Agent, as applicable, to identify the Borrowers in accordance with the Act. Each Borrower shall, promptly following a request by the Administrative Agent or any Lender, provide all information that the Administrative Agent or such Lender requests to comply with its ongoing obligations under applicable “know your customer” and anti-money laundering rules and regulations, including the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11.20  Time of the Essence</w:t>
      </w:r>
      <w:r>
        <w:rPr>
          <w:rFonts w:ascii="Arial" w:cs="Arial" w:eastAsia="Arial" w:hAnsi="Arial"/>
          <w:sz w:val="18"/>
          <w:szCs w:val="18"/>
          <w:color w:val="auto"/>
        </w:rPr>
        <w:t>. Time is of the essence of the Loan Documents.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11.21 Judgment Currency</w:t>
      </w:r>
      <w:r>
        <w:rPr>
          <w:rFonts w:ascii="Arial" w:cs="Arial" w:eastAsia="Arial" w:hAnsi="Arial"/>
          <w:sz w:val="16"/>
          <w:szCs w:val="16"/>
          <w:color w:val="auto"/>
        </w:rPr>
        <w:t>. If, for the purposes of obtaining judgment in any court, it is necessary to convert a sum due hereunder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9" w:name="page330"/>
    <w:bookmarkEnd w:id="329"/>
    <w:p>
      <w:pPr>
        <w:jc w:val="both"/>
        <w:ind w:firstLine="648"/>
        <w:spacing w:after="0" w:line="266" w:lineRule="auto"/>
        <w:rPr>
          <w:sz w:val="20"/>
          <w:szCs w:val="20"/>
          <w:color w:val="auto"/>
        </w:rPr>
      </w:pPr>
      <w:r>
        <w:rPr>
          <w:rFonts w:ascii="Arial" w:cs="Arial" w:eastAsia="Arial" w:hAnsi="Arial"/>
          <w:sz w:val="18"/>
          <w:szCs w:val="18"/>
          <w:b w:val="1"/>
          <w:bCs w:val="1"/>
          <w:color w:val="auto"/>
        </w:rPr>
        <w:t>11.22 ENTIRE AGREEMENT</w:t>
      </w:r>
      <w:r>
        <w:rPr>
          <w:rFonts w:ascii="Arial" w:cs="Arial" w:eastAsia="Arial" w:hAnsi="Arial"/>
          <w:sz w:val="18"/>
          <w:szCs w:val="18"/>
          <w:color w:val="auto"/>
        </w:rPr>
        <w:t>. THIS AGREEMENT AND THE OTHER LOAN DOCUMENTS REPRESENT THE FINAL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PARTIES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11.23 Restated Agreement</w:t>
      </w:r>
      <w:r>
        <w:rPr>
          <w:rFonts w:ascii="Arial" w:cs="Arial" w:eastAsia="Arial" w:hAnsi="Arial"/>
          <w:sz w:val="16"/>
          <w:szCs w:val="16"/>
          <w:color w:val="auto"/>
        </w:rPr>
        <w:t>. In connection with the amendment and restatement of the Existing Credit Agreement pursuant hereto,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and applicable Lenders made, as of the Closing Date, adjustments to the outstanding principal amount of “Loans” under the Existing Credit Agreement (as such term is defined therein) (but not any interest accrued thereon prior to the Closing Date), including the borrowing of additional Loans hereunder and the repayment of loans thereunder plus all applicable accrued interest, fees and expenses as was necessary to provide for Loans hereunder by each such Lender in the amount of its Applicable Percentage of all Loans as of the Closing Date, but no such adjustment of any “Eurocurrency Rate Loans” (as such term is defined therein) (i) constituted a payment or prepayment of all or a portion of any such Eurocurrency Rate Loans or (ii) entitled any Lender to any reimbursement under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hereof, and each such Lender was deemed to have made an assignment of its outstanding Loans under the Existing Credit Agreement, and assumed outstanding Loans of other Lenders under the Existing Credit Agreement as were necessary to effect the foregoing. The Company states and acknowledges that this Agreement is entered into by it in amendment and restatement of the Existing Credit Agreement. The Company further states, acknowledges and agrees that the preceding sentence does not and shall not alter or otherwise modify in any regard, directly or indirectly, expressly or impliedly or otherwise, the terms, provisions and conditions expressly set forth in, and contemplated by, this Agreement, or the transactions contemplated hereby, which in each case shall be governed solely by the terms, provisions and conditions of this Agreement and the other Loan Documents without regard to this Section 11.23.</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11.24 Acknowledgement and Consent to Bail-In of Affected Financial Institutions</w:t>
      </w:r>
      <w:r>
        <w:rPr>
          <w:rFonts w:ascii="Arial" w:cs="Arial" w:eastAsia="Arial" w:hAnsi="Arial"/>
          <w:sz w:val="17"/>
          <w:szCs w:val="17"/>
          <w:color w:val="auto"/>
        </w:rPr>
        <w:t>. Solely to the extent any Lender or L/C Issuer that is an</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ind w:firstLine="656"/>
        <w:spacing w:after="0" w:line="277" w:lineRule="auto"/>
        <w:tabs>
          <w:tab w:leader="none" w:pos="111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p>
      <w:pPr>
        <w:jc w:val="both"/>
        <w:ind w:left="660" w:firstLine="644"/>
        <w:spacing w:after="0" w:line="259" w:lineRule="auto"/>
        <w:tabs>
          <w:tab w:leader="none" w:pos="179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660" w:firstLine="644"/>
        <w:spacing w:after="0" w:line="277" w:lineRule="auto"/>
        <w:tabs>
          <w:tab w:leader="none" w:pos="182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11.25  Acknowledgement Regarding Any Supported QFCs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93" w:lineRule="auto"/>
        <w:tabs>
          <w:tab w:leader="none" w:pos="1117"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To the extent that the Loan Documents provide support, through a guarantee or otherwise, for any Swap Contract or any other agreement or instrument that is a QFC (such support, “</w:t>
      </w:r>
      <w:r>
        <w:rPr>
          <w:rFonts w:ascii="Arial" w:cs="Arial" w:eastAsia="Arial" w:hAnsi="Arial"/>
          <w:sz w:val="16"/>
          <w:szCs w:val="16"/>
          <w:u w:val="single" w:color="auto"/>
          <w:color w:val="auto"/>
        </w:rPr>
        <w:t>QFC Credit Suppor</w:t>
      </w:r>
      <w:r>
        <w:rPr>
          <w:rFonts w:ascii="Arial" w:cs="Arial" w:eastAsia="Arial" w:hAnsi="Arial"/>
          <w:sz w:val="16"/>
          <w:szCs w:val="16"/>
          <w:color w:val="auto"/>
        </w:rPr>
        <w:t>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4" w:lineRule="exact"/>
        <w:rPr>
          <w:rFonts w:ascii="Arial" w:cs="Arial" w:eastAsia="Arial" w:hAnsi="Arial"/>
          <w:sz w:val="16"/>
          <w:szCs w:val="16"/>
          <w:color w:val="auto"/>
        </w:rPr>
      </w:pPr>
    </w:p>
    <w:p>
      <w:pPr>
        <w:jc w:val="both"/>
        <w:ind w:firstLine="656"/>
        <w:spacing w:after="0" w:line="269" w:lineRule="auto"/>
        <w:tabs>
          <w:tab w:leader="none" w:pos="1127" w:val="left"/>
        </w:tabs>
        <w:numPr>
          <w:ilvl w:val="0"/>
          <w:numId w:val="377"/>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1" w:lineRule="exact"/>
        <w:rPr>
          <w:rFonts w:ascii="Arial" w:cs="Arial" w:eastAsia="Arial" w:hAnsi="Arial"/>
          <w:sz w:val="17"/>
          <w:szCs w:val="17"/>
          <w:color w:val="auto"/>
        </w:rPr>
      </w:pPr>
    </w:p>
    <w:p>
      <w:pPr>
        <w:ind w:left="1120" w:hanging="464"/>
        <w:spacing w:after="0"/>
        <w:tabs>
          <w:tab w:leader="none" w:pos="11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As used in this Section 11.25,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1" w:name="page332"/>
    <w:bookmarkEnd w:id="331"/>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2" w:name="page333"/>
    <w:bookmarkEnd w:id="332"/>
    <w:p>
      <w:pPr>
        <w:ind w:left="660"/>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parties hereto have caused this Agreement to be duly executed as of the date first above written.</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MARKETING, L.P.</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By: PLAINS GP LLC,</w:t>
      </w:r>
    </w:p>
    <w:p>
      <w:pPr>
        <w:spacing w:after="0" w:line="23"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MIDSTREAM CANADA ULC,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33" w:name="page334"/>
    <w:bookmarkEnd w:id="333"/>
    <w:p>
      <w:pPr>
        <w:ind w:left="56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Anthea Del Bianco</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Anthea Del Bianco</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4" w:name="page335"/>
    <w:bookmarkEnd w:id="334"/>
    <w:p>
      <w:pPr>
        <w:ind w:left="56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a Lender, an L/C Issuer and Swing Line Lender</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Robert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5" w:name="page336"/>
    <w:bookmarkEnd w:id="335"/>
    <w:p>
      <w:pPr>
        <w:ind w:left="56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 and an L/C Issuer</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P. Maroney</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Maureen P. Maroney</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6" w:name="page337"/>
    <w:bookmarkEnd w:id="336"/>
    <w:p>
      <w:pPr>
        <w:ind w:left="5620"/>
        <w:spacing w:after="0"/>
        <w:rPr>
          <w:sz w:val="20"/>
          <w:szCs w:val="20"/>
          <w:color w:val="auto"/>
        </w:rPr>
      </w:pPr>
      <w:r>
        <w:rPr>
          <w:rFonts w:ascii="Arial" w:cs="Arial" w:eastAsia="Arial" w:hAnsi="Arial"/>
          <w:sz w:val="17"/>
          <w:szCs w:val="17"/>
          <w:b w:val="1"/>
          <w:bCs w:val="1"/>
          <w:color w:val="auto"/>
        </w:rPr>
        <w:t>JPMORGAN CHASE BANK, N.A.,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7" w:name="page338"/>
    <w:bookmarkEnd w:id="337"/>
    <w:p>
      <w:pPr>
        <w:ind w:left="5620"/>
        <w:spacing w:after="0"/>
        <w:rPr>
          <w:sz w:val="20"/>
          <w:szCs w:val="20"/>
          <w:color w:val="auto"/>
        </w:rPr>
      </w:pP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 as a Lender and</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 L/C Issuer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338" w:name="page339"/>
    <w:bookmarkEnd w:id="338"/>
    <w:p>
      <w:pPr>
        <w:ind w:left="5620"/>
        <w:spacing w:after="0"/>
        <w:rPr>
          <w:sz w:val="20"/>
          <w:szCs w:val="20"/>
          <w:color w:val="auto"/>
        </w:rPr>
      </w:pPr>
      <w:r>
        <w:rPr>
          <w:rFonts w:ascii="Arial" w:cs="Arial" w:eastAsia="Arial" w:hAnsi="Arial"/>
          <w:sz w:val="17"/>
          <w:szCs w:val="17"/>
          <w:b w:val="1"/>
          <w:bCs w:val="1"/>
          <w:color w:val="auto"/>
        </w:rPr>
        <w:t>BANCO BILBAO VIZCAYA ARGENTARIA, S.A. NEW YORK</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BRANCH, </w:t>
      </w: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39" w:name="page340"/>
    <w:bookmarkEnd w:id="339"/>
    <w:p>
      <w:pPr>
        <w:ind w:left="562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Corporate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Matthew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Corporate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BANK OF NOVA SCOTIA, HOUSTON 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Donovan Crandall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Donovan Crandall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60"/>
          </w:cols>
          <w:pgMar w:left="320" w:top="904" w:right="1119" w:bottom="1440" w:gutter="0" w:footer="0" w:header="0"/>
        </w:sectPr>
      </w:pPr>
    </w:p>
    <w:bookmarkStart w:id="341" w:name="page342"/>
    <w:bookmarkEnd w:id="341"/>
    <w:p>
      <w:pPr>
        <w:ind w:left="562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Sydney G. Dennis</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2" w:name="page343"/>
    <w:bookmarkEnd w:id="342"/>
    <w:p>
      <w:pPr>
        <w:ind w:left="562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Trudy Nelson</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Trudy Nelson</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W. Danvers</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W. Danvers</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3" w:name="page344"/>
    <w:bookmarkEnd w:id="343"/>
    <w:p>
      <w:pPr>
        <w:ind w:left="56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A Greene</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Jared A Greene</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Corporate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4" w:name="page345"/>
    <w:bookmarkEnd w:id="344"/>
    <w:p>
      <w:pPr>
        <w:ind w:left="5620"/>
        <w:spacing w:after="0"/>
        <w:rPr>
          <w:sz w:val="20"/>
          <w:szCs w:val="20"/>
          <w:color w:val="auto"/>
        </w:rPr>
      </w:pPr>
      <w:r>
        <w:rPr>
          <w:rFonts w:ascii="Arial" w:cs="Arial" w:eastAsia="Arial" w:hAnsi="Arial"/>
          <w:sz w:val="17"/>
          <w:szCs w:val="17"/>
          <w:b w:val="1"/>
          <w:bCs w:val="1"/>
          <w:color w:val="auto"/>
        </w:rPr>
        <w:t>ING CAPITAL LLC</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Gutterman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Lauren Gutterman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5" w:name="page346"/>
    <w:bookmarkEnd w:id="345"/>
    <w:p>
      <w:pPr>
        <w:ind w:left="5620"/>
        <w:spacing w:after="0"/>
        <w:rPr>
          <w:sz w:val="20"/>
          <w:szCs w:val="20"/>
          <w:color w:val="auto"/>
        </w:rPr>
      </w:pPr>
      <w:r>
        <w:rPr>
          <w:rFonts w:ascii="Arial" w:cs="Arial" w:eastAsia="Arial" w:hAnsi="Arial"/>
          <w:sz w:val="17"/>
          <w:szCs w:val="17"/>
          <w:b w:val="1"/>
          <w:bCs w:val="1"/>
          <w:color w:val="auto"/>
        </w:rPr>
        <w:t xml:space="preserve">MIZUHO BANK, LTD., </w:t>
      </w:r>
      <w:r>
        <w:rPr>
          <w:rFonts w:ascii="Arial" w:cs="Arial" w:eastAsia="Arial" w:hAnsi="Arial"/>
          <w:sz w:val="17"/>
          <w:szCs w:val="17"/>
          <w:color w:val="auto"/>
        </w:rPr>
        <w:t>as a Lender</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6" w:name="page347"/>
    <w:bookmarkEnd w:id="346"/>
    <w:p>
      <w:pPr>
        <w:ind w:left="5620"/>
        <w:spacing w:after="0"/>
        <w:rPr>
          <w:sz w:val="20"/>
          <w:szCs w:val="20"/>
          <w:color w:val="auto"/>
        </w:rPr>
      </w:pPr>
      <w:r>
        <w:rPr>
          <w:rFonts w:ascii="Arial" w:cs="Arial" w:eastAsia="Arial" w:hAnsi="Arial"/>
          <w:sz w:val="18"/>
          <w:szCs w:val="18"/>
          <w:b w:val="1"/>
          <w:bCs w:val="1"/>
          <w:color w:val="auto"/>
        </w:rPr>
        <w:t xml:space="preserve">MUFG BANK, LTD.,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 Warfel</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W. Warfel</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7" w:name="page348"/>
    <w:bookmarkEnd w:id="347"/>
    <w:p>
      <w:pPr>
        <w:ind w:left="5640"/>
        <w:spacing w:after="0"/>
        <w:rPr>
          <w:sz w:val="20"/>
          <w:szCs w:val="20"/>
          <w:color w:val="auto"/>
        </w:rPr>
      </w:pPr>
      <w:r>
        <w:rPr>
          <w:rFonts w:ascii="Arial" w:cs="Arial" w:eastAsia="Arial" w:hAnsi="Arial"/>
          <w:sz w:val="18"/>
          <w:szCs w:val="18"/>
          <w:b w:val="1"/>
          <w:bCs w:val="1"/>
          <w:color w:val="auto"/>
        </w:rPr>
        <w:t xml:space="preserve">PNC BANK, NATIONAL ASSOCIATION, </w:t>
      </w:r>
      <w:r>
        <w:rPr>
          <w:rFonts w:ascii="Arial" w:cs="Arial" w:eastAsia="Arial" w:hAnsi="Arial"/>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T. Helfrich</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Kyle T. Helfrich</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8" w:name="page349"/>
    <w:bookmarkEnd w:id="348"/>
    <w:p>
      <w:pPr>
        <w:ind w:left="5620"/>
        <w:spacing w:after="0"/>
        <w:rPr>
          <w:sz w:val="20"/>
          <w:szCs w:val="20"/>
          <w:color w:val="auto"/>
        </w:rPr>
      </w:pPr>
      <w:r>
        <w:rPr>
          <w:rFonts w:ascii="Arial" w:cs="Arial" w:eastAsia="Arial" w:hAnsi="Arial"/>
          <w:sz w:val="17"/>
          <w:szCs w:val="17"/>
          <w:b w:val="1"/>
          <w:bCs w:val="1"/>
          <w:color w:val="auto"/>
        </w:rPr>
        <w:t>REGIONS BANK</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9" w:name="page350"/>
    <w:bookmarkEnd w:id="349"/>
    <w:p>
      <w:pPr>
        <w:ind w:left="5620"/>
        <w:spacing w:after="0"/>
        <w:rPr>
          <w:sz w:val="20"/>
          <w:szCs w:val="20"/>
          <w:color w:val="auto"/>
        </w:rPr>
      </w:pPr>
      <w:r>
        <w:rPr>
          <w:rFonts w:ascii="Arial" w:cs="Arial" w:eastAsia="Arial" w:hAnsi="Arial"/>
          <w:sz w:val="17"/>
          <w:szCs w:val="17"/>
          <w:b w:val="1"/>
          <w:bCs w:val="1"/>
          <w:color w:val="auto"/>
        </w:rPr>
        <w:t>ROYAL BANK OF CANADA</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0" w:name="page351"/>
    <w:bookmarkEnd w:id="350"/>
    <w:p>
      <w:pPr>
        <w:ind w:left="5620"/>
        <w:spacing w:after="0"/>
        <w:rPr>
          <w:sz w:val="20"/>
          <w:szCs w:val="20"/>
          <w:color w:val="auto"/>
        </w:rPr>
      </w:pPr>
      <w:r>
        <w:rPr>
          <w:rFonts w:ascii="Arial" w:cs="Arial" w:eastAsia="Arial" w:hAnsi="Arial"/>
          <w:sz w:val="17"/>
          <w:szCs w:val="17"/>
          <w:b w:val="1"/>
          <w:bCs w:val="1"/>
          <w:color w:val="auto"/>
        </w:rPr>
        <w:t>SUMITOMO MITSUI BANKING CORPORATION</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51" w:name="page352"/>
    <w:bookmarkEnd w:id="351"/>
    <w:p>
      <w:pPr>
        <w:ind w:left="5620"/>
        <w:spacing w:after="0"/>
        <w:rPr>
          <w:sz w:val="20"/>
          <w:szCs w:val="20"/>
          <w:color w:val="auto"/>
        </w:rPr>
      </w:pPr>
      <w:r>
        <w:rPr>
          <w:rFonts w:ascii="Arial" w:cs="Arial" w:eastAsia="Arial" w:hAnsi="Arial"/>
          <w:sz w:val="18"/>
          <w:szCs w:val="18"/>
          <w:b w:val="1"/>
          <w:bCs w:val="1"/>
          <w:color w:val="auto"/>
        </w:rPr>
        <w:t>THE TORONTO-DOMINION BANK,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NEW YORK BRANCH</w:t>
      </w:r>
      <w:r>
        <w:rPr>
          <w:rFonts w:ascii="Arial" w:cs="Arial" w:eastAsia="Arial" w:hAnsi="Arial"/>
          <w:sz w:val="18"/>
          <w:szCs w:val="18"/>
          <w:color w:val="auto"/>
        </w:rPr>
        <w:t>, as a Lender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2" w:name="page353"/>
    <w:bookmarkEnd w:id="352"/>
    <w:p>
      <w:pPr>
        <w:ind w:left="5620"/>
        <w:spacing w:after="0"/>
        <w:rPr>
          <w:sz w:val="20"/>
          <w:szCs w:val="20"/>
          <w:color w:val="auto"/>
        </w:rPr>
      </w:pPr>
      <w:r>
        <w:rPr>
          <w:rFonts w:ascii="Arial" w:cs="Arial" w:eastAsia="Arial" w:hAnsi="Arial"/>
          <w:sz w:val="17"/>
          <w:szCs w:val="17"/>
          <w:b w:val="1"/>
          <w:bCs w:val="1"/>
          <w:color w:val="auto"/>
        </w:rPr>
        <w:t>TRUIST BANK</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3" w:name="page354"/>
    <w:bookmarkEnd w:id="353"/>
    <w:p>
      <w:pPr>
        <w:ind w:left="56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William 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4" w:name="page355"/>
    <w:bookmarkEnd w:id="354"/>
    <w:p>
      <w:pPr>
        <w:ind w:left="5620"/>
        <w:spacing w:after="0"/>
        <w:rPr>
          <w:sz w:val="20"/>
          <w:szCs w:val="20"/>
          <w:color w:val="auto"/>
        </w:rPr>
      </w:pPr>
      <w:r>
        <w:rPr>
          <w:rFonts w:ascii="Arial" w:cs="Arial" w:eastAsia="Arial" w:hAnsi="Arial"/>
          <w:sz w:val="17"/>
          <w:szCs w:val="17"/>
          <w:b w:val="1"/>
          <w:bCs w:val="1"/>
          <w:color w:val="auto"/>
        </w:rPr>
        <w:t>ZB N.A. DBA AMEGY BANK</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5" w:name="page356"/>
    <w:bookmarkEnd w:id="355"/>
    <w:p>
      <w:pPr>
        <w:ind w:left="5620"/>
        <w:spacing w:after="0"/>
        <w:rPr>
          <w:sz w:val="20"/>
          <w:szCs w:val="20"/>
          <w:color w:val="auto"/>
        </w:rPr>
      </w:pPr>
      <w:r>
        <w:rPr>
          <w:rFonts w:ascii="Arial" w:cs="Arial" w:eastAsia="Arial" w:hAnsi="Arial"/>
          <w:sz w:val="17"/>
          <w:szCs w:val="17"/>
          <w:b w:val="1"/>
          <w:bCs w:val="1"/>
          <w:color w:val="auto"/>
        </w:rPr>
        <w:t>MORGAN STANLEY BANK, N.A.</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SCHEDULE 2.01</w:t>
            </w:r>
          </w:p>
        </w:tc>
      </w:tr>
      <w:tr>
        <w:trPr>
          <w:trHeight w:val="414"/>
        </w:trPr>
        <w:tc>
          <w:tcPr>
            <w:tcW w:w="7300" w:type="dxa"/>
            <w:vAlign w:val="bottom"/>
            <w:gridSpan w:val="2"/>
          </w:tcPr>
          <w:p>
            <w:pPr>
              <w:ind w:left="4900"/>
              <w:spacing w:after="0"/>
              <w:rPr>
                <w:sz w:val="20"/>
                <w:szCs w:val="20"/>
                <w:color w:val="auto"/>
              </w:rPr>
            </w:pPr>
            <w:r>
              <w:rPr>
                <w:rFonts w:ascii="Arial" w:cs="Arial" w:eastAsia="Arial" w:hAnsi="Arial"/>
                <w:sz w:val="18"/>
                <w:szCs w:val="18"/>
                <w:b w:val="1"/>
                <w:bCs w:val="1"/>
                <w:color w:val="auto"/>
              </w:rPr>
              <w:t>COMMITMENTS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7300" w:type="dxa"/>
            <w:vAlign w:val="bottom"/>
            <w:gridSpan w:val="2"/>
          </w:tcPr>
          <w:p>
            <w:pPr>
              <w:ind w:left="4140"/>
              <w:spacing w:after="0"/>
              <w:rPr>
                <w:sz w:val="20"/>
                <w:szCs w:val="20"/>
                <w:color w:val="auto"/>
              </w:rPr>
            </w:pPr>
            <w:r>
              <w:rPr>
                <w:rFonts w:ascii="Arial" w:cs="Arial" w:eastAsia="Arial" w:hAnsi="Arial"/>
                <w:sz w:val="18"/>
                <w:szCs w:val="18"/>
                <w:b w:val="1"/>
                <w:bCs w:val="1"/>
                <w:color w:val="auto"/>
              </w:rPr>
              <w:t>AND APPLICABLE PERCENTAGES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Lender</w:t>
            </w:r>
          </w:p>
        </w:tc>
        <w:tc>
          <w:tcPr>
            <w:tcW w:w="240" w:type="dxa"/>
            <w:vAlign w:val="bottom"/>
          </w:tcPr>
          <w:p>
            <w:pPr>
              <w:spacing w:after="0"/>
              <w:rPr>
                <w:sz w:val="24"/>
                <w:szCs w:val="24"/>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Commitment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Applicable Percentage</w:t>
            </w:r>
          </w:p>
        </w:tc>
      </w:tr>
      <w:tr>
        <w:trPr>
          <w:trHeight w:val="209"/>
        </w:trPr>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64,000,000.00</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4.7407407407%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Bank of Montreal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Nova Scotia, Houston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Barclays Bank PLC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CoBank, ACB</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Mizuho Bank, Ltd.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Bank, Ltd.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Royal Bank of Canada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The Toronto-Dominion Bank, New York Branch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ZB N.A. DBA Amegy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2.5925925926%</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35,000,000.00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2.5925925926%</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*Rounded to ten decimal places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7" w:name="page358"/>
    <w:bookmarkEnd w:id="357"/>
    <w:tbl>
      <w:tblPr>
        <w:tblLayout w:type="fixed"/>
        <w:tblInd w:w="660" w:type="dxa"/>
        <w:tblCellMar>
          <w:top w:w="0" w:type="dxa"/>
          <w:left w:w="0" w:type="dxa"/>
          <w:bottom w:w="0" w:type="dxa"/>
          <w:right w:w="0" w:type="dxa"/>
        </w:tblCellMar>
      </w:tblPr>
      <w:tr>
        <w:trPr>
          <w:trHeight w:val="234"/>
        </w:trPr>
        <w:tc>
          <w:tcPr>
            <w:tcW w:w="7820" w:type="dxa"/>
            <w:vAlign w:val="bottom"/>
          </w:tcPr>
          <w:p>
            <w:pPr>
              <w:ind w:left="3340"/>
              <w:spacing w:after="0"/>
              <w:rPr>
                <w:sz w:val="20"/>
                <w:szCs w:val="20"/>
                <w:color w:val="auto"/>
              </w:rPr>
            </w:pPr>
            <w:r>
              <w:rPr>
                <w:rFonts w:ascii="Arial" w:cs="Arial" w:eastAsia="Arial" w:hAnsi="Arial"/>
                <w:sz w:val="18"/>
                <w:szCs w:val="18"/>
                <w:b w:val="1"/>
                <w:bCs w:val="1"/>
                <w:color w:val="auto"/>
              </w:rPr>
              <w:t>LETTER OF CREDIT COMMITMENTS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7820" w:type="dxa"/>
            <w:vAlign w:val="bottom"/>
          </w:tcPr>
          <w:p>
            <w:pPr>
              <w:ind w:left="3620"/>
              <w:spacing w:after="0"/>
              <w:rPr>
                <w:sz w:val="20"/>
                <w:szCs w:val="20"/>
                <w:color w:val="auto"/>
              </w:rPr>
            </w:pPr>
            <w:r>
              <w:rPr>
                <w:rFonts w:ascii="Arial" w:cs="Arial" w:eastAsia="Arial" w:hAnsi="Arial"/>
                <w:sz w:val="18"/>
                <w:szCs w:val="18"/>
                <w:b w:val="1"/>
                <w:bCs w:val="1"/>
                <w:color w:val="auto"/>
              </w:rPr>
              <w:t>Lender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Commitment</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250,000,000.00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Citibank, N.A.</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50,000,000.00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50,000,000.00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50,000,000.00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400,000,000.00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i w:val="1"/>
          <w:iCs w:val="1"/>
          <w:color w:val="auto"/>
        </w:rPr>
        <w:t>SCHEDULE 2.01A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BANKERS’ ACCEPTANCES</w:t>
      </w:r>
    </w:p>
    <w:p>
      <w:pPr>
        <w:spacing w:after="0" w:line="229" w:lineRule="exact"/>
        <w:rPr>
          <w:sz w:val="20"/>
          <w:szCs w:val="20"/>
          <w:color w:val="auto"/>
        </w:rPr>
      </w:pPr>
    </w:p>
    <w:p>
      <w:pPr>
        <w:jc w:val="both"/>
        <w:ind w:firstLine="656"/>
        <w:spacing w:after="0" w:line="263" w:lineRule="auto"/>
        <w:tabs>
          <w:tab w:leader="none" w:pos="1053"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Execution of Canadian BA’s</w:t>
      </w:r>
      <w:r>
        <w:rPr>
          <w:rFonts w:ascii="Arial" w:cs="Arial" w:eastAsia="Arial" w:hAnsi="Arial"/>
          <w:sz w:val="18"/>
          <w:szCs w:val="18"/>
          <w:color w:val="auto"/>
        </w:rPr>
        <w:t>. (a) To facilitate the acceptance of Canadian BA’s hereunder, PMCULC hereby appoints each Lender as its attorney to sign and endorse on its behalf, as and when considered necessary by such Lender, an appropriate number of Canadian BA’s in the form prescribed by such Lender.</w:t>
      </w:r>
    </w:p>
    <w:p>
      <w:pPr>
        <w:spacing w:after="0" w:line="184" w:lineRule="exact"/>
        <w:rPr>
          <w:sz w:val="20"/>
          <w:szCs w:val="20"/>
          <w:color w:val="auto"/>
        </w:rPr>
      </w:pPr>
    </w:p>
    <w:p>
      <w:pPr>
        <w:jc w:val="both"/>
        <w:ind w:firstLine="656"/>
        <w:spacing w:after="0" w:line="259" w:lineRule="auto"/>
        <w:tabs>
          <w:tab w:leader="none" w:pos="108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Lender may, at its option, execute any Canadian BA in handwriting or by the facsimile or mechanical signature of any of its authorized officers, and each Lender is hereby authorized to accept or pay, as the case may be, any Canadian BA of PMCULC that purports to bear such a signature, notwithstanding that any such individual has ceased to be an authorized officer of such Lender. Any such Canadian BA shall be as valid as if such individual were an authorized officer at the date of issue of the Canadian BA.</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07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Canadian BA signed by a Lender as attorney for PMCULC, whether signed in handwriting or by the facsimile or mechanical signature of an authorized officer of a Lender, may be dealt with by such Lender for all intents and purposes, and shall bind PMCULC, as if duly signed and issued by PMCULC.</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8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receipt by a Lender of a request for a Borrowing by way of Canadian BA’s shall be such Lender’s sufficient authority to execute, and each Lender shall, subject to the terms and conditions of this Agreement, execute Canadian BA’s in accordance with such request and the advice of the Administrative Agent given pursuant to Section 4 of this Schedule, and the Canadian BA’s so executed shall thereupon be deemed to have been presented for acceptance.</w:t>
      </w:r>
    </w:p>
    <w:p>
      <w:pPr>
        <w:spacing w:after="0" w:line="187" w:lineRule="exact"/>
        <w:rPr>
          <w:sz w:val="20"/>
          <w:szCs w:val="20"/>
          <w:color w:val="auto"/>
        </w:rPr>
      </w:pPr>
    </w:p>
    <w:p>
      <w:pPr>
        <w:ind w:firstLine="656"/>
        <w:spacing w:after="0" w:line="308" w:lineRule="auto"/>
        <w:tabs>
          <w:tab w:leader="none" w:pos="1053"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Sale of Canadian BA’s</w:t>
      </w:r>
      <w:r>
        <w:rPr>
          <w:rFonts w:ascii="Arial" w:cs="Arial" w:eastAsia="Arial" w:hAnsi="Arial"/>
          <w:sz w:val="17"/>
          <w:szCs w:val="17"/>
          <w:color w:val="auto"/>
        </w:rPr>
        <w:t>. (a) It shall be the responsibility of each Lender to arrange, in accordance with normal market practice, for the sale on each funding date of a Canadian BA to be accepted by such Lender, failing which such Lender shall purchase such Canadian BA.</w:t>
      </w:r>
    </w:p>
    <w:p>
      <w:pPr>
        <w:spacing w:after="0" w:line="146" w:lineRule="exact"/>
        <w:rPr>
          <w:sz w:val="20"/>
          <w:szCs w:val="20"/>
          <w:color w:val="auto"/>
        </w:rPr>
      </w:pPr>
    </w:p>
    <w:p>
      <w:pPr>
        <w:ind w:right="20" w:firstLine="656"/>
        <w:spacing w:after="0" w:line="277" w:lineRule="auto"/>
        <w:tabs>
          <w:tab w:leader="none" w:pos="108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accordance with the procedures set forth in Section 4 of this Schedule, each Lender will make the net proceeds of the applicable Borrowing by way of Canadian BA’s available to PMCULC on the funding date.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7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parties agree that in the administering of Canadian BA’s, each Lender may avail itself of the debt clearing services offered by a clearing house for depository notes pursuant to the Depository Bills and Notes Act (Canada) and that the procedures set forth in Article II of the Credit Agreement be deemed amended to the extent necessary to comply with the requirements of such debt clearing services.</w:t>
      </w:r>
    </w:p>
    <w:p>
      <w:pPr>
        <w:spacing w:after="0" w:line="184" w:lineRule="exact"/>
        <w:rPr>
          <w:sz w:val="20"/>
          <w:szCs w:val="20"/>
          <w:color w:val="auto"/>
        </w:rPr>
      </w:pPr>
    </w:p>
    <w:p>
      <w:pPr>
        <w:jc w:val="both"/>
        <w:ind w:firstLine="656"/>
        <w:spacing w:after="0" w:line="257" w:lineRule="auto"/>
        <w:tabs>
          <w:tab w:leader="none" w:pos="1053"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Size and Maturity of Canadian BA’s and Rollovers</w:t>
      </w:r>
      <w:r>
        <w:rPr>
          <w:rFonts w:ascii="Arial" w:cs="Arial" w:eastAsia="Arial" w:hAnsi="Arial"/>
          <w:sz w:val="18"/>
          <w:szCs w:val="18"/>
          <w:color w:val="auto"/>
        </w:rPr>
        <w:t>. Each Borrowing by means of Canadian BA’s shall be in a minimum amount of CDN$1,000,000, and no more than seven Borrowings of Canadian BA’s shall be outstanding at any time. Each Canadian BA shall have a term of 30, 60 or 90 days (or such other period as may be agreed to by PMCULC and the Lenders) after the date of acceptance of the Canadian BA by a Lender, but no Canadian BA may mature on a date which is not a Business Day or after the Maturity Date. The face amount at maturity of a Canadian BA may be rolled over as a Canadian BA (by repayment and reissue) or repaid.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9" w:name="page360"/>
    <w:bookmarkEnd w:id="359"/>
    <w:p>
      <w:pPr>
        <w:ind w:firstLine="656"/>
        <w:spacing w:after="0" w:line="277" w:lineRule="auto"/>
        <w:tabs>
          <w:tab w:leader="none" w:pos="1053"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Coordination of Canadian BA Advances</w:t>
      </w:r>
      <w:r>
        <w:rPr>
          <w:rFonts w:ascii="Arial" w:cs="Arial" w:eastAsia="Arial" w:hAnsi="Arial"/>
          <w:sz w:val="18"/>
          <w:szCs w:val="18"/>
          <w:color w:val="auto"/>
        </w:rPr>
        <w:t xml:space="preserve">. Each Lender shall advance its Applicable Percentage of each Borrowing by way of Canadian BA’s in accordance with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and the provisions set forth below.</w:t>
      </w:r>
    </w:p>
    <w:p>
      <w:pPr>
        <w:spacing w:after="0" w:line="170" w:lineRule="exact"/>
        <w:rPr>
          <w:sz w:val="20"/>
          <w:szCs w:val="20"/>
          <w:color w:val="auto"/>
        </w:rPr>
      </w:pPr>
    </w:p>
    <w:p>
      <w:pPr>
        <w:jc w:val="both"/>
        <w:ind w:firstLine="656"/>
        <w:spacing w:after="0" w:line="287" w:lineRule="auto"/>
        <w:tabs>
          <w:tab w:leader="none" w:pos="107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The Administrative Agent, promptly following receipt of a notice from PMCULC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requesting a Borrowing by way of Canadian BA’s, shall advise each Lender of the aggregate face amount and term(s) of the Canadian BA’s to be accepted by it, which term(s) shall, subject to the provisions hereof, be identical for all Lenders. The aggregate face amount of Canadian BA’s to be accepted by a Lender shall be determined by the Administrative Agent by reference to the respective Commitments of the Lenders. In the event it is not practicable to allocate Canadian BA’s to each Lender such that the aggregate amount of Canadian BA’s required to be purchased by such Lender hereunder is in a whole multiple of C$100,000, Administrative Agent is authorized by PMCULC and each Lender to make such allocation as Administrative Agent determines in its sole and unfettered discretion may be equitable in the circumstances and, if the aggregate amount of such Canadian BA’s is not a whole multiple of C$100,000, then the Administrative Agent may allocate (on a basis considered by it to be equitable) the excess of such amount over the next lowest whole multiple of C$100,000 to one Lender, which shall purchase a Canadian BA with a face amount equal to the excess and having the same term as the corresponding Canadian BA’s. In no event shall the portion of the outstanding Borrowings by way of Canadian BA’s of a Lender exceed such Lender’s Percentage Share of the aggregate Borrowings by way of Canadian BA’s by more than C$100,000 as a result of such exercise of discretion by Administrative Agent.</w:t>
      </w:r>
    </w:p>
    <w:p>
      <w:pPr>
        <w:spacing w:after="0" w:line="171" w:lineRule="exact"/>
        <w:rPr>
          <w:rFonts w:ascii="Arial" w:cs="Arial" w:eastAsia="Arial" w:hAnsi="Arial"/>
          <w:sz w:val="16"/>
          <w:szCs w:val="16"/>
          <w:color w:val="auto"/>
        </w:rPr>
      </w:pPr>
    </w:p>
    <w:p>
      <w:pPr>
        <w:jc w:val="both"/>
        <w:ind w:firstLine="656"/>
        <w:spacing w:after="0" w:line="288" w:lineRule="auto"/>
        <w:tabs>
          <w:tab w:leader="none" w:pos="1083" w:val="left"/>
        </w:tabs>
        <w:numPr>
          <w:ilvl w:val="0"/>
          <w:numId w:val="384"/>
        </w:numPr>
        <w:rPr>
          <w:rFonts w:ascii="Arial" w:cs="Arial" w:eastAsia="Arial" w:hAnsi="Arial"/>
          <w:sz w:val="16"/>
          <w:szCs w:val="16"/>
          <w:color w:val="auto"/>
        </w:rPr>
      </w:pPr>
      <w:r>
        <w:rPr>
          <w:rFonts w:ascii="Arial" w:cs="Arial" w:eastAsia="Arial" w:hAnsi="Arial"/>
          <w:sz w:val="16"/>
          <w:szCs w:val="16"/>
          <w:color w:val="auto"/>
        </w:rPr>
        <w:t>Each Lender shall transfer to the Administrative Agent by not later than 2:00 p.m. (Toronto time) on each funding date for Canadian BA’s, immediately available Canadian Dollars in an aggregate amount equal to the Canadian BA Discount Proceeds of all Canadian BA’s accepted and sold or purchased by such Lender on such funding date net of the applicable Canadian BA Fee and net of the amount required to pay any of its previously accepted Canadian BA’s that are maturing on the funding date or any of its other Borrowing that are being converted to Canadian BA’s on the funding date. In the case of a conversion from a Borrowing of Canadian Prime Rate Loans to PMCULC into a Borrowing by way of Bankers’ Acceptances to be accepted by a Lender pursuant hereto, such Lender, in order to satisfy the continuing liability of PMCULC to it for the principal amount of the Canadian Prime Rate Loans being converted, shall retain for its own account the Canadian BA Discount Proceeds of each new Canadian BA issued by it in connection with such conversion; and PMCULC shall, on the date of issuance of the Canadian BA’s, pay to the Administrative Agent for the benefit of Lenders an amount equal to the difference between the aggregate principal amount of the Canadian Prime Rate Loans being converted owing to the Lenders and the aggregate Canadian BA Discount Proceeds of such Canadian BA’s net of the applicable Canadian BA Fee.</w:t>
      </w:r>
    </w:p>
    <w:p>
      <w:pPr>
        <w:spacing w:after="0" w:line="168" w:lineRule="exact"/>
        <w:rPr>
          <w:rFonts w:ascii="Arial" w:cs="Arial" w:eastAsia="Arial" w:hAnsi="Arial"/>
          <w:sz w:val="16"/>
          <w:szCs w:val="16"/>
          <w:color w:val="auto"/>
        </w:rPr>
      </w:pPr>
    </w:p>
    <w:p>
      <w:pPr>
        <w:jc w:val="both"/>
        <w:ind w:firstLine="656"/>
        <w:spacing w:after="0" w:line="254" w:lineRule="auto"/>
        <w:tabs>
          <w:tab w:leader="none" w:pos="1072"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Notwithstanding any other provision hereof, for the purpose of determining the amount to be transferred by a Lender to PMCULC in respect of the sale of any Canadian BA accepted by such Lender and sold or purchased by it, the proceeds of sale thereof shall be deemed to be an amount equal to the Canadian BA Discount Proceeds calculated with respect thereto. Accordingly, in respect of any particular Canadian BA accepted by it, a Lender (in addition to its entitlement to retain the applicable Canadian BA Fee for its own account) (i) shall be entitled to retain for its own account the amount, if any, by which the actual proceeds of sale thereof exceed the Canadian BA Discount Proceeds calculated with respect thereto; and (ii) shall be required to pay out of its own funds the amount, if any, by which the actual proceeds of sale thereof are less than the Canadian BA Discount Proceeds calculated with respect thereto.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0" w:name="page361"/>
    <w:bookmarkEnd w:id="360"/>
    <w:p>
      <w:pPr>
        <w:jc w:val="both"/>
        <w:ind w:firstLine="656"/>
        <w:spacing w:after="0" w:line="269" w:lineRule="auto"/>
        <w:tabs>
          <w:tab w:leader="none" w:pos="1083" w:val="left"/>
        </w:tabs>
        <w:numPr>
          <w:ilvl w:val="0"/>
          <w:numId w:val="385"/>
        </w:numPr>
        <w:rPr>
          <w:rFonts w:ascii="Arial" w:cs="Arial" w:eastAsia="Arial" w:hAnsi="Arial"/>
          <w:sz w:val="17"/>
          <w:szCs w:val="17"/>
          <w:color w:val="auto"/>
        </w:rPr>
      </w:pPr>
      <w:r>
        <w:rPr>
          <w:rFonts w:ascii="Arial" w:cs="Arial" w:eastAsia="Arial" w:hAnsi="Arial"/>
          <w:sz w:val="17"/>
          <w:szCs w:val="17"/>
          <w:color w:val="auto"/>
        </w:rPr>
        <w:t>Whenever PMCULC requests a Borrowing that includes Canadian BA’s, each Lender that is not permitted by Applicable Law, by its internal policies to accept Canadian BA’s or by customary market practice to accept a Canadian BA (a “</w:t>
      </w:r>
      <w:r>
        <w:rPr>
          <w:rFonts w:ascii="Arial" w:cs="Arial" w:eastAsia="Arial" w:hAnsi="Arial"/>
          <w:sz w:val="17"/>
          <w:szCs w:val="17"/>
          <w:u w:val="single" w:color="auto"/>
          <w:color w:val="auto"/>
        </w:rPr>
        <w:t>Non BA Lender</w:t>
      </w:r>
      <w:r>
        <w:rPr>
          <w:rFonts w:ascii="Arial" w:cs="Arial" w:eastAsia="Arial" w:hAnsi="Arial"/>
          <w:sz w:val="17"/>
          <w:szCs w:val="17"/>
          <w:color w:val="auto"/>
        </w:rPr>
        <w:t xml:space="preserve">”) shall, in lieu of accepting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such Canadian BA’s, make available to PMCULC on the funding date a non-interest bearing loan (a “</w:t>
      </w:r>
      <w:r>
        <w:rPr>
          <w:rFonts w:ascii="Arial" w:cs="Arial" w:eastAsia="Arial" w:hAnsi="Arial"/>
          <w:sz w:val="17"/>
          <w:szCs w:val="17"/>
          <w:u w:val="single" w:color="auto"/>
          <w:color w:val="auto"/>
        </w:rPr>
        <w:t>Canadian BA Equivalent Loan</w:t>
      </w:r>
      <w:r>
        <w:rPr>
          <w:rFonts w:ascii="Arial" w:cs="Arial" w:eastAsia="Arial" w:hAnsi="Arial"/>
          <w:sz w:val="17"/>
          <w:szCs w:val="17"/>
          <w:color w:val="auto"/>
        </w:rPr>
        <w:t xml:space="preserve">”) in Canadian Dollars in an amount equal to the amount of Canadian BA Discount Proceeds that would constitute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the applicable Canadian BA’s based on the Canadian BA Discount Rate set forth in c</w:t>
      </w:r>
      <w:r>
        <w:rPr>
          <w:rFonts w:ascii="Arial" w:cs="Arial" w:eastAsia="Arial" w:hAnsi="Arial"/>
          <w:sz w:val="17"/>
          <w:szCs w:val="17"/>
          <w:u w:val="single" w:color="auto"/>
          <w:color w:val="auto"/>
        </w:rPr>
        <w:t>lause (b)</w:t>
      </w:r>
      <w:r>
        <w:rPr>
          <w:rFonts w:ascii="Arial" w:cs="Arial" w:eastAsia="Arial" w:hAnsi="Arial"/>
          <w:sz w:val="17"/>
          <w:szCs w:val="17"/>
          <w:color w:val="auto"/>
        </w:rPr>
        <w:t xml:space="preserve"> of the definition of “Canadian BA Discount Rate”. Each Non BA Lender also shall be entitled to deduct from each Canadian BA Equivalent Loan an amount equal to the Canadian BA Fee that would have been applicable had it been able to accept Canadian BA’s. Each Canadian BA Equivalent Loan shall have a term equal to the term of the Canadian BA’s that the Non BA Lender would otherwise have accepted and PMCULC shall, at the end of that term, be obligated to pay the Non BA Lender an amount equal to the aggregate face amount of the Canadian BA’s that it would otherwise have accepted. All provisions of this Agreement applicable to Canadian BA’s and Lenders that accept Canadian BA’s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Canadian BA Equivalent Loans and Non BA Lenders and, without limiting the foregoing, Borrowings shall include Canadian BA Equivalent Loans.</w:t>
      </w:r>
    </w:p>
    <w:p>
      <w:pPr>
        <w:spacing w:after="0" w:line="182" w:lineRule="exact"/>
        <w:rPr>
          <w:sz w:val="20"/>
          <w:szCs w:val="20"/>
          <w:color w:val="auto"/>
        </w:rPr>
      </w:pPr>
    </w:p>
    <w:p>
      <w:pPr>
        <w:jc w:val="both"/>
        <w:ind w:firstLine="656"/>
        <w:spacing w:after="0" w:line="272" w:lineRule="auto"/>
        <w:tabs>
          <w:tab w:leader="none" w:pos="1053"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Payment of Canadian BA’s; Cash Collateral; Prepayments; Taxes, Yield Protection and Illegality</w:t>
      </w:r>
      <w:r>
        <w:rPr>
          <w:rFonts w:ascii="Arial" w:cs="Arial" w:eastAsia="Arial" w:hAnsi="Arial"/>
          <w:sz w:val="17"/>
          <w:szCs w:val="17"/>
          <w:color w:val="auto"/>
        </w:rPr>
        <w:t xml:space="preserve">. (a) PMCULC shall provide for the payment to each Lender of the full face amount of each Canadian BA accepted for its account on the earlier of (i) the date of maturity of such Canadian BA; and (ii) the date on which any Obligations become due and payable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Any amount owing by PMCULC in respect of any Canadian BA which is not paid in accordance with the foregoing, shall, as and from the date on which such Canadian BA matures, be deemed to be outstanding hereunder as a Canadian Prime Rate Loan. Each Lender shall be entitled to recover interest from PMCULC, at the Default Rate, on any amount that is not paid when due by PMCULC, from the date of maturity of each applicable Canadian BA to the date such payment, and all interest thereon, is provided for by PMCULC, both before and after demand, default and judgment.</w:t>
      </w:r>
    </w:p>
    <w:p>
      <w:pPr>
        <w:spacing w:after="0" w:line="177" w:lineRule="exact"/>
        <w:rPr>
          <w:sz w:val="20"/>
          <w:szCs w:val="20"/>
          <w:color w:val="auto"/>
        </w:rPr>
      </w:pPr>
    </w:p>
    <w:p>
      <w:pPr>
        <w:jc w:val="both"/>
        <w:ind w:firstLine="656"/>
        <w:spacing w:after="0" w:line="255" w:lineRule="auto"/>
        <w:tabs>
          <w:tab w:leader="none" w:pos="108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8.02(c)</w:t>
      </w:r>
      <w:r>
        <w:rPr>
          <w:rFonts w:ascii="Arial" w:cs="Arial" w:eastAsia="Arial" w:hAnsi="Arial"/>
          <w:sz w:val="18"/>
          <w:szCs w:val="18"/>
          <w:color w:val="auto"/>
        </w:rPr>
        <w:t>, “Cash Collateralize” means to pledge and deposit with or deliver to the Administrative Agent, for the benefit of the Lenders, as collateral for the Obligations in respect of Canadian BA’s, cash or deposit account balances pursuant to documentation in form and substance satisfactory to the Administrative Agent and the Lenders (which documents are hereby consented to by the Lenders). Derivatives of such term have corresponding meanings. PMCULC hereby grants to the Administrative Agent, for the benefit of the Lenders, a security interest in all such cash and deposit account balances and all proceeds of the foregoing. Cash Collateral shall be maintained in blocked accounts at Bank of America.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1" w:name="page362"/>
    <w:bookmarkEnd w:id="361"/>
    <w:p>
      <w:pPr>
        <w:jc w:val="both"/>
        <w:ind w:firstLine="656"/>
        <w:spacing w:after="0" w:line="291" w:lineRule="auto"/>
        <w:tabs>
          <w:tab w:leader="none" w:pos="107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Any amounts received by the Administrative Agent to be applied to outstanding Canadian BA’s, whether pursuant to an Event of Default and acceleration of the Obligations under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 prepayment as permitted or required under </w:t>
      </w:r>
      <w:r>
        <w:rPr>
          <w:rFonts w:ascii="Arial" w:cs="Arial" w:eastAsia="Arial" w:hAnsi="Arial"/>
          <w:sz w:val="16"/>
          <w:szCs w:val="16"/>
          <w:u w:val="single" w:color="auto"/>
          <w:color w:val="auto"/>
        </w:rPr>
        <w:t>Section 2.05</w:t>
      </w:r>
      <w:r>
        <w:rPr>
          <w:rFonts w:ascii="Arial" w:cs="Arial" w:eastAsia="Arial" w:hAnsi="Arial"/>
          <w:sz w:val="16"/>
          <w:szCs w:val="16"/>
          <w:color w:val="auto"/>
        </w:rPr>
        <w:t>, shall be deposited into an escrow account maintained by and in the name of the Administrative Agent for the benefit of Lenders for set-off against such outstanding Canadian BA’s as they mature, and pending such application shall bear interest at the rate declared by the Administrative Agent from time to time as that customarily paid by it in respect of similar deposits for such amount and for such period relative to the maturity date of such Canadian BA’s, as applicable. Upon the repayment of all such outstanding Canadian BA’s, any amounts remaining (including accrued interest) will (i) during the continuance of an Event of Default, be subject to such remedies as each Lender Party may have hereunder or under Applicable Law, or (ii) otherwise, be released to PMCULC.</w:t>
      </w:r>
    </w:p>
    <w:p>
      <w:pPr>
        <w:spacing w:after="0" w:line="166" w:lineRule="exact"/>
        <w:rPr>
          <w:rFonts w:ascii="Arial" w:cs="Arial" w:eastAsia="Arial" w:hAnsi="Arial"/>
          <w:sz w:val="16"/>
          <w:szCs w:val="16"/>
          <w:color w:val="auto"/>
        </w:rPr>
      </w:pPr>
    </w:p>
    <w:p>
      <w:pPr>
        <w:ind w:firstLine="656"/>
        <w:spacing w:after="0" w:line="277" w:lineRule="auto"/>
        <w:tabs>
          <w:tab w:leader="none" w:pos="1083"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applicable to Loans, Letters of Credit and the Commitments and Obligations in respect thereof apply to Canadian BA’s and the Commitments and Obligations in respect thereof,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55" w:lineRule="auto"/>
        <w:tabs>
          <w:tab w:leader="none" w:pos="1053"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Deemed Advance — Canadian BA’s</w:t>
      </w:r>
      <w:r>
        <w:rPr>
          <w:rFonts w:ascii="Arial" w:cs="Arial" w:eastAsia="Arial" w:hAnsi="Arial"/>
          <w:sz w:val="18"/>
          <w:szCs w:val="18"/>
          <w:color w:val="auto"/>
        </w:rPr>
        <w:t>. Except for amounts that are paid from the proceeds of a rollover of a Canadian BA or for which payment has otherwise been funded by PMCULC, any amount that a Lender pays to any third party on or after the date of maturity of a Canadian BA in satisfaction thereof, or that is owing to a Lender in respect of a Canadian BA on or after the date of maturity of such a Canadian BA, shall be deemed to be a Canadian Prime Rate Loan to PMCULC under this Agreement. Each Lender shall forthwith give notice of the making of such a Loan to PMCULC, the Administrative Agent and the other Lenders. Interest shall be payable on such Loans in accordance with the terms applicable to Canadian Prime Rate Loans.</w:t>
      </w:r>
    </w:p>
    <w:p>
      <w:pPr>
        <w:spacing w:after="0" w:line="192" w:lineRule="exact"/>
        <w:rPr>
          <w:rFonts w:ascii="Arial" w:cs="Arial" w:eastAsia="Arial" w:hAnsi="Arial"/>
          <w:sz w:val="18"/>
          <w:szCs w:val="18"/>
          <w:color w:val="auto"/>
        </w:rPr>
      </w:pPr>
    </w:p>
    <w:p>
      <w:pPr>
        <w:jc w:val="both"/>
        <w:ind w:firstLine="656"/>
        <w:spacing w:after="0" w:line="279" w:lineRule="auto"/>
        <w:tabs>
          <w:tab w:leader="none" w:pos="1053"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PMCULC waives presentment for payment of Canadian BA’s by Lenders. PMCULC shall not claim from a Lender any days of grace for the payment at maturity of any Canadian BA presented and accepted by such Lender pursuant to this Agreement. PMCULC waives any defence to payment that might otherwise exist if for any reason a Canadian BA shall be held by a Lender in its own right at the maturity thereof, and the doctrine of merger shall not apply to any Canadian BA that is at any time held by a Lender in its own right.</w:t>
      </w:r>
    </w:p>
    <w:p>
      <w:pPr>
        <w:spacing w:after="0" w:line="171" w:lineRule="exact"/>
        <w:rPr>
          <w:rFonts w:ascii="Arial" w:cs="Arial" w:eastAsia="Arial" w:hAnsi="Arial"/>
          <w:sz w:val="17"/>
          <w:szCs w:val="17"/>
          <w:color w:val="auto"/>
        </w:rPr>
      </w:pPr>
    </w:p>
    <w:p>
      <w:pPr>
        <w:jc w:val="both"/>
        <w:ind w:right="20" w:firstLine="656"/>
        <w:spacing w:after="0" w:line="257" w:lineRule="auto"/>
        <w:tabs>
          <w:tab w:leader="none" w:pos="1053"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Degree of Care</w:t>
      </w:r>
      <w:r>
        <w:rPr>
          <w:rFonts w:ascii="Arial" w:cs="Arial" w:eastAsia="Arial" w:hAnsi="Arial"/>
          <w:sz w:val="18"/>
          <w:szCs w:val="18"/>
          <w:color w:val="auto"/>
        </w:rPr>
        <w:t>. Any executed Canadian BA’s shall be held in safekeeping with the same degree of care as if they were the applicable Lender’s own property, and shall be kept at the place at which such Canadian BA’s are ordinarily held by such Lender. The Administrative Agent and Lenders shall not be liable for any damage, loss or improper use of any bankers’ acceptance draft endorsed in blank except for any loss arising by reason of the Administrative Agent or a Lender failing to use the same standard of care in the custody of such bankers’ acceptance drafts as the Administrative Agent or such Lender use in the custody of their own property of a similar nature.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2" w:name="page363"/>
    <w:bookmarkEnd w:id="362"/>
    <w:p>
      <w:pPr>
        <w:ind w:right="20" w:firstLine="656"/>
        <w:spacing w:after="0" w:line="308" w:lineRule="auto"/>
        <w:tabs>
          <w:tab w:leader="none" w:pos="1075"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obligations of PMCULC with respect to Canadian BA’s under this Agreement shall be unconditional and irrevocable, and shall be paid strictly in accordance with the terms of this Agreement under all circumstances, including the following circumstances:</w:t>
      </w:r>
    </w:p>
    <w:p>
      <w:pPr>
        <w:spacing w:after="0" w:line="146" w:lineRule="exact"/>
        <w:rPr>
          <w:rFonts w:ascii="Arial" w:cs="Arial" w:eastAsia="Arial" w:hAnsi="Arial"/>
          <w:sz w:val="17"/>
          <w:szCs w:val="17"/>
          <w:color w:val="auto"/>
        </w:rPr>
      </w:pPr>
    </w:p>
    <w:p>
      <w:pPr>
        <w:ind w:left="1740" w:hanging="436"/>
        <w:spacing w:after="0"/>
        <w:tabs>
          <w:tab w:leader="none" w:pos="174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any lack of validity or enforceability of any bankers’ acceptance, bill or note accepted by a Lender as a Canadian BA; or</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75"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existence of any claim, set off, defense or other right that PMCULC may have at any time against the holder of a Canadian BA, a Lender or any other Person, whether in connection with this Agreement or otherwise.</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Shortfall on Drawdowns, Rollovers and Conversions</w:t>
      </w:r>
      <w:r>
        <w:rPr>
          <w:rFonts w:ascii="Arial" w:cs="Arial" w:eastAsia="Arial" w:hAnsi="Arial"/>
          <w:sz w:val="18"/>
          <w:szCs w:val="18"/>
          <w:color w:val="auto"/>
        </w:rPr>
        <w:t>. PMCULC agrees that:</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48"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difference between the amount of a Borrowing requested by PMCULC by way of Canadian BA’s and the actual proceeds of the Canadian BA’s;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75"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pay a maturing Canadian BA, if a Canadian BA is being rolled over;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03"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repay any Borrowing that is being converted to a Canadian BA;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shall be funded and paid by PMCULC from its own resources, by 12:00 p.m. (Toronto time) on the day of the applicable Borrowing or may be advanced as a Canadian Prime Rate Loan under the Commitments if PMCULC is otherwise entitled to a Borrowing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b w:val="1"/>
          <w:bCs w:val="1"/>
          <w:i w:val="1"/>
          <w:iCs w:val="1"/>
          <w:color w:val="auto"/>
        </w:rPr>
        <w:t>SCHEDULE 5.03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GOVERNMENTAL AUTHORIZATION; OTHER CONSENTS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b w:val="1"/>
          <w:bCs w:val="1"/>
          <w:i w:val="1"/>
          <w:iCs w:val="1"/>
          <w:color w:val="auto"/>
        </w:rPr>
        <w:t>SCHEDULE 5.06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and its Subsidiaries are subject to actions, suits, proceedings, claims an disputes related to the Line 901 Incident as publicly disclosed in the Company’s Form 10-Q for the fiscal quarter ended June 30,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i w:val="1"/>
          <w:iCs w:val="1"/>
          <w:color w:val="auto"/>
        </w:rPr>
        <w:t>SCHEDULE 5.08</w:t>
      </w:r>
    </w:p>
    <w:p>
      <w:pPr>
        <w:spacing w:after="0" w:line="2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i w:val="1"/>
          <w:iCs w:val="1"/>
          <w:color w:val="auto"/>
        </w:rPr>
        <w:t>SCHEDULE 5.09</w:t>
      </w: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ERISA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i w:val="1"/>
          <w:iCs w:val="1"/>
          <w:color w:val="auto"/>
        </w:rPr>
        <w:t>SCHEDULE 5.12</w:t>
      </w:r>
    </w:p>
    <w:p>
      <w:pPr>
        <w:spacing w:after="0" w:line="22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COMPLIANCE WITH 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i w:val="1"/>
          <w:iCs w:val="1"/>
          <w:color w:val="auto"/>
        </w:rPr>
        <w:t>SCHEDULE 11.02</w:t>
      </w: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76-0582150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Access Identification Number: 2015780733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76-0582150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b w:val="1"/>
          <w:bCs w:val="1"/>
          <w:color w:val="auto"/>
        </w:rPr>
        <w:t>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payments and Requests for Credit Extensions):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Mail Code: </w:t>
      </w:r>
      <w:r>
        <w:rPr>
          <w:rFonts w:ascii="Arial" w:cs="Arial" w:eastAsia="Arial" w:hAnsi="Arial"/>
          <w:sz w:val="18"/>
          <w:szCs w:val="18"/>
          <w:u w:val="single" w:color="auto"/>
          <w:color w:val="auto"/>
        </w:rPr>
        <w:t>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Karen Puente</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469.201.8912</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214.290.8378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karen.r.puente@bofa.com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Wire Clearing Acct for Syn Loans - LIQ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w:t>
      </w:r>
    </w:p>
    <w:p>
      <w:pPr>
        <w:spacing w:after="0" w:line="207" w:lineRule="exact"/>
        <w:rPr>
          <w:sz w:val="20"/>
          <w:szCs w:val="20"/>
          <w:color w:val="auto"/>
        </w:rPr>
      </w:pPr>
    </w:p>
    <w:p>
      <w:pPr>
        <w:ind w:right="3959"/>
        <w:spacing w:after="0" w:line="257" w:lineRule="auto"/>
        <w:rPr>
          <w:sz w:val="20"/>
          <w:szCs w:val="20"/>
          <w:color w:val="auto"/>
        </w:rPr>
      </w:pPr>
      <w:r>
        <w:rPr>
          <w:rFonts w:ascii="Arial" w:cs="Arial" w:eastAsia="Arial" w:hAnsi="Arial"/>
          <w:sz w:val="18"/>
          <w:szCs w:val="18"/>
          <w:b w:val="1"/>
          <w:bCs w:val="1"/>
          <w:color w:val="auto"/>
        </w:rPr>
        <w:t xml:space="preserve">CAD Payment Instructions; Bank of America, Canada Office Wire Instructions: </w:t>
      </w:r>
      <w:r>
        <w:rPr>
          <w:rFonts w:ascii="Arial" w:cs="Arial" w:eastAsia="Arial" w:hAnsi="Arial"/>
          <w:sz w:val="18"/>
          <w:szCs w:val="18"/>
          <w:color w:val="auto"/>
        </w:rPr>
        <w:t>Beneficiary Bank: Bank of America NA, Canada Branch (SWIFT ID: BOFACATT) A/C #: 90083255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#0241 Transit #56792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of America NA, Canada Branch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CA5-705-04-09</w:t>
      </w:r>
    </w:p>
    <w:p>
      <w:pPr>
        <w:spacing w:after="0" w:line="192" w:lineRule="auto"/>
        <w:rPr>
          <w:sz w:val="20"/>
          <w:szCs w:val="20"/>
          <w:color w:val="auto"/>
        </w:rPr>
      </w:pPr>
      <w:r>
        <w:rPr>
          <w:rFonts w:ascii="Arial" w:cs="Arial" w:eastAsia="Arial" w:hAnsi="Arial"/>
          <w:sz w:val="18"/>
          <w:szCs w:val="18"/>
          <w:color w:val="auto"/>
        </w:rPr>
        <w:t>555 California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San Francisco, CA 94104</w:t>
      </w:r>
    </w:p>
    <w:p>
      <w:pPr>
        <w:spacing w:after="0" w:line="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Anthea Del Bianco</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415-436-2776</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Facsimile:</w:t>
        <w:tab/>
        <w:t>415-503-5101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anthea.del_bianco@bofa.com</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b w:val="1"/>
          <w:bCs w:val="1"/>
          <w:color w:val="auto"/>
        </w:rPr>
        <w:t>L/C ISSUERS: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Mike Grizzanti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570-496-9621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800-755-8743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michael.a.grizzanti@bofa.com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Penns Way, Ops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 19720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Gopinath Elogovan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201-472-4024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212-994-0847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global.loans.LCRecon@citi.com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L2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Letter of Credit 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855-609-9959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214-307-6874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chicago.lc.agency.closing.team@jpmchase.com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Louisiana St.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T0002-120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Nathan Starr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713-319-1977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713-319-1053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Nathan.Starr@wellsfargo.com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b w:val="1"/>
          <w:bCs w:val="1"/>
          <w:color w:val="auto"/>
        </w:rPr>
        <w:t>SWING LINE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Mail Code: </w:t>
      </w:r>
      <w:r>
        <w:rPr>
          <w:rFonts w:ascii="Arial" w:cs="Arial" w:eastAsia="Arial" w:hAnsi="Arial"/>
          <w:sz w:val="18"/>
          <w:szCs w:val="18"/>
          <w:u w:val="single" w:color="auto"/>
          <w:color w:val="auto"/>
        </w:rPr>
        <w:t>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Karen Puente</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469.201.8912</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214.290.8378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Wire Clearing Acct for Syn Loans - LIQ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Bank of America Canada (SWIFT ID: BOFACATT)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Number: 711465090227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of America, NA</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2" w:name="page373"/>
    <w:bookmarkEnd w:id="37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203190" cy="7797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20319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Renews and Extends Credit Facilities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HOUSTON, August 26, 2021 – Plains All American Pipeline and Plains GP Holdings (Nasdaq: </w:t>
      </w:r>
      <w:r>
        <w:rPr>
          <w:rFonts w:ascii="Arial" w:cs="Arial" w:eastAsia="Arial" w:hAnsi="Arial"/>
          <w:sz w:val="18"/>
          <w:szCs w:val="18"/>
          <w:u w:val="single" w:color="auto"/>
          <w:color w:val="auto"/>
        </w:rPr>
        <w:t>PAA</w:t>
      </w:r>
      <w:r>
        <w:rPr>
          <w:rFonts w:ascii="Arial" w:cs="Arial" w:eastAsia="Arial" w:hAnsi="Arial"/>
          <w:sz w:val="18"/>
          <w:szCs w:val="18"/>
          <w:color w:val="auto"/>
        </w:rPr>
        <w:t xml:space="preserve"> &amp; </w:t>
      </w:r>
      <w:r>
        <w:rPr>
          <w:rFonts w:ascii="Arial" w:cs="Arial" w:eastAsia="Arial" w:hAnsi="Arial"/>
          <w:sz w:val="18"/>
          <w:szCs w:val="18"/>
          <w:u w:val="single" w:color="auto"/>
          <w:color w:val="auto"/>
        </w:rPr>
        <w:t>PAGP</w:t>
      </w:r>
      <w:r>
        <w:rPr>
          <w:rFonts w:ascii="Arial" w:cs="Arial" w:eastAsia="Arial" w:hAnsi="Arial"/>
          <w:sz w:val="18"/>
          <w:szCs w:val="18"/>
          <w:color w:val="auto"/>
        </w:rPr>
        <w:t>) (collectively, “Plains”) today announced that PAA has renewed and extended its two credit facilities (the “Facilities”). The renewed and extended Facilities have an aggregate initial borrowing capacity of $2.7 billion and initial maturities in 2024 and 2026, replacing the previous facilities that were scheduled to mature in 2022 and 2024, respectively.</w:t>
      </w:r>
    </w:p>
    <w:p>
      <w:pPr>
        <w:spacing w:after="0" w:line="18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“Renewal and extension of these credit facilities aligns with our financial strategy, which includes ensuring ample credit capacity for our operating and commercial activities” stated Sharon Spurlin, Senior Vice President and Treasurer of Plains. “Notably, the new commitment levels reflect the reduced capital requirements of our business and the sizeable multi-year free cash flow after distributions Plains is positioned to generate. We sincerely value our long-term banking relationships and very much appreciate the continued trust and support of our lenders.”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new Facilities consist of a $1.35 billion Senior Unsecured Revolving Credit Facility with an initial maturity in August 2026 and a $1.35 billion Senior Secured Hedged Inventory Facility with an initial maturity in August 2024. The Facilities provide for one or more one-year extensions and have accordion features which, subject to receipt of incremental lender approval and other terms and conditions, permit PAA to increase borrowing capacity to $2.1 billion and $1.9 billion, respectively. The Facilities will be used for general corporate purposes and replace PAA’s previous credit facilities that had aggregate borrowing capacities of $1.6 billion and $1.4 billion and maturity dates in August 2024 and August 2022, respectively.</w:t>
      </w:r>
    </w:p>
    <w:p>
      <w:pPr>
        <w:spacing w:after="0" w:line="1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Funding for the Facilities was led by Bank of America, N.A. as Administrative Agent, with Citibank, N.A., JPMorgan Chase Bank, N.A. and Wells Fargo Bank, National Association also serving as Co-Syndication Agents. Shearman &amp; Sterling LLP acted as legal counsel to Plains, and Holland &amp; Knight LLP acted as legal counsel to the bank syndication.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A02C5E"/>
    <w:multiLevelType w:val="hybridMultilevel"/>
    <w:lvl w:ilvl="0">
      <w:lvlJc w:val="left"/>
      <w:lvlText w:val="☐"/>
      <w:numFmt w:val="bullet"/>
      <w:start w:val="1"/>
    </w:lvl>
  </w:abstractNum>
  <w:abstractNum w:abstractNumId="1">
    <w:nsid w:val="541C8153"/>
    <w:multiLevelType w:val="hybridMultilevel"/>
    <w:lvl w:ilvl="0">
      <w:lvlJc w:val="left"/>
      <w:lvlText w:val="·"/>
      <w:numFmt w:val="bullet"/>
      <w:start w:val="1"/>
    </w:lvl>
  </w:abstractNum>
  <w:abstractNum w:abstractNumId="2">
    <w:nsid w:val="67906F60"/>
    <w:multiLevelType w:val="hybridMultilevel"/>
    <w:lvl w:ilvl="0">
      <w:lvlJc w:val="left"/>
      <w:lvlText w:val="·"/>
      <w:numFmt w:val="bullet"/>
      <w:start w:val="1"/>
    </w:lvl>
  </w:abstractNum>
  <w:abstractNum w:abstractNumId="3">
    <w:nsid w:val="10DB9DAA"/>
    <w:multiLevelType w:val="hybridMultilevel"/>
    <w:lvl w:ilvl="0">
      <w:lvlJc w:val="left"/>
      <w:lvlText w:val="A"/>
      <w:numFmt w:val="bullet"/>
      <w:start w:val="1"/>
    </w:lvl>
  </w:abstractNum>
  <w:abstractNum w:abstractNumId="4">
    <w:nsid w:val="697D2D2"/>
    <w:multiLevelType w:val="hybridMultilevel"/>
    <w:lvl w:ilvl="0">
      <w:lvlJc w:val="left"/>
      <w:lvlText w:val="(%1)"/>
      <w:numFmt w:val="decimal"/>
      <w:start w:val="1"/>
    </w:lvl>
    <w:lvl w:ilvl="1">
      <w:lvlJc w:val="left"/>
      <w:lvlText w:val="(%2)"/>
      <w:numFmt w:val="lowerLetter"/>
      <w:start w:val="1"/>
    </w:lvl>
  </w:abstractNum>
  <w:abstractNum w:abstractNumId="5">
    <w:nsid w:val="6D68AB2"/>
    <w:multiLevelType w:val="hybridMultilevel"/>
    <w:lvl w:ilvl="0">
      <w:lvlJc w:val="left"/>
      <w:lvlText w:val="(%1)"/>
      <w:numFmt w:val="decimal"/>
      <w:start w:val="2"/>
    </w:lvl>
  </w:abstractNum>
  <w:abstractNum w:abstractNumId="6">
    <w:nsid w:val="3A966CD0"/>
    <w:multiLevelType w:val="hybridMultilevel"/>
    <w:lvl w:ilvl="0">
      <w:lvlJc w:val="left"/>
      <w:lvlText w:val="(%1)"/>
      <w:numFmt w:val="lowerLetter"/>
      <w:start w:val="1"/>
    </w:lvl>
  </w:abstractNum>
  <w:abstractNum w:abstractNumId="7">
    <w:nsid w:val="63F37E85"/>
    <w:multiLevelType w:val="hybridMultilevel"/>
    <w:lvl w:ilvl="0">
      <w:lvlJc w:val="left"/>
      <w:lvlText w:val="(%1)"/>
      <w:numFmt w:val="lowerLetter"/>
      <w:start w:val="2"/>
    </w:lvl>
  </w:abstractNum>
  <w:abstractNum w:abstractNumId="8">
    <w:nsid w:val="5895F5FA"/>
    <w:multiLevelType w:val="hybridMultilevel"/>
    <w:lvl w:ilvl="0">
      <w:lvlJc w:val="left"/>
      <w:lvlText w:val="%1"/>
      <w:numFmt w:val="lowerRoman"/>
      <w:start w:val="1"/>
    </w:lvl>
    <w:lvl w:ilvl="1">
      <w:lvlJc w:val="left"/>
      <w:lvlText w:val="(%2)"/>
      <w:numFmt w:val="lowerRoman"/>
      <w:start w:val="1"/>
    </w:lvl>
  </w:abstractNum>
  <w:abstractNum w:abstractNumId="9">
    <w:nsid w:val="38A5D054"/>
    <w:multiLevelType w:val="hybridMultilevel"/>
    <w:lvl w:ilvl="0">
      <w:lvlJc w:val="left"/>
      <w:lvlText w:val="(%1)"/>
      <w:numFmt w:val="lowerRoman"/>
      <w:start w:val="10"/>
    </w:lvl>
    <w:lvl w:ilvl="1">
      <w:lvlJc w:val="left"/>
      <w:lvlText w:val="(%2)"/>
      <w:numFmt w:val="lowerRoman"/>
      <w:start w:val="2"/>
    </w:lvl>
  </w:abstractNum>
  <w:abstractNum w:abstractNumId="10">
    <w:nsid w:val="F3F09D8"/>
    <w:multiLevelType w:val="hybridMultilevel"/>
    <w:lvl w:ilvl="0">
      <w:lvlJc w:val="left"/>
      <w:lvlText w:val="(%1)"/>
      <w:numFmt w:val="lowerLetter"/>
      <w:start w:val="3"/>
    </w:lvl>
  </w:abstractNum>
  <w:abstractNum w:abstractNumId="11">
    <w:nsid w:val="4B793735"/>
    <w:multiLevelType w:val="hybridMultilevel"/>
    <w:lvl w:ilvl="0">
      <w:lvlJc w:val="left"/>
      <w:lvlText w:val="(%1)"/>
      <w:numFmt w:val="lowerRoman"/>
      <w:start w:val="6"/>
    </w:lvl>
  </w:abstractNum>
  <w:abstractNum w:abstractNumId="12">
    <w:nsid w:val="4A10B4E8"/>
    <w:multiLevelType w:val="hybridMultilevel"/>
    <w:lvl w:ilvl="0">
      <w:lvlJc w:val="left"/>
      <w:lvlText w:val="(%1)"/>
      <w:numFmt w:val="lowerLetter"/>
      <w:start w:val="3"/>
    </w:lvl>
  </w:abstractNum>
  <w:abstractNum w:abstractNumId="13">
    <w:nsid w:val="43D3BCD4"/>
    <w:multiLevelType w:val="hybridMultilevel"/>
    <w:lvl w:ilvl="0">
      <w:lvlJc w:val="left"/>
      <w:lvlText w:val="(%1)"/>
      <w:numFmt w:val="decimal"/>
      <w:start w:val="1"/>
    </w:lvl>
  </w:abstractNum>
  <w:abstractNum w:abstractNumId="14">
    <w:nsid w:val="4C2A7166"/>
    <w:multiLevelType w:val="hybridMultilevel"/>
    <w:lvl w:ilvl="0">
      <w:lvlJc w:val="left"/>
      <w:lvlText w:val="(%1)"/>
      <w:numFmt w:val="lowerLetter"/>
      <w:start w:val="1"/>
    </w:lvl>
  </w:abstractNum>
  <w:abstractNum w:abstractNumId="15">
    <w:nsid w:val="2E534A82"/>
    <w:multiLevelType w:val="hybridMultilevel"/>
    <w:lvl w:ilvl="0">
      <w:lvlJc w:val="left"/>
      <w:lvlText w:val="(%1)"/>
      <w:numFmt w:val="lowerLetter"/>
      <w:start w:val="1"/>
    </w:lvl>
  </w:abstractNum>
  <w:abstractNum w:abstractNumId="16">
    <w:nsid w:val="26F2D364"/>
    <w:multiLevelType w:val="hybridMultilevel"/>
    <w:lvl w:ilvl="0">
      <w:lvlJc w:val="left"/>
      <w:lvlText w:val="(%1)"/>
      <w:numFmt w:val="lowerLetter"/>
      <w:start w:val="1"/>
    </w:lvl>
    <w:lvl w:ilvl="1">
      <w:lvlJc w:val="left"/>
      <w:lvlText w:val="(%2)"/>
      <w:numFmt w:val="lowerRoman"/>
      <w:start w:val="1"/>
    </w:lvl>
  </w:abstractNum>
  <w:abstractNum w:abstractNumId="17">
    <w:nsid w:val="71C1AF98"/>
    <w:multiLevelType w:val="hybridMultilevel"/>
    <w:lvl w:ilvl="0">
      <w:lvlJc w:val="left"/>
      <w:lvlText w:val="(%1)"/>
      <w:numFmt w:val="lowerLetter"/>
      <w:start w:val="9"/>
    </w:lvl>
  </w:abstractNum>
  <w:abstractNum w:abstractNumId="18">
    <w:nsid w:val="3D00B9D9"/>
    <w:multiLevelType w:val="hybridMultilevel"/>
    <w:lvl w:ilvl="0">
      <w:lvlJc w:val="left"/>
      <w:lvlText w:val="(%1)"/>
      <w:numFmt w:val="lowerLetter"/>
      <w:start w:val="4"/>
    </w:lvl>
  </w:abstractNum>
  <w:abstractNum w:abstractNumId="19">
    <w:nsid w:val="15BCABA8"/>
    <w:multiLevelType w:val="hybridMultilevel"/>
    <w:lvl w:ilvl="0">
      <w:lvlJc w:val="left"/>
      <w:lvlText w:val="(%1)"/>
      <w:numFmt w:val="lowerLetter"/>
      <w:start w:val="3"/>
    </w:lvl>
  </w:abstractNum>
  <w:abstractNum w:abstractNumId="20">
    <w:nsid w:val="4E0B9A87"/>
    <w:multiLevelType w:val="hybridMultilevel"/>
    <w:lvl w:ilvl="0">
      <w:lvlJc w:val="left"/>
      <w:lvlText w:val="(%1)"/>
      <w:numFmt w:val="lowerLetter"/>
      <w:start w:val="1"/>
    </w:lvl>
  </w:abstractNum>
  <w:abstractNum w:abstractNumId="21">
    <w:nsid w:val="434BAE75"/>
    <w:multiLevelType w:val="hybridMultilevel"/>
    <w:lvl w:ilvl="0">
      <w:lvlJc w:val="left"/>
      <w:lvlText w:val="(%1)"/>
      <w:numFmt w:val="lowerLetter"/>
      <w:start w:val="5"/>
    </w:lvl>
  </w:abstractNum>
  <w:abstractNum w:abstractNumId="22">
    <w:nsid w:val="4F38F265"/>
    <w:multiLevelType w:val="hybridMultilevel"/>
    <w:lvl w:ilvl="0">
      <w:lvlJc w:val="left"/>
      <w:lvlText w:val="(%1)"/>
      <w:numFmt w:val="lowerRoman"/>
      <w:start w:val="1"/>
    </w:lvl>
  </w:abstractNum>
  <w:abstractNum w:abstractNumId="23">
    <w:nsid w:val="4C502870"/>
    <w:multiLevelType w:val="hybridMultilevel"/>
    <w:lvl w:ilvl="0">
      <w:lvlJc w:val="left"/>
      <w:lvlText w:val="(%1)"/>
      <w:numFmt w:val="lowerRoman"/>
      <w:start w:val="2"/>
    </w:lvl>
  </w:abstractNum>
  <w:abstractNum w:abstractNumId="24">
    <w:nsid w:val="1DE8725A"/>
    <w:multiLevelType w:val="hybridMultilevel"/>
    <w:lvl w:ilvl="0">
      <w:lvlJc w:val="left"/>
      <w:lvlText w:val="(%1)"/>
      <w:numFmt w:val="lowerRoman"/>
      <w:start w:val="1"/>
    </w:lvl>
  </w:abstractNum>
  <w:abstractNum w:abstractNumId="25">
    <w:nsid w:val="6A37288A"/>
    <w:multiLevelType w:val="hybridMultilevel"/>
    <w:lvl w:ilvl="0">
      <w:lvlJc w:val="left"/>
      <w:lvlText w:val="(%1)"/>
      <w:numFmt w:val="lowerRoman"/>
      <w:start w:val="3"/>
    </w:lvl>
  </w:abstractNum>
  <w:abstractNum w:abstractNumId="26">
    <w:nsid w:val="8F8B73F"/>
    <w:multiLevelType w:val="hybridMultilevel"/>
    <w:lvl w:ilvl="0">
      <w:lvlJc w:val="left"/>
      <w:lvlText w:val="(%1)"/>
      <w:numFmt w:val="lowerLetter"/>
      <w:start w:val="1"/>
    </w:lvl>
  </w:abstractNum>
  <w:abstractNum w:abstractNumId="27">
    <w:nsid w:val="CA6B462"/>
    <w:multiLevelType w:val="hybridMultilevel"/>
    <w:lvl w:ilvl="0">
      <w:lvlJc w:val="left"/>
      <w:lvlText w:val="(%1)"/>
      <w:numFmt w:val="lowerLetter"/>
      <w:start w:val="2"/>
    </w:lvl>
  </w:abstractNum>
  <w:abstractNum w:abstractNumId="28">
    <w:nsid w:val="763CB680"/>
    <w:multiLevelType w:val="hybridMultilevel"/>
    <w:lvl w:ilvl="0">
      <w:lvlJc w:val="left"/>
      <w:lvlText w:val="%1"/>
      <w:numFmt w:val="lowerRoman"/>
      <w:start w:val="1"/>
    </w:lvl>
    <w:lvl w:ilvl="1">
      <w:lvlJc w:val="left"/>
      <w:lvlText w:val="(%2)"/>
      <w:numFmt w:val="lowerLetter"/>
      <w:start w:val="1"/>
    </w:lvl>
  </w:abstractNum>
  <w:abstractNum w:abstractNumId="29">
    <w:nsid w:val="15B71329"/>
    <w:multiLevelType w:val="hybridMultilevel"/>
    <w:lvl w:ilvl="0">
      <w:lvlJc w:val="left"/>
      <w:lvlText w:val="(%1)"/>
      <w:numFmt w:val="lowerRoman"/>
      <w:start w:val="2"/>
    </w:lvl>
    <w:lvl w:ilvl="1">
      <w:lvlJc w:val="left"/>
      <w:lvlText w:val="%2"/>
      <w:numFmt w:val="lowerLetter"/>
      <w:start w:val="1"/>
    </w:lvl>
  </w:abstractNum>
  <w:abstractNum w:abstractNumId="30">
    <w:nsid w:val="3DA97044"/>
    <w:multiLevelType w:val="hybridMultilevel"/>
    <w:lvl w:ilvl="0">
      <w:lvlJc w:val="left"/>
      <w:lvlText w:val="(%1)"/>
      <w:numFmt w:val="lowerRoman"/>
      <w:start w:val="6"/>
    </w:lvl>
    <w:lvl w:ilvl="1">
      <w:lvlJc w:val="left"/>
      <w:lvlText w:val="(%2)"/>
      <w:numFmt w:val="lowerLetter"/>
      <w:start w:val="2"/>
    </w:lvl>
  </w:abstractNum>
  <w:abstractNum w:abstractNumId="31">
    <w:nsid w:val="1CDCE2DE"/>
    <w:multiLevelType w:val="hybridMultilevel"/>
    <w:lvl w:ilvl="0">
      <w:lvlJc w:val="left"/>
      <w:lvlText w:val="(%1)"/>
      <w:numFmt w:val="lowerLetter"/>
      <w:start w:val="4"/>
    </w:lvl>
  </w:abstractNum>
  <w:abstractNum w:abstractNumId="32">
    <w:nsid w:val="69D3947C"/>
    <w:multiLevelType w:val="hybridMultilevel"/>
    <w:lvl w:ilvl="0">
      <w:lvlJc w:val="left"/>
      <w:lvlText w:val="(%1)"/>
      <w:numFmt w:val="lowerLetter"/>
      <w:start w:val="1"/>
    </w:lvl>
  </w:abstractNum>
  <w:abstractNum w:abstractNumId="33">
    <w:nsid w:val="2539DFA5"/>
    <w:multiLevelType w:val="hybridMultilevel"/>
    <w:lvl w:ilvl="0">
      <w:lvlJc w:val="left"/>
      <w:lvlText w:val="(%1)"/>
      <w:numFmt w:val="lowerLetter"/>
      <w:start w:val="1"/>
    </w:lvl>
  </w:abstractNum>
  <w:abstractNum w:abstractNumId="34">
    <w:nsid w:val="2DB88089"/>
    <w:multiLevelType w:val="hybridMultilevel"/>
    <w:lvl w:ilvl="0">
      <w:lvlJc w:val="left"/>
      <w:lvlText w:val="%1"/>
      <w:numFmt w:val="upperLetter"/>
      <w:start w:val="1"/>
    </w:lvl>
    <w:lvl w:ilvl="1">
      <w:lvlJc w:val="left"/>
      <w:lvlText w:val="(%2)"/>
      <w:numFmt w:val="lowerLetter"/>
      <w:start w:val="1"/>
    </w:lvl>
  </w:abstractNum>
  <w:abstractNum w:abstractNumId="35">
    <w:nsid w:val="706B674E"/>
    <w:multiLevelType w:val="hybridMultilevel"/>
    <w:lvl w:ilvl="0">
      <w:lvlJc w:val="left"/>
      <w:lvlText w:val="(%1)"/>
      <w:numFmt w:val="upperLetter"/>
      <w:start w:val="1"/>
    </w:lvl>
    <w:lvl w:ilvl="1">
      <w:lvlJc w:val="left"/>
      <w:lvlText w:val="%2"/>
      <w:numFmt w:val="lowerLetter"/>
      <w:start w:val="1"/>
    </w:lvl>
  </w:abstractNum>
  <w:abstractNum w:abstractNumId="36">
    <w:nsid w:val="2C106A57"/>
    <w:multiLevelType w:val="hybridMultilevel"/>
    <w:lvl w:ilvl="0">
      <w:lvlJc w:val="left"/>
      <w:lvlText w:val="(%1)"/>
      <w:numFmt w:val="lowerLetter"/>
      <w:start w:val="2"/>
    </w:lvl>
  </w:abstractNum>
  <w:abstractNum w:abstractNumId="37">
    <w:nsid w:val="684EED59"/>
    <w:multiLevelType w:val="hybridMultilevel"/>
    <w:lvl w:ilvl="0">
      <w:lvlJc w:val="left"/>
      <w:lvlText w:val="(%1)"/>
      <w:numFmt w:val="lowerLetter"/>
      <w:start w:val="4"/>
    </w:lvl>
  </w:abstractNum>
  <w:abstractNum w:abstractNumId="38">
    <w:nsid w:val="545EE5D3"/>
    <w:multiLevelType w:val="hybridMultilevel"/>
    <w:lvl w:ilvl="0">
      <w:lvlJc w:val="left"/>
      <w:lvlText w:val="(%1)"/>
      <w:numFmt w:val="lowerLetter"/>
      <w:start w:val="1"/>
    </w:lvl>
  </w:abstractNum>
  <w:abstractNum w:abstractNumId="39">
    <w:nsid w:val="4A6605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0">
    <w:nsid w:val="20F4BDA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1">
    <w:nsid w:val="639DEFA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2">
    <w:nsid w:val="501F978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3">
    <w:nsid w:val="6B057295"/>
    <w:multiLevelType w:val="hybridMultilevel"/>
    <w:lvl w:ilvl="0">
      <w:lvlJc w:val="left"/>
      <w:lvlText w:val="(%1)"/>
      <w:numFmt w:val="lowerLetter"/>
      <w:start w:val="5"/>
    </w:lvl>
  </w:abstractNum>
  <w:abstractNum w:abstractNumId="44">
    <w:nsid w:val="2771AC80"/>
    <w:multiLevelType w:val="hybridMultilevel"/>
    <w:lvl w:ilvl="0">
      <w:lvlJc w:val="left"/>
      <w:lvlText w:val="(%1)"/>
      <w:numFmt w:val="lowerLetter"/>
      <w:start w:val="6"/>
    </w:lvl>
  </w:abstractNum>
  <w:abstractNum w:abstractNumId="45">
    <w:nsid w:val="1C4A08EC"/>
    <w:multiLevelType w:val="hybridMultilevel"/>
    <w:lvl w:ilvl="0">
      <w:lvlJc w:val="left"/>
      <w:lvlText w:val="(%1)"/>
      <w:numFmt w:val="lowerLetter"/>
      <w:start w:val="7"/>
    </w:lvl>
    <w:lvl w:ilvl="1">
      <w:lvlJc w:val="left"/>
      <w:lvlText w:val="(%2)"/>
      <w:numFmt w:val="lowerRoman"/>
      <w:start w:val="1"/>
    </w:lvl>
  </w:abstractNum>
  <w:abstractNum w:abstractNumId="46">
    <w:nsid w:val="1958BD17"/>
    <w:multiLevelType w:val="hybridMultilevel"/>
    <w:lvl w:ilvl="0">
      <w:lvlJc w:val="left"/>
      <w:lvlText w:val="(%1)"/>
      <w:numFmt w:val="lowerRoman"/>
      <w:start w:val="1"/>
    </w:lvl>
  </w:abstractNum>
  <w:abstractNum w:abstractNumId="47">
    <w:nsid w:val="4E647FE4"/>
    <w:multiLevelType w:val="hybridMultilevel"/>
    <w:lvl w:ilvl="0">
      <w:lvlJc w:val="left"/>
      <w:lvlText w:val="(%1)"/>
      <w:numFmt w:val="lowerLetter"/>
      <w:start w:val="8"/>
    </w:lvl>
  </w:abstractNum>
  <w:abstractNum w:abstractNumId="48">
    <w:nsid w:val="E0BB885"/>
    <w:multiLevelType w:val="hybridMultilevel"/>
    <w:lvl w:ilvl="0">
      <w:lvlJc w:val="left"/>
      <w:lvlText w:val="(%1)"/>
      <w:numFmt w:val="lowerLetter"/>
      <w:start w:val="10"/>
    </w:lvl>
  </w:abstractNum>
  <w:abstractNum w:abstractNumId="49">
    <w:nsid w:val="565976F1"/>
    <w:multiLevelType w:val="hybridMultilevel"/>
    <w:lvl w:ilvl="0">
      <w:lvlJc w:val="left"/>
      <w:lvlText w:val="(%1)"/>
      <w:numFmt w:val="lowerLetter"/>
      <w:start w:val="13"/>
    </w:lvl>
  </w:abstractNum>
  <w:abstractNum w:abstractNumId="50">
    <w:nsid w:val="64212B8C"/>
    <w:multiLevelType w:val="hybridMultilevel"/>
    <w:lvl w:ilvl="0">
      <w:lvlJc w:val="left"/>
      <w:lvlText w:val="(%1)"/>
      <w:numFmt w:val="lowerLetter"/>
      <w:start w:val="16"/>
    </w:lvl>
    <w:lvl w:ilvl="1">
      <w:lvlJc w:val="left"/>
      <w:lvlText w:val="(%2)"/>
      <w:numFmt w:val="lowerRoman"/>
      <w:start w:val="1"/>
    </w:lvl>
  </w:abstractNum>
  <w:abstractNum w:abstractNumId="51">
    <w:nsid w:val="5C17530C"/>
    <w:multiLevelType w:val="hybridMultilevel"/>
    <w:lvl w:ilvl="0">
      <w:lvlJc w:val="left"/>
      <w:lvlText w:val="(%1)"/>
      <w:numFmt w:val="upperLetter"/>
      <w:start w:val="1"/>
    </w:lvl>
  </w:abstractNum>
  <w:abstractNum w:abstractNumId="52">
    <w:nsid w:val="19A52566"/>
    <w:multiLevelType w:val="hybridMultilevel"/>
    <w:lvl w:ilvl="0">
      <w:lvlJc w:val="left"/>
      <w:lvlText w:val="(%1)"/>
      <w:numFmt w:val="lowerLetter"/>
      <w:start w:val="17"/>
    </w:lvl>
  </w:abstractNum>
  <w:abstractNum w:abstractNumId="53">
    <w:nsid w:val="335A1DF1"/>
    <w:multiLevelType w:val="hybridMultilevel"/>
    <w:lvl w:ilvl="0">
      <w:lvlJc w:val="left"/>
      <w:lvlText w:val="(%1)"/>
      <w:numFmt w:val="lowerLetter"/>
      <w:start w:val="18"/>
    </w:lvl>
  </w:abstractNum>
  <w:abstractNum w:abstractNumId="54">
    <w:nsid w:val="28677B7C"/>
    <w:multiLevelType w:val="hybridMultilevel"/>
    <w:lvl w:ilvl="0">
      <w:lvlJc w:val="left"/>
      <w:lvlText w:val="(%1)"/>
      <w:numFmt w:val="lowerLetter"/>
      <w:start w:val="1"/>
    </w:lvl>
  </w:abstractNum>
  <w:abstractNum w:abstractNumId="55">
    <w:nsid w:val="378D97C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56">
    <w:nsid w:val="1D91467C"/>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9"/>
    </w:lvl>
  </w:abstractNum>
  <w:abstractNum w:abstractNumId="57">
    <w:nsid w:val="316032BB"/>
    <w:multiLevelType w:val="hybridMultilevel"/>
    <w:lvl w:ilvl="0">
      <w:lvlJc w:val="left"/>
      <w:lvlText w:val="%1"/>
      <w:numFmt w:val="lowerRoman"/>
      <w:start w:val="1"/>
    </w:lvl>
    <w:lvl w:ilvl="1">
      <w:lvlJc w:val="left"/>
      <w:lvlText w:val="(%2)"/>
      <w:numFmt w:val="lowerRoman"/>
      <w:start w:val="2"/>
    </w:lvl>
  </w:abstractNum>
  <w:abstractNum w:abstractNumId="58">
    <w:nsid w:val="44344C22"/>
    <w:multiLevelType w:val="hybridMultilevel"/>
    <w:lvl w:ilvl="0">
      <w:lvlJc w:val="left"/>
      <w:lvlText w:val="(%1)"/>
      <w:numFmt w:val="lowerRoman"/>
      <w:start w:val="1"/>
    </w:lvl>
    <w:lvl w:ilvl="1">
      <w:lvlJc w:val="left"/>
      <w:lvlText w:val="(%2)"/>
      <w:numFmt w:val="lowerRoman"/>
      <w:start w:val="3"/>
    </w:lvl>
  </w:abstractNum>
  <w:abstractNum w:abstractNumId="59">
    <w:nsid w:val="13CDFCFC"/>
    <w:multiLevelType w:val="hybridMultilevel"/>
    <w:lvl w:ilvl="0">
      <w:lvlJc w:val="left"/>
      <w:lvlText w:val="(%1)"/>
      <w:numFmt w:val="lowerLetter"/>
      <w:start w:val="4"/>
    </w:lvl>
    <w:lvl w:ilvl="1">
      <w:lvlJc w:val="left"/>
      <w:lvlText w:val="(%2)"/>
      <w:numFmt w:val="lowerRoman"/>
      <w:start w:val="1"/>
    </w:lvl>
  </w:abstractNum>
  <w:abstractNum w:abstractNumId="60">
    <w:nsid w:val="471745E4"/>
    <w:multiLevelType w:val="hybridMultilevel"/>
    <w:lvl w:ilvl="0">
      <w:lvlJc w:val="left"/>
      <w:lvlText w:val="(%1)"/>
      <w:numFmt w:val="lowerLetter"/>
      <w:start w:val="1"/>
    </w:lvl>
  </w:abstractNum>
  <w:abstractNum w:abstractNumId="61">
    <w:nsid w:val="1DDBC66"/>
    <w:multiLevelType w:val="hybridMultilevel"/>
    <w:lvl w:ilvl="0">
      <w:lvlJc w:val="left"/>
      <w:lvlText w:val="(%1)"/>
      <w:numFmt w:val="lowerLetter"/>
      <w:start w:val="2"/>
    </w:lvl>
  </w:abstractNum>
  <w:abstractNum w:abstractNumId="62">
    <w:nsid w:val="30AADFDA"/>
    <w:multiLevelType w:val="hybridMultilevel"/>
    <w:lvl w:ilvl="0">
      <w:lvlJc w:val="left"/>
      <w:lvlText w:val="(%1)"/>
      <w:numFmt w:val="lowerLetter"/>
      <w:start w:val="1"/>
    </w:lvl>
  </w:abstractNum>
  <w:abstractNum w:abstractNumId="63">
    <w:nsid w:val="30EADA61"/>
    <w:multiLevelType w:val="hybridMultilevel"/>
    <w:lvl w:ilvl="0">
      <w:lvlJc w:val="left"/>
      <w:lvlText w:val="%1"/>
      <w:numFmt w:val="lowerLetter"/>
      <w:start w:val="1"/>
    </w:lvl>
    <w:lvl w:ilvl="1">
      <w:lvlJc w:val="left"/>
      <w:lvlText w:val="(%2)"/>
      <w:numFmt w:val="lowerLetter"/>
      <w:start w:val="1"/>
    </w:lvl>
  </w:abstractNum>
  <w:abstractNum w:abstractNumId="64">
    <w:nsid w:val="27179C0B"/>
    <w:multiLevelType w:val="hybridMultilevel"/>
    <w:lvl w:ilvl="0">
      <w:lvlJc w:val="left"/>
      <w:lvlText w:val="(%1)"/>
      <w:numFmt w:val="lowerLetter"/>
      <w:start w:val="35"/>
    </w:lvl>
    <w:lvl w:ilvl="1">
      <w:lvlJc w:val="left"/>
      <w:lvlText w:val="%2"/>
      <w:numFmt w:val="lowerLetter"/>
      <w:start w:val="1"/>
    </w:lvl>
  </w:abstractNum>
  <w:abstractNum w:abstractNumId="65">
    <w:nsid w:val="5E63606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2"/>
    </w:lvl>
  </w:abstractNum>
  <w:abstractNum w:abstractNumId="66">
    <w:nsid w:val="215641AF"/>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67">
    <w:nsid w:val="53280662"/>
    <w:multiLevelType w:val="hybridMultilevel"/>
    <w:lvl w:ilvl="0">
      <w:lvlJc w:val="left"/>
      <w:lvlText w:val="(%1)"/>
      <w:numFmt w:val="lowerLetter"/>
      <w:start w:val="1"/>
    </w:lvl>
  </w:abstractNum>
  <w:abstractNum w:abstractNumId="68">
    <w:nsid w:val="46B24DBC"/>
    <w:multiLevelType w:val="hybridMultilevel"/>
    <w:lvl w:ilvl="0">
      <w:lvlJc w:val="left"/>
      <w:lvlText w:val="(%1)"/>
      <w:numFmt w:val="lowerLetter"/>
      <w:start w:val="2"/>
    </w:lvl>
    <w:lvl w:ilvl="1">
      <w:lvlJc w:val="left"/>
      <w:lvlText w:val="(%2)"/>
      <w:numFmt w:val="lowerRoman"/>
      <w:start w:val="1"/>
    </w:lvl>
  </w:abstractNum>
  <w:abstractNum w:abstractNumId="69">
    <w:nsid w:val="75B52783"/>
    <w:multiLevelType w:val="hybridMultilevel"/>
    <w:lvl w:ilvl="0">
      <w:lvlJc w:val="left"/>
      <w:lvlText w:val="(%1)"/>
      <w:numFmt w:val="lowerLetter"/>
      <w:start w:val="1"/>
    </w:lvl>
  </w:abstractNum>
  <w:abstractNum w:abstractNumId="70">
    <w:nsid w:val="57CE66B4"/>
    <w:multiLevelType w:val="hybridMultilevel"/>
    <w:lvl w:ilvl="0">
      <w:lvlJc w:val="left"/>
      <w:lvlText w:val="(%1)"/>
      <w:numFmt w:val="lowerLetter"/>
      <w:start w:val="2"/>
    </w:lvl>
  </w:abstractNum>
  <w:abstractNum w:abstractNumId="71">
    <w:nsid w:val="67A70B69"/>
    <w:multiLevelType w:val="hybridMultilevel"/>
    <w:lvl w:ilvl="0">
      <w:lvlJc w:val="left"/>
      <w:lvlText w:val="(%1)"/>
      <w:numFmt w:val="lowerLetter"/>
      <w:start w:val="1"/>
    </w:lvl>
  </w:abstractNum>
  <w:abstractNum w:abstractNumId="72">
    <w:nsid w:val="5953172F"/>
    <w:multiLevelType w:val="hybridMultilevel"/>
    <w:lvl w:ilvl="0">
      <w:lvlJc w:val="left"/>
      <w:lvlText w:val="(%1)"/>
      <w:numFmt w:val="lowerLetter"/>
      <w:start w:val="2"/>
    </w:lvl>
    <w:lvl w:ilvl="1">
      <w:lvlJc w:val="left"/>
      <w:lvlText w:val="(%2)"/>
      <w:numFmt w:val="lowerLetter"/>
      <w:start w:val="35"/>
    </w:lvl>
  </w:abstractNum>
  <w:abstractNum w:abstractNumId="73">
    <w:nsid w:val="27EDFE3A"/>
    <w:multiLevelType w:val="hybridMultilevel"/>
    <w:lvl w:ilvl="0">
      <w:lvlJc w:val="left"/>
      <w:lvlText w:val="(%1)"/>
      <w:numFmt w:val="lowerLetter"/>
      <w:start w:val="3"/>
    </w:lvl>
  </w:abstractNum>
  <w:abstractNum w:abstractNumId="74">
    <w:nsid w:val="52AC7DFF"/>
    <w:multiLevelType w:val="hybridMultilevel"/>
    <w:lvl w:ilvl="0">
      <w:lvlJc w:val="left"/>
      <w:lvlText w:val="(%1)"/>
      <w:numFmt w:val="lowerRoman"/>
      <w:start w:val="1"/>
    </w:lvl>
  </w:abstractNum>
  <w:abstractNum w:abstractNumId="75">
    <w:nsid w:val="C4C3AF"/>
    <w:multiLevelType w:val="hybridMultilevel"/>
    <w:lvl w:ilvl="0">
      <w:lvlJc w:val="left"/>
      <w:lvlText w:val="%1"/>
      <w:numFmt w:val="lowerLetter"/>
      <w:start w:val="1"/>
    </w:lvl>
    <w:lvl w:ilvl="1">
      <w:lvlJc w:val="left"/>
      <w:lvlText w:val="(%2)"/>
      <w:numFmt w:val="lowerLetter"/>
      <w:start w:val="35"/>
    </w:lvl>
  </w:abstractNum>
  <w:abstractNum w:abstractNumId="76">
    <w:nsid w:val="44380727"/>
    <w:multiLevelType w:val="hybridMultilevel"/>
    <w:lvl w:ilvl="0">
      <w:lvlJc w:val="left"/>
      <w:lvlText w:val="(%1)"/>
      <w:numFmt w:val="lowerLetter"/>
      <w:start w:val="25"/>
    </w:lvl>
    <w:lvl w:ilvl="1">
      <w:lvlJc w:val="left"/>
      <w:lvlText w:val="%2"/>
      <w:numFmt w:val="lowerLetter"/>
      <w:start w:val="1"/>
    </w:lvl>
  </w:abstractNum>
  <w:abstractNum w:abstractNumId="77">
    <w:nsid w:val="6C053B16"/>
    <w:multiLevelType w:val="hybridMultilevel"/>
    <w:lvl w:ilvl="0">
      <w:lvlJc w:val="left"/>
      <w:lvlText w:val="(%1)"/>
      <w:numFmt w:val="lowerLetter"/>
      <w:start w:val="1"/>
    </w:lvl>
  </w:abstractNum>
  <w:abstractNum w:abstractNumId="78">
    <w:nsid w:val="4F294393"/>
    <w:multiLevelType w:val="hybridMultilevel"/>
    <w:lvl w:ilvl="0">
      <w:lvlJc w:val="left"/>
      <w:lvlText w:val="(%1)"/>
      <w:numFmt w:val="lowerLetter"/>
      <w:start w:val="5"/>
    </w:lvl>
  </w:abstractNum>
  <w:abstractNum w:abstractNumId="79">
    <w:nsid w:val="5243BFAC"/>
    <w:multiLevelType w:val="hybridMultilevel"/>
    <w:lvl w:ilvl="0">
      <w:lvlJc w:val="left"/>
      <w:lvlText w:val="%1"/>
      <w:numFmt w:val="lowerLetter"/>
      <w:start w:val="1"/>
    </w:lvl>
    <w:lvl w:ilvl="1">
      <w:lvlJc w:val="left"/>
      <w:lvlText w:val="(%2)"/>
      <w:numFmt w:val="lowerLetter"/>
      <w:start w:val="1"/>
    </w:lvl>
  </w:abstractNum>
  <w:abstractNum w:abstractNumId="80">
    <w:nsid w:val="425EB207"/>
    <w:multiLevelType w:val="hybridMultilevel"/>
    <w:lvl w:ilvl="0">
      <w:lvlJc w:val="left"/>
      <w:lvlText w:val="(%1)"/>
      <w:numFmt w:val="lowerLetter"/>
      <w:start w:val="35"/>
    </w:lvl>
    <w:lvl w:ilvl="1">
      <w:lvlJc w:val="left"/>
      <w:lvlText w:val="%2"/>
      <w:numFmt w:val="lowerLetter"/>
      <w:start w:val="1"/>
    </w:lvl>
  </w:abstractNum>
  <w:abstractNum w:abstractNumId="81">
    <w:nsid w:val="334A6F1F"/>
    <w:multiLevelType w:val="hybridMultilevel"/>
    <w:lvl w:ilvl="0">
      <w:lvlJc w:val="left"/>
      <w:lvlText w:val="(%1)"/>
      <w:numFmt w:val="lowerLetter"/>
      <w:start w:val="3"/>
    </w:lvl>
  </w:abstractNum>
  <w:abstractNum w:abstractNumId="82">
    <w:nsid w:val="2E5B12B8"/>
    <w:multiLevelType w:val="hybridMultilevel"/>
    <w:lvl w:ilvl="0">
      <w:lvlJc w:val="left"/>
      <w:lvlText w:val="(%1)"/>
      <w:numFmt w:val="lowerLetter"/>
      <w:start w:val="1"/>
    </w:lvl>
  </w:abstractNum>
  <w:abstractNum w:abstractNumId="83">
    <w:nsid w:val="5C03D76D"/>
    <w:multiLevelType w:val="hybridMultilevel"/>
    <w:lvl w:ilvl="0">
      <w:lvlJc w:val="left"/>
      <w:lvlText w:val="%1"/>
      <w:numFmt w:val="decimal"/>
      <w:start w:val="1"/>
    </w:lvl>
    <w:lvl w:ilvl="1">
      <w:lvlJc w:val="left"/>
      <w:lvlText w:val="(%2)"/>
      <w:numFmt w:val="lowerLetter"/>
      <w:start w:val="4"/>
    </w:lvl>
  </w:abstractNum>
  <w:abstractNum w:abstractNumId="84">
    <w:nsid w:val="66A48D11"/>
    <w:multiLevelType w:val="hybridMultilevel"/>
    <w:lvl w:ilvl="0">
      <w:lvlJc w:val="left"/>
      <w:lvlText w:val="(%1)"/>
      <w:numFmt w:val="decimal"/>
      <w:start w:val="2"/>
    </w:lvl>
    <w:lvl w:ilvl="1">
      <w:lvlJc w:val="left"/>
      <w:lvlText w:val="(%2)"/>
      <w:numFmt w:val="lowerLetter"/>
      <w:start w:val="5"/>
    </w:lvl>
  </w:abstractNum>
  <w:abstractNum w:abstractNumId="85">
    <w:nsid w:val="56C28E34"/>
    <w:multiLevelType w:val="hybridMultilevel"/>
    <w:lvl w:ilvl="0">
      <w:lvlJc w:val="left"/>
      <w:lvlText w:val="(%1)"/>
      <w:numFmt w:val="lowerLetter"/>
      <w:start w:val="1"/>
    </w:lvl>
  </w:abstractNum>
  <w:abstractNum w:abstractNumId="86">
    <w:nsid w:val="13916F2D"/>
    <w:multiLevelType w:val="hybridMultilevel"/>
    <w:lvl w:ilvl="0">
      <w:lvlJc w:val="left"/>
      <w:lvlText w:val="(%1)"/>
      <w:numFmt w:val="lowerLetter"/>
      <w:start w:val="2"/>
    </w:lvl>
  </w:abstractNum>
  <w:abstractNum w:abstractNumId="87">
    <w:nsid w:val="435D38D"/>
    <w:multiLevelType w:val="hybridMultilevel"/>
    <w:lvl w:ilvl="0">
      <w:lvlJc w:val="left"/>
      <w:lvlText w:val="(%1)"/>
      <w:numFmt w:val="lowerLetter"/>
      <w:start w:val="1"/>
    </w:lvl>
    <w:lvl w:ilvl="1">
      <w:lvlJc w:val="left"/>
      <w:lvlText w:val="(%2)"/>
      <w:numFmt w:val="lowerLetter"/>
      <w:start w:val="9"/>
    </w:lvl>
  </w:abstractNum>
  <w:abstractNum w:abstractNumId="88">
    <w:nsid w:val="822C0EF"/>
    <w:multiLevelType w:val="hybridMultilevel"/>
    <w:lvl w:ilvl="0">
      <w:lvlJc w:val="left"/>
      <w:lvlText w:val="%1"/>
      <w:numFmt w:val="lowerLetter"/>
      <w:start w:val="1"/>
    </w:lvl>
    <w:lvl w:ilvl="1">
      <w:lvlJc w:val="left"/>
      <w:lvlText w:val="(%2)"/>
      <w:numFmt w:val="lowerLetter"/>
      <w:start w:val="35"/>
    </w:lvl>
  </w:abstractNum>
  <w:abstractNum w:abstractNumId="89">
    <w:nsid w:val="57C5BB4F"/>
    <w:multiLevelType w:val="hybridMultilevel"/>
    <w:lvl w:ilvl="0">
      <w:lvlJc w:val="left"/>
      <w:lvlText w:val="(%1)"/>
      <w:numFmt w:val="lowerLetter"/>
      <w:start w:val="25"/>
    </w:lvl>
    <w:lvl w:ilvl="1">
      <w:lvlJc w:val="left"/>
      <w:lvlText w:val="%2"/>
      <w:numFmt w:val="lowerLetter"/>
      <w:start w:val="1"/>
    </w:lvl>
  </w:abstractNum>
  <w:abstractNum w:abstractNumId="90">
    <w:nsid w:val="1803D089"/>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91">
    <w:nsid w:val="4F3A06D4"/>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1"/>
    </w:lvl>
  </w:abstractNum>
  <w:abstractNum w:abstractNumId="92">
    <w:nsid w:val="59A377B6"/>
    <w:multiLevelType w:val="hybridMultilevel"/>
    <w:lvl w:ilvl="0">
      <w:lvlJc w:val="left"/>
      <w:lvlText w:val="%1"/>
      <w:numFmt w:val="lowerLetter"/>
      <w:start w:val="1"/>
    </w:lvl>
    <w:lvl w:ilvl="1">
      <w:lvlJc w:val="left"/>
      <w:lvlText w:val="(%2)"/>
      <w:numFmt w:val="lowerLetter"/>
      <w:start w:val="22"/>
    </w:lvl>
  </w:abstractNum>
  <w:abstractNum w:abstractNumId="93">
    <w:nsid w:val="48AEB063"/>
    <w:multiLevelType w:val="hybridMultilevel"/>
    <w:lvl w:ilvl="0">
      <w:lvlJc w:val="left"/>
      <w:lvlText w:val="(%1)"/>
      <w:numFmt w:val="lowerLetter"/>
      <w:start w:val="2"/>
    </w:lvl>
    <w:lvl w:ilvl="1">
      <w:lvlJc w:val="left"/>
      <w:lvlText w:val="%2"/>
      <w:numFmt w:val="lowerLetter"/>
      <w:start w:val="1"/>
    </w:lvl>
  </w:abstractNum>
  <w:abstractNum w:abstractNumId="94">
    <w:nsid w:val="24E135"/>
    <w:multiLevelType w:val="hybridMultilevel"/>
    <w:lvl w:ilvl="0">
      <w:lvlJc w:val="left"/>
      <w:lvlText w:val="(%1)"/>
      <w:numFmt w:val="lowerLetter"/>
      <w:start w:val="1"/>
    </w:lvl>
  </w:abstractNum>
  <w:abstractNum w:abstractNumId="95">
    <w:nsid w:val="BB13C1"/>
    <w:multiLevelType w:val="hybridMultilevel"/>
    <w:lvl w:ilvl="0">
      <w:lvlJc w:val="left"/>
      <w:lvlText w:val="%1"/>
      <w:numFmt w:val="lowerLetter"/>
      <w:start w:val="1"/>
    </w:lvl>
    <w:lvl w:ilvl="1">
      <w:lvlJc w:val="left"/>
      <w:lvlText w:val="(%2)"/>
      <w:numFmt w:val="lowerLetter"/>
      <w:start w:val="2"/>
    </w:lvl>
  </w:abstractNum>
  <w:abstractNum w:abstractNumId="96">
    <w:nsid w:val="271210C7"/>
    <w:multiLevelType w:val="hybridMultilevel"/>
    <w:lvl w:ilvl="0">
      <w:lvlJc w:val="left"/>
      <w:lvlText w:val="(%1)"/>
      <w:numFmt w:val="lowerLetter"/>
      <w:start w:val="9"/>
    </w:lvl>
    <w:lvl w:ilvl="1">
      <w:lvlJc w:val="left"/>
      <w:lvlText w:val="(%2)"/>
      <w:numFmt w:val="lowerLetter"/>
      <w:start w:val="6"/>
    </w:lvl>
  </w:abstractNum>
  <w:abstractNum w:abstractNumId="97">
    <w:nsid w:val="217B22E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98">
    <w:nsid w:val="53E31A24"/>
    <w:multiLevelType w:val="hybridMultilevel"/>
    <w:lvl w:ilvl="0">
      <w:lvlJc w:val="left"/>
      <w:lvlText w:val="(%1)"/>
      <w:numFmt w:val="upperLetter"/>
      <w:start w:val="35"/>
    </w:lvl>
  </w:abstractNum>
  <w:abstractNum w:abstractNumId="99">
    <w:nsid w:val="6DC45E83"/>
    <w:multiLevelType w:val="hybridMultilevel"/>
    <w:lvl w:ilvl="0">
      <w:lvlJc w:val="left"/>
      <w:lvlText w:val="(%1)"/>
      <w:numFmt w:val="upperLetter"/>
      <w:start w:val="61"/>
    </w:lvl>
  </w:abstractNum>
  <w:abstractNum w:abstractNumId="100">
    <w:nsid w:val="17304A67"/>
    <w:multiLevelType w:val="hybridMultilevel"/>
    <w:lvl w:ilvl="0">
      <w:lvlJc w:val="left"/>
      <w:lvlText w:val="(%1)"/>
      <w:numFmt w:val="upperLetter"/>
      <w:start w:val="3"/>
    </w:lvl>
  </w:abstractNum>
  <w:abstractNum w:abstractNumId="101">
    <w:nsid w:val="2BB180D8"/>
    <w:multiLevelType w:val="hybridMultilevel"/>
    <w:lvl w:ilvl="0">
      <w:lvlJc w:val="left"/>
      <w:lvlText w:val="%1"/>
      <w:numFmt w:val="lowerLetter"/>
      <w:start w:val="1"/>
    </w:lvl>
    <w:lvl w:ilvl="1">
      <w:lvlJc w:val="left"/>
      <w:lvlText w:val="(%2)"/>
      <w:numFmt w:val="lowerLetter"/>
      <w:start w:val="61"/>
    </w:lvl>
  </w:abstractNum>
  <w:abstractNum w:abstractNumId="102">
    <w:nsid w:val="556B69ED"/>
    <w:multiLevelType w:val="hybridMultilevel"/>
    <w:lvl w:ilvl="0">
      <w:lvlJc w:val="left"/>
      <w:lvlText w:val="(%1)"/>
      <w:numFmt w:val="lowerLetter"/>
      <w:start w:val="8"/>
    </w:lvl>
    <w:lvl w:ilvl="1">
      <w:lvlJc w:val="left"/>
      <w:lvlText w:val="%2"/>
      <w:numFmt w:val="lowerLetter"/>
      <w:start w:val="1"/>
    </w:lvl>
  </w:abstractNum>
  <w:abstractNum w:abstractNumId="103">
    <w:nsid w:val="70836196"/>
    <w:multiLevelType w:val="hybridMultilevel"/>
    <w:lvl w:ilvl="0">
      <w:lvlJc w:val="left"/>
      <w:lvlText w:val="(%1)"/>
      <w:numFmt w:val="lowerLetter"/>
      <w:start w:val="1"/>
    </w:lvl>
  </w:abstractNum>
  <w:abstractNum w:abstractNumId="104">
    <w:nsid w:val="539F7F12"/>
    <w:multiLevelType w:val="hybridMultilevel"/>
    <w:lvl w:ilvl="0">
      <w:lvlJc w:val="left"/>
      <w:lvlText w:val="(%1)"/>
      <w:numFmt w:val="lowerLetter"/>
      <w:start w:val="2"/>
    </w:lvl>
    <w:lvl w:ilvl="1">
      <w:lvlJc w:val="left"/>
      <w:lvlText w:val="(%2)"/>
      <w:numFmt w:val="lowerRoman"/>
      <w:start w:val="1"/>
    </w:lvl>
  </w:abstractNum>
  <w:abstractNum w:abstractNumId="105">
    <w:nsid w:val="2817E7EC"/>
    <w:multiLevelType w:val="hybridMultilevel"/>
    <w:lvl w:ilvl="0">
      <w:lvlJc w:val="left"/>
      <w:lvlText w:val="%1"/>
      <w:numFmt w:val="lowerRoman"/>
      <w:start w:val="1"/>
    </w:lvl>
    <w:lvl w:ilvl="1">
      <w:lvlJc w:val="left"/>
      <w:lvlText w:val="(%2)"/>
      <w:numFmt w:val="lowerLetter"/>
      <w:start w:val="25"/>
    </w:lvl>
  </w:abstractNum>
  <w:abstractNum w:abstractNumId="106">
    <w:nsid w:val="71482545"/>
    <w:multiLevelType w:val="hybridMultilevel"/>
    <w:lvl w:ilvl="0">
      <w:lvlJc w:val="left"/>
      <w:lvlText w:val="(%1)"/>
      <w:numFmt w:val="lowerRoman"/>
      <w:start w:val="3"/>
    </w:lvl>
    <w:lvl w:ilvl="1">
      <w:lvlJc w:val="left"/>
      <w:lvlText w:val="%2"/>
      <w:numFmt w:val="lowerLetter"/>
      <w:start w:val="1"/>
    </w:lvl>
  </w:abstractNum>
  <w:abstractNum w:abstractNumId="107">
    <w:nsid w:val="17D78639"/>
    <w:multiLevelType w:val="hybridMultilevel"/>
    <w:lvl w:ilvl="0">
      <w:lvlJc w:val="left"/>
      <w:lvlText w:val="(%1)"/>
      <w:numFmt w:val="lowerRoman"/>
      <w:start w:val="6"/>
    </w:lvl>
  </w:abstractNum>
  <w:abstractNum w:abstractNumId="108">
    <w:nsid w:val="141D2302"/>
    <w:multiLevelType w:val="hybridMultilevel"/>
    <w:lvl w:ilvl="0">
      <w:lvlJc w:val="left"/>
      <w:lvlText w:val="(%1)"/>
      <w:numFmt w:val="lowerLetter"/>
      <w:start w:val="1"/>
    </w:lvl>
    <w:lvl w:ilvl="1">
      <w:lvlJc w:val="left"/>
      <w:lvlText w:val="(%2)"/>
      <w:numFmt w:val="lowerRoman"/>
      <w:start w:val="1"/>
    </w:lvl>
  </w:abstractNum>
  <w:abstractNum w:abstractNumId="109">
    <w:nsid w:val="407168D8"/>
    <w:multiLevelType w:val="hybridMultilevel"/>
    <w:lvl w:ilvl="0">
      <w:lvlJc w:val="left"/>
      <w:lvlText w:val="(%1)"/>
      <w:numFmt w:val="lowerLetter"/>
      <w:start w:val="2"/>
    </w:lvl>
  </w:abstractNum>
  <w:abstractNum w:abstractNumId="110">
    <w:nsid w:val="6A1B45E5"/>
    <w:multiLevelType w:val="hybridMultilevel"/>
    <w:lvl w:ilvl="0">
      <w:lvlJc w:val="left"/>
      <w:lvlText w:val="(%1)"/>
      <w:numFmt w:val="lowerLetter"/>
      <w:start w:val="3"/>
    </w:lvl>
  </w:abstractNum>
  <w:abstractNum w:abstractNumId="111">
    <w:nsid w:val="567BD50A"/>
    <w:multiLevelType w:val="hybridMultilevel"/>
    <w:lvl w:ilvl="0">
      <w:lvlJc w:val="left"/>
      <w:lvlText w:val="(%1)"/>
      <w:numFmt w:val="lowerLetter"/>
      <w:start w:val="1"/>
    </w:lvl>
  </w:abstractNum>
  <w:abstractNum w:abstractNumId="112">
    <w:nsid w:val="73BBD7F8"/>
    <w:multiLevelType w:val="hybridMultilevel"/>
    <w:lvl w:ilvl="0">
      <w:lvlJc w:val="left"/>
      <w:lvlText w:val="(%1)"/>
      <w:numFmt w:val="lowerLetter"/>
      <w:start w:val="1"/>
    </w:lvl>
  </w:abstractNum>
  <w:abstractNum w:abstractNumId="113">
    <w:nsid w:val="1876589D"/>
    <w:multiLevelType w:val="hybridMultilevel"/>
    <w:lvl w:ilvl="0">
      <w:lvlJc w:val="left"/>
      <w:lvlText w:val="(%1)"/>
      <w:numFmt w:val="lowerLetter"/>
      <w:start w:val="2"/>
    </w:lvl>
  </w:abstractNum>
  <w:abstractNum w:abstractNumId="114">
    <w:nsid w:val="327FAC77"/>
    <w:multiLevelType w:val="hybridMultilevel"/>
    <w:lvl w:ilvl="0">
      <w:lvlJc w:val="left"/>
      <w:lvlText w:val="(%1)"/>
      <w:numFmt w:val="lowerLetter"/>
      <w:start w:val="1"/>
    </w:lvl>
    <w:lvl w:ilvl="1">
      <w:lvlJc w:val="left"/>
      <w:lvlText w:val="(%2)"/>
      <w:numFmt w:val="lowerRoman"/>
      <w:start w:val="1"/>
    </w:lvl>
  </w:abstractNum>
  <w:abstractNum w:abstractNumId="115">
    <w:nsid w:val="5A606509"/>
    <w:multiLevelType w:val="hybridMultilevel"/>
    <w:lvl w:ilvl="0">
      <w:lvlJc w:val="left"/>
      <w:lvlText w:val="%1"/>
      <w:numFmt w:val="lowerLetter"/>
      <w:start w:val="1"/>
    </w:lvl>
    <w:lvl w:ilvl="1">
      <w:lvlJc w:val="left"/>
      <w:lvlText w:val="(%2)"/>
      <w:numFmt w:val="lowerRoman"/>
      <w:start w:val="4"/>
    </w:lvl>
  </w:abstractNum>
  <w:abstractNum w:abstractNumId="116">
    <w:nsid w:val="6F38E6D1"/>
    <w:multiLevelType w:val="hybridMultilevel"/>
    <w:lvl w:ilvl="0">
      <w:lvlJc w:val="left"/>
      <w:lvlText w:val="(%1)"/>
      <w:numFmt w:val="lowerLetter"/>
      <w:start w:val="2"/>
    </w:lvl>
    <w:lvl w:ilvl="1">
      <w:lvlJc w:val="left"/>
      <w:lvlText w:val="(%2)"/>
      <w:numFmt w:val="lowerRoman"/>
      <w:start w:val="8"/>
    </w:lvl>
  </w:abstractNum>
  <w:abstractNum w:abstractNumId="117">
    <w:nsid w:val="46111BA5"/>
    <w:multiLevelType w:val="hybridMultilevel"/>
    <w:lvl w:ilvl="0">
      <w:lvlJc w:val="left"/>
      <w:lvlText w:val="(%1)"/>
      <w:numFmt w:val="lowerLetter"/>
      <w:start w:val="2"/>
    </w:lvl>
  </w:abstractNum>
  <w:abstractNum w:abstractNumId="118">
    <w:nsid w:val="5E963896"/>
    <w:multiLevelType w:val="hybridMultilevel"/>
    <w:lvl w:ilvl="0">
      <w:lvlJc w:val="left"/>
      <w:lvlText w:val="(%1)"/>
      <w:numFmt w:val="lowerLetter"/>
      <w:start w:val="6"/>
    </w:lvl>
  </w:abstractNum>
  <w:abstractNum w:abstractNumId="119">
    <w:nsid w:val="775BA7C1"/>
    <w:multiLevelType w:val="hybridMultilevel"/>
    <w:lvl w:ilvl="0">
      <w:lvlJc w:val="left"/>
      <w:lvlText w:val="(%1)"/>
      <w:numFmt w:val="lowerLetter"/>
      <w:start w:val="1"/>
    </w:lvl>
  </w:abstractNum>
  <w:abstractNum w:abstractNumId="120">
    <w:nsid w:val="1DD6D6F4"/>
    <w:multiLevelType w:val="hybridMultilevel"/>
    <w:lvl w:ilvl="0">
      <w:lvlJc w:val="left"/>
      <w:lvlText w:val="(%1)"/>
      <w:numFmt w:val="lowerLetter"/>
      <w:start w:val="1"/>
    </w:lvl>
  </w:abstractNum>
  <w:abstractNum w:abstractNumId="121">
    <w:nsid w:val="769A091F"/>
    <w:multiLevelType w:val="hybridMultilevel"/>
    <w:lvl w:ilvl="0">
      <w:lvlJc w:val="left"/>
      <w:lvlText w:val="%1"/>
      <w:numFmt w:val="lowerLetter"/>
      <w:start w:val="1"/>
    </w:lvl>
    <w:lvl w:ilvl="1">
      <w:lvlJc w:val="left"/>
      <w:lvlText w:val="(%2)"/>
      <w:numFmt w:val="lowerLetter"/>
      <w:start w:val="1"/>
    </w:lvl>
  </w:abstractNum>
  <w:abstractNum w:abstractNumId="122">
    <w:nsid w:val="4695AE95"/>
    <w:multiLevelType w:val="hybridMultilevel"/>
    <w:lvl w:ilvl="0">
      <w:lvlJc w:val="left"/>
      <w:lvlText w:val="(%1)"/>
      <w:numFmt w:val="lowerLetter"/>
      <w:start w:val="22"/>
    </w:lvl>
    <w:lvl w:ilvl="1">
      <w:lvlJc w:val="left"/>
      <w:lvlText w:val="%2"/>
      <w:numFmt w:val="lowerLetter"/>
      <w:start w:val="1"/>
    </w:lvl>
  </w:abstractNum>
  <w:abstractNum w:abstractNumId="123">
    <w:nsid w:val="777A4EAA"/>
    <w:multiLevelType w:val="hybridMultilevel"/>
    <w:lvl w:ilvl="0">
      <w:lvlJc w:val="left"/>
      <w:lvlText w:val="(%1)"/>
      <w:numFmt w:val="lowerLetter"/>
      <w:start w:val="1"/>
    </w:lvl>
  </w:abstractNum>
  <w:abstractNum w:abstractNumId="124">
    <w:nsid w:val="3F48B982"/>
    <w:multiLevelType w:val="hybridMultilevel"/>
    <w:lvl w:ilvl="0">
      <w:lvlJc w:val="left"/>
      <w:lvlText w:val="(%1)"/>
      <w:numFmt w:val="lowerLetter"/>
      <w:start w:val="1"/>
    </w:lvl>
  </w:abstractNum>
  <w:abstractNum w:abstractNumId="125">
    <w:nsid w:val="46BA8FCA"/>
    <w:multiLevelType w:val="hybridMultilevel"/>
    <w:lvl w:ilvl="0">
      <w:lvlJc w:val="left"/>
      <w:lvlText w:val="(%1)"/>
      <w:numFmt w:val="lowerLetter"/>
      <w:start w:val="3"/>
    </w:lvl>
  </w:abstractNum>
  <w:abstractNum w:abstractNumId="126">
    <w:nsid w:val="7835626C"/>
    <w:multiLevelType w:val="hybridMultilevel"/>
    <w:lvl w:ilvl="0">
      <w:lvlJc w:val="left"/>
      <w:lvlText w:val="(%1)"/>
      <w:numFmt w:val="lowerLetter"/>
      <w:start w:val="1"/>
    </w:lvl>
  </w:abstractNum>
  <w:abstractNum w:abstractNumId="127">
    <w:nsid w:val="665ACA49"/>
    <w:multiLevelType w:val="hybridMultilevel"/>
    <w:lvl w:ilvl="0">
      <w:lvlJc w:val="left"/>
      <w:lvlText w:val="(%1)"/>
      <w:numFmt w:val="lowerLetter"/>
      <w:start w:val="3"/>
    </w:lvl>
    <w:lvl w:ilvl="1">
      <w:lvlJc w:val="left"/>
      <w:lvlText w:val="(%2)"/>
      <w:numFmt w:val="lowerLetter"/>
      <w:start w:val="1"/>
    </w:lvl>
  </w:abstractNum>
  <w:abstractNum w:abstractNumId="128">
    <w:nsid w:val="6835B2AE"/>
    <w:multiLevelType w:val="hybridMultilevel"/>
    <w:lvl w:ilvl="0">
      <w:lvlJc w:val="left"/>
      <w:lvlText w:val="(%1)"/>
      <w:numFmt w:val="lowerLetter"/>
      <w:start w:val="61"/>
    </w:lvl>
    <w:lvl w:ilvl="1">
      <w:lvlJc w:val="left"/>
      <w:lvlText w:val="(%2)"/>
      <w:numFmt w:val="lowerLetter"/>
      <w:start w:val="2"/>
    </w:lvl>
  </w:abstractNum>
  <w:abstractNum w:abstractNumId="129">
    <w:nsid w:val="4C187C90"/>
    <w:multiLevelType w:val="hybridMultilevel"/>
    <w:lvl w:ilvl="0">
      <w:lvlJc w:val="left"/>
      <w:lvlText w:val="(%1)"/>
      <w:numFmt w:val="lowerRoman"/>
      <w:start w:val="2"/>
    </w:lvl>
  </w:abstractNum>
  <w:abstractNum w:abstractNumId="130">
    <w:nsid w:val="541F28CD"/>
    <w:multiLevelType w:val="hybridMultilevel"/>
    <w:lvl w:ilvl="0">
      <w:lvlJc w:val="left"/>
      <w:lvlText w:val="(%1)"/>
      <w:numFmt w:val="lowerRoman"/>
      <w:start w:val="10"/>
    </w:lvl>
  </w:abstractNum>
  <w:abstractNum w:abstractNumId="131">
    <w:nsid w:val="7F65FD16"/>
    <w:multiLevelType w:val="hybridMultilevel"/>
    <w:lvl w:ilvl="0">
      <w:lvlJc w:val="left"/>
      <w:lvlText w:val="(%1)"/>
      <w:numFmt w:val="lowerLetter"/>
      <w:start w:val="1"/>
    </w:lvl>
  </w:abstractNum>
  <w:abstractNum w:abstractNumId="132">
    <w:nsid w:val="77C9FD68"/>
    <w:multiLevelType w:val="hybridMultilevel"/>
    <w:lvl w:ilvl="0">
      <w:lvlJc w:val="left"/>
      <w:lvlText w:val="(%1)"/>
      <w:numFmt w:val="lowerLetter"/>
      <w:start w:val="3"/>
    </w:lvl>
  </w:abstractNum>
  <w:abstractNum w:abstractNumId="133">
    <w:nsid w:val="298A92BA"/>
    <w:multiLevelType w:val="hybridMultilevel"/>
    <w:lvl w:ilvl="0">
      <w:lvlJc w:val="left"/>
      <w:lvlText w:val="(%1)"/>
      <w:numFmt w:val="lowerLetter"/>
      <w:start w:val="1"/>
    </w:lvl>
  </w:abstractNum>
  <w:abstractNum w:abstractNumId="134">
    <w:nsid w:val="6FE95EAC"/>
    <w:multiLevelType w:val="hybridMultilevel"/>
    <w:lvl w:ilvl="0">
      <w:lvlJc w:val="left"/>
      <w:lvlText w:val="(%1)"/>
      <w:numFmt w:val="lowerLetter"/>
      <w:start w:val="2"/>
    </w:lvl>
  </w:abstractNum>
  <w:abstractNum w:abstractNumId="135">
    <w:nsid w:val="4B697C7A"/>
    <w:multiLevelType w:val="hybridMultilevel"/>
    <w:lvl w:ilvl="0">
      <w:lvlJc w:val="left"/>
      <w:lvlText w:val="(%1)"/>
      <w:numFmt w:val="lowerLetter"/>
      <w:start w:val="10"/>
    </w:lvl>
  </w:abstractNum>
  <w:abstractNum w:abstractNumId="136">
    <w:nsid w:val="51A27AA6"/>
    <w:multiLevelType w:val="hybridMultilevel"/>
    <w:lvl w:ilvl="0">
      <w:lvlJc w:val="left"/>
      <w:lvlText w:val="(%1)"/>
      <w:numFmt w:val="lowerLetter"/>
      <w:start w:val="1"/>
    </w:lvl>
  </w:abstractNum>
  <w:abstractNum w:abstractNumId="137">
    <w:nsid w:val="613183F2"/>
    <w:multiLevelType w:val="hybridMultilevel"/>
    <w:lvl w:ilvl="0">
      <w:lvlJc w:val="left"/>
      <w:lvlText w:val="(%1)"/>
      <w:numFmt w:val="lowerLetter"/>
      <w:start w:val="1"/>
    </w:lvl>
    <w:lvl w:ilvl="1">
      <w:lvlJc w:val="left"/>
      <w:lvlText w:val="(%2)"/>
      <w:numFmt w:val="lowerLetter"/>
      <w:start w:val="35"/>
    </w:lvl>
  </w:abstractNum>
  <w:abstractNum w:abstractNumId="138">
    <w:nsid w:val="634102B4"/>
    <w:multiLevelType w:val="hybridMultilevel"/>
    <w:lvl w:ilvl="0">
      <w:lvlJc w:val="left"/>
      <w:lvlText w:val="(%1)"/>
      <w:numFmt w:val="lowerRoman"/>
      <w:start w:val="3"/>
    </w:lvl>
  </w:abstractNum>
  <w:abstractNum w:abstractNumId="139">
    <w:nsid w:val="65BF9DA8"/>
    <w:multiLevelType w:val="hybridMultilevel"/>
    <w:lvl w:ilvl="0">
      <w:lvlJc w:val="left"/>
      <w:lvlText w:val="(%1)"/>
      <w:numFmt w:val="lowerLetter"/>
      <w:start w:val="3"/>
    </w:lvl>
  </w:abstractNum>
  <w:abstractNum w:abstractNumId="140">
    <w:nsid w:val="21A2ECCA"/>
    <w:multiLevelType w:val="hybridMultilevel"/>
    <w:lvl w:ilvl="0">
      <w:lvlJc w:val="left"/>
      <w:lvlText w:val="(%1)"/>
      <w:numFmt w:val="upperLetter"/>
      <w:start w:val="1"/>
    </w:lvl>
  </w:abstractNum>
  <w:abstractNum w:abstractNumId="141">
    <w:nsid w:val="4D5C4899"/>
    <w:multiLevelType w:val="hybridMultilevel"/>
    <w:lvl w:ilvl="0">
      <w:lvlJc w:val="left"/>
      <w:lvlText w:val="%1"/>
      <w:numFmt w:val="lowerRoman"/>
      <w:start w:val="1"/>
    </w:lvl>
    <w:lvl w:ilvl="1">
      <w:lvlJc w:val="left"/>
      <w:lvlText w:val="(%2)"/>
      <w:numFmt w:val="upperLetter"/>
      <w:start w:val="2"/>
    </w:lvl>
  </w:abstractNum>
  <w:abstractNum w:abstractNumId="142">
    <w:nsid w:val="3C3B72B2"/>
    <w:multiLevelType w:val="hybridMultilevel"/>
    <w:lvl w:ilvl="0">
      <w:lvlJc w:val="left"/>
      <w:lvlText w:val="(%1)"/>
      <w:numFmt w:val="lowerRoman"/>
      <w:start w:val="1"/>
    </w:lvl>
    <w:lvl w:ilvl="1">
      <w:lvlJc w:val="left"/>
      <w:lvlText w:val="%2"/>
      <w:numFmt w:val="upperLetter"/>
      <w:start w:val="1"/>
    </w:lvl>
  </w:abstractNum>
  <w:abstractNum w:abstractNumId="143">
    <w:nsid w:val="155EC4C2"/>
    <w:multiLevelType w:val="hybridMultilevel"/>
    <w:lvl w:ilvl="0">
      <w:lvlJc w:val="left"/>
      <w:lvlText w:val="(%1)"/>
      <w:numFmt w:val="lowerLetter"/>
      <w:start w:val="1"/>
    </w:lvl>
  </w:abstractNum>
  <w:abstractNum w:abstractNumId="144">
    <w:nsid w:val="65D2A137"/>
    <w:multiLevelType w:val="hybridMultilevel"/>
    <w:lvl w:ilvl="0">
      <w:lvlJc w:val="left"/>
      <w:lvlText w:val="(%1)"/>
      <w:numFmt w:val="lowerLetter"/>
      <w:start w:val="2"/>
    </w:lvl>
  </w:abstractNum>
  <w:abstractNum w:abstractNumId="145">
    <w:nsid w:val="6EBB1F2A"/>
    <w:multiLevelType w:val="hybridMultilevel"/>
    <w:lvl w:ilvl="0">
      <w:lvlJc w:val="left"/>
      <w:lvlText w:val="(%1)"/>
      <w:numFmt w:val="lowerLetter"/>
      <w:start w:val="1"/>
    </w:lvl>
  </w:abstractNum>
  <w:abstractNum w:abstractNumId="146">
    <w:nsid w:val="6FBF29CB"/>
    <w:multiLevelType w:val="hybridMultilevel"/>
    <w:lvl w:ilvl="0">
      <w:lvlJc w:val="left"/>
      <w:lvlText w:val="(%1)"/>
      <w:numFmt w:val="lowerLetter"/>
      <w:start w:val="3"/>
    </w:lvl>
  </w:abstractNum>
  <w:abstractNum w:abstractNumId="147">
    <w:nsid w:val="550B8808"/>
    <w:multiLevelType w:val="hybridMultilevel"/>
    <w:lvl w:ilvl="0">
      <w:lvlJc w:val="left"/>
      <w:lvlText w:val="(%1)"/>
      <w:numFmt w:val="lowerLetter"/>
      <w:start w:val="7"/>
    </w:lvl>
  </w:abstractNum>
  <w:abstractNum w:abstractNumId="148">
    <w:nsid w:val="34CC3ACF"/>
    <w:multiLevelType w:val="hybridMultilevel"/>
    <w:lvl w:ilvl="0">
      <w:lvlJc w:val="left"/>
      <w:lvlText w:val="(%1)"/>
      <w:numFmt w:val="lowerLetter"/>
      <w:start w:val="1"/>
    </w:lvl>
  </w:abstractNum>
  <w:abstractNum w:abstractNumId="149">
    <w:nsid w:val="4E556261"/>
    <w:multiLevelType w:val="hybridMultilevel"/>
    <w:lvl w:ilvl="0">
      <w:lvlJc w:val="left"/>
      <w:lvlText w:val="(%1)"/>
      <w:numFmt w:val="lowerLetter"/>
      <w:start w:val="2"/>
    </w:lvl>
  </w:abstractNum>
  <w:abstractNum w:abstractNumId="150">
    <w:nsid w:val="4C672FC9"/>
    <w:multiLevelType w:val="hybridMultilevel"/>
    <w:lvl w:ilvl="0">
      <w:lvlJc w:val="left"/>
      <w:lvlText w:val="(%1)"/>
      <w:numFmt w:val="lowerLetter"/>
      <w:start w:val="1"/>
    </w:lvl>
  </w:abstractNum>
  <w:abstractNum w:abstractNumId="151">
    <w:nsid w:val="52A311C3"/>
    <w:multiLevelType w:val="hybridMultilevel"/>
    <w:lvl w:ilvl="0">
      <w:lvlJc w:val="left"/>
      <w:lvlText w:val="%1"/>
      <w:numFmt w:val="lowerLetter"/>
      <w:start w:val="1"/>
    </w:lvl>
    <w:lvl w:ilvl="1">
      <w:lvlJc w:val="left"/>
      <w:lvlText w:val="(%2)"/>
      <w:numFmt w:val="lowerLetter"/>
      <w:start w:val="2"/>
    </w:lvl>
  </w:abstractNum>
  <w:abstractNum w:abstractNumId="152">
    <w:nsid w:val="44EF6B80"/>
    <w:multiLevelType w:val="hybridMultilevel"/>
    <w:lvl w:ilvl="0">
      <w:lvlJc w:val="left"/>
      <w:lvlText w:val="(%1)"/>
      <w:numFmt w:val="lowerLetter"/>
      <w:start w:val="9"/>
    </w:lvl>
    <w:lvl w:ilvl="1">
      <w:lvlJc w:val="left"/>
      <w:lvlText w:val="%2"/>
      <w:numFmt w:val="lowerLetter"/>
      <w:start w:val="1"/>
    </w:lvl>
  </w:abstractNum>
  <w:abstractNum w:abstractNumId="153">
    <w:nsid w:val="12FCDE5E"/>
    <w:multiLevelType w:val="hybridMultilevel"/>
    <w:lvl w:ilvl="0">
      <w:lvlJc w:val="left"/>
      <w:lvlText w:val="%1"/>
      <w:numFmt w:val="lowerLetter"/>
      <w:start w:val="1"/>
    </w:lvl>
    <w:lvl w:ilvl="1">
      <w:lvlJc w:val="left"/>
      <w:lvlText w:val="(%2)"/>
      <w:numFmt w:val="lowerLetter"/>
      <w:start w:val="1"/>
    </w:lvl>
  </w:abstractNum>
  <w:abstractNum w:abstractNumId="154">
    <w:nsid w:val="4A1D606E"/>
    <w:multiLevelType w:val="hybridMultilevel"/>
    <w:lvl w:ilvl="0">
      <w:lvlJc w:val="left"/>
      <w:lvlText w:val="(%1)"/>
      <w:numFmt w:val="lowerLetter"/>
      <w:start w:val="3"/>
    </w:lvl>
    <w:lvl w:ilvl="1">
      <w:lvlJc w:val="left"/>
      <w:lvlText w:val="%2"/>
      <w:numFmt w:val="lowerLetter"/>
      <w:start w:val="1"/>
    </w:lvl>
  </w:abstractNum>
  <w:abstractNum w:abstractNumId="155">
    <w:nsid w:val="4382503"/>
    <w:multiLevelType w:val="hybridMultilevel"/>
    <w:lvl w:ilvl="0">
      <w:lvlJc w:val="left"/>
      <w:lvlText w:val="(%1)"/>
      <w:numFmt w:val="lowerLetter"/>
      <w:start w:val="1"/>
    </w:lvl>
  </w:abstractNum>
  <w:abstractNum w:abstractNumId="156">
    <w:nsid w:val="59B76E28"/>
    <w:multiLevelType w:val="hybridMultilevel"/>
    <w:lvl w:ilvl="0">
      <w:lvlJc w:val="left"/>
      <w:lvlText w:val="(%1)"/>
      <w:numFmt w:val="lowerRoman"/>
      <w:start w:val="3"/>
    </w:lvl>
  </w:abstractNum>
  <w:abstractNum w:abstractNumId="157">
    <w:nsid w:val="4252C2D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8">
    <w:nsid w:val="6A92EF4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59">
    <w:nsid w:val="41ED20D7"/>
    <w:multiLevelType w:val="hybridMultilevel"/>
    <w:lvl w:ilvl="0">
      <w:lvlJc w:val="left"/>
      <w:lvlText w:val="(%1)"/>
      <w:numFmt w:val="lowerLetter"/>
      <w:start w:val="1"/>
    </w:lvl>
  </w:abstractNum>
  <w:abstractNum w:abstractNumId="160">
    <w:nsid w:val="E6B3F6A"/>
    <w:multiLevelType w:val="hybridMultilevel"/>
    <w:lvl w:ilvl="0">
      <w:lvlJc w:val="left"/>
      <w:lvlText w:val="(%1)"/>
      <w:numFmt w:val="lowerLetter"/>
      <w:start w:val="1"/>
    </w:lvl>
    <w:lvl w:ilvl="1">
      <w:lvlJc w:val="left"/>
      <w:lvlText w:val="(%2)"/>
      <w:numFmt w:val="lowerLetter"/>
      <w:start w:val="9"/>
    </w:lvl>
  </w:abstractNum>
  <w:abstractNum w:abstractNumId="161">
    <w:nsid w:val="3EB21819"/>
    <w:multiLevelType w:val="hybridMultilevel"/>
    <w:lvl w:ilvl="0">
      <w:lvlJc w:val="left"/>
      <w:lvlText w:val="(%1)"/>
      <w:numFmt w:val="lowerRoman"/>
      <w:start w:val="2"/>
    </w:lvl>
  </w:abstractNum>
  <w:abstractNum w:abstractNumId="162">
    <w:nsid w:val="41531DED"/>
    <w:multiLevelType w:val="hybridMultilevel"/>
    <w:lvl w:ilvl="0">
      <w:lvlJc w:val="left"/>
      <w:lvlText w:val="(%1)"/>
      <w:numFmt w:val="lowerLetter"/>
      <w:start w:val="2"/>
    </w:lvl>
  </w:abstractNum>
  <w:abstractNum w:abstractNumId="163">
    <w:nsid w:val="6353CD2"/>
    <w:multiLevelType w:val="hybridMultilevel"/>
    <w:lvl w:ilvl="0">
      <w:lvlJc w:val="left"/>
      <w:lvlText w:val="(%1)"/>
      <w:numFmt w:val="lowerLetter"/>
      <w:start w:val="3"/>
    </w:lvl>
  </w:abstractNum>
  <w:abstractNum w:abstractNumId="164">
    <w:nsid w:val="683CAAD3"/>
    <w:multiLevelType w:val="hybridMultilevel"/>
    <w:lvl w:ilvl="0">
      <w:lvlJc w:val="left"/>
      <w:lvlText w:val="(%1)"/>
      <w:numFmt w:val="lowerLetter"/>
      <w:start w:val="2"/>
    </w:lvl>
  </w:abstractNum>
  <w:abstractNum w:abstractNumId="165">
    <w:nsid w:val="313C7C99"/>
    <w:multiLevelType w:val="hybridMultilevel"/>
    <w:lvl w:ilvl="0">
      <w:lvlJc w:val="left"/>
      <w:lvlText w:val="(%1)"/>
      <w:numFmt w:val="lowerLetter"/>
      <w:start w:val="1"/>
    </w:lvl>
  </w:abstractNum>
  <w:abstractNum w:abstractNumId="166">
    <w:nsid w:val="519EB94C"/>
    <w:multiLevelType w:val="hybridMultilevel"/>
    <w:lvl w:ilvl="0">
      <w:lvlJc w:val="left"/>
      <w:lvlText w:val="(%1)"/>
      <w:numFmt w:val="lowerLetter"/>
      <w:start w:val="3"/>
    </w:lvl>
  </w:abstractNum>
  <w:abstractNum w:abstractNumId="167">
    <w:nsid w:val="39DF2579"/>
    <w:multiLevelType w:val="hybridMultilevel"/>
    <w:lvl w:ilvl="0">
      <w:lvlJc w:val="left"/>
      <w:lvlText w:val="(%1)"/>
      <w:numFmt w:val="lowerLetter"/>
      <w:start w:val="4"/>
    </w:lvl>
  </w:abstractNum>
  <w:abstractNum w:abstractNumId="168">
    <w:nsid w:val="126E008B"/>
    <w:multiLevelType w:val="hybridMultilevel"/>
    <w:lvl w:ilvl="0">
      <w:lvlJc w:val="left"/>
      <w:lvlText w:val="(%1)"/>
      <w:numFmt w:val="lowerLetter"/>
      <w:start w:val="2"/>
    </w:lvl>
  </w:abstractNum>
  <w:abstractNum w:abstractNumId="169">
    <w:nsid w:val="34DFBC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0">
    <w:nsid w:val="1F9EC322"/>
    <w:multiLevelType w:val="hybridMultilevel"/>
    <w:lvl w:ilvl="0">
      <w:lvlJc w:val="left"/>
      <w:lvlText w:val="(%1)"/>
      <w:numFmt w:val="lowerRoman"/>
      <w:start w:val="3"/>
    </w:lvl>
    <w:lvl w:ilvl="1">
      <w:lvlJc w:val="left"/>
      <w:lvlText w:val="(%2)"/>
      <w:numFmt w:val="upperLetter"/>
      <w:start w:val="1"/>
    </w:lvl>
  </w:abstractNum>
  <w:abstractNum w:abstractNumId="171">
    <w:nsid w:val="3410ED56"/>
    <w:multiLevelType w:val="hybridMultilevel"/>
    <w:lvl w:ilvl="0">
      <w:lvlJc w:val="left"/>
      <w:lvlText w:val="(%1)"/>
      <w:numFmt w:val="lowerRoman"/>
      <w:start w:val="7"/>
    </w:lvl>
  </w:abstractNum>
  <w:abstractNum w:abstractNumId="172">
    <w:nsid w:val="23C049A"/>
    <w:multiLevelType w:val="hybridMultilevel"/>
    <w:lvl w:ilvl="0">
      <w:lvlJc w:val="left"/>
      <w:lvlText w:val="(%1)"/>
      <w:numFmt w:val="lowerLetter"/>
      <w:start w:val="3"/>
    </w:lvl>
  </w:abstractNum>
  <w:abstractNum w:abstractNumId="173">
    <w:nsid w:val="5BDA35D4"/>
    <w:multiLevelType w:val="hybridMultilevel"/>
    <w:lvl w:ilvl="0">
      <w:lvlJc w:val="left"/>
      <w:lvlText w:val="(%1)"/>
      <w:numFmt w:val="lowerLetter"/>
      <w:start w:val="4"/>
    </w:lvl>
  </w:abstractNum>
  <w:abstractNum w:abstractNumId="174">
    <w:nsid w:val="496FB218"/>
    <w:multiLevelType w:val="hybridMultilevel"/>
    <w:lvl w:ilvl="0">
      <w:lvlJc w:val="left"/>
      <w:lvlText w:val="(%1)"/>
      <w:numFmt w:val="lowerLetter"/>
      <w:start w:val="5"/>
    </w:lvl>
  </w:abstractNum>
  <w:abstractNum w:abstractNumId="175">
    <w:nsid w:val="680EA5D1"/>
    <w:multiLevelType w:val="hybridMultilevel"/>
    <w:lvl w:ilvl="0">
      <w:lvlJc w:val="left"/>
      <w:lvlText w:val="(%1)"/>
      <w:numFmt w:val="lowerRoman"/>
      <w:start w:val="1"/>
    </w:lvl>
  </w:abstractNum>
  <w:abstractNum w:abstractNumId="176">
    <w:nsid w:val="4A9554FE"/>
    <w:multiLevelType w:val="hybridMultilevel"/>
    <w:lvl w:ilvl="0">
      <w:lvlJc w:val="left"/>
      <w:lvlText w:val="(%1)"/>
      <w:numFmt w:val="lowerLetter"/>
      <w:start w:val="3"/>
    </w:lvl>
  </w:abstractNum>
  <w:abstractNum w:abstractNumId="177">
    <w:nsid w:val="392EDBE4"/>
    <w:multiLevelType w:val="hybridMultilevel"/>
    <w:lvl w:ilvl="0">
      <w:lvlJc w:val="left"/>
      <w:lvlText w:val="(%1)"/>
      <w:numFmt w:val="lowerLetter"/>
      <w:start w:val="1"/>
    </w:lvl>
  </w:abstractNum>
  <w:abstractNum w:abstractNumId="178">
    <w:nsid w:val="3D1A2DD9"/>
    <w:multiLevelType w:val="hybridMultilevel"/>
    <w:lvl w:ilvl="0">
      <w:lvlJc w:val="left"/>
      <w:lvlText w:val="(%1)"/>
      <w:numFmt w:val="lowerLetter"/>
      <w:start w:val="1"/>
    </w:lvl>
  </w:abstractNum>
  <w:abstractNum w:abstractNumId="179">
    <w:nsid w:val="7F618FCD"/>
    <w:multiLevelType w:val="hybridMultilevel"/>
    <w:lvl w:ilvl="0">
      <w:lvlJc w:val="left"/>
      <w:lvlText w:val="(%1)"/>
      <w:numFmt w:val="lowerLetter"/>
      <w:start w:val="4"/>
    </w:lvl>
  </w:abstractNum>
  <w:abstractNum w:abstractNumId="180">
    <w:nsid w:val="7843E45"/>
    <w:multiLevelType w:val="hybridMultilevel"/>
    <w:lvl w:ilvl="0">
      <w:lvlJc w:val="left"/>
      <w:lvlText w:val="(%1)"/>
      <w:numFmt w:val="upperLetter"/>
      <w:start w:val="2"/>
    </w:lvl>
  </w:abstractNum>
  <w:abstractNum w:abstractNumId="181">
    <w:nsid w:val="9815DA3"/>
    <w:multiLevelType w:val="hybridMultilevel"/>
    <w:lvl w:ilvl="0">
      <w:lvlJc w:val="left"/>
      <w:lvlText w:val="(%1)"/>
      <w:numFmt w:val="lowerRoman"/>
      <w:start w:val="1"/>
    </w:lvl>
  </w:abstractNum>
  <w:abstractNum w:abstractNumId="182">
    <w:nsid w:val="5204A191"/>
    <w:multiLevelType w:val="hybridMultilevel"/>
    <w:lvl w:ilvl="0">
      <w:lvlJc w:val="left"/>
      <w:lvlText w:val="(%1)"/>
      <w:numFmt w:val="lowerLetter"/>
      <w:start w:val="1"/>
    </w:lvl>
    <w:lvl w:ilvl="1">
      <w:lvlJc w:val="left"/>
      <w:lvlText w:val="(%2)"/>
      <w:numFmt w:val="lowerLetter"/>
      <w:start w:val="9"/>
    </w:lvl>
  </w:abstractNum>
  <w:abstractNum w:abstractNumId="183">
    <w:nsid w:val="4C73A9C6"/>
    <w:multiLevelType w:val="hybridMultilevel"/>
    <w:lvl w:ilvl="0">
      <w:lvlJc w:val="left"/>
      <w:lvlText w:val="(%1)"/>
      <w:numFmt w:val="lowerRoman"/>
      <w:start w:val="2"/>
    </w:lvl>
  </w:abstractNum>
  <w:abstractNum w:abstractNumId="184">
    <w:nsid w:val="1C7E3C01"/>
    <w:multiLevelType w:val="hybridMultilevel"/>
    <w:lvl w:ilvl="0">
      <w:lvlJc w:val="left"/>
      <w:lvlText w:val="%1."/>
      <w:numFmt w:val="decimal"/>
      <w:start w:val="1"/>
    </w:lvl>
  </w:abstractNum>
  <w:abstractNum w:abstractNumId="185">
    <w:nsid w:val="1C2201FF"/>
    <w:multiLevelType w:val="hybridMultilevel"/>
    <w:lvl w:ilvl="0">
      <w:lvlJc w:val="left"/>
      <w:lvlText w:val="(%1)"/>
      <w:numFmt w:val="lowerLetter"/>
      <w:start w:val="2"/>
    </w:lvl>
  </w:abstractNum>
  <w:abstractNum w:abstractNumId="186">
    <w:nsid w:val="50ABCEC9"/>
    <w:multiLevelType w:val="hybridMultilevel"/>
    <w:lvl w:ilvl="0">
      <w:lvlJc w:val="left"/>
      <w:lvlText w:val="%1."/>
      <w:numFmt w:val="decimal"/>
      <w:start w:val="2"/>
    </w:lvl>
  </w:abstractNum>
  <w:abstractNum w:abstractNumId="187">
    <w:nsid w:val="7635AA2A"/>
    <w:multiLevelType w:val="hybridMultilevel"/>
    <w:lvl w:ilvl="0">
      <w:lvlJc w:val="left"/>
      <w:lvlText w:val="(%1)"/>
      <w:numFmt w:val="lowerLetter"/>
      <w:start w:val="2"/>
    </w:lvl>
  </w:abstractNum>
  <w:abstractNum w:abstractNumId="188">
    <w:nsid w:val="5E74C4D9"/>
    <w:multiLevelType w:val="hybridMultilevel"/>
    <w:lvl w:ilvl="0">
      <w:lvlJc w:val="left"/>
      <w:lvlText w:val="%1."/>
      <w:numFmt w:val="decimal"/>
      <w:start w:val="3"/>
    </w:lvl>
  </w:abstractNum>
  <w:abstractNum w:abstractNumId="189">
    <w:nsid w:val="3B3EBE15"/>
    <w:multiLevelType w:val="hybridMultilevel"/>
    <w:lvl w:ilvl="0">
      <w:lvlJc w:val="left"/>
      <w:lvlText w:val="%1."/>
      <w:numFmt w:val="decimal"/>
      <w:start w:val="4"/>
    </w:lvl>
  </w:abstractNum>
  <w:abstractNum w:abstractNumId="190">
    <w:nsid w:val="3822CB01"/>
    <w:multiLevelType w:val="hybridMultilevel"/>
    <w:lvl w:ilvl="0">
      <w:lvlJc w:val="left"/>
      <w:lvlText w:val="(%1)"/>
      <w:numFmt w:val="lowerLetter"/>
      <w:start w:val="1"/>
    </w:lvl>
  </w:abstractNum>
  <w:abstractNum w:abstractNumId="191">
    <w:nsid w:val="6CE00443"/>
    <w:multiLevelType w:val="hybridMultilevel"/>
    <w:lvl w:ilvl="0">
      <w:lvlJc w:val="left"/>
      <w:lvlText w:val="%1"/>
      <w:numFmt w:val="lowerLetter"/>
      <w:start w:val="1"/>
    </w:lvl>
    <w:lvl w:ilvl="1">
      <w:lvlJc w:val="left"/>
      <w:lvlText w:val="(%2)"/>
      <w:numFmt w:val="lowerLetter"/>
      <w:start w:val="3"/>
    </w:lvl>
  </w:abstractNum>
  <w:abstractNum w:abstractNumId="192">
    <w:nsid w:val="79F0D62F"/>
    <w:multiLevelType w:val="hybridMultilevel"/>
    <w:lvl w:ilvl="0">
      <w:lvlJc w:val="left"/>
      <w:lvlText w:val="(%1)"/>
      <w:numFmt w:val="lowerLetter"/>
      <w:start w:val="9"/>
    </w:lvl>
    <w:lvl w:ilvl="1">
      <w:lvlJc w:val="left"/>
      <w:lvlText w:val="(%2)"/>
      <w:numFmt w:val="lowerLetter"/>
      <w:start w:val="4"/>
    </w:lvl>
  </w:abstractNum>
  <w:abstractNum w:abstractNumId="193">
    <w:nsid w:val="7975E8EE"/>
    <w:multiLevelType w:val="hybridMultilevel"/>
    <w:lvl w:ilvl="0">
      <w:lvlJc w:val="left"/>
      <w:lvlText w:val="%1."/>
      <w:numFmt w:val="decimal"/>
      <w:start w:val="5"/>
    </w:lvl>
  </w:abstractNum>
  <w:abstractNum w:abstractNumId="194">
    <w:nsid w:val="73154115"/>
    <w:multiLevelType w:val="hybridMultilevel"/>
    <w:lvl w:ilvl="0">
      <w:lvlJc w:val="left"/>
      <w:lvlText w:val="(%1)"/>
      <w:numFmt w:val="lowerLetter"/>
      <w:start w:val="2"/>
    </w:lvl>
  </w:abstractNum>
  <w:abstractNum w:abstractNumId="195">
    <w:nsid w:val="622D8102"/>
    <w:multiLevelType w:val="hybridMultilevel"/>
    <w:lvl w:ilvl="0">
      <w:lvlJc w:val="left"/>
      <w:lvlText w:val="(%1)"/>
      <w:numFmt w:val="lowerLetter"/>
      <w:start w:val="3"/>
    </w:lvl>
  </w:abstractNum>
  <w:abstractNum w:abstractNumId="196">
    <w:nsid w:val="2AB26587"/>
    <w:multiLevelType w:val="hybridMultilevel"/>
    <w:lvl w:ilvl="0">
      <w:lvlJc w:val="left"/>
      <w:lvlText w:val="%1."/>
      <w:numFmt w:val="decimal"/>
      <w:start w:val="6"/>
    </w:lvl>
  </w:abstractNum>
  <w:abstractNum w:abstractNumId="197">
    <w:nsid w:val="44B3FA61"/>
    <w:multiLevelType w:val="hybridMultilevel"/>
    <w:lvl w:ilvl="0">
      <w:lvlJc w:val="left"/>
      <w:lvlText w:val="%1."/>
      <w:numFmt w:val="decimal"/>
      <w:start w:val="9"/>
    </w:lvl>
    <w:lvl w:ilvl="1">
      <w:lvlJc w:val="left"/>
      <w:lvlText w:val="(%2)"/>
      <w:numFmt w:val="lowerRoman"/>
      <w:start w:val="1"/>
    </w:lvl>
  </w:abstractNum>
  <w:abstractNum w:abstractNumId="198">
    <w:nsid w:val="1C0CA67C"/>
    <w:multiLevelType w:val="hybridMultilevel"/>
    <w:lvl w:ilvl="0">
      <w:lvlJc w:val="left"/>
      <w:lvlText w:val="A"/>
      <w:numFmt w:val="bullet"/>
      <w:start w:val="1"/>
    </w:lvl>
  </w:abstractNum>
  <w:abstractNum w:abstractNumId="199">
    <w:nsid w:val="3D206613"/>
    <w:multiLevelType w:val="hybridMultilevel"/>
    <w:lvl w:ilvl="0">
      <w:lvlJc w:val="left"/>
      <w:lvlText w:val="(%1)"/>
      <w:numFmt w:val="decimal"/>
      <w:start w:val="1"/>
    </w:lvl>
    <w:lvl w:ilvl="1">
      <w:lvlJc w:val="left"/>
      <w:lvlText w:val="(%2)"/>
      <w:numFmt w:val="lowerLetter"/>
      <w:start w:val="1"/>
    </w:lvl>
  </w:abstractNum>
  <w:abstractNum w:abstractNumId="200">
    <w:nsid w:val="7993B662"/>
    <w:multiLevelType w:val="hybridMultilevel"/>
    <w:lvl w:ilvl="0">
      <w:lvlJc w:val="left"/>
      <w:lvlText w:val="(%1)"/>
      <w:numFmt w:val="decimal"/>
      <w:start w:val="2"/>
    </w:lvl>
  </w:abstractNum>
  <w:abstractNum w:abstractNumId="201">
    <w:nsid w:val="3BAB699E"/>
    <w:multiLevelType w:val="hybridMultilevel"/>
    <w:lvl w:ilvl="0">
      <w:lvlJc w:val="left"/>
      <w:lvlText w:val="(%1)"/>
      <w:numFmt w:val="lowerLetter"/>
      <w:start w:val="1"/>
    </w:lvl>
  </w:abstractNum>
  <w:abstractNum w:abstractNumId="202">
    <w:nsid w:val="71315369"/>
    <w:multiLevelType w:val="hybridMultilevel"/>
    <w:lvl w:ilvl="0">
      <w:lvlJc w:val="left"/>
      <w:lvlText w:val="(%1)"/>
      <w:numFmt w:val="lowerLetter"/>
      <w:start w:val="3"/>
    </w:lvl>
  </w:abstractNum>
  <w:abstractNum w:abstractNumId="203">
    <w:nsid w:val="7BCFBAFC"/>
    <w:multiLevelType w:val="hybridMultilevel"/>
    <w:lvl w:ilvl="0">
      <w:lvlJc w:val="left"/>
      <w:lvlText w:val="(%1)"/>
      <w:numFmt w:val="lowerLetter"/>
      <w:start w:val="3"/>
    </w:lvl>
  </w:abstractNum>
  <w:abstractNum w:abstractNumId="204">
    <w:nsid w:val="17859F72"/>
    <w:multiLevelType w:val="hybridMultilevel"/>
    <w:lvl w:ilvl="0">
      <w:lvlJc w:val="left"/>
      <w:lvlText w:val="(%1)"/>
      <w:numFmt w:val="decimal"/>
      <w:start w:val="1"/>
    </w:lvl>
  </w:abstractNum>
  <w:abstractNum w:abstractNumId="205">
    <w:nsid w:val="3AA10581"/>
    <w:multiLevelType w:val="hybridMultilevel"/>
    <w:lvl w:ilvl="0">
      <w:lvlJc w:val="left"/>
      <w:lvlText w:val="(%1)"/>
      <w:numFmt w:val="lowerLetter"/>
      <w:start w:val="1"/>
    </w:lvl>
  </w:abstractNum>
  <w:abstractNum w:abstractNumId="206">
    <w:nsid w:val="63DE60CD"/>
    <w:multiLevelType w:val="hybridMultilevel"/>
    <w:lvl w:ilvl="0">
      <w:lvlJc w:val="left"/>
      <w:lvlText w:val="(%1)"/>
      <w:numFmt w:val="lowerLetter"/>
      <w:start w:val="1"/>
    </w:lvl>
  </w:abstractNum>
  <w:abstractNum w:abstractNumId="207">
    <w:nsid w:val="621AF471"/>
    <w:multiLevelType w:val="hybridMultilevel"/>
    <w:lvl w:ilvl="0">
      <w:lvlJc w:val="left"/>
      <w:lvlText w:val="(%1)"/>
      <w:numFmt w:val="lowerLetter"/>
      <w:start w:val="1"/>
    </w:lvl>
    <w:lvl w:ilvl="1">
      <w:lvlJc w:val="left"/>
      <w:lvlText w:val="(%2)"/>
      <w:numFmt w:val="lowerRoman"/>
      <w:start w:val="1"/>
    </w:lvl>
  </w:abstractNum>
  <w:abstractNum w:abstractNumId="208">
    <w:nsid w:val="73CFE165"/>
    <w:multiLevelType w:val="hybridMultilevel"/>
    <w:lvl w:ilvl="0">
      <w:lvlJc w:val="left"/>
      <w:lvlText w:val="(%1)"/>
      <w:numFmt w:val="lowerLetter"/>
      <w:start w:val="9"/>
    </w:lvl>
  </w:abstractNum>
  <w:abstractNum w:abstractNumId="209">
    <w:nsid w:val="20F88EA6"/>
    <w:multiLevelType w:val="hybridMultilevel"/>
    <w:lvl w:ilvl="0">
      <w:lvlJc w:val="left"/>
      <w:lvlText w:val="(%1)"/>
      <w:numFmt w:val="lowerLetter"/>
      <w:start w:val="4"/>
    </w:lvl>
  </w:abstractNum>
  <w:abstractNum w:abstractNumId="210">
    <w:nsid w:val="617C843E"/>
    <w:multiLevelType w:val="hybridMultilevel"/>
    <w:lvl w:ilvl="0">
      <w:lvlJc w:val="left"/>
      <w:lvlText w:val="(%1)"/>
      <w:numFmt w:val="lowerLetter"/>
      <w:start w:val="3"/>
    </w:lvl>
  </w:abstractNum>
  <w:abstractNum w:abstractNumId="211">
    <w:nsid w:val="7B541FAB"/>
    <w:multiLevelType w:val="hybridMultilevel"/>
    <w:lvl w:ilvl="0">
      <w:lvlJc w:val="left"/>
      <w:lvlText w:val="(%1)"/>
      <w:numFmt w:val="lowerLetter"/>
      <w:start w:val="1"/>
    </w:lvl>
  </w:abstractNum>
  <w:abstractNum w:abstractNumId="212">
    <w:nsid w:val="2A79EC49"/>
    <w:multiLevelType w:val="hybridMultilevel"/>
    <w:lvl w:ilvl="0">
      <w:lvlJc w:val="left"/>
      <w:lvlText w:val="(%1)"/>
      <w:numFmt w:val="lowerRoman"/>
      <w:start w:val="1"/>
    </w:lvl>
  </w:abstractNum>
  <w:abstractNum w:abstractNumId="213">
    <w:nsid w:val="338125CF"/>
    <w:multiLevelType w:val="hybridMultilevel"/>
    <w:lvl w:ilvl="0">
      <w:lvlJc w:val="left"/>
      <w:lvlText w:val="(%1)"/>
      <w:numFmt w:val="lowerRoman"/>
      <w:start w:val="7"/>
    </w:lvl>
  </w:abstractNum>
  <w:abstractNum w:abstractNumId="214">
    <w:nsid w:val="47C7C971"/>
    <w:multiLevelType w:val="hybridMultilevel"/>
    <w:lvl w:ilvl="0">
      <w:lvlJc w:val="left"/>
      <w:lvlText w:val="(%1)"/>
      <w:numFmt w:val="lowerRoman"/>
      <w:start w:val="2"/>
    </w:lvl>
  </w:abstractNum>
  <w:abstractNum w:abstractNumId="215">
    <w:nsid w:val="46F8284B"/>
    <w:multiLevelType w:val="hybridMultilevel"/>
    <w:lvl w:ilvl="0">
      <w:lvlJc w:val="left"/>
      <w:lvlText w:val="(%1)"/>
      <w:numFmt w:val="lowerRoman"/>
      <w:start w:val="1"/>
    </w:lvl>
  </w:abstractNum>
  <w:abstractNum w:abstractNumId="216">
    <w:nsid w:val="4FA327CE"/>
    <w:multiLevelType w:val="hybridMultilevel"/>
    <w:lvl w:ilvl="0">
      <w:lvlJc w:val="left"/>
      <w:lvlText w:val="(%1)"/>
      <w:numFmt w:val="lowerRoman"/>
      <w:start w:val="3"/>
    </w:lvl>
  </w:abstractNum>
  <w:abstractNum w:abstractNumId="217">
    <w:nsid w:val="1873983A"/>
    <w:multiLevelType w:val="hybridMultilevel"/>
    <w:lvl w:ilvl="0">
      <w:lvlJc w:val="left"/>
      <w:lvlText w:val="(%1)"/>
      <w:numFmt w:val="lowerLetter"/>
      <w:start w:val="2"/>
    </w:lvl>
  </w:abstractNum>
  <w:abstractNum w:abstractNumId="218">
    <w:nsid w:val="3D2DD275"/>
    <w:multiLevelType w:val="hybridMultilevel"/>
    <w:lvl w:ilvl="0">
      <w:lvlJc w:val="left"/>
      <w:lvlText w:val="%1"/>
      <w:numFmt w:val="lowerRoman"/>
      <w:start w:val="1"/>
    </w:lvl>
    <w:lvl w:ilvl="1">
      <w:lvlJc w:val="left"/>
      <w:lvlText w:val="(%2)"/>
      <w:numFmt w:val="lowerLetter"/>
      <w:start w:val="1"/>
    </w:lvl>
  </w:abstractNum>
  <w:abstractNum w:abstractNumId="219">
    <w:nsid w:val="2E17ECA7"/>
    <w:multiLevelType w:val="hybridMultilevel"/>
    <w:lvl w:ilvl="0">
      <w:lvlJc w:val="left"/>
      <w:lvlText w:val="(%1)"/>
      <w:numFmt w:val="lowerRoman"/>
      <w:start w:val="2"/>
    </w:lvl>
    <w:lvl w:ilvl="1">
      <w:lvlJc w:val="left"/>
      <w:lvlText w:val="%2"/>
      <w:numFmt w:val="lowerLetter"/>
      <w:start w:val="1"/>
    </w:lvl>
  </w:abstractNum>
  <w:abstractNum w:abstractNumId="220">
    <w:nsid w:val="53B2564F"/>
    <w:multiLevelType w:val="hybridMultilevel"/>
    <w:lvl w:ilvl="0">
      <w:lvlJc w:val="left"/>
      <w:lvlText w:val="(%1)"/>
      <w:numFmt w:val="lowerRoman"/>
      <w:start w:val="6"/>
    </w:lvl>
    <w:lvl w:ilvl="1">
      <w:lvlJc w:val="left"/>
      <w:lvlText w:val="(%2)"/>
      <w:numFmt w:val="lowerLetter"/>
      <w:start w:val="2"/>
    </w:lvl>
  </w:abstractNum>
  <w:abstractNum w:abstractNumId="221">
    <w:nsid w:val="75509D76"/>
    <w:multiLevelType w:val="hybridMultilevel"/>
    <w:lvl w:ilvl="0">
      <w:lvlJc w:val="left"/>
      <w:lvlText w:val="(%1)"/>
      <w:numFmt w:val="lowerLetter"/>
      <w:start w:val="4"/>
    </w:lvl>
  </w:abstractNum>
  <w:abstractNum w:abstractNumId="222">
    <w:nsid w:val="1AF7F0EA"/>
    <w:multiLevelType w:val="hybridMultilevel"/>
    <w:lvl w:ilvl="0">
      <w:lvlJc w:val="left"/>
      <w:lvlText w:val="(%1)"/>
      <w:numFmt w:val="lowerLetter"/>
      <w:start w:val="1"/>
    </w:lvl>
  </w:abstractNum>
  <w:abstractNum w:abstractNumId="223">
    <w:nsid w:val="4DA32C7E"/>
    <w:multiLevelType w:val="hybridMultilevel"/>
    <w:lvl w:ilvl="0">
      <w:lvlJc w:val="left"/>
      <w:lvlText w:val="(%1)"/>
      <w:numFmt w:val="lowerLetter"/>
      <w:start w:val="1"/>
    </w:lvl>
  </w:abstractNum>
  <w:abstractNum w:abstractNumId="224">
    <w:nsid w:val="6EC68664"/>
    <w:multiLevelType w:val="hybridMultilevel"/>
    <w:lvl w:ilvl="0">
      <w:lvlJc w:val="left"/>
      <w:lvlText w:val="%1"/>
      <w:numFmt w:val="upperLetter"/>
      <w:start w:val="1"/>
    </w:lvl>
    <w:lvl w:ilvl="1">
      <w:lvlJc w:val="left"/>
      <w:lvlText w:val="(%2)"/>
      <w:numFmt w:val="lowerLetter"/>
      <w:start w:val="1"/>
    </w:lvl>
  </w:abstractNum>
  <w:abstractNum w:abstractNumId="225">
    <w:nsid w:val="E0D31FF"/>
    <w:multiLevelType w:val="hybridMultilevel"/>
    <w:lvl w:ilvl="0">
      <w:lvlJc w:val="left"/>
      <w:lvlText w:val="(%1)"/>
      <w:numFmt w:val="upperLetter"/>
      <w:start w:val="1"/>
    </w:lvl>
    <w:lvl w:ilvl="1">
      <w:lvlJc w:val="left"/>
      <w:lvlText w:val="%2"/>
      <w:numFmt w:val="lowerLetter"/>
      <w:start w:val="1"/>
    </w:lvl>
  </w:abstractNum>
  <w:abstractNum w:abstractNumId="226">
    <w:nsid w:val="2FD0AD81"/>
    <w:multiLevelType w:val="hybridMultilevel"/>
    <w:lvl w:ilvl="0">
      <w:lvlJc w:val="left"/>
      <w:lvlText w:val="(%1)"/>
      <w:numFmt w:val="lowerLetter"/>
      <w:start w:val="2"/>
    </w:lvl>
  </w:abstractNum>
  <w:abstractNum w:abstractNumId="227">
    <w:nsid w:val="1978EBEB"/>
    <w:multiLevelType w:val="hybridMultilevel"/>
    <w:lvl w:ilvl="0">
      <w:lvlJc w:val="left"/>
      <w:lvlText w:val="(%1)"/>
      <w:numFmt w:val="lowerLetter"/>
      <w:start w:val="4"/>
    </w:lvl>
  </w:abstractNum>
  <w:abstractNum w:abstractNumId="228">
    <w:nsid w:val="52C12C61"/>
    <w:multiLevelType w:val="hybridMultilevel"/>
    <w:lvl w:ilvl="0">
      <w:lvlJc w:val="left"/>
      <w:lvlText w:val="(%1)"/>
      <w:numFmt w:val="lowerLetter"/>
      <w:start w:val="1"/>
    </w:lvl>
  </w:abstractNum>
  <w:abstractNum w:abstractNumId="229">
    <w:nsid w:val="4BDD53FD"/>
    <w:multiLevelType w:val="hybridMultilevel"/>
    <w:lvl w:ilvl="0">
      <w:lvlJc w:val="left"/>
      <w:lvlText w:val="(%1)"/>
      <w:numFmt w:val="lowerLetter"/>
      <w:start w:val="3"/>
    </w:lvl>
  </w:abstractNum>
  <w:abstractNum w:abstractNumId="230">
    <w:nsid w:val="569951FE"/>
    <w:multiLevelType w:val="hybridMultilevel"/>
    <w:lvl w:ilvl="0">
      <w:lvlJc w:val="left"/>
      <w:lvlText w:val="(%1)"/>
      <w:numFmt w:val="lowerRoman"/>
      <w:start w:val="1"/>
    </w:lvl>
    <w:lvl w:ilvl="1">
      <w:lvlJc w:val="left"/>
      <w:lvlText w:val="(%2)"/>
      <w:numFmt w:val="upperLetter"/>
      <w:start w:val="1"/>
    </w:lvl>
  </w:abstractNum>
  <w:abstractNum w:abstractNumId="231">
    <w:nsid w:val="4C54E2C3"/>
    <w:multiLevelType w:val="hybridMultilevel"/>
    <w:lvl w:ilvl="0">
      <w:lvlJc w:val="left"/>
      <w:lvlText w:val="(%1)"/>
      <w:numFmt w:val="lowerLetter"/>
      <w:start w:val="4"/>
    </w:lvl>
  </w:abstractNum>
  <w:abstractNum w:abstractNumId="232">
    <w:nsid w:val="788BD9B"/>
    <w:multiLevelType w:val="hybridMultilevel"/>
    <w:lvl w:ilvl="0">
      <w:lvlJc w:val="left"/>
      <w:lvlText w:val="(%1)"/>
      <w:numFmt w:val="lowerLetter"/>
      <w:start w:val="6"/>
    </w:lvl>
  </w:abstractNum>
  <w:abstractNum w:abstractNumId="233">
    <w:nsid w:val="47CAA567"/>
    <w:multiLevelType w:val="hybridMultilevel"/>
    <w:lvl w:ilvl="0">
      <w:lvlJc w:val="left"/>
      <w:lvlText w:val="(%1)"/>
      <w:numFmt w:val="lowerLetter"/>
      <w:start w:val="7"/>
    </w:lvl>
    <w:lvl w:ilvl="1">
      <w:lvlJc w:val="left"/>
      <w:lvlText w:val="(%2)"/>
      <w:numFmt w:val="lowerRoman"/>
      <w:start w:val="1"/>
    </w:lvl>
  </w:abstractNum>
  <w:abstractNum w:abstractNumId="234">
    <w:nsid w:val="48249DBF"/>
    <w:multiLevelType w:val="hybridMultilevel"/>
    <w:lvl w:ilvl="0">
      <w:lvlJc w:val="left"/>
      <w:lvlText w:val="(%1)"/>
      <w:numFmt w:val="lowerRoman"/>
      <w:start w:val="8"/>
    </w:lvl>
  </w:abstractNum>
  <w:abstractNum w:abstractNumId="235">
    <w:nsid w:val="1F0E5D0D"/>
    <w:multiLevelType w:val="hybridMultilevel"/>
    <w:lvl w:ilvl="0">
      <w:lvlJc w:val="left"/>
      <w:lvlText w:val="(%1)"/>
      <w:numFmt w:val="lowerRoman"/>
      <w:start w:val="1"/>
    </w:lvl>
  </w:abstractNum>
  <w:abstractNum w:abstractNumId="236">
    <w:nsid w:val="26BAAE9"/>
    <w:multiLevelType w:val="hybridMultilevel"/>
    <w:lvl w:ilvl="0">
      <w:lvlJc w:val="left"/>
      <w:lvlText w:val="%1"/>
      <w:numFmt w:val="upperLetter"/>
      <w:start w:val="1"/>
    </w:lvl>
    <w:lvl w:ilvl="1">
      <w:lvlJc w:val="left"/>
      <w:lvlText w:val="(%2)"/>
      <w:numFmt w:val="lowerRoman"/>
      <w:start w:val="3"/>
    </w:lvl>
  </w:abstractNum>
  <w:abstractNum w:abstractNumId="237">
    <w:nsid w:val="2C02FE8C"/>
    <w:multiLevelType w:val="hybridMultilevel"/>
    <w:lvl w:ilvl="0">
      <w:lvlJc w:val="left"/>
      <w:lvlText w:val="(%1)"/>
      <w:numFmt w:val="upperLetter"/>
      <w:start w:val="1"/>
    </w:lvl>
    <w:lvl w:ilvl="1">
      <w:lvlJc w:val="left"/>
      <w:lvlText w:val="%2"/>
      <w:numFmt w:val="lowerRoman"/>
      <w:start w:val="1"/>
    </w:lvl>
  </w:abstractNum>
  <w:abstractNum w:abstractNumId="238">
    <w:nsid w:val="129517E"/>
    <w:multiLevelType w:val="hybridMultilevel"/>
    <w:lvl w:ilvl="0">
      <w:lvlJc w:val="left"/>
      <w:lvlText w:val="(%1)"/>
      <w:numFmt w:val="lowerLetter"/>
      <w:start w:val="8"/>
    </w:lvl>
  </w:abstractNum>
  <w:abstractNum w:abstractNumId="239">
    <w:nsid w:val="763B8C4E"/>
    <w:multiLevelType w:val="hybridMultilevel"/>
    <w:lvl w:ilvl="0">
      <w:lvlJc w:val="left"/>
      <w:lvlText w:val="(%1)"/>
      <w:numFmt w:val="lowerLetter"/>
      <w:start w:val="10"/>
    </w:lvl>
  </w:abstractNum>
  <w:abstractNum w:abstractNumId="240">
    <w:nsid w:val="4CFB8D32"/>
    <w:multiLevelType w:val="hybridMultilevel"/>
    <w:lvl w:ilvl="0">
      <w:lvlJc w:val="left"/>
      <w:lvlText w:val="%1"/>
      <w:numFmt w:val="lowerLetter"/>
      <w:start w:val="1"/>
    </w:lvl>
    <w:lvl w:ilvl="1">
      <w:lvlJc w:val="left"/>
      <w:lvlText w:val="(%2)"/>
      <w:numFmt w:val="lowerLetter"/>
      <w:start w:val="13"/>
    </w:lvl>
  </w:abstractNum>
  <w:abstractNum w:abstractNumId="241">
    <w:nsid w:val="62A5D5BD"/>
    <w:multiLevelType w:val="hybridMultilevel"/>
    <w:lvl w:ilvl="0">
      <w:lvlJc w:val="left"/>
      <w:lvlText w:val="(%1)"/>
      <w:numFmt w:val="lowerLetter"/>
      <w:start w:val="6"/>
    </w:lvl>
    <w:lvl w:ilvl="1">
      <w:lvlJc w:val="left"/>
      <w:lvlText w:val="(%2)"/>
      <w:numFmt w:val="lowerLetter"/>
      <w:start w:val="14"/>
    </w:lvl>
  </w:abstractNum>
  <w:abstractNum w:abstractNumId="242">
    <w:nsid w:val="718FABF9"/>
    <w:multiLevelType w:val="hybridMultilevel"/>
    <w:lvl w:ilvl="0">
      <w:lvlJc w:val="left"/>
      <w:lvlText w:val="(%1)"/>
      <w:numFmt w:val="lowerLetter"/>
      <w:start w:val="16"/>
    </w:lvl>
    <w:lvl w:ilvl="1">
      <w:lvlJc w:val="left"/>
      <w:lvlText w:val="(%2)"/>
      <w:numFmt w:val="lowerRoman"/>
      <w:start w:val="1"/>
    </w:lvl>
  </w:abstractNum>
  <w:abstractNum w:abstractNumId="243">
    <w:nsid w:val="7775797C"/>
    <w:multiLevelType w:val="hybridMultilevel"/>
    <w:lvl w:ilvl="0">
      <w:lvlJc w:val="left"/>
      <w:lvlText w:val="(%1)"/>
      <w:numFmt w:val="upperLetter"/>
      <w:start w:val="1"/>
    </w:lvl>
  </w:abstractNum>
  <w:abstractNum w:abstractNumId="244">
    <w:nsid w:val="1626FB8C"/>
    <w:multiLevelType w:val="hybridMultilevel"/>
    <w:lvl w:ilvl="0">
      <w:lvlJc w:val="left"/>
      <w:lvlText w:val="(%1)"/>
      <w:numFmt w:val="lowerLetter"/>
      <w:start w:val="17"/>
    </w:lvl>
  </w:abstractNum>
  <w:abstractNum w:abstractNumId="245">
    <w:nsid w:val="3957756A"/>
    <w:multiLevelType w:val="hybridMultilevel"/>
    <w:lvl w:ilvl="0">
      <w:lvlJc w:val="left"/>
      <w:lvlText w:val="(%1)"/>
      <w:numFmt w:val="lowerLetter"/>
      <w:start w:val="1"/>
    </w:lvl>
  </w:abstractNum>
  <w:abstractNum w:abstractNumId="246">
    <w:nsid w:val="3E6DA1C7"/>
    <w:multiLevelType w:val="hybridMultilevel"/>
    <w:lvl w:ilvl="0">
      <w:lvlJc w:val="left"/>
      <w:lvlText w:val="%1"/>
      <w:numFmt w:val="upperLetter"/>
      <w:start w:val="1"/>
    </w:lvl>
    <w:lvl w:ilvl="1">
      <w:lvlJc w:val="left"/>
      <w:lvlText w:val="(%2)"/>
      <w:numFmt w:val="lowerLetter"/>
      <w:start w:val="2"/>
    </w:lvl>
  </w:abstractNum>
  <w:abstractNum w:abstractNumId="247">
    <w:nsid w:val="65CA235B"/>
    <w:multiLevelType w:val="hybridMultilevel"/>
    <w:lvl w:ilvl="0">
      <w:lvlJc w:val="left"/>
      <w:lvlText w:val="(%1)"/>
      <w:numFmt w:val="upperLetter"/>
      <w:start w:val="2"/>
    </w:lvl>
    <w:lvl w:ilvl="1">
      <w:lvlJc w:val="left"/>
      <w:lvlText w:val="%2"/>
      <w:numFmt w:val="lowerLetter"/>
      <w:start w:val="1"/>
    </w:lvl>
  </w:abstractNum>
  <w:abstractNum w:abstractNumId="248">
    <w:nsid w:val="51CB0DA4"/>
    <w:multiLevelType w:val="hybridMultilevel"/>
    <w:lvl w:ilvl="0">
      <w:lvlJc w:val="left"/>
      <w:lvlText w:val="(%1)"/>
      <w:numFmt w:val="lowerLetter"/>
      <w:start w:val="3"/>
    </w:lvl>
    <w:lvl w:ilvl="1">
      <w:lvlJc w:val="left"/>
      <w:lvlText w:val="(%2)"/>
      <w:numFmt w:val="lowerRoman"/>
      <w:start w:val="1"/>
    </w:lvl>
  </w:abstractNum>
  <w:abstractNum w:abstractNumId="249">
    <w:nsid w:val="7B9B743C"/>
    <w:multiLevelType w:val="hybridMultilevel"/>
    <w:lvl w:ilvl="0">
      <w:lvlJc w:val="left"/>
      <w:lvlText w:val="(%1)"/>
      <w:numFmt w:val="lowerLetter"/>
      <w:start w:val="9"/>
    </w:lvl>
    <w:lvl w:ilvl="1">
      <w:lvlJc w:val="left"/>
      <w:lvlText w:val="(%2)"/>
      <w:numFmt w:val="lowerRoman"/>
      <w:start w:val="3"/>
    </w:lvl>
  </w:abstractNum>
  <w:abstractNum w:abstractNumId="250">
    <w:nsid w:val="13E21002"/>
    <w:multiLevelType w:val="hybridMultilevel"/>
    <w:lvl w:ilvl="0">
      <w:lvlJc w:val="left"/>
      <w:lvlText w:val="%1"/>
      <w:numFmt w:val="lowerLetter"/>
      <w:start w:val="1"/>
    </w:lvl>
    <w:lvl w:ilvl="1">
      <w:lvlJc w:val="left"/>
      <w:lvlText w:val="(%2)"/>
      <w:numFmt w:val="lowerRoman"/>
      <w:start w:val="4"/>
    </w:lvl>
  </w:abstractNum>
  <w:abstractNum w:abstractNumId="251">
    <w:nsid w:val="257D63F4"/>
    <w:multiLevelType w:val="hybridMultilevel"/>
    <w:lvl w:ilvl="0">
      <w:lvlJc w:val="left"/>
      <w:lvlText w:val="(%1)"/>
      <w:numFmt w:val="lowerLetter"/>
      <w:start w:val="4"/>
    </w:lvl>
    <w:lvl w:ilvl="1">
      <w:lvlJc w:val="left"/>
      <w:lvlText w:val="(%2)"/>
      <w:numFmt w:val="lowerRoman"/>
      <w:start w:val="1"/>
    </w:lvl>
  </w:abstractNum>
  <w:abstractNum w:abstractNumId="252">
    <w:nsid w:val="70EC11B2"/>
    <w:multiLevelType w:val="hybridMultilevel"/>
    <w:lvl w:ilvl="0">
      <w:lvlJc w:val="left"/>
      <w:lvlText w:val="(%1)"/>
      <w:numFmt w:val="lowerLetter"/>
      <w:start w:val="1"/>
    </w:lvl>
  </w:abstractNum>
  <w:abstractNum w:abstractNumId="253">
    <w:nsid w:val="2EDA00ED"/>
    <w:multiLevelType w:val="hybridMultilevel"/>
    <w:lvl w:ilvl="0">
      <w:lvlJc w:val="left"/>
      <w:lvlText w:val="(%1)"/>
      <w:numFmt w:val="lowerLetter"/>
      <w:start w:val="4"/>
    </w:lvl>
  </w:abstractNum>
  <w:abstractNum w:abstractNumId="254">
    <w:nsid w:val="73209072"/>
    <w:multiLevelType w:val="hybridMultilevel"/>
    <w:lvl w:ilvl="0">
      <w:lvlJc w:val="left"/>
      <w:lvlText w:val="(%1)"/>
      <w:numFmt w:val="lowerLetter"/>
      <w:start w:val="1"/>
    </w:lvl>
  </w:abstractNum>
  <w:abstractNum w:abstractNumId="255">
    <w:nsid w:val="5FB298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6">
    <w:nsid w:val="3CE732EC"/>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2"/>
    </w:lvl>
  </w:abstractNum>
  <w:abstractNum w:abstractNumId="257">
    <w:nsid w:val="22F13DF3"/>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58">
    <w:nsid w:val="792B8401"/>
    <w:multiLevelType w:val="hybridMultilevel"/>
    <w:lvl w:ilvl="0">
      <w:lvlJc w:val="left"/>
      <w:lvlText w:val="(%1)"/>
      <w:numFmt w:val="lowerLetter"/>
      <w:start w:val="1"/>
    </w:lvl>
  </w:abstractNum>
  <w:abstractNum w:abstractNumId="259">
    <w:nsid w:val="FA85F4D"/>
    <w:multiLevelType w:val="hybridMultilevel"/>
    <w:lvl w:ilvl="0">
      <w:lvlJc w:val="left"/>
      <w:lvlText w:val="(%1)"/>
      <w:numFmt w:val="lowerLetter"/>
      <w:start w:val="2"/>
    </w:lvl>
  </w:abstractNum>
  <w:abstractNum w:abstractNumId="260">
    <w:nsid w:val="6ECE91F0"/>
    <w:multiLevelType w:val="hybridMultilevel"/>
    <w:lvl w:ilvl="0">
      <w:lvlJc w:val="left"/>
      <w:lvlText w:val="(%1)"/>
      <w:numFmt w:val="lowerRoman"/>
      <w:start w:val="1"/>
    </w:lvl>
  </w:abstractNum>
  <w:abstractNum w:abstractNumId="261">
    <w:nsid w:val="4FC4D600"/>
    <w:multiLevelType w:val="hybridMultilevel"/>
    <w:lvl w:ilvl="0">
      <w:lvlJc w:val="left"/>
      <w:lvlText w:val="(%1)"/>
      <w:numFmt w:val="lowerLetter"/>
      <w:start w:val="1"/>
    </w:lvl>
  </w:abstractNum>
  <w:abstractNum w:abstractNumId="262">
    <w:nsid w:val="5BFD4210"/>
    <w:multiLevelType w:val="hybridMultilevel"/>
    <w:lvl w:ilvl="0">
      <w:lvlJc w:val="left"/>
      <w:lvlText w:val="(%1)"/>
      <w:numFmt w:val="lowerLetter"/>
      <w:start w:val="1"/>
    </w:lvl>
  </w:abstractNum>
  <w:abstractNum w:abstractNumId="263">
    <w:nsid w:val="76574F8B"/>
    <w:multiLevelType w:val="hybridMultilevel"/>
    <w:lvl w:ilvl="0">
      <w:lvlJc w:val="left"/>
      <w:lvlText w:val="(%1)"/>
      <w:numFmt w:val="lowerLetter"/>
      <w:start w:val="2"/>
    </w:lvl>
  </w:abstractNum>
  <w:abstractNum w:abstractNumId="264">
    <w:nsid w:val="178F7B67"/>
    <w:multiLevelType w:val="hybridMultilevel"/>
    <w:lvl w:ilvl="0">
      <w:lvlJc w:val="left"/>
      <w:lvlText w:val="(%1)"/>
      <w:numFmt w:val="lowerRoman"/>
      <w:start w:val="2"/>
    </w:lvl>
  </w:abstractNum>
  <w:abstractNum w:abstractNumId="265">
    <w:nsid w:val="2421DFCF"/>
    <w:multiLevelType w:val="hybridMultilevel"/>
    <w:lvl w:ilvl="0">
      <w:lvlJc w:val="left"/>
      <w:lvlText w:val="%1"/>
      <w:numFmt w:val="lowerLetter"/>
      <w:start w:val="1"/>
    </w:lvl>
    <w:lvl w:ilvl="1">
      <w:lvlJc w:val="left"/>
      <w:lvlText w:val="(%2)"/>
      <w:numFmt w:val="lowerRoman"/>
      <w:start w:val="3"/>
    </w:lvl>
  </w:abstractNum>
  <w:abstractNum w:abstractNumId="266">
    <w:nsid w:val="1565AC99"/>
    <w:multiLevelType w:val="hybridMultilevel"/>
    <w:lvl w:ilvl="0">
      <w:lvlJc w:val="left"/>
      <w:lvlText w:val="(%1)"/>
      <w:numFmt w:val="lowerLetter"/>
      <w:start w:val="3"/>
    </w:lvl>
    <w:lvl w:ilvl="1">
      <w:lvlJc w:val="left"/>
      <w:lvlText w:val="%2"/>
      <w:numFmt w:val="lowerRoman"/>
      <w:start w:val="1"/>
    </w:lvl>
  </w:abstractNum>
  <w:abstractNum w:abstractNumId="267">
    <w:nsid w:val="19FB2650"/>
    <w:multiLevelType w:val="hybridMultilevel"/>
    <w:lvl w:ilvl="0">
      <w:lvlJc w:val="left"/>
      <w:lvlText w:val="%1"/>
      <w:numFmt w:val="lowerLetter"/>
      <w:start w:val="1"/>
    </w:lvl>
    <w:lvl w:ilvl="1">
      <w:lvlJc w:val="left"/>
      <w:lvlText w:val="(%2)"/>
      <w:numFmt w:val="lowerRoman"/>
      <w:start w:val="1"/>
    </w:lvl>
  </w:abstractNum>
  <w:abstractNum w:abstractNumId="268">
    <w:nsid w:val="5024DE5B"/>
    <w:multiLevelType w:val="hybridMultilevel"/>
    <w:lvl w:ilvl="0">
      <w:lvlJc w:val="left"/>
      <w:lvlText w:val="(%1)"/>
      <w:numFmt w:val="lowerLetter"/>
      <w:start w:val="25"/>
    </w:lvl>
    <w:lvl w:ilvl="1">
      <w:lvlJc w:val="left"/>
      <w:lvlText w:val="%2"/>
      <w:numFmt w:val="lowerRoman"/>
      <w:start w:val="1"/>
    </w:lvl>
  </w:abstractNum>
  <w:abstractNum w:abstractNumId="269">
    <w:nsid w:val="168EFE17"/>
    <w:multiLevelType w:val="hybridMultilevel"/>
    <w:lvl w:ilvl="0">
      <w:lvlJc w:val="left"/>
      <w:lvlText w:val="(%1)"/>
      <w:numFmt w:val="lowerLetter"/>
      <w:start w:val="1"/>
    </w:lvl>
  </w:abstractNum>
  <w:abstractNum w:abstractNumId="270">
    <w:nsid w:val="1036B29F"/>
    <w:multiLevelType w:val="hybridMultilevel"/>
    <w:lvl w:ilvl="0">
      <w:lvlJc w:val="left"/>
      <w:lvlText w:val="(%1)"/>
      <w:numFmt w:val="lowerLetter"/>
      <w:start w:val="3"/>
    </w:lvl>
  </w:abstractNum>
  <w:abstractNum w:abstractNumId="271">
    <w:nsid w:val="1D206B8E"/>
    <w:multiLevelType w:val="hybridMultilevel"/>
    <w:lvl w:ilvl="0">
      <w:lvlJc w:val="left"/>
      <w:lvlText w:val="(%1)"/>
      <w:numFmt w:val="lowerLetter"/>
      <w:start w:val="6"/>
    </w:lvl>
  </w:abstractNum>
  <w:abstractNum w:abstractNumId="272">
    <w:nsid w:val="7934D3D4"/>
    <w:multiLevelType w:val="hybridMultilevel"/>
    <w:lvl w:ilvl="0">
      <w:lvlJc w:val="left"/>
      <w:lvlText w:val="(%1)"/>
      <w:numFmt w:val="lowerLetter"/>
      <w:start w:val="1"/>
    </w:lvl>
  </w:abstractNum>
  <w:abstractNum w:abstractNumId="273">
    <w:nsid w:val="1C65E98"/>
    <w:multiLevelType w:val="hybridMultilevel"/>
    <w:lvl w:ilvl="0">
      <w:lvlJc w:val="left"/>
      <w:lvlText w:val="%1"/>
      <w:numFmt w:val="lowerLetter"/>
      <w:start w:val="1"/>
    </w:lvl>
    <w:lvl w:ilvl="1">
      <w:lvlJc w:val="left"/>
      <w:lvlText w:val="(%2)"/>
      <w:numFmt w:val="lowerLetter"/>
      <w:start w:val="4"/>
    </w:lvl>
  </w:abstractNum>
  <w:abstractNum w:abstractNumId="274">
    <w:nsid w:val="1495E50A"/>
    <w:multiLevelType w:val="hybridMultilevel"/>
    <w:lvl w:ilvl="0">
      <w:lvlJc w:val="left"/>
      <w:lvlText w:val="(%1)"/>
      <w:numFmt w:val="lowerLetter"/>
      <w:start w:val="26"/>
    </w:lvl>
    <w:lvl w:ilvl="1">
      <w:lvlJc w:val="left"/>
      <w:lvlText w:val="%2"/>
      <w:numFmt w:val="lowerLetter"/>
      <w:start w:val="1"/>
    </w:lvl>
  </w:abstractNum>
  <w:abstractNum w:abstractNumId="275">
    <w:nsid w:val="F5BCF61"/>
    <w:multiLevelType w:val="hybridMultilevel"/>
    <w:lvl w:ilvl="0">
      <w:lvlJc w:val="left"/>
      <w:lvlText w:val="(%1)"/>
      <w:numFmt w:val="lowerLetter"/>
      <w:start w:val="25"/>
    </w:lvl>
    <w:lvl w:ilvl="1">
      <w:lvlJc w:val="left"/>
      <w:lvlText w:val="(%2)"/>
      <w:numFmt w:val="lowerLetter"/>
      <w:start w:val="5"/>
    </w:lvl>
  </w:abstractNum>
  <w:abstractNum w:abstractNumId="276">
    <w:nsid w:val="3B1DD403"/>
    <w:multiLevelType w:val="hybridMultilevel"/>
    <w:lvl w:ilvl="0">
      <w:lvlJc w:val="left"/>
      <w:lvlText w:val="(%1)"/>
      <w:numFmt w:val="lowerLetter"/>
      <w:start w:val="1"/>
    </w:lvl>
  </w:abstractNum>
  <w:abstractNum w:abstractNumId="277">
    <w:nsid w:val="530386D1"/>
    <w:multiLevelType w:val="hybridMultilevel"/>
    <w:lvl w:ilvl="0">
      <w:lvlJc w:val="left"/>
      <w:lvlText w:val="(%1)"/>
      <w:numFmt w:val="lowerLetter"/>
      <w:start w:val="1"/>
    </w:lvl>
    <w:lvl w:ilvl="1">
      <w:lvlJc w:val="left"/>
      <w:lvlText w:val="(%2)"/>
      <w:numFmt w:val="lowerRoman"/>
      <w:start w:val="1"/>
    </w:lvl>
  </w:abstractNum>
  <w:abstractNum w:abstractNumId="278">
    <w:nsid w:val="7525F2BC"/>
    <w:multiLevelType w:val="hybridMultilevel"/>
    <w:lvl w:ilvl="0">
      <w:lvlJc w:val="left"/>
      <w:lvlText w:val="(%1)"/>
      <w:numFmt w:val="lowerRoman"/>
      <w:start w:val="3"/>
    </w:lvl>
    <w:lvl w:ilvl="1">
      <w:lvlJc w:val="left"/>
      <w:lvlText w:val="(%2)"/>
      <w:numFmt w:val="upperLetter"/>
      <w:start w:val="1"/>
    </w:lvl>
  </w:abstractNum>
  <w:abstractNum w:abstractNumId="279">
    <w:nsid w:val="CE8E1A7"/>
    <w:multiLevelType w:val="hybridMultilevel"/>
    <w:lvl w:ilvl="0">
      <w:lvlJc w:val="left"/>
      <w:lvlText w:val="%1"/>
      <w:numFmt w:val="lowerLetter"/>
      <w:start w:val="1"/>
    </w:lvl>
    <w:lvl w:ilvl="1">
      <w:lvlJc w:val="left"/>
      <w:lvlText w:val="(%2)"/>
      <w:numFmt w:val="lowerLetter"/>
      <w:start w:val="22"/>
    </w:lvl>
  </w:abstractNum>
  <w:abstractNum w:abstractNumId="280">
    <w:nsid w:val="4E9EFB0D"/>
    <w:multiLevelType w:val="hybridMultilevel"/>
    <w:lvl w:ilvl="0">
      <w:lvlJc w:val="left"/>
      <w:lvlText w:val="(%1)"/>
      <w:numFmt w:val="lowerLetter"/>
      <w:start w:val="2"/>
    </w:lvl>
    <w:lvl w:ilvl="1">
      <w:lvlJc w:val="left"/>
      <w:lvlText w:val="%2"/>
      <w:numFmt w:val="lowerLetter"/>
      <w:start w:val="1"/>
    </w:lvl>
  </w:abstractNum>
  <w:abstractNum w:abstractNumId="281">
    <w:nsid w:val="90802BE"/>
    <w:multiLevelType w:val="hybridMultilevel"/>
    <w:lvl w:ilvl="0">
      <w:lvlJc w:val="left"/>
      <w:lvlText w:val="%1"/>
      <w:numFmt w:val="lowerLetter"/>
      <w:start w:val="1"/>
    </w:lvl>
    <w:lvl w:ilvl="1">
      <w:lvlJc w:val="left"/>
      <w:lvlText w:val="(%2)"/>
      <w:numFmt w:val="lowerLetter"/>
      <w:start w:val="1"/>
    </w:lvl>
  </w:abstractNum>
  <w:abstractNum w:abstractNumId="282">
    <w:nsid w:val="3266459B"/>
    <w:multiLevelType w:val="hybridMultilevel"/>
    <w:lvl w:ilvl="0">
      <w:lvlJc w:val="left"/>
      <w:lvlText w:val="(%1)"/>
      <w:numFmt w:val="lowerLetter"/>
      <w:start w:val="9"/>
    </w:lvl>
    <w:lvl w:ilvl="1">
      <w:lvlJc w:val="left"/>
      <w:lvlText w:val="%2"/>
      <w:numFmt w:val="lowerLetter"/>
      <w:start w:val="1"/>
    </w:lvl>
  </w:abstractNum>
  <w:abstractNum w:abstractNumId="283">
    <w:nsid w:val="3F8B0CBF"/>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84">
    <w:nsid w:val="37E203AB"/>
    <w:multiLevelType w:val="hybridMultilevel"/>
    <w:lvl w:ilvl="0">
      <w:lvlJc w:val="left"/>
      <w:lvlText w:val="(%1)"/>
      <w:numFmt w:val="upperLetter"/>
      <w:start w:val="2"/>
    </w:lvl>
    <w:lvl w:ilvl="1">
      <w:lvlJc w:val="left"/>
      <w:lvlText w:val="(%2)"/>
      <w:numFmt w:val="upperLetter"/>
      <w:start w:val="9"/>
    </w:lvl>
  </w:abstractNum>
  <w:abstractNum w:abstractNumId="285">
    <w:nsid w:val="2586D60E"/>
    <w:multiLevelType w:val="hybridMultilevel"/>
    <w:lvl w:ilvl="0">
      <w:lvlJc w:val="left"/>
      <w:lvlText w:val="(%1)"/>
      <w:numFmt w:val="upperLetter"/>
      <w:start w:val="35"/>
    </w:lvl>
  </w:abstractNum>
  <w:abstractNum w:abstractNumId="286">
    <w:nsid w:val="1F3DA4D5"/>
    <w:multiLevelType w:val="hybridMultilevel"/>
    <w:lvl w:ilvl="0">
      <w:lvlJc w:val="left"/>
      <w:lvlText w:val="(%1)"/>
      <w:numFmt w:val="upperLetter"/>
      <w:start w:val="61"/>
    </w:lvl>
  </w:abstractNum>
  <w:abstractNum w:abstractNumId="287">
    <w:nsid w:val="74C93698"/>
    <w:multiLevelType w:val="hybridMultilevel"/>
    <w:lvl w:ilvl="0">
      <w:lvlJc w:val="left"/>
      <w:lvlText w:val="(%1)"/>
      <w:numFmt w:val="upperLetter"/>
      <w:start w:val="3"/>
    </w:lvl>
  </w:abstractNum>
  <w:abstractNum w:abstractNumId="288">
    <w:nsid w:val="4878140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89">
    <w:nsid w:val="186928D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90">
    <w:nsid w:val="47195E5"/>
    <w:multiLevelType w:val="hybridMultilevel"/>
    <w:lvl w:ilvl="0">
      <w:lvlJc w:val="left"/>
      <w:lvlText w:val="(%1)"/>
      <w:numFmt w:val="lowerLetter"/>
      <w:start w:val="8"/>
    </w:lvl>
    <w:lvl w:ilvl="1">
      <w:lvlJc w:val="left"/>
      <w:lvlText w:val="%2"/>
      <w:numFmt w:val="lowerLetter"/>
      <w:start w:val="1"/>
    </w:lvl>
    <w:lvl w:ilvl="2">
      <w:lvlJc w:val="left"/>
      <w:lvlText w:val="%3"/>
      <w:numFmt w:val="upperLetter"/>
      <w:start w:val="1"/>
    </w:lvl>
  </w:abstractNum>
  <w:abstractNum w:abstractNumId="291">
    <w:nsid w:val="3746A5F2"/>
    <w:multiLevelType w:val="hybridMultilevel"/>
    <w:lvl w:ilvl="0">
      <w:lvlJc w:val="left"/>
      <w:lvlText w:val="(%1)"/>
      <w:numFmt w:val="lowerLetter"/>
      <w:start w:val="1"/>
    </w:lvl>
  </w:abstractNum>
  <w:abstractNum w:abstractNumId="292">
    <w:nsid w:val="682DFED6"/>
    <w:multiLevelType w:val="hybridMultilevel"/>
    <w:lvl w:ilvl="0">
      <w:lvlJc w:val="left"/>
      <w:lvlText w:val="(%1)"/>
      <w:numFmt w:val="lowerLetter"/>
      <w:start w:val="2"/>
    </w:lvl>
    <w:lvl w:ilvl="1">
      <w:lvlJc w:val="left"/>
      <w:lvlText w:val="(%2)"/>
      <w:numFmt w:val="lowerLetter"/>
      <w:start w:val="9"/>
    </w:lvl>
  </w:abstractNum>
  <w:abstractNum w:abstractNumId="293">
    <w:nsid w:val="606ED7F6"/>
    <w:multiLevelType w:val="hybridMultilevel"/>
    <w:lvl w:ilvl="0">
      <w:lvlJc w:val="left"/>
      <w:lvlText w:val="(%1)"/>
      <w:numFmt w:val="lowerLetter"/>
      <w:start w:val="35"/>
    </w:lvl>
    <w:lvl w:ilvl="1">
      <w:lvlJc w:val="left"/>
      <w:lvlText w:val="(%2)"/>
      <w:numFmt w:val="lowerLetter"/>
      <w:start w:val="25"/>
    </w:lvl>
  </w:abstractNum>
  <w:abstractNum w:abstractNumId="294">
    <w:nsid w:val="2D9DF57D"/>
    <w:multiLevelType w:val="hybridMultilevel"/>
    <w:lvl w:ilvl="0">
      <w:lvlJc w:val="left"/>
      <w:lvlText w:val="(%1)"/>
      <w:numFmt w:val="lowerRoman"/>
      <w:start w:val="3"/>
    </w:lvl>
  </w:abstractNum>
  <w:abstractNum w:abstractNumId="295">
    <w:nsid w:val="7FBD7A3E"/>
    <w:multiLevelType w:val="hybridMultilevel"/>
    <w:lvl w:ilvl="0">
      <w:lvlJc w:val="left"/>
      <w:lvlText w:val="(%1)"/>
      <w:numFmt w:val="lowerRoman"/>
      <w:start w:val="5"/>
    </w:lvl>
  </w:abstractNum>
  <w:abstractNum w:abstractNumId="296">
    <w:nsid w:val="490B7C5"/>
    <w:multiLevelType w:val="hybridMultilevel"/>
    <w:lvl w:ilvl="0">
      <w:lvlJc w:val="left"/>
      <w:lvlText w:val="(%1)"/>
      <w:numFmt w:val="lowerLetter"/>
      <w:start w:val="1"/>
    </w:lvl>
    <w:lvl w:ilvl="1">
      <w:lvlJc w:val="left"/>
      <w:lvlText w:val="(%2)"/>
      <w:numFmt w:val="lowerRoman"/>
      <w:start w:val="1"/>
    </w:lvl>
  </w:abstractNum>
  <w:abstractNum w:abstractNumId="297">
    <w:nsid w:val="4303A216"/>
    <w:multiLevelType w:val="hybridMultilevel"/>
    <w:lvl w:ilvl="0">
      <w:lvlJc w:val="left"/>
      <w:lvlText w:val="(%1)"/>
      <w:numFmt w:val="lowerLetter"/>
      <w:start w:val="2"/>
    </w:lvl>
  </w:abstractNum>
  <w:abstractNum w:abstractNumId="298">
    <w:nsid w:val="19B8A08E"/>
    <w:multiLevelType w:val="hybridMultilevel"/>
    <w:lvl w:ilvl="0">
      <w:lvlJc w:val="left"/>
      <w:lvlText w:val="%1"/>
      <w:numFmt w:val="lowerLetter"/>
      <w:start w:val="1"/>
    </w:lvl>
    <w:lvl w:ilvl="1">
      <w:lvlJc w:val="left"/>
      <w:lvlText w:val="(%2)"/>
      <w:numFmt w:val="lowerLetter"/>
      <w:start w:val="5"/>
    </w:lvl>
  </w:abstractNum>
  <w:abstractNum w:abstractNumId="299">
    <w:nsid w:val="54B59621"/>
    <w:multiLevelType w:val="hybridMultilevel"/>
    <w:lvl w:ilvl="0">
      <w:lvlJc w:val="left"/>
      <w:lvlText w:val="(%1)"/>
      <w:numFmt w:val="lowerLetter"/>
      <w:start w:val="35"/>
    </w:lvl>
    <w:lvl w:ilvl="1">
      <w:lvlJc w:val="left"/>
      <w:lvlText w:val="%2"/>
      <w:numFmt w:val="lowerLetter"/>
      <w:start w:val="1"/>
    </w:lvl>
  </w:abstractNum>
  <w:abstractNum w:abstractNumId="300">
    <w:nsid w:val="5992A02E"/>
    <w:multiLevelType w:val="hybridMultilevel"/>
    <w:lvl w:ilvl="0">
      <w:lvlJc w:val="left"/>
      <w:lvlText w:val="(%1)"/>
      <w:numFmt w:val="lowerLetter"/>
      <w:start w:val="1"/>
    </w:lvl>
  </w:abstractNum>
  <w:abstractNum w:abstractNumId="301">
    <w:nsid w:val="29EF532D"/>
    <w:multiLevelType w:val="hybridMultilevel"/>
    <w:lvl w:ilvl="0">
      <w:lvlJc w:val="left"/>
      <w:lvlText w:val="(%1)"/>
      <w:numFmt w:val="lowerLetter"/>
      <w:start w:val="1"/>
    </w:lvl>
  </w:abstractNum>
  <w:abstractNum w:abstractNumId="302">
    <w:nsid w:val="71D601AF"/>
    <w:multiLevelType w:val="hybridMultilevel"/>
    <w:lvl w:ilvl="0">
      <w:lvlJc w:val="left"/>
      <w:lvlText w:val="(%1)"/>
      <w:numFmt w:val="lowerLetter"/>
      <w:start w:val="1"/>
    </w:lvl>
    <w:lvl w:ilvl="1">
      <w:lvlJc w:val="left"/>
      <w:lvlText w:val="(%2)"/>
      <w:numFmt w:val="lowerRoman"/>
      <w:start w:val="1"/>
    </w:lvl>
  </w:abstractNum>
  <w:abstractNum w:abstractNumId="303">
    <w:nsid w:val="52C77402"/>
    <w:multiLevelType w:val="hybridMultilevel"/>
    <w:lvl w:ilvl="0">
      <w:lvlJc w:val="left"/>
      <w:lvlText w:val="%1"/>
      <w:numFmt w:val="lowerLetter"/>
      <w:start w:val="1"/>
    </w:lvl>
    <w:lvl w:ilvl="1">
      <w:lvlJc w:val="left"/>
      <w:lvlText w:val="(%2)"/>
      <w:numFmt w:val="lowerRoman"/>
      <w:start w:val="9"/>
    </w:lvl>
  </w:abstractNum>
  <w:abstractNum w:abstractNumId="304">
    <w:nsid w:val="2BB5B1C6"/>
    <w:multiLevelType w:val="hybridMultilevel"/>
    <w:lvl w:ilvl="0">
      <w:lvlJc w:val="left"/>
      <w:lvlText w:val="(%1)"/>
      <w:numFmt w:val="lowerLetter"/>
      <w:start w:val="2"/>
    </w:lvl>
    <w:lvl w:ilvl="1">
      <w:lvlJc w:val="left"/>
      <w:lvlText w:val="%2"/>
      <w:numFmt w:val="lowerRoman"/>
      <w:start w:val="1"/>
    </w:lvl>
  </w:abstractNum>
  <w:abstractNum w:abstractNumId="305">
    <w:nsid w:val="66BE6B9"/>
    <w:multiLevelType w:val="hybridMultilevel"/>
    <w:lvl w:ilvl="0">
      <w:lvlJc w:val="left"/>
      <w:lvlText w:val="(%1)"/>
      <w:numFmt w:val="lowerLetter"/>
      <w:start w:val="1"/>
    </w:lvl>
  </w:abstractNum>
  <w:abstractNum w:abstractNumId="306">
    <w:nsid w:val="62234363"/>
    <w:multiLevelType w:val="hybridMultilevel"/>
    <w:lvl w:ilvl="0">
      <w:lvlJc w:val="left"/>
      <w:lvlText w:val="(%1)"/>
      <w:numFmt w:val="lowerLetter"/>
      <w:start w:val="4"/>
    </w:lvl>
  </w:abstractNum>
  <w:abstractNum w:abstractNumId="307">
    <w:nsid w:val="66D385C9"/>
    <w:multiLevelType w:val="hybridMultilevel"/>
    <w:lvl w:ilvl="0">
      <w:lvlJc w:val="left"/>
      <w:lvlText w:val="(%1)"/>
      <w:numFmt w:val="lowerLetter"/>
      <w:start w:val="1"/>
    </w:lvl>
  </w:abstractNum>
  <w:abstractNum w:abstractNumId="308">
    <w:nsid w:val="596F6D8A"/>
    <w:multiLevelType w:val="hybridMultilevel"/>
    <w:lvl w:ilvl="0">
      <w:lvlJc w:val="left"/>
      <w:lvlText w:val="%1"/>
      <w:numFmt w:val="lowerLetter"/>
      <w:start w:val="1"/>
    </w:lvl>
    <w:lvl w:ilvl="1">
      <w:lvlJc w:val="left"/>
      <w:lvlText w:val="(%2)"/>
      <w:numFmt w:val="lowerLetter"/>
      <w:start w:val="2"/>
    </w:lvl>
  </w:abstractNum>
  <w:abstractNum w:abstractNumId="309">
    <w:nsid w:val="5749361F"/>
    <w:multiLevelType w:val="hybridMultilevel"/>
    <w:lvl w:ilvl="0">
      <w:lvlJc w:val="left"/>
      <w:lvlText w:val="(%1)"/>
      <w:numFmt w:val="lowerLetter"/>
      <w:start w:val="9"/>
    </w:lvl>
    <w:lvl w:ilvl="1">
      <w:lvlJc w:val="left"/>
      <w:lvlText w:val="(%2)"/>
      <w:numFmt w:val="lowerLetter"/>
      <w:start w:val="3"/>
    </w:lvl>
  </w:abstractNum>
  <w:abstractNum w:abstractNumId="310">
    <w:nsid w:val="73BC6770"/>
    <w:multiLevelType w:val="hybridMultilevel"/>
    <w:lvl w:ilvl="0">
      <w:lvlJc w:val="left"/>
      <w:lvlText w:val="(%1)"/>
      <w:numFmt w:val="lowerLetter"/>
      <w:start w:val="1"/>
    </w:lvl>
  </w:abstractNum>
  <w:abstractNum w:abstractNumId="311">
    <w:nsid w:val="280E6897"/>
    <w:multiLevelType w:val="hybridMultilevel"/>
    <w:lvl w:ilvl="0">
      <w:lvlJc w:val="left"/>
      <w:lvlText w:val="%1"/>
      <w:numFmt w:val="lowerLetter"/>
      <w:start w:val="1"/>
    </w:lvl>
    <w:lvl w:ilvl="1">
      <w:lvlJc w:val="left"/>
      <w:lvlText w:val="(%2)"/>
      <w:numFmt w:val="lowerLetter"/>
      <w:start w:val="2"/>
    </w:lvl>
  </w:abstractNum>
  <w:abstractNum w:abstractNumId="312">
    <w:nsid w:val="605138DE"/>
    <w:multiLevelType w:val="hybridMultilevel"/>
    <w:lvl w:ilvl="0">
      <w:lvlJc w:val="left"/>
      <w:lvlText w:val="(%1)"/>
      <w:numFmt w:val="lowerLetter"/>
      <w:start w:val="22"/>
    </w:lvl>
    <w:lvl w:ilvl="1">
      <w:lvlJc w:val="left"/>
      <w:lvlText w:val="%2"/>
      <w:numFmt w:val="lowerLetter"/>
      <w:start w:val="1"/>
    </w:lvl>
  </w:abstractNum>
  <w:abstractNum w:abstractNumId="313">
    <w:nsid w:val="2622AD0C"/>
    <w:multiLevelType w:val="hybridMultilevel"/>
    <w:lvl w:ilvl="0">
      <w:lvlJc w:val="left"/>
      <w:lvlText w:val="(%1)"/>
      <w:numFmt w:val="lowerLetter"/>
      <w:start w:val="1"/>
    </w:lvl>
  </w:abstractNum>
  <w:abstractNum w:abstractNumId="314">
    <w:nsid w:val="67997556"/>
    <w:multiLevelType w:val="hybridMultilevel"/>
    <w:lvl w:ilvl="0">
      <w:lvlJc w:val="left"/>
      <w:lvlText w:val="(%1)"/>
      <w:numFmt w:val="lowerLetter"/>
      <w:start w:val="2"/>
    </w:lvl>
  </w:abstractNum>
  <w:abstractNum w:abstractNumId="315">
    <w:nsid w:val="18333C89"/>
    <w:multiLevelType w:val="hybridMultilevel"/>
    <w:lvl w:ilvl="0">
      <w:lvlJc w:val="left"/>
      <w:lvlText w:val="(%1)"/>
      <w:numFmt w:val="lowerLetter"/>
      <w:start w:val="1"/>
    </w:lvl>
  </w:abstractNum>
  <w:abstractNum w:abstractNumId="316">
    <w:nsid w:val="4BA9831A"/>
    <w:multiLevelType w:val="hybridMultilevel"/>
    <w:lvl w:ilvl="0">
      <w:lvlJc w:val="left"/>
      <w:lvlText w:val="(%1)"/>
      <w:numFmt w:val="lowerLetter"/>
      <w:start w:val="2"/>
    </w:lvl>
  </w:abstractNum>
  <w:abstractNum w:abstractNumId="317">
    <w:nsid w:val="6D71A2B"/>
    <w:multiLevelType w:val="hybridMultilevel"/>
    <w:lvl w:ilvl="0">
      <w:lvlJc w:val="left"/>
      <w:lvlText w:val="(%1)"/>
      <w:numFmt w:val="lowerLetter"/>
      <w:start w:val="1"/>
    </w:lvl>
  </w:abstractNum>
  <w:abstractNum w:abstractNumId="318">
    <w:nsid w:val="CFC7321"/>
    <w:multiLevelType w:val="hybridMultilevel"/>
    <w:lvl w:ilvl="0">
      <w:lvlJc w:val="left"/>
      <w:lvlText w:val="(%1)"/>
      <w:numFmt w:val="lowerLetter"/>
      <w:start w:val="2"/>
    </w:lvl>
  </w:abstractNum>
  <w:abstractNum w:abstractNumId="319">
    <w:nsid w:val="1421971B"/>
    <w:multiLevelType w:val="hybridMultilevel"/>
    <w:lvl w:ilvl="0">
      <w:lvlJc w:val="left"/>
      <w:lvlText w:val="(%1)"/>
      <w:numFmt w:val="lowerLetter"/>
      <w:start w:val="3"/>
    </w:lvl>
    <w:lvl w:ilvl="1">
      <w:lvlJc w:val="left"/>
      <w:lvlText w:val="(%2)"/>
      <w:numFmt w:val="lowerLetter"/>
      <w:start w:val="1"/>
    </w:lvl>
  </w:abstractNum>
  <w:abstractNum w:abstractNumId="320">
    <w:nsid w:val="1F404301"/>
    <w:multiLevelType w:val="hybridMultilevel"/>
    <w:lvl w:ilvl="0">
      <w:lvlJc w:val="left"/>
      <w:lvlText w:val="(%1)"/>
      <w:numFmt w:val="lowerRoman"/>
      <w:start w:val="2"/>
    </w:lvl>
  </w:abstractNum>
  <w:abstractNum w:abstractNumId="321">
    <w:nsid w:val="116E0907"/>
    <w:multiLevelType w:val="hybridMultilevel"/>
    <w:lvl w:ilvl="0">
      <w:lvlJc w:val="left"/>
      <w:lvlText w:val="(%1)"/>
      <w:numFmt w:val="lowerLetter"/>
      <w:start w:val="1"/>
    </w:lvl>
  </w:abstractNum>
  <w:abstractNum w:abstractNumId="322">
    <w:nsid w:val="4B683D0D"/>
    <w:multiLevelType w:val="hybridMultilevel"/>
    <w:lvl w:ilvl="0">
      <w:lvlJc w:val="left"/>
      <w:lvlText w:val="(%1)"/>
      <w:numFmt w:val="lowerRoman"/>
      <w:start w:val="3"/>
    </w:lvl>
  </w:abstractNum>
  <w:abstractNum w:abstractNumId="323">
    <w:nsid w:val="76E41D8"/>
    <w:multiLevelType w:val="hybridMultilevel"/>
    <w:lvl w:ilvl="0">
      <w:lvlJc w:val="left"/>
      <w:lvlText w:val="(%1)"/>
      <w:numFmt w:val="lowerLetter"/>
      <w:start w:val="1"/>
    </w:lvl>
  </w:abstractNum>
  <w:abstractNum w:abstractNumId="324">
    <w:nsid w:val="71DCE0FD"/>
    <w:multiLevelType w:val="hybridMultilevel"/>
    <w:lvl w:ilvl="0">
      <w:lvlJc w:val="left"/>
      <w:lvlText w:val="(%1)"/>
      <w:numFmt w:val="lowerLetter"/>
      <w:start w:val="2"/>
    </w:lvl>
  </w:abstractNum>
  <w:abstractNum w:abstractNumId="325">
    <w:nsid w:val="7906328B"/>
    <w:multiLevelType w:val="hybridMultilevel"/>
    <w:lvl w:ilvl="0">
      <w:lvlJc w:val="left"/>
      <w:lvlText w:val="(%1)"/>
      <w:numFmt w:val="lowerLetter"/>
      <w:start w:val="1"/>
    </w:lvl>
    <w:lvl w:ilvl="1">
      <w:lvlJc w:val="left"/>
      <w:lvlText w:val="(%2)"/>
      <w:numFmt w:val="lowerRoman"/>
      <w:start w:val="2"/>
    </w:lvl>
  </w:abstractNum>
  <w:abstractNum w:abstractNumId="326">
    <w:nsid w:val="72BBC16"/>
    <w:multiLevelType w:val="hybridMultilevel"/>
    <w:lvl w:ilvl="0">
      <w:lvlJc w:val="left"/>
      <w:lvlText w:val="(%1)"/>
      <w:numFmt w:val="lowerLetter"/>
      <w:start w:val="1"/>
    </w:lvl>
  </w:abstractNum>
  <w:abstractNum w:abstractNumId="327">
    <w:nsid w:val="766D98C2"/>
    <w:multiLevelType w:val="hybridMultilevel"/>
    <w:lvl w:ilvl="0">
      <w:lvlJc w:val="left"/>
      <w:lvlText w:val="(%1)"/>
      <w:numFmt w:val="lowerLetter"/>
      <w:start w:val="1"/>
    </w:lvl>
  </w:abstractNum>
  <w:abstractNum w:abstractNumId="328">
    <w:nsid w:val="3C09D4A1"/>
    <w:multiLevelType w:val="hybridMultilevel"/>
    <w:lvl w:ilvl="0">
      <w:lvlJc w:val="left"/>
      <w:lvlText w:val="%1"/>
      <w:numFmt w:val="lowerLetter"/>
      <w:start w:val="1"/>
    </w:lvl>
    <w:lvl w:ilvl="1">
      <w:lvlJc w:val="left"/>
      <w:lvlText w:val="(%2)"/>
      <w:numFmt w:val="lowerLetter"/>
      <w:start w:val="2"/>
    </w:lvl>
  </w:abstractNum>
  <w:abstractNum w:abstractNumId="329">
    <w:nsid w:val="20E45CA4"/>
    <w:multiLevelType w:val="hybridMultilevel"/>
    <w:lvl w:ilvl="0">
      <w:lvlJc w:val="left"/>
      <w:lvlText w:val="(%1)"/>
      <w:numFmt w:val="lowerLetter"/>
      <w:start w:val="35"/>
    </w:lvl>
    <w:lvl w:ilvl="1">
      <w:lvlJc w:val="left"/>
      <w:lvlText w:val="(%2)"/>
      <w:numFmt w:val="lowerLetter"/>
      <w:start w:val="3"/>
    </w:lvl>
  </w:abstractNum>
  <w:abstractNum w:abstractNumId="330">
    <w:nsid w:val="4B232EE3"/>
    <w:multiLevelType w:val="hybridMultilevel"/>
    <w:lvl w:ilvl="0">
      <w:lvlJc w:val="left"/>
      <w:lvlText w:val="(%1)"/>
      <w:numFmt w:val="lowerRoman"/>
      <w:start w:val="1"/>
    </w:lvl>
  </w:abstractNum>
  <w:abstractNum w:abstractNumId="331">
    <w:nsid w:val="159C74CF"/>
    <w:multiLevelType w:val="hybridMultilevel"/>
    <w:lvl w:ilvl="0">
      <w:lvlJc w:val="left"/>
      <w:lvlText w:val="%1"/>
      <w:numFmt w:val="upperLetter"/>
      <w:start w:val="1"/>
    </w:lvl>
    <w:lvl w:ilvl="1">
      <w:lvlJc w:val="left"/>
      <w:lvlText w:val="(%2)"/>
      <w:numFmt w:val="lowerLetter"/>
      <w:start w:val="1"/>
    </w:lvl>
  </w:abstractNum>
  <w:abstractNum w:abstractNumId="332">
    <w:nsid w:val="4AD3AFD2"/>
    <w:multiLevelType w:val="hybridMultilevel"/>
    <w:lvl w:ilvl="0">
      <w:lvlJc w:val="left"/>
      <w:lvlText w:val="(%1)"/>
      <w:numFmt w:val="upperLetter"/>
      <w:start w:val="2"/>
    </w:lvl>
    <w:lvl w:ilvl="1">
      <w:lvlJc w:val="left"/>
      <w:lvlText w:val="(%2)"/>
      <w:numFmt w:val="lowerLetter"/>
      <w:start w:val="2"/>
    </w:lvl>
  </w:abstractNum>
  <w:abstractNum w:abstractNumId="333">
    <w:nsid w:val="3CF93092"/>
    <w:multiLevelType w:val="hybridMultilevel"/>
    <w:lvl w:ilvl="0">
      <w:lvlJc w:val="left"/>
      <w:lvlText w:val="(%1)"/>
      <w:numFmt w:val="lowerLetter"/>
      <w:start w:val="6"/>
    </w:lvl>
  </w:abstractNum>
  <w:abstractNum w:abstractNumId="334">
    <w:nsid w:val="6863E8D2"/>
    <w:multiLevelType w:val="hybridMultilevel"/>
    <w:lvl w:ilvl="0">
      <w:lvlJc w:val="left"/>
      <w:lvlText w:val="(%1)"/>
      <w:numFmt w:val="lowerLetter"/>
      <w:start w:val="9"/>
    </w:lvl>
  </w:abstractNum>
  <w:abstractNum w:abstractNumId="335">
    <w:nsid w:val="76896198"/>
    <w:multiLevelType w:val="hybridMultilevel"/>
    <w:lvl w:ilvl="0">
      <w:lvlJc w:val="left"/>
      <w:lvlText w:val="(%1)"/>
      <w:numFmt w:val="lowerLetter"/>
      <w:start w:val="1"/>
    </w:lvl>
  </w:abstractNum>
  <w:abstractNum w:abstractNumId="336">
    <w:nsid w:val="4365174B"/>
    <w:multiLevelType w:val="hybridMultilevel"/>
    <w:lvl w:ilvl="0">
      <w:lvlJc w:val="left"/>
      <w:lvlText w:val="(%1)"/>
      <w:numFmt w:val="lowerLetter"/>
      <w:start w:val="4"/>
    </w:lvl>
  </w:abstractNum>
  <w:abstractNum w:abstractNumId="337">
    <w:nsid w:val="4A872C35"/>
    <w:multiLevelType w:val="hybridMultilevel"/>
    <w:lvl w:ilvl="0">
      <w:lvlJc w:val="left"/>
      <w:lvlText w:val="(%1)"/>
      <w:numFmt w:val="lowerLetter"/>
      <w:start w:val="1"/>
    </w:lvl>
  </w:abstractNum>
  <w:abstractNum w:abstractNumId="338">
    <w:nsid w:val="5D5CE761"/>
    <w:multiLevelType w:val="hybridMultilevel"/>
    <w:lvl w:ilvl="0">
      <w:lvlJc w:val="left"/>
      <w:lvlText w:val="(%1)"/>
      <w:numFmt w:val="lowerLetter"/>
      <w:start w:val="1"/>
    </w:lvl>
  </w:abstractNum>
  <w:abstractNum w:abstractNumId="339">
    <w:nsid w:val="1CD484D5"/>
    <w:multiLevelType w:val="hybridMultilevel"/>
    <w:lvl w:ilvl="0">
      <w:lvlJc w:val="left"/>
      <w:lvlText w:val="%1"/>
      <w:numFmt w:val="lowerLetter"/>
      <w:start w:val="1"/>
    </w:lvl>
    <w:lvl w:ilvl="1">
      <w:lvlJc w:val="left"/>
      <w:lvlText w:val="(%2)"/>
      <w:numFmt w:val="lowerLetter"/>
      <w:start w:val="5"/>
    </w:lvl>
  </w:abstractNum>
  <w:abstractNum w:abstractNumId="340">
    <w:nsid w:val="21D06255"/>
    <w:multiLevelType w:val="hybridMultilevel"/>
    <w:lvl w:ilvl="0">
      <w:lvlJc w:val="left"/>
      <w:lvlText w:val="(%1)"/>
      <w:numFmt w:val="lowerLetter"/>
      <w:start w:val="9"/>
    </w:lvl>
    <w:lvl w:ilvl="1">
      <w:lvlJc w:val="left"/>
      <w:lvlText w:val="%2"/>
      <w:numFmt w:val="lowerLetter"/>
      <w:start w:val="1"/>
    </w:lvl>
  </w:abstractNum>
  <w:abstractNum w:abstractNumId="341">
    <w:nsid w:val="51194ED1"/>
    <w:multiLevelType w:val="hybridMultilevel"/>
    <w:lvl w:ilvl="0">
      <w:lvlJc w:val="left"/>
      <w:lvlText w:val="(%1)"/>
      <w:numFmt w:val="lowerLetter"/>
      <w:start w:val="1"/>
    </w:lvl>
  </w:abstractNum>
  <w:abstractNum w:abstractNumId="342">
    <w:nsid w:val="44E2ED6C"/>
    <w:multiLevelType w:val="hybridMultilevel"/>
    <w:lvl w:ilvl="0">
      <w:lvlJc w:val="left"/>
      <w:lvlText w:val="%1"/>
      <w:numFmt w:val="lowerLetter"/>
      <w:start w:val="1"/>
    </w:lvl>
    <w:lvl w:ilvl="1">
      <w:lvlJc w:val="left"/>
      <w:lvlText w:val="(%2)"/>
      <w:numFmt w:val="lowerLetter"/>
      <w:start w:val="2"/>
    </w:lvl>
  </w:abstractNum>
  <w:abstractNum w:abstractNumId="343">
    <w:nsid w:val="2219B33"/>
    <w:multiLevelType w:val="hybridMultilevel"/>
    <w:lvl w:ilvl="0">
      <w:lvlJc w:val="left"/>
      <w:lvlText w:val="(%1)"/>
      <w:numFmt w:val="lowerLetter"/>
      <w:start w:val="3"/>
    </w:lvl>
    <w:lvl w:ilvl="1">
      <w:lvlJc w:val="left"/>
      <w:lvlText w:val="%2"/>
      <w:numFmt w:val="lowerLetter"/>
      <w:start w:val="1"/>
    </w:lvl>
  </w:abstractNum>
  <w:abstractNum w:abstractNumId="344">
    <w:nsid w:val="773BFBDD"/>
    <w:multiLevelType w:val="hybridMultilevel"/>
    <w:lvl w:ilvl="0">
      <w:lvlJc w:val="left"/>
      <w:lvlText w:val="(%1)"/>
      <w:numFmt w:val="lowerLetter"/>
      <w:start w:val="1"/>
    </w:lvl>
  </w:abstractNum>
  <w:abstractNum w:abstractNumId="345">
    <w:nsid w:val="2C7C62C2"/>
    <w:multiLevelType w:val="hybridMultilevel"/>
    <w:lvl w:ilvl="0">
      <w:lvlJc w:val="left"/>
      <w:lvlText w:val="(%1)"/>
      <w:numFmt w:val="lowerLetter"/>
      <w:start w:val="1"/>
    </w:lvl>
    <w:lvl w:ilvl="1">
      <w:lvlJc w:val="left"/>
      <w:lvlText w:val="(%2)"/>
      <w:numFmt w:val="lowerRoman"/>
      <w:start w:val="1"/>
    </w:lvl>
  </w:abstractNum>
  <w:abstractNum w:abstractNumId="346">
    <w:nsid w:val="1A54D7B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47">
    <w:nsid w:val="42E57EF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48">
    <w:nsid w:val="33537CED"/>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349">
    <w:nsid w:val="27514ADE"/>
    <w:multiLevelType w:val="hybridMultilevel"/>
    <w:lvl w:ilvl="0">
      <w:lvlJc w:val="left"/>
      <w:lvlText w:val="(%1)"/>
      <w:numFmt w:val="lowerLetter"/>
      <w:start w:val="1"/>
    </w:lvl>
  </w:abstractNum>
  <w:abstractNum w:abstractNumId="350">
    <w:nsid w:val="57071613"/>
    <w:multiLevelType w:val="hybridMultilevel"/>
    <w:lvl w:ilvl="0">
      <w:lvlJc w:val="left"/>
      <w:lvlText w:val="(%1)"/>
      <w:numFmt w:val="lowerLetter"/>
      <w:start w:val="6"/>
    </w:lvl>
  </w:abstractNum>
  <w:abstractNum w:abstractNumId="351">
    <w:nsid w:val="5293BFEF"/>
    <w:multiLevelType w:val="hybridMultilevel"/>
    <w:lvl w:ilvl="0">
      <w:lvlJc w:val="left"/>
      <w:lvlText w:val="(%1)"/>
      <w:numFmt w:val="lowerLetter"/>
      <w:start w:val="1"/>
    </w:lvl>
    <w:lvl w:ilvl="1">
      <w:lvlJc w:val="left"/>
      <w:lvlText w:val="(%2)"/>
      <w:numFmt w:val="lowerRoman"/>
      <w:start w:val="1"/>
    </w:lvl>
  </w:abstractNum>
  <w:abstractNum w:abstractNumId="352">
    <w:nsid w:val="38BF53E5"/>
    <w:multiLevelType w:val="hybridMultilevel"/>
    <w:lvl w:ilvl="0">
      <w:lvlJc w:val="left"/>
      <w:lvlText w:val="(%1)"/>
      <w:numFmt w:val="lowerLetter"/>
      <w:start w:val="2"/>
    </w:lvl>
  </w:abstractNum>
  <w:abstractNum w:abstractNumId="353">
    <w:nsid w:val="226F5320"/>
    <w:multiLevelType w:val="hybridMultilevel"/>
    <w:lvl w:ilvl="0">
      <w:lvlJc w:val="left"/>
      <w:lvlText w:val="(%1)"/>
      <w:numFmt w:val="lowerLetter"/>
      <w:start w:val="3"/>
    </w:lvl>
  </w:abstractNum>
  <w:abstractNum w:abstractNumId="354">
    <w:nsid w:val="5A0201C7"/>
    <w:multiLevelType w:val="hybridMultilevel"/>
    <w:lvl w:ilvl="0">
      <w:lvlJc w:val="left"/>
      <w:lvlText w:val="(%1)"/>
      <w:numFmt w:val="lowerLetter"/>
      <w:start w:val="5"/>
    </w:lvl>
  </w:abstractNum>
  <w:abstractNum w:abstractNumId="355">
    <w:nsid w:val="2A9C34E2"/>
    <w:multiLevelType w:val="hybridMultilevel"/>
    <w:lvl w:ilvl="0">
      <w:lvlJc w:val="left"/>
      <w:lvlText w:val="(%1)"/>
      <w:numFmt w:val="lowerLetter"/>
      <w:start w:val="2"/>
    </w:lvl>
  </w:abstractNum>
  <w:abstractNum w:abstractNumId="356">
    <w:nsid w:val="1B7585AB"/>
    <w:multiLevelType w:val="hybridMultilevel"/>
    <w:lvl w:ilvl="0">
      <w:lvlJc w:val="left"/>
      <w:lvlText w:val="(%1)"/>
      <w:numFmt w:val="lowerLetter"/>
      <w:start w:val="1"/>
    </w:lvl>
  </w:abstractNum>
  <w:abstractNum w:abstractNumId="357">
    <w:nsid w:val="612DBDDD"/>
    <w:multiLevelType w:val="hybridMultilevel"/>
    <w:lvl w:ilvl="0">
      <w:lvlJc w:val="left"/>
      <w:lvlText w:val="(%1)"/>
      <w:numFmt w:val="lowerLetter"/>
      <w:start w:val="2"/>
    </w:lvl>
  </w:abstractNum>
  <w:abstractNum w:abstractNumId="358">
    <w:nsid w:val="2109CDA4"/>
    <w:multiLevelType w:val="hybridMultilevel"/>
    <w:lvl w:ilvl="0">
      <w:lvlJc w:val="left"/>
      <w:lvlText w:val="%1"/>
      <w:numFmt w:val="lowerLetter"/>
      <w:start w:val="1"/>
    </w:lvl>
    <w:lvl w:ilvl="1">
      <w:lvlJc w:val="left"/>
      <w:lvlText w:val="(%2)"/>
      <w:numFmt w:val="lowerLetter"/>
      <w:start w:val="3"/>
    </w:lvl>
  </w:abstractNum>
  <w:abstractNum w:abstractNumId="359">
    <w:nsid w:val="577F5A4D"/>
    <w:multiLevelType w:val="hybridMultilevel"/>
    <w:lvl w:ilvl="0">
      <w:lvlJc w:val="left"/>
      <w:lvlText w:val="(%1)"/>
      <w:numFmt w:val="lowerLetter"/>
      <w:start w:val="1"/>
    </w:lvl>
    <w:lvl w:ilvl="1">
      <w:lvlJc w:val="left"/>
      <w:lvlText w:val="(%2)"/>
      <w:numFmt w:val="lowerLetter"/>
      <w:start w:val="4"/>
    </w:lvl>
  </w:abstractNum>
  <w:abstractNum w:abstractNumId="360">
    <w:nsid w:val="2121A81"/>
    <w:multiLevelType w:val="hybridMultilevel"/>
    <w:lvl w:ilvl="0">
      <w:lvlJc w:val="left"/>
      <w:lvlText w:val="(%1)"/>
      <w:numFmt w:val="lowerLetter"/>
      <w:start w:val="1"/>
    </w:lvl>
  </w:abstractNum>
  <w:abstractNum w:abstractNumId="361">
    <w:nsid w:val="6C2CFC88"/>
    <w:multiLevelType w:val="hybridMultilevel"/>
    <w:lvl w:ilvl="0">
      <w:lvlJc w:val="left"/>
      <w:lvlText w:val="(%1)"/>
      <w:numFmt w:val="lowerRoman"/>
      <w:start w:val="1"/>
    </w:lvl>
    <w:lvl w:ilvl="1">
      <w:lvlJc w:val="left"/>
      <w:lvlText w:val="(%2)"/>
      <w:numFmt w:val="upperLetter"/>
      <w:start w:val="1"/>
    </w:lvl>
  </w:abstractNum>
  <w:abstractNum w:abstractNumId="362">
    <w:nsid w:val="6D1BCF1C"/>
    <w:multiLevelType w:val="hybridMultilevel"/>
    <w:lvl w:ilvl="0">
      <w:lvlJc w:val="left"/>
      <w:lvlText w:val="%1"/>
      <w:numFmt w:val="lowerRoman"/>
      <w:start w:val="1"/>
    </w:lvl>
    <w:lvl w:ilvl="1">
      <w:lvlJc w:val="left"/>
      <w:lvlText w:val="(%2)"/>
      <w:numFmt w:val="upperLetter"/>
      <w:start w:val="3"/>
    </w:lvl>
  </w:abstractNum>
  <w:abstractNum w:abstractNumId="363">
    <w:nsid w:val="4CE5CA53"/>
    <w:multiLevelType w:val="hybridMultilevel"/>
    <w:lvl w:ilvl="0">
      <w:lvlJc w:val="left"/>
      <w:lvlText w:val="(%1)"/>
      <w:numFmt w:val="lowerRoman"/>
      <w:start w:val="4"/>
    </w:lvl>
    <w:lvl w:ilvl="1">
      <w:lvlJc w:val="left"/>
      <w:lvlText w:val="%2"/>
      <w:numFmt w:val="upperLetter"/>
      <w:start w:val="1"/>
    </w:lvl>
  </w:abstractNum>
  <w:abstractNum w:abstractNumId="364">
    <w:nsid w:val="29262D1A"/>
    <w:multiLevelType w:val="hybridMultilevel"/>
    <w:lvl w:ilvl="0">
      <w:lvlJc w:val="left"/>
      <w:lvlText w:val="(%1)"/>
      <w:numFmt w:val="lowerLetter"/>
      <w:start w:val="3"/>
    </w:lvl>
  </w:abstractNum>
  <w:abstractNum w:abstractNumId="365">
    <w:nsid w:val="557FB7EE"/>
    <w:multiLevelType w:val="hybridMultilevel"/>
    <w:lvl w:ilvl="0">
      <w:lvlJc w:val="left"/>
      <w:lvlText w:val="(%1)"/>
      <w:numFmt w:val="lowerLetter"/>
      <w:start w:val="5"/>
    </w:lvl>
  </w:abstractNum>
  <w:abstractNum w:abstractNumId="366">
    <w:nsid w:val="436F2BEB"/>
    <w:multiLevelType w:val="hybridMultilevel"/>
    <w:lvl w:ilvl="0">
      <w:lvlJc w:val="left"/>
      <w:lvlText w:val="(%1)"/>
      <w:numFmt w:val="lowerLetter"/>
      <w:start w:val="6"/>
    </w:lvl>
  </w:abstractNum>
  <w:abstractNum w:abstractNumId="367">
    <w:nsid w:val="6C8B4466"/>
    <w:multiLevelType w:val="hybridMultilevel"/>
    <w:lvl w:ilvl="0">
      <w:lvlJc w:val="left"/>
      <w:lvlText w:val="(%1)"/>
      <w:numFmt w:val="lowerRoman"/>
      <w:start w:val="1"/>
    </w:lvl>
  </w:abstractNum>
  <w:abstractNum w:abstractNumId="368">
    <w:nsid w:val="2006E424"/>
    <w:multiLevelType w:val="hybridMultilevel"/>
    <w:lvl w:ilvl="0">
      <w:lvlJc w:val="left"/>
      <w:lvlText w:val="(%1)"/>
      <w:numFmt w:val="lowerLetter"/>
      <w:start w:val="1"/>
    </w:lvl>
  </w:abstractNum>
  <w:abstractNum w:abstractNumId="369">
    <w:nsid w:val="20CC134C"/>
    <w:multiLevelType w:val="hybridMultilevel"/>
    <w:lvl w:ilvl="0">
      <w:lvlJc w:val="left"/>
      <w:lvlText w:val="(%1)"/>
      <w:numFmt w:val="lowerLetter"/>
      <w:start w:val="1"/>
    </w:lvl>
  </w:abstractNum>
  <w:abstractNum w:abstractNumId="370">
    <w:nsid w:val="95FC93B"/>
    <w:multiLevelType w:val="hybridMultilevel"/>
    <w:lvl w:ilvl="0">
      <w:lvlJc w:val="left"/>
      <w:lvlText w:val="(%1)"/>
      <w:numFmt w:val="lowerLetter"/>
      <w:start w:val="2"/>
    </w:lvl>
  </w:abstractNum>
  <w:abstractNum w:abstractNumId="371">
    <w:nsid w:val="41D74679"/>
    <w:multiLevelType w:val="hybridMultilevel"/>
    <w:lvl w:ilvl="0">
      <w:lvlJc w:val="left"/>
      <w:lvlText w:val="(%1)"/>
      <w:numFmt w:val="lowerLetter"/>
      <w:start w:val="1"/>
    </w:lvl>
  </w:abstractNum>
  <w:abstractNum w:abstractNumId="372">
    <w:nsid w:val="71E5621E"/>
    <w:multiLevelType w:val="hybridMultilevel"/>
    <w:lvl w:ilvl="0">
      <w:lvlJc w:val="left"/>
      <w:lvlText w:val="(%1)"/>
      <w:numFmt w:val="lowerLetter"/>
      <w:start w:val="2"/>
    </w:lvl>
  </w:abstractNum>
  <w:abstractNum w:abstractNumId="373">
    <w:nsid w:val="4E42B6A8"/>
    <w:multiLevelType w:val="hybridMultilevel"/>
    <w:lvl w:ilvl="0">
      <w:lvlJc w:val="left"/>
      <w:lvlText w:val="(%1)"/>
      <w:numFmt w:val="upperLetter"/>
      <w:start w:val="2"/>
    </w:lvl>
  </w:abstractNum>
  <w:abstractNum w:abstractNumId="374">
    <w:nsid w:val="43F8E1AC"/>
    <w:multiLevelType w:val="hybridMultilevel"/>
    <w:lvl w:ilvl="0">
      <w:lvlJc w:val="left"/>
      <w:lvlText w:val="(%1)"/>
      <w:numFmt w:val="lowerLetter"/>
      <w:start w:val="1"/>
    </w:lvl>
    <w:lvl w:ilvl="1">
      <w:lvlJc w:val="left"/>
      <w:lvlText w:val="(%2)"/>
      <w:numFmt w:val="lowerLetter"/>
      <w:start w:val="9"/>
    </w:lvl>
  </w:abstractNum>
  <w:abstractNum w:abstractNumId="375">
    <w:nsid w:val="69215DFB"/>
    <w:multiLevelType w:val="hybridMultilevel"/>
    <w:lvl w:ilvl="0">
      <w:lvlJc w:val="left"/>
      <w:lvlText w:val="(%1)"/>
      <w:numFmt w:val="lowerRoman"/>
      <w:start w:val="2"/>
    </w:lvl>
  </w:abstractNum>
  <w:abstractNum w:abstractNumId="376">
    <w:nsid w:val="7ABF196A"/>
    <w:multiLevelType w:val="hybridMultilevel"/>
    <w:lvl w:ilvl="0">
      <w:lvlJc w:val="left"/>
      <w:lvlText w:val="(%1)"/>
      <w:numFmt w:val="lowerLetter"/>
      <w:start w:val="1"/>
    </w:lvl>
  </w:abstractNum>
  <w:abstractNum w:abstractNumId="377">
    <w:nsid w:val="5E4DB968"/>
    <w:multiLevelType w:val="hybridMultilevel"/>
    <w:lvl w:ilvl="0">
      <w:lvlJc w:val="left"/>
      <w:lvlText w:val="%1."/>
      <w:numFmt w:val="decimal"/>
      <w:start w:val="1"/>
    </w:lvl>
  </w:abstractNum>
  <w:abstractNum w:abstractNumId="378">
    <w:nsid w:val="2C06DCF3"/>
    <w:multiLevelType w:val="hybridMultilevel"/>
    <w:lvl w:ilvl="0">
      <w:lvlJc w:val="left"/>
      <w:lvlText w:val="(%1)"/>
      <w:numFmt w:val="lowerLetter"/>
      <w:start w:val="2"/>
    </w:lvl>
  </w:abstractNum>
  <w:abstractNum w:abstractNumId="379">
    <w:nsid w:val="2E129658"/>
    <w:multiLevelType w:val="hybridMultilevel"/>
    <w:lvl w:ilvl="0">
      <w:lvlJc w:val="left"/>
      <w:lvlText w:val="%1."/>
      <w:numFmt w:val="decimal"/>
      <w:start w:val="2"/>
    </w:lvl>
  </w:abstractNum>
  <w:abstractNum w:abstractNumId="380">
    <w:nsid w:val="59F0446"/>
    <w:multiLevelType w:val="hybridMultilevel"/>
    <w:lvl w:ilvl="0">
      <w:lvlJc w:val="left"/>
      <w:lvlText w:val="(%1)"/>
      <w:numFmt w:val="lowerLetter"/>
      <w:start w:val="2"/>
    </w:lvl>
  </w:abstractNum>
  <w:abstractNum w:abstractNumId="381">
    <w:nsid w:val="30DF306"/>
    <w:multiLevelType w:val="hybridMultilevel"/>
    <w:lvl w:ilvl="0">
      <w:lvlJc w:val="left"/>
      <w:lvlText w:val="%1."/>
      <w:numFmt w:val="decimal"/>
      <w:start w:val="3"/>
    </w:lvl>
  </w:abstractNum>
  <w:abstractNum w:abstractNumId="382">
    <w:nsid w:val="A65647"/>
    <w:multiLevelType w:val="hybridMultilevel"/>
    <w:lvl w:ilvl="0">
      <w:lvlJc w:val="left"/>
      <w:lvlText w:val="%1."/>
      <w:numFmt w:val="decimal"/>
      <w:start w:val="4"/>
    </w:lvl>
  </w:abstractNum>
  <w:abstractNum w:abstractNumId="383">
    <w:nsid w:val="3E5E582B"/>
    <w:multiLevelType w:val="hybridMultilevel"/>
    <w:lvl w:ilvl="0">
      <w:lvlJc w:val="left"/>
      <w:lvlText w:val="(%1)"/>
      <w:numFmt w:val="lowerLetter"/>
      <w:start w:val="1"/>
    </w:lvl>
  </w:abstractNum>
  <w:abstractNum w:abstractNumId="384">
    <w:nsid w:val="257D4626"/>
    <w:multiLevelType w:val="hybridMultilevel"/>
    <w:lvl w:ilvl="0">
      <w:lvlJc w:val="left"/>
      <w:lvlText w:val="(%1)"/>
      <w:numFmt w:val="lowerLetter"/>
      <w:start w:val="4"/>
    </w:lvl>
  </w:abstractNum>
  <w:abstractNum w:abstractNumId="385">
    <w:nsid w:val="5AA8580E"/>
    <w:multiLevelType w:val="hybridMultilevel"/>
    <w:lvl w:ilvl="0">
      <w:lvlJc w:val="left"/>
      <w:lvlText w:val="%1."/>
      <w:numFmt w:val="decimal"/>
      <w:start w:val="5"/>
    </w:lvl>
  </w:abstractNum>
  <w:abstractNum w:abstractNumId="386">
    <w:nsid w:val="68FA8D0D"/>
    <w:multiLevelType w:val="hybridMultilevel"/>
    <w:lvl w:ilvl="0">
      <w:lvlJc w:val="left"/>
      <w:lvlText w:val="(%1)"/>
      <w:numFmt w:val="lowerLetter"/>
      <w:start w:val="2"/>
    </w:lvl>
  </w:abstractNum>
  <w:abstractNum w:abstractNumId="387">
    <w:nsid w:val="40F2CBD2"/>
    <w:multiLevelType w:val="hybridMultilevel"/>
    <w:lvl w:ilvl="0">
      <w:lvlJc w:val="left"/>
      <w:lvlText w:val="(%1)"/>
      <w:numFmt w:val="lowerLetter"/>
      <w:start w:val="3"/>
    </w:lvl>
  </w:abstractNum>
  <w:abstractNum w:abstractNumId="388">
    <w:nsid w:val="3BD615EB"/>
    <w:multiLevelType w:val="hybridMultilevel"/>
    <w:lvl w:ilvl="0">
      <w:lvlJc w:val="left"/>
      <w:lvlText w:val="%1."/>
      <w:numFmt w:val="decimal"/>
      <w:start w:val="6"/>
    </w:lvl>
  </w:abstractNum>
  <w:abstractNum w:abstractNumId="389">
    <w:nsid w:val="A045AB2"/>
    <w:multiLevelType w:val="hybridMultilevel"/>
    <w:lvl w:ilvl="0">
      <w:lvlJc w:val="left"/>
      <w:lvlText w:val="%1."/>
      <w:numFmt w:val="decimal"/>
      <w:start w:val="9"/>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2021-08-26T16:05:02Z</dcterms:created>
  <dcterms:modified xsi:type="dcterms:W3CDTF">2021-08-26T16:05:02Z</dcterms:modified>
</cp:coreProperties>
</file>