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46">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333-207139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333-207139-01</w:t>
      </w:r>
    </w:p>
    <w:p>
      <w:pPr>
        <w:spacing w:after="0" w:line="211" w:lineRule="exact"/>
        <w:rPr>
          <w:sz w:val="24"/>
          <w:szCs w:val="24"/>
          <w:color w:val="auto"/>
        </w:rPr>
      </w:pPr>
    </w:p>
    <w:p>
      <w:pPr>
        <w:ind w:right="180"/>
        <w:spacing w:after="0" w:line="264" w:lineRule="auto"/>
        <w:rPr>
          <w:sz w:val="20"/>
          <w:szCs w:val="20"/>
          <w:color w:val="auto"/>
        </w:rPr>
      </w:pPr>
      <w:r>
        <w:rPr>
          <w:rFonts w:ascii="Times New Roman" w:cs="Times New Roman" w:eastAsia="Times New Roman" w:hAnsi="Times New Roman"/>
          <w:sz w:val="18"/>
          <w:szCs w:val="18"/>
          <w:b w:val="1"/>
          <w:bCs w:val="1"/>
          <w:color w:val="FF4040"/>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FF4040"/>
        </w:rPr>
        <w:t>SUBJECT TO COMPLETION, DATED NOVEMBER 15, 2016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144145</wp:posOffset>
            </wp:positionV>
            <wp:extent cx="216090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90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PAA Finance Corp.</w:t>
      </w:r>
    </w:p>
    <w:p>
      <w:pPr>
        <w:spacing w:after="0" w:line="185" w:lineRule="exact"/>
        <w:rPr>
          <w:sz w:val="24"/>
          <w:szCs w:val="24"/>
          <w:color w:val="auto"/>
        </w:rPr>
      </w:pPr>
    </w:p>
    <w:p>
      <w:pPr>
        <w:ind w:left="4720" w:hanging="613"/>
        <w:spacing w:after="0"/>
        <w:tabs>
          <w:tab w:leader="none" w:pos="4720" w:val="left"/>
        </w:tabs>
        <w:numPr>
          <w:ilvl w:val="0"/>
          <w:numId w:val="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67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Plains All American Pipeline, L.P. and PAA Finance Corp. are offering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million aggregate principal amount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Senior Notes due 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w:t>
      </w:r>
    </w:p>
    <w:p>
      <w:pPr>
        <w:spacing w:after="0" w:line="21" w:lineRule="exact"/>
        <w:rPr>
          <w:sz w:val="24"/>
          <w:szCs w:val="24"/>
          <w:color w:val="auto"/>
        </w:rPr>
      </w:pPr>
    </w:p>
    <w:p>
      <w:pPr>
        <w:sectPr>
          <w:pgSz w:w="11900" w:h="16838" w:orient="portrait"/>
          <w:cols w:equalWidth="0" w:num="4">
            <w:col w:w="5520" w:space="400"/>
            <w:col w:w="2660" w:space="400"/>
            <w:col w:w="1620" w:space="260"/>
            <w:col w:w="560"/>
          </w:cols>
          <w:pgMar w:left="240" w:top="679"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"Notes").</w:t>
      </w:r>
    </w:p>
    <w:p>
      <w:pPr>
        <w:sectPr>
          <w:pgSz w:w="11900" w:h="16838" w:orient="portrait"/>
          <w:cols w:equalWidth="0" w:num="1">
            <w:col w:w="11420"/>
          </w:cols>
          <w:pgMar w:left="240" w:top="679" w:right="239" w:bottom="0" w:gutter="0" w:footer="0" w:header="0"/>
          <w:type w:val="continuous"/>
        </w:sectPr>
      </w:pPr>
    </w:p>
    <w:p>
      <w:pPr>
        <w:spacing w:after="0" w:line="23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We will pay interest on the Notes semi-annually in arrears on</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of each year, beginning on</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2017. The Notes will mature on</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3" w:lineRule="exact"/>
        <w:rPr>
          <w:sz w:val="24"/>
          <w:szCs w:val="24"/>
          <w:color w:val="auto"/>
        </w:rPr>
      </w:pPr>
    </w:p>
    <w:p>
      <w:pPr>
        <w:sectPr>
          <w:pgSz w:w="11900" w:h="16838" w:orient="portrait"/>
          <w:cols w:equalWidth="0" w:num="5">
            <w:col w:w="4700" w:space="520"/>
            <w:col w:w="260" w:space="520"/>
            <w:col w:w="1860" w:space="520"/>
            <w:col w:w="2340" w:space="560"/>
            <w:col w:w="140"/>
          </w:cols>
          <w:pgMar w:left="240" w:top="679" w:right="239" w:bottom="0" w:gutter="0" w:footer="0" w:header="0"/>
          <w:type w:val="continuous"/>
        </w:sectPr>
      </w:pPr>
    </w:p>
    <w:p>
      <w:pPr>
        <w:spacing w:after="0"/>
        <w:tabs>
          <w:tab w:leader="none" w:pos="420" w:val="left"/>
        </w:tabs>
        <w:rPr>
          <w:sz w:val="20"/>
          <w:szCs w:val="20"/>
          <w:color w:val="auto"/>
        </w:rPr>
      </w:pPr>
      <w:r>
        <w:rPr>
          <w:rFonts w:ascii="Times New Roman" w:cs="Times New Roman" w:eastAsia="Times New Roman" w:hAnsi="Times New Roman"/>
          <w:sz w:val="16"/>
          <w:szCs w:val="16"/>
          <w:color w:val="auto"/>
        </w:rPr>
        <w:t>20</w:t>
      </w:r>
      <w:r>
        <w:rPr>
          <w:sz w:val="20"/>
          <w:szCs w:val="20"/>
          <w:color w:val="auto"/>
        </w:rPr>
        <w:tab/>
      </w:r>
      <w:r>
        <w:rPr>
          <w:rFonts w:ascii="Times New Roman" w:cs="Times New Roman" w:eastAsia="Times New Roman" w:hAnsi="Times New Roman"/>
          <w:sz w:val="16"/>
          <w:szCs w:val="16"/>
          <w:color w:val="auto"/>
        </w:rPr>
        <w:t>, unless redeemed prior to the maturity date.</w:t>
      </w:r>
    </w:p>
    <w:p>
      <w:pPr>
        <w:sectPr>
          <w:pgSz w:w="11900" w:h="16838" w:orient="portrait"/>
          <w:cols w:equalWidth="0" w:num="1">
            <w:col w:w="11420"/>
          </w:cols>
          <w:pgMar w:left="240" w:top="679" w:right="239" w:bottom="0" w:gutter="0" w:footer="0" w:header="0"/>
          <w:type w:val="continuous"/>
        </w:sectPr>
      </w:pPr>
    </w:p>
    <w:p>
      <w:pPr>
        <w:spacing w:after="0" w:line="236" w:lineRule="exact"/>
        <w:rPr>
          <w:sz w:val="24"/>
          <w:szCs w:val="24"/>
          <w:color w:val="auto"/>
        </w:rPr>
      </w:pPr>
    </w:p>
    <w:p>
      <w:pPr>
        <w:ind w:right="300" w:firstLine="392"/>
        <w:spacing w:after="0" w:line="275" w:lineRule="auto"/>
        <w:rPr>
          <w:sz w:val="20"/>
          <w:szCs w:val="20"/>
          <w:color w:val="auto"/>
        </w:rPr>
      </w:pPr>
      <w:r>
        <w:rPr>
          <w:rFonts w:ascii="Times New Roman" w:cs="Times New Roman" w:eastAsia="Times New Roman" w:hAnsi="Times New Roman"/>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74" w:lineRule="exact"/>
        <w:rPr>
          <w:sz w:val="24"/>
          <w:szCs w:val="24"/>
          <w:color w:val="auto"/>
        </w:rPr>
      </w:pPr>
    </w:p>
    <w:p>
      <w:pPr>
        <w:ind w:right="160" w:firstLine="392"/>
        <w:spacing w:after="0" w:line="275" w:lineRule="auto"/>
        <w:rPr>
          <w:sz w:val="20"/>
          <w:szCs w:val="20"/>
          <w:color w:val="auto"/>
        </w:rPr>
      </w:pPr>
      <w:r>
        <w:rPr>
          <w:rFonts w:ascii="Times New Roman" w:cs="Times New Roman" w:eastAsia="Times New Roman" w:hAnsi="Times New Roman"/>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74" w:lineRule="exact"/>
        <w:rPr>
          <w:sz w:val="24"/>
          <w:szCs w:val="24"/>
          <w:color w:val="auto"/>
        </w:rPr>
      </w:pPr>
    </w:p>
    <w:p>
      <w:pPr>
        <w:ind w:right="380" w:firstLine="392"/>
        <w:spacing w:after="0" w:line="275"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Investing in the Notes involves risks. See "Risk Factors" beginning on page S-5 of this prospectus supplement.</w:t>
      </w:r>
    </w:p>
    <w:p>
      <w:pPr>
        <w:spacing w:after="0" w:line="227" w:lineRule="exact"/>
        <w:rPr>
          <w:sz w:val="24"/>
          <w:szCs w:val="24"/>
          <w:color w:val="auto"/>
        </w:rPr>
      </w:pPr>
    </w:p>
    <w:p>
      <w:pPr>
        <w:ind w:right="140" w:firstLine="395"/>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80" w:type="dxa"/>
            <w:vAlign w:val="bottom"/>
          </w:tcPr>
          <w:p>
            <w:pPr>
              <w:jc w:val="center"/>
              <w:ind w:right="424"/>
              <w:spacing w:after="0" w:line="113" w:lineRule="exact"/>
              <w:rPr>
                <w:sz w:val="20"/>
                <w:szCs w:val="20"/>
                <w:color w:val="auto"/>
              </w:rPr>
            </w:pPr>
            <w:r>
              <w:rPr>
                <w:rFonts w:ascii="Times New Roman" w:cs="Times New Roman" w:eastAsia="Times New Roman" w:hAnsi="Times New Roman"/>
                <w:sz w:val="12"/>
                <w:szCs w:val="12"/>
                <w:b w:val="1"/>
                <w:bCs w:val="1"/>
                <w:color w:val="auto"/>
              </w:rPr>
              <w:t>Public Offering</w:t>
            </w:r>
          </w:p>
        </w:tc>
        <w:tc>
          <w:tcPr>
            <w:tcW w:w="1220" w:type="dxa"/>
            <w:vAlign w:val="bottom"/>
            <w:gridSpan w:val="2"/>
          </w:tcPr>
          <w:p>
            <w:pPr>
              <w:jc w:val="center"/>
              <w:ind w:right="212"/>
              <w:spacing w:after="0" w:line="113" w:lineRule="exact"/>
              <w:rPr>
                <w:sz w:val="20"/>
                <w:szCs w:val="20"/>
                <w:color w:val="auto"/>
              </w:rPr>
            </w:pPr>
            <w:r>
              <w:rPr>
                <w:rFonts w:ascii="Times New Roman" w:cs="Times New Roman" w:eastAsia="Times New Roman" w:hAnsi="Times New Roman"/>
                <w:sz w:val="12"/>
                <w:szCs w:val="12"/>
                <w:b w:val="1"/>
                <w:bCs w:val="1"/>
                <w:color w:val="auto"/>
              </w:rPr>
              <w:t>Underwriting</w:t>
            </w:r>
          </w:p>
        </w:tc>
        <w:tc>
          <w:tcPr>
            <w:tcW w:w="136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Proceeds, Before</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w w:val="96"/>
              </w:rPr>
              <w:t>Price(1)</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4"/>
              </w:rPr>
              <w:t>Discount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Expenses, to Us</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20" w:type="dxa"/>
            <w:vAlign w:val="bottom"/>
            <w:tcBorders>
              <w:bottom w:val="single" w:sz="8" w:color="auto"/>
            </w:tcBorders>
          </w:tcPr>
          <w:p>
            <w:pPr>
              <w:jc w:val="center"/>
              <w:ind w:right="1312"/>
              <w:spacing w:after="0"/>
              <w:rPr>
                <w:sz w:val="20"/>
                <w:szCs w:val="20"/>
                <w:color w:val="auto"/>
              </w:rPr>
            </w:pPr>
            <w:r>
              <w:rPr>
                <w:rFonts w:ascii="Times New Roman" w:cs="Times New Roman" w:eastAsia="Times New Roman" w:hAnsi="Times New Roman"/>
                <w:sz w:val="18"/>
                <w:szCs w:val="18"/>
                <w:color w:val="auto"/>
                <w:w w:val="97"/>
              </w:rPr>
              <w:t>Per Note</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95"/>
              </w:rPr>
              <w:t>(1)</w:t>
            </w:r>
          </w:p>
        </w:tc>
        <w:tc>
          <w:tcPr>
            <w:tcW w:w="14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0" w:type="dxa"/>
            <w:vAlign w:val="bottom"/>
            <w:vMerge w:val="continue"/>
          </w:tcPr>
          <w:p>
            <w:pPr>
              <w:spacing w:after="0"/>
              <w:rPr>
                <w:sz w:val="24"/>
                <w:szCs w:val="24"/>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Plus accrued interest, if any, from November</w:t>
            </w:r>
          </w:p>
        </w:tc>
        <w:tc>
          <w:tcPr>
            <w:tcW w:w="320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 2016 if settlement occurs after that date.</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6" w:lineRule="exact"/>
        <w:rPr>
          <w:sz w:val="24"/>
          <w:szCs w:val="24"/>
          <w:color w:val="auto"/>
        </w:rPr>
      </w:pPr>
    </w:p>
    <w:p>
      <w:pPr>
        <w:ind w:right="40" w:firstLine="392"/>
        <w:spacing w:after="0" w:line="289" w:lineRule="auto"/>
        <w:rPr>
          <w:sz w:val="20"/>
          <w:szCs w:val="20"/>
          <w:color w:val="auto"/>
        </w:rPr>
      </w:pPr>
      <w:r>
        <w:rPr>
          <w:rFonts w:ascii="Times New Roman" w:cs="Times New Roman" w:eastAsia="Times New Roman" w:hAnsi="Times New Roman"/>
          <w:sz w:val="16"/>
          <w:szCs w:val="16"/>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w:t>
      </w:r>
    </w:p>
    <w:p>
      <w:pPr>
        <w:spacing w:after="0" w:line="1" w:lineRule="exact"/>
        <w:rPr>
          <w:sz w:val="24"/>
          <w:szCs w:val="24"/>
          <w:color w:val="auto"/>
        </w:rPr>
      </w:pPr>
    </w:p>
    <w:p>
      <w:pPr>
        <w:spacing w:after="0"/>
        <w:tabs>
          <w:tab w:leader="none" w:pos="1660" w:val="left"/>
          <w:tab w:leader="none" w:pos="2920" w:val="left"/>
        </w:tabs>
        <w:rPr>
          <w:sz w:val="20"/>
          <w:szCs w:val="20"/>
          <w:color w:val="auto"/>
        </w:rPr>
      </w:pPr>
      <w:r>
        <w:rPr>
          <w:rFonts w:ascii="Times New Roman" w:cs="Times New Roman" w:eastAsia="Times New Roman" w:hAnsi="Times New Roman"/>
          <w:sz w:val="18"/>
          <w:szCs w:val="18"/>
          <w:color w:val="auto"/>
        </w:rPr>
        <w:t>or about November</w:t>
      </w:r>
      <w:r>
        <w:rPr>
          <w:sz w:val="20"/>
          <w:szCs w:val="20"/>
          <w:color w:val="auto"/>
        </w:rPr>
        <w:tab/>
      </w:r>
      <w:r>
        <w:rPr>
          <w:rFonts w:ascii="Times New Roman" w:cs="Times New Roman" w:eastAsia="Times New Roman" w:hAnsi="Times New Roman"/>
          <w:sz w:val="18"/>
          <w:szCs w:val="18"/>
          <w:color w:val="auto"/>
        </w:rPr>
        <w:t>, 2016, the</w:t>
      </w:r>
      <w:r>
        <w:rPr>
          <w:sz w:val="20"/>
          <w:szCs w:val="20"/>
          <w:color w:val="auto"/>
        </w:rPr>
        <w:tab/>
      </w:r>
      <w:r>
        <w:rPr>
          <w:rFonts w:ascii="Times New Roman" w:cs="Times New Roman" w:eastAsia="Times New Roman" w:hAnsi="Times New Roman"/>
          <w:sz w:val="16"/>
          <w:szCs w:val="16"/>
          <w:color w:val="auto"/>
        </w:rPr>
        <w:t>trading day after the date of this prospectus supplement.</w:t>
      </w:r>
    </w:p>
    <w:p>
      <w:pPr>
        <w:sectPr>
          <w:pgSz w:w="11900" w:h="16838" w:orient="portrait"/>
          <w:cols w:equalWidth="0" w:num="1">
            <w:col w:w="11420"/>
          </w:cols>
          <w:pgMar w:left="240" w:top="679" w:right="2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2833370</wp:posOffset>
            </wp:positionH>
            <wp:positionV relativeFrom="page">
              <wp:posOffset>88900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t>Joint Book-Running Managers</w:t>
      </w:r>
    </w:p>
    <w:p>
      <w:pPr>
        <w:spacing w:after="0" w:line="210" w:lineRule="exact"/>
        <w:rPr>
          <w:sz w:val="20"/>
          <w:szCs w:val="20"/>
          <w:color w:val="auto"/>
        </w:rPr>
      </w:pPr>
    </w:p>
    <w:p>
      <w:pPr>
        <w:ind w:left="120"/>
        <w:spacing w:after="0"/>
        <w:tabs>
          <w:tab w:leader="none" w:pos="2740" w:val="left"/>
          <w:tab w:leader="none" w:pos="5440" w:val="left"/>
          <w:tab w:leader="none" w:pos="9340" w:val="left"/>
        </w:tabs>
        <w:rPr>
          <w:sz w:val="20"/>
          <w:szCs w:val="20"/>
          <w:color w:val="auto"/>
        </w:rPr>
      </w:pPr>
      <w:r>
        <w:rPr>
          <w:rFonts w:ascii="Times New Roman" w:cs="Times New Roman" w:eastAsia="Times New Roman" w:hAnsi="Times New Roman"/>
          <w:sz w:val="22"/>
          <w:szCs w:val="22"/>
          <w:b w:val="1"/>
          <w:bCs w:val="1"/>
          <w:color w:val="auto"/>
        </w:rPr>
        <w:t>J.P. Morgan</w:t>
      </w:r>
      <w:r>
        <w:rPr>
          <w:sz w:val="20"/>
          <w:szCs w:val="20"/>
          <w:color w:val="auto"/>
        </w:rPr>
        <w:tab/>
      </w:r>
      <w:r>
        <w:rPr>
          <w:rFonts w:ascii="Times New Roman" w:cs="Times New Roman" w:eastAsia="Times New Roman" w:hAnsi="Times New Roman"/>
          <w:sz w:val="22"/>
          <w:szCs w:val="22"/>
          <w:b w:val="1"/>
          <w:bCs w:val="1"/>
          <w:color w:val="auto"/>
        </w:rPr>
        <w:t>BNP PARIBAS</w:t>
      </w:r>
      <w:r>
        <w:rPr>
          <w:sz w:val="20"/>
          <w:szCs w:val="20"/>
          <w:color w:val="auto"/>
        </w:rPr>
        <w:tab/>
      </w:r>
      <w:r>
        <w:rPr>
          <w:rFonts w:ascii="Times New Roman" w:cs="Times New Roman" w:eastAsia="Times New Roman" w:hAnsi="Times New Roman"/>
          <w:sz w:val="22"/>
          <w:szCs w:val="22"/>
          <w:b w:val="1"/>
          <w:bCs w:val="1"/>
          <w:color w:val="auto"/>
        </w:rPr>
        <w:t>BofA Merrill Lynch</w:t>
      </w:r>
      <w:r>
        <w:rPr>
          <w:sz w:val="20"/>
          <w:szCs w:val="20"/>
          <w:color w:val="auto"/>
        </w:rPr>
        <w:tab/>
      </w:r>
      <w:r>
        <w:rPr>
          <w:rFonts w:ascii="Times New Roman" w:cs="Times New Roman" w:eastAsia="Times New Roman" w:hAnsi="Times New Roman"/>
          <w:sz w:val="21"/>
          <w:szCs w:val="21"/>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The date of this prospectus supplement is November</w:t>
            </w:r>
          </w:p>
        </w:tc>
        <w:tc>
          <w:tcPr>
            <w:tcW w:w="4100" w:type="dxa"/>
            <w:vAlign w:val="bottom"/>
          </w:tcPr>
          <w:p>
            <w:pPr>
              <w:jc w:val="right"/>
              <w:ind w:right="3372"/>
              <w:spacing w:after="0"/>
              <w:rPr>
                <w:sz w:val="20"/>
                <w:szCs w:val="20"/>
                <w:color w:val="auto"/>
              </w:rPr>
            </w:pPr>
            <w:r>
              <w:rPr>
                <w:rFonts w:ascii="Times New Roman" w:cs="Times New Roman" w:eastAsia="Times New Roman" w:hAnsi="Times New Roman"/>
                <w:sz w:val="18"/>
                <w:szCs w:val="18"/>
                <w:color w:val="auto"/>
              </w:rPr>
              <w:t>, 2016.</w:t>
            </w:r>
          </w:p>
        </w:tc>
      </w:tr>
      <w:tr>
        <w:trPr>
          <w:trHeight w:val="228"/>
        </w:trPr>
        <w:tc>
          <w:tcPr>
            <w:tcW w:w="732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7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780" w:type="dxa"/>
            <w:vAlign w:val="bottom"/>
            <w:gridSpan w:val="2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6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2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Important Notice About Information in this Prospectus Supplement and the Accompanying Base Prospectus</w:t>
              </w:r>
            </w:hyperlink>
          </w:p>
        </w:tc>
        <w:tc>
          <w:tcPr>
            <w:tcW w:w="20" w:type="dxa"/>
            <w:vAlign w:val="bottom"/>
          </w:tcPr>
          <w:p>
            <w:pPr>
              <w:spacing w:after="0"/>
              <w:rPr>
                <w:sz w:val="24"/>
                <w:szCs w:val="24"/>
                <w:color w:val="auto"/>
              </w:rPr>
            </w:pPr>
          </w:p>
        </w:tc>
        <w:tc>
          <w:tcPr>
            <w:tcW w:w="320" w:type="dxa"/>
            <w:vAlign w:val="bottom"/>
            <w:gridSpan w:val="5"/>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S-ii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Forward-Looking Statements</w:t>
              </w:r>
            </w:hyperlink>
          </w:p>
        </w:tc>
        <w:tc>
          <w:tcPr>
            <w:tcW w:w="5520" w:type="dxa"/>
            <w:vAlign w:val="bottom"/>
            <w:tcBorders>
              <w:top w:val="single" w:sz="8" w:color="0000EE"/>
            </w:tcBorders>
            <w:gridSpan w:val="10"/>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0000EE"/>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2"/>
              </w:rPr>
            </w:pPr>
            <w:hyperlink w:anchor="page4">
              <w:r>
                <w:rPr>
                  <w:rFonts w:ascii="Times New Roman" w:cs="Times New Roman" w:eastAsia="Times New Roman" w:hAnsi="Times New Roman"/>
                  <w:sz w:val="18"/>
                  <w:szCs w:val="18"/>
                  <w:color w:val="0000EE"/>
                  <w:w w:val="92"/>
                </w:rPr>
                <w:t>S-ii</w:t>
              </w:r>
            </w:hyperlink>
          </w:p>
        </w:tc>
      </w:tr>
      <w:tr>
        <w:trPr>
          <w:trHeight w:val="196"/>
        </w:trPr>
        <w:tc>
          <w:tcPr>
            <w:tcW w:w="1140" w:type="dxa"/>
            <w:vAlign w:val="bottom"/>
          </w:tcPr>
          <w:p>
            <w:pPr>
              <w:spacing w:after="0"/>
              <w:rPr>
                <w:sz w:val="17"/>
                <w:szCs w:val="17"/>
                <w:color w:val="auto"/>
              </w:rPr>
            </w:pPr>
          </w:p>
        </w:tc>
        <w:tc>
          <w:tcPr>
            <w:tcW w:w="23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Prospectus Supplement Summary</w:t>
              </w:r>
            </w:hyperlink>
          </w:p>
        </w:tc>
        <w:tc>
          <w:tcPr>
            <w:tcW w:w="626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7"/>
              </w:rPr>
            </w:pPr>
            <w:hyperlink w:anchor="page7">
              <w:r>
                <w:rPr>
                  <w:rFonts w:ascii="Times New Roman" w:cs="Times New Roman" w:eastAsia="Times New Roman" w:hAnsi="Times New Roman"/>
                  <w:sz w:val="18"/>
                  <w:szCs w:val="18"/>
                  <w:color w:val="0000EE"/>
                  <w:w w:val="87"/>
                </w:rPr>
                <w:t>S-1</w:t>
              </w:r>
            </w:hyperlink>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Risk Factors</w:t>
              </w:r>
            </w:hyperlink>
          </w:p>
        </w:tc>
        <w:tc>
          <w:tcPr>
            <w:tcW w:w="774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7"/>
              </w:rPr>
            </w:pPr>
            <w:hyperlink w:anchor="page11">
              <w:r>
                <w:rPr>
                  <w:rFonts w:ascii="Times New Roman" w:cs="Times New Roman" w:eastAsia="Times New Roman" w:hAnsi="Times New Roman"/>
                  <w:sz w:val="18"/>
                  <w:szCs w:val="18"/>
                  <w:color w:val="0000EE"/>
                  <w:w w:val="87"/>
                </w:rPr>
                <w:t>S-5</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Use of Proceeds</w:t>
              </w:r>
            </w:hyperlink>
          </w:p>
        </w:tc>
        <w:tc>
          <w:tcPr>
            <w:tcW w:w="748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7"/>
              </w:rPr>
            </w:pPr>
            <w:hyperlink w:anchor="page13">
              <w:r>
                <w:rPr>
                  <w:rFonts w:ascii="Times New Roman" w:cs="Times New Roman" w:eastAsia="Times New Roman" w:hAnsi="Times New Roman"/>
                  <w:sz w:val="18"/>
                  <w:szCs w:val="18"/>
                  <w:color w:val="0000EE"/>
                  <w:w w:val="87"/>
                </w:rPr>
                <w:t>S-7</w:t>
              </w:r>
            </w:hyperlink>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Ratio of Earnings to Fixed Charges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3"/>
          </w:tcPr>
          <w:p>
            <w:pPr>
              <w:jc w:val="right"/>
              <w:spacing w:after="0" w:line="196" w:lineRule="exact"/>
              <w:rPr>
                <w:rFonts w:ascii="Times New Roman" w:cs="Times New Roman" w:eastAsia="Times New Roman" w:hAnsi="Times New Roman"/>
                <w:sz w:val="18"/>
                <w:szCs w:val="18"/>
                <w:color w:val="0000EE"/>
                <w:w w:val="87"/>
              </w:rPr>
            </w:pPr>
            <w:hyperlink w:anchor="page14">
              <w:r>
                <w:rPr>
                  <w:rFonts w:ascii="Times New Roman" w:cs="Times New Roman" w:eastAsia="Times New Roman" w:hAnsi="Times New Roman"/>
                  <w:sz w:val="18"/>
                  <w:szCs w:val="18"/>
                  <w:color w:val="0000EE"/>
                  <w:w w:val="87"/>
                </w:rPr>
                <w:t>S-8</w:t>
              </w:r>
            </w:hyperlink>
          </w:p>
        </w:tc>
      </w:tr>
      <w:tr>
        <w:trPr>
          <w:trHeight w:val="196"/>
        </w:trPr>
        <w:tc>
          <w:tcPr>
            <w:tcW w:w="114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15">
              <w:r>
                <w:rPr>
                  <w:rFonts w:ascii="Times New Roman" w:cs="Times New Roman" w:eastAsia="Times New Roman" w:hAnsi="Times New Roman"/>
                  <w:sz w:val="18"/>
                  <w:szCs w:val="18"/>
                  <w:color w:val="0000EE"/>
                  <w:w w:val="96"/>
                </w:rPr>
                <w:t>Capitalization</w:t>
              </w:r>
            </w:hyperlink>
          </w:p>
        </w:tc>
        <w:tc>
          <w:tcPr>
            <w:tcW w:w="1480" w:type="dxa"/>
            <w:vAlign w:val="bottom"/>
            <w:tcBorders>
              <w:top w:val="single" w:sz="8" w:color="0000EE"/>
            </w:tcBorders>
            <w:gridSpan w:val="11"/>
          </w:tcPr>
          <w:p>
            <w:pPr>
              <w:spacing w:after="0"/>
              <w:rPr>
                <w:sz w:val="17"/>
                <w:szCs w:val="17"/>
                <w:color w:val="auto"/>
              </w:rPr>
            </w:pPr>
          </w:p>
        </w:tc>
        <w:tc>
          <w:tcPr>
            <w:tcW w:w="61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7"/>
              </w:rPr>
            </w:pPr>
            <w:hyperlink w:anchor="page15">
              <w:r>
                <w:rPr>
                  <w:rFonts w:ascii="Times New Roman" w:cs="Times New Roman" w:eastAsia="Times New Roman" w:hAnsi="Times New Roman"/>
                  <w:sz w:val="18"/>
                  <w:szCs w:val="18"/>
                  <w:color w:val="0000EE"/>
                  <w:w w:val="87"/>
                </w:rPr>
                <w:t>S-9</w:t>
              </w:r>
            </w:hyperlink>
          </w:p>
        </w:tc>
      </w:tr>
      <w:tr>
        <w:trPr>
          <w:trHeight w:val="196"/>
        </w:trPr>
        <w:tc>
          <w:tcPr>
            <w:tcW w:w="114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Description of Notes</w:t>
              </w:r>
            </w:hyperlink>
          </w:p>
        </w:tc>
        <w:tc>
          <w:tcPr>
            <w:tcW w:w="71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5"/>
          </w:tcPr>
          <w:p>
            <w:pPr>
              <w:jc w:val="right"/>
              <w:spacing w:after="0" w:line="196" w:lineRule="exact"/>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S-11</w:t>
              </w:r>
            </w:hyperlink>
          </w:p>
        </w:tc>
      </w:tr>
      <w:tr>
        <w:trPr>
          <w:trHeight w:val="196"/>
        </w:trPr>
        <w:tc>
          <w:tcPr>
            <w:tcW w:w="1140" w:type="dxa"/>
            <w:vAlign w:val="bottom"/>
          </w:tcPr>
          <w:p>
            <w:pPr>
              <w:spacing w:after="0"/>
              <w:rPr>
                <w:sz w:val="17"/>
                <w:szCs w:val="17"/>
                <w:color w:val="auto"/>
              </w:rPr>
            </w:pPr>
          </w:p>
        </w:tc>
        <w:tc>
          <w:tcPr>
            <w:tcW w:w="22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Book Entry, Delivery and Form</w:t>
              </w:r>
            </w:hyperlink>
          </w:p>
        </w:tc>
        <w:tc>
          <w:tcPr>
            <w:tcW w:w="6400" w:type="dxa"/>
            <w:vAlign w:val="bottom"/>
            <w:gridSpan w:val="10"/>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30">
              <w:r>
                <w:rPr>
                  <w:rFonts w:ascii="Times New Roman" w:cs="Times New Roman" w:eastAsia="Times New Roman" w:hAnsi="Times New Roman"/>
                  <w:sz w:val="18"/>
                  <w:szCs w:val="18"/>
                  <w:color w:val="0000EE"/>
                  <w:w w:val="93"/>
                </w:rPr>
                <w:t>S-24</w:t>
              </w:r>
            </w:hyperlink>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Material U.S. Federal Income Tax Consequences</w:t>
              </w:r>
            </w:hyperlink>
          </w:p>
        </w:tc>
        <w:tc>
          <w:tcPr>
            <w:tcW w:w="5180" w:type="dxa"/>
            <w:vAlign w:val="bottom"/>
            <w:gridSpan w:val="2"/>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33">
              <w:r>
                <w:rPr>
                  <w:rFonts w:ascii="Times New Roman" w:cs="Times New Roman" w:eastAsia="Times New Roman" w:hAnsi="Times New Roman"/>
                  <w:sz w:val="18"/>
                  <w:szCs w:val="18"/>
                  <w:color w:val="0000EE"/>
                  <w:w w:val="93"/>
                </w:rPr>
                <w:t>S-27</w:t>
              </w:r>
            </w:hyperlink>
          </w:p>
        </w:tc>
      </w:tr>
      <w:tr>
        <w:trPr>
          <w:trHeight w:val="196"/>
        </w:trPr>
        <w:tc>
          <w:tcPr>
            <w:tcW w:w="114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39">
              <w:r>
                <w:rPr>
                  <w:rFonts w:ascii="Times New Roman" w:cs="Times New Roman" w:eastAsia="Times New Roman" w:hAnsi="Times New Roman"/>
                  <w:sz w:val="18"/>
                  <w:szCs w:val="18"/>
                  <w:color w:val="0000EE"/>
                  <w:w w:val="96"/>
                </w:rPr>
                <w:t>Underwriting</w:t>
              </w:r>
            </w:hyperlink>
          </w:p>
        </w:tc>
        <w:tc>
          <w:tcPr>
            <w:tcW w:w="7680" w:type="dxa"/>
            <w:vAlign w:val="bottom"/>
            <w:gridSpan w:val="20"/>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39">
              <w:r>
                <w:rPr>
                  <w:rFonts w:ascii="Times New Roman" w:cs="Times New Roman" w:eastAsia="Times New Roman" w:hAnsi="Times New Roman"/>
                  <w:sz w:val="18"/>
                  <w:szCs w:val="18"/>
                  <w:color w:val="0000EE"/>
                  <w:w w:val="93"/>
                </w:rPr>
                <w:t>S-33</w:t>
              </w:r>
            </w:hyperlink>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Legal Matters</w:t>
              </w:r>
            </w:hyperlink>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w w:val="93"/>
              </w:rPr>
            </w:pPr>
            <w:hyperlink w:anchor="page43">
              <w:r>
                <w:rPr>
                  <w:rFonts w:ascii="Times New Roman" w:cs="Times New Roman" w:eastAsia="Times New Roman" w:hAnsi="Times New Roman"/>
                  <w:sz w:val="18"/>
                  <w:szCs w:val="18"/>
                  <w:color w:val="0000EE"/>
                  <w:w w:val="93"/>
                </w:rPr>
                <w:t>S-37</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Experts</w:t>
              </w:r>
            </w:hyperlink>
          </w:p>
        </w:tc>
        <w:tc>
          <w:tcPr>
            <w:tcW w:w="7660" w:type="dxa"/>
            <w:vAlign w:val="bottom"/>
            <w:gridSpan w:val="19"/>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Times New Roman" w:cs="Times New Roman" w:eastAsia="Times New Roman" w:hAnsi="Times New Roman"/>
                <w:sz w:val="18"/>
                <w:szCs w:val="18"/>
                <w:color w:val="0000EE"/>
                <w:w w:val="93"/>
              </w:rPr>
            </w:pPr>
            <w:hyperlink w:anchor="page43">
              <w:r>
                <w:rPr>
                  <w:rFonts w:ascii="Times New Roman" w:cs="Times New Roman" w:eastAsia="Times New Roman" w:hAnsi="Times New Roman"/>
                  <w:sz w:val="18"/>
                  <w:szCs w:val="18"/>
                  <w:color w:val="0000EE"/>
                  <w:w w:val="93"/>
                </w:rPr>
                <w:t>S-37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Where You Can Find More Information</w:t>
              </w:r>
            </w:hyperlink>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w w:val="93"/>
              </w:rPr>
            </w:pPr>
            <w:hyperlink w:anchor="page43">
              <w:r>
                <w:rPr>
                  <w:rFonts w:ascii="Times New Roman" w:cs="Times New Roman" w:eastAsia="Times New Roman" w:hAnsi="Times New Roman"/>
                  <w:sz w:val="18"/>
                  <w:szCs w:val="18"/>
                  <w:color w:val="0000EE"/>
                  <w:w w:val="93"/>
                </w:rPr>
                <w:t>S-37</w:t>
              </w:r>
            </w:hyperlink>
          </w:p>
        </w:tc>
      </w:tr>
      <w:tr>
        <w:trPr>
          <w:trHeight w:val="451"/>
        </w:trPr>
        <w:tc>
          <w:tcPr>
            <w:tcW w:w="1140" w:type="dxa"/>
            <w:vAlign w:val="bottom"/>
          </w:tcPr>
          <w:p>
            <w:pPr>
              <w:spacing w:after="0"/>
              <w:rPr>
                <w:sz w:val="24"/>
                <w:szCs w:val="24"/>
                <w:color w:val="auto"/>
              </w:rPr>
            </w:pPr>
          </w:p>
        </w:tc>
        <w:tc>
          <w:tcPr>
            <w:tcW w:w="280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840" w:type="dxa"/>
            <w:vAlign w:val="bottom"/>
            <w:gridSpan w:val="5"/>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24"/>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About This Prospectus</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Where You Can Find More Information</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Forward-Looking Statements</w:t>
              </w:r>
            </w:hyperlink>
          </w:p>
        </w:tc>
        <w:tc>
          <w:tcPr>
            <w:tcW w:w="720" w:type="dxa"/>
            <w:vAlign w:val="bottom"/>
            <w:tcBorders>
              <w:top w:val="single" w:sz="8" w:color="0000EE"/>
            </w:tcBorders>
            <w:gridSpan w:val="6"/>
          </w:tcPr>
          <w:p>
            <w:pPr>
              <w:spacing w:after="0"/>
              <w:rPr>
                <w:sz w:val="17"/>
                <w:szCs w:val="17"/>
                <w:color w:val="auto"/>
              </w:rPr>
            </w:pPr>
          </w:p>
        </w:tc>
        <w:tc>
          <w:tcPr>
            <w:tcW w:w="58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20"/>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About Plains All American Pipeline, L.P.</w:t>
              </w:r>
            </w:hyperlink>
          </w:p>
        </w:tc>
        <w:tc>
          <w:tcPr>
            <w:tcW w:w="5700" w:type="dxa"/>
            <w:vAlign w:val="bottom"/>
            <w:gridSpan w:val="4"/>
          </w:tcPr>
          <w:p>
            <w:pPr>
              <w:spacing w:after="0"/>
              <w:rPr>
                <w:sz w:val="17"/>
                <w:szCs w:val="17"/>
                <w:color w:val="auto"/>
              </w:rPr>
            </w:pPr>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Risk Factors</w:t>
              </w:r>
            </w:hyperlink>
          </w:p>
        </w:tc>
        <w:tc>
          <w:tcPr>
            <w:tcW w:w="2040" w:type="dxa"/>
            <w:vAlign w:val="bottom"/>
            <w:gridSpan w:val="17"/>
          </w:tcPr>
          <w:p>
            <w:pPr>
              <w:spacing w:after="0"/>
              <w:rPr>
                <w:sz w:val="17"/>
                <w:szCs w:val="17"/>
                <w:color w:val="auto"/>
              </w:rPr>
            </w:pPr>
          </w:p>
        </w:tc>
        <w:tc>
          <w:tcPr>
            <w:tcW w:w="5700" w:type="dxa"/>
            <w:vAlign w:val="bottom"/>
            <w:gridSpan w:val="4"/>
          </w:tcPr>
          <w:p>
            <w:pPr>
              <w:spacing w:after="0"/>
              <w:rPr>
                <w:sz w:val="17"/>
                <w:szCs w:val="17"/>
                <w:color w:val="auto"/>
              </w:rPr>
            </w:pPr>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Use Of Proceeds</w:t>
              </w:r>
            </w:hyperlink>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580" w:type="dxa"/>
            <w:vAlign w:val="bottom"/>
            <w:gridSpan w:val="18"/>
          </w:tcPr>
          <w:p>
            <w:pPr>
              <w:spacing w:after="0" w:line="196" w:lineRule="exact"/>
              <w:rPr>
                <w:rFonts w:ascii="Times New Roman" w:cs="Times New Roman" w:eastAsia="Times New Roman" w:hAnsi="Times New Roman"/>
                <w:sz w:val="18"/>
                <w:szCs w:val="18"/>
                <w:color w:val="0000EE"/>
                <w:w w:val="96"/>
              </w:rPr>
            </w:pPr>
            <w:hyperlink w:anchor="page54">
              <w:r>
                <w:rPr>
                  <w:rFonts w:ascii="Times New Roman" w:cs="Times New Roman" w:eastAsia="Times New Roman" w:hAnsi="Times New Roman"/>
                  <w:sz w:val="18"/>
                  <w:szCs w:val="18"/>
                  <w:color w:val="0000EE"/>
                  <w:w w:val="96"/>
                </w:rPr>
                <w:t>Ratio Of Earnings To Fixed Charges</w:t>
              </w:r>
            </w:hyperlink>
          </w:p>
        </w:tc>
        <w:tc>
          <w:tcPr>
            <w:tcW w:w="6060" w:type="dxa"/>
            <w:vAlign w:val="bottom"/>
            <w:gridSpan w:val="6"/>
          </w:tcPr>
          <w:p>
            <w:pPr>
              <w:spacing w:after="0"/>
              <w:rPr>
                <w:sz w:val="17"/>
                <w:szCs w:val="17"/>
                <w:color w:val="auto"/>
              </w:rPr>
            </w:pPr>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6"/>
          </w:tcPr>
          <w:p>
            <w:pPr>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Description of Our Debt Securities</w:t>
              </w:r>
            </w:hyperlink>
          </w:p>
        </w:tc>
        <w:tc>
          <w:tcPr>
            <w:tcW w:w="120" w:type="dxa"/>
            <w:vAlign w:val="bottom"/>
            <w:gridSpan w:val="2"/>
          </w:tcPr>
          <w:p>
            <w:pPr>
              <w:spacing w:after="0"/>
              <w:rPr>
                <w:sz w:val="17"/>
                <w:szCs w:val="17"/>
                <w:color w:val="auto"/>
              </w:rPr>
            </w:pPr>
          </w:p>
        </w:tc>
        <w:tc>
          <w:tcPr>
            <w:tcW w:w="6060" w:type="dxa"/>
            <w:vAlign w:val="bottom"/>
            <w:gridSpan w:val="6"/>
          </w:tcPr>
          <w:p>
            <w:pPr>
              <w:spacing w:after="0"/>
              <w:rPr>
                <w:sz w:val="17"/>
                <w:szCs w:val="17"/>
                <w:color w:val="auto"/>
              </w:rPr>
            </w:pPr>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Description of Our Common Units</w:t>
              </w:r>
            </w:hyperlink>
          </w:p>
        </w:tc>
        <w:tc>
          <w:tcPr>
            <w:tcW w:w="6180" w:type="dxa"/>
            <w:vAlign w:val="bottom"/>
            <w:gridSpan w:val="8"/>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15</w:t>
              </w:r>
            </w:hyperlink>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Cash Distribution Policy</w:t>
              </w:r>
            </w:hyperlink>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Description of Our Partnership Agreement</w:t>
              </w:r>
            </w:hyperlink>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Material U.S. Federal Income Tax Consequences</w:t>
              </w:r>
            </w:hyperlink>
          </w:p>
        </w:tc>
        <w:tc>
          <w:tcPr>
            <w:tcW w:w="5180" w:type="dxa"/>
            <w:vAlign w:val="bottom"/>
            <w:gridSpan w:val="2"/>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24</w:t>
              </w:r>
            </w:hyperlink>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Plan of Distribution</w:t>
              </w:r>
            </w:hyperlink>
          </w:p>
        </w:tc>
        <w:tc>
          <w:tcPr>
            <w:tcW w:w="34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38</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Legal Matters</w:t>
              </w:r>
            </w:hyperlink>
          </w:p>
        </w:tc>
        <w:tc>
          <w:tcPr>
            <w:tcW w:w="7240" w:type="dxa"/>
            <w:vAlign w:val="bottom"/>
            <w:gridSpan w:val="15"/>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9">
              <w:r>
                <w:rPr>
                  <w:rFonts w:ascii="Times New Roman" w:cs="Times New Roman" w:eastAsia="Times New Roman" w:hAnsi="Times New Roman"/>
                  <w:sz w:val="18"/>
                  <w:szCs w:val="18"/>
                  <w:color w:val="0000EE"/>
                  <w:w w:val="88"/>
                </w:rPr>
                <w:t>40</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Experts</w:t>
              </w:r>
            </w:hyperlink>
          </w:p>
        </w:tc>
        <w:tc>
          <w:tcPr>
            <w:tcW w:w="7660" w:type="dxa"/>
            <w:vAlign w:val="bottom"/>
            <w:gridSpan w:val="19"/>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41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 THIS PROSPECTUS SUPPLEMENT AND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ACCOMPANYING BASE PROSPECTUS</w:t>
      </w:r>
    </w:p>
    <w:p>
      <w:pPr>
        <w:spacing w:after="0" w:line="213"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15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If the description of the offering varies between the prospectus supplement and the accompanying base prospectus, you should rely on the information in the prospectus supplement.</w:t>
      </w:r>
    </w:p>
    <w:p>
      <w:pPr>
        <w:spacing w:after="0" w:line="174" w:lineRule="exact"/>
        <w:rPr>
          <w:sz w:val="20"/>
          <w:szCs w:val="20"/>
          <w:color w:val="auto"/>
        </w:rPr>
      </w:pPr>
    </w:p>
    <w:p>
      <w:pPr>
        <w:ind w:firstLine="345"/>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in or incorporated by reference into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93"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86" w:lineRule="exact"/>
        <w:rPr>
          <w:sz w:val="20"/>
          <w:szCs w:val="20"/>
          <w:color w:val="auto"/>
        </w:rPr>
      </w:pPr>
    </w:p>
    <w:p>
      <w:pPr>
        <w:ind w:left="360"/>
        <w:spacing w:after="0"/>
        <w:tabs>
          <w:tab w:leader="none" w:pos="7180" w:val="left"/>
          <w:tab w:leader="none" w:pos="8820" w:val="left"/>
        </w:tabs>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November</w:t>
        <w:tab/>
        <w:t>, 2016, which is the</w:t>
      </w:r>
      <w:r>
        <w:rPr>
          <w:sz w:val="20"/>
          <w:szCs w:val="20"/>
          <w:color w:val="auto"/>
        </w:rPr>
        <w:tab/>
      </w:r>
      <w:r>
        <w:rPr>
          <w:rFonts w:ascii="Times New Roman" w:cs="Times New Roman" w:eastAsia="Times New Roman" w:hAnsi="Times New Roman"/>
          <w:sz w:val="16"/>
          <w:szCs w:val="16"/>
          <w:color w:val="auto"/>
        </w:rPr>
        <w:t>business day following the date of</w:t>
      </w:r>
    </w:p>
    <w:p>
      <w:pPr>
        <w:spacing w:after="0" w:line="2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pricing of the Notes (such settlement being referred to as "T+ "). Under Rule 15c6-1 of the Securities Exchange Act of 1934, as amended (the "Exchange Act"), trades in the secondary market generally are required to settle in three business days unless the parties to any such trade expressly agree otherwise.</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Accordingly, purchasers who wish to trade the 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60" w:firstLine="341"/>
        <w:spacing w:after="0" w:line="254" w:lineRule="auto"/>
        <w:rPr>
          <w:sz w:val="20"/>
          <w:szCs w:val="20"/>
          <w:color w:val="auto"/>
        </w:rPr>
      </w:pPr>
      <w:r>
        <w:rPr>
          <w:rFonts w:ascii="Times New Roman" w:cs="Times New Roman" w:eastAsia="Times New Roman" w:hAnsi="Times New Roman"/>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9" w:lineRule="exact"/>
        <w:rPr>
          <w:sz w:val="20"/>
          <w:szCs w:val="20"/>
          <w:color w:val="auto"/>
        </w:rPr>
      </w:pPr>
    </w:p>
    <w:p>
      <w:pPr>
        <w:ind w:left="1080" w:right="20" w:hanging="532"/>
        <w:spacing w:after="0" w:line="27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volume of crude oil, refined product and NGL shipped, processed, purchased, stored, fractionated and/or gathered at or through the use of our assets, whether due to declines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160"/>
        <w:spacing w:after="0" w:line="275" w:lineRule="auto"/>
        <w:rPr>
          <w:sz w:val="20"/>
          <w:szCs w:val="20"/>
          <w:color w:val="auto"/>
        </w:rPr>
      </w:pPr>
      <w:r>
        <w:rPr>
          <w:rFonts w:ascii="Times New Roman" w:cs="Times New Roman" w:eastAsia="Times New Roman" w:hAnsi="Times New Roman"/>
          <w:sz w:val="18"/>
          <w:szCs w:val="18"/>
          <w:color w:val="auto"/>
        </w:rPr>
        <w:t>in production from existing oil and gas reserves, failure to develop or slowdown in the development of additional oil and gas reserves, whether from reduced cash flow to fund drilling or the inability to access capital, or other factors;</w:t>
      </w:r>
    </w:p>
    <w:p>
      <w:pPr>
        <w:spacing w:after="0" w:line="187"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expansion projects;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52" w:lineRule="exact"/>
        <w:rPr>
          <w:rFonts w:ascii="Times New Roman" w:cs="Times New Roman" w:eastAsia="Times New Roman" w:hAnsi="Times New Roman"/>
          <w:sz w:val="18"/>
          <w:szCs w:val="18"/>
          <w:color w:val="auto"/>
        </w:rPr>
      </w:pPr>
    </w:p>
    <w:p>
      <w:pPr>
        <w:ind w:left="1080" w:right="280" w:hanging="532"/>
        <w:spacing w:after="0" w:line="339" w:lineRule="auto"/>
        <w:tabs>
          <w:tab w:leader="none" w:pos="10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including our ability to satisfy our contractual obligations to our customers;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87"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Other factors described or incorporated by reference herein, as well as factors that are unknown or unpredictable, could also have a material adverse effect on future results. Please read "Risk Factors" beginning on page S-5 of this prospectus supplement and in Item 1A. "Risk Factors" in our Annual Report on Form 10-K for the fiscal year ended December 31, 2015 (File No. 001-14569) and in any subsequent quarterly reports on Form 10-Q,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647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5" w:lineRule="exact"/>
        <w:rPr>
          <w:sz w:val="20"/>
          <w:szCs w:val="20"/>
          <w:color w:val="auto"/>
        </w:rPr>
      </w:pPr>
    </w:p>
    <w:p>
      <w:pPr>
        <w:ind w:left="240" w:right="14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beginning on page S-5 of this prospectus supplement and in our Annual Report on Form 10-K for the fiscal year ended December 31, 2015 and in any subsequent quarterly report on Form 10-Q, which are incorporated by reference herein, for information regarding risks you should consider before making a decision to purchase any Notes in this offering.</w:t>
      </w:r>
    </w:p>
    <w:p>
      <w:pPr>
        <w:spacing w:after="0" w:line="189" w:lineRule="exact"/>
        <w:rPr>
          <w:sz w:val="20"/>
          <w:szCs w:val="20"/>
          <w:color w:val="auto"/>
        </w:rPr>
      </w:pPr>
    </w:p>
    <w:p>
      <w:pPr>
        <w:ind w:left="240" w:right="60" w:firstLine="351"/>
        <w:spacing w:after="0" w:line="297" w:lineRule="auto"/>
        <w:rPr>
          <w:sz w:val="20"/>
          <w:szCs w:val="20"/>
          <w:color w:val="auto"/>
        </w:rPr>
      </w:pPr>
      <w:r>
        <w:rPr>
          <w:rFonts w:ascii="Times New Roman" w:cs="Times New Roman" w:eastAsia="Times New Roman" w:hAnsi="Times New Roman"/>
          <w:sz w:val="16"/>
          <w:szCs w:val="16"/>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7" w:lineRule="exact"/>
        <w:rPr>
          <w:sz w:val="20"/>
          <w:szCs w:val="20"/>
          <w:color w:val="auto"/>
        </w:rPr>
      </w:pPr>
    </w:p>
    <w:p>
      <w:pPr>
        <w:ind w:left="240" w:right="60" w:firstLine="348"/>
        <w:spacing w:after="0" w:line="262" w:lineRule="auto"/>
        <w:rPr>
          <w:sz w:val="20"/>
          <w:szCs w:val="20"/>
          <w:color w:val="auto"/>
        </w:rPr>
      </w:pPr>
      <w:r>
        <w:rPr>
          <w:rFonts w:ascii="Times New Roman" w:cs="Times New Roman" w:eastAsia="Times New Roman" w:hAnsi="Times New Roman"/>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w:t>
      </w:r>
    </w:p>
    <w:p>
      <w:pPr>
        <w:spacing w:after="0" w:line="186" w:lineRule="exact"/>
        <w:rPr>
          <w:sz w:val="20"/>
          <w:szCs w:val="20"/>
          <w:color w:val="auto"/>
        </w:rPr>
      </w:pPr>
    </w:p>
    <w:p>
      <w:pPr>
        <w:ind w:left="240" w:firstLine="348"/>
        <w:spacing w:after="0" w:line="262" w:lineRule="auto"/>
        <w:rPr>
          <w:sz w:val="20"/>
          <w:szCs w:val="20"/>
          <w:color w:val="auto"/>
        </w:rPr>
      </w:pPr>
      <w:r>
        <w:rPr>
          <w:rFonts w:ascii="Times New Roman" w:cs="Times New Roman" w:eastAsia="Times New Roman" w:hAnsi="Times New Roman"/>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Ongoing Acquisition and Investment Activities</w:t>
      </w:r>
    </w:p>
    <w:p>
      <w:pPr>
        <w:spacing w:after="0" w:line="227" w:lineRule="exact"/>
        <w:rPr>
          <w:sz w:val="20"/>
          <w:szCs w:val="20"/>
          <w:color w:val="auto"/>
        </w:rPr>
      </w:pPr>
    </w:p>
    <w:p>
      <w:pPr>
        <w:ind w:left="240" w:right="20" w:firstLine="351"/>
        <w:spacing w:after="0" w:line="290" w:lineRule="auto"/>
        <w:rPr>
          <w:sz w:val="20"/>
          <w:szCs w:val="20"/>
          <w:color w:val="auto"/>
        </w:rPr>
      </w:pPr>
      <w:r>
        <w:rPr>
          <w:rFonts w:ascii="Times New Roman" w:cs="Times New Roman" w:eastAsia="Times New Roman" w:hAnsi="Times New Roman"/>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in the past we have evaluated and pursued, and intend in the future to evaluate and pursue, the acquisition of or investment in other energy-related assets that have characteristics and provide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66" w:lineRule="exact"/>
        <w:rPr>
          <w:sz w:val="20"/>
          <w:szCs w:val="20"/>
          <w:color w:val="auto"/>
        </w:rPr>
      </w:pPr>
    </w:p>
    <w:p>
      <w:pPr>
        <w:ind w:left="240" w:firstLine="351"/>
        <w:spacing w:after="0" w:line="275" w:lineRule="auto"/>
        <w:rPr>
          <w:sz w:val="20"/>
          <w:szCs w:val="20"/>
          <w:color w:val="auto"/>
        </w:rPr>
      </w:pPr>
      <w:r>
        <w:rPr>
          <w:rFonts w:ascii="Times New Roman" w:cs="Times New Roman" w:eastAsia="Times New Roman" w:hAnsi="Times New Roman"/>
          <w:sz w:val="18"/>
          <w:szCs w:val="18"/>
          <w:color w:val="auto"/>
        </w:rPr>
        <w:t>From time to time, we may also sell assets that we regard as non-core or that we believe might be a better fit with the business and/or assets of a third-party buyer.</w:t>
      </w:r>
    </w:p>
    <w:p>
      <w:pPr>
        <w:spacing w:after="0" w:line="174" w:lineRule="exact"/>
        <w:rPr>
          <w:sz w:val="20"/>
          <w:szCs w:val="20"/>
          <w:color w:val="auto"/>
        </w:rPr>
      </w:pPr>
    </w:p>
    <w:p>
      <w:pPr>
        <w:ind w:left="240" w:right="440" w:firstLine="348"/>
        <w:spacing w:after="0" w:line="275"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However, in certain cases in order to protect our business interests or for other reasons, we may defer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969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96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0"/>
        <w:spacing w:after="0" w:line="256" w:lineRule="auto"/>
        <w:rPr>
          <w:sz w:val="20"/>
          <w:szCs w:val="20"/>
          <w:color w:val="auto"/>
        </w:rPr>
      </w:pPr>
      <w:r>
        <w:rPr>
          <w:rFonts w:ascii="Times New Roman" w:cs="Times New Roman" w:eastAsia="Times New Roman" w:hAnsi="Times New Roman"/>
          <w:sz w:val="18"/>
          <w:szCs w:val="18"/>
          <w:color w:val="auto"/>
        </w:rPr>
        <w:t>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divestiture or investment efforts will be successful. Although we expect the acquisitions and investments we make to be accretive in the long term, we can provide no assurance that our expectations will ultimately be realized.</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Simplification Transactions</w:t>
      </w:r>
    </w:p>
    <w:p>
      <w:pPr>
        <w:spacing w:after="0" w:line="229" w:lineRule="exact"/>
        <w:rPr>
          <w:sz w:val="20"/>
          <w:szCs w:val="20"/>
          <w:color w:val="auto"/>
        </w:rPr>
      </w:pPr>
    </w:p>
    <w:p>
      <w:pPr>
        <w:ind w:left="240" w:right="40" w:firstLine="351"/>
        <w:spacing w:after="0" w:line="253" w:lineRule="auto"/>
        <w:rPr>
          <w:sz w:val="20"/>
          <w:szCs w:val="20"/>
          <w:color w:val="auto"/>
        </w:rPr>
      </w:pPr>
      <w:r>
        <w:rPr>
          <w:rFonts w:ascii="Times New Roman" w:cs="Times New Roman" w:eastAsia="Times New Roman" w:hAnsi="Times New Roman"/>
          <w:sz w:val="18"/>
          <w:szCs w:val="18"/>
          <w:color w:val="auto"/>
        </w:rPr>
        <w:t>On July 11, 2016, we entered into a Simplification Agreement (the "Simplification Agreement") with Plains GP Holdings, L.P. ("PAGP"), Plains AAP, L.P. ("Plains AAP"), PAA GP LLC ("PAA GP"), Plains All American GP LLC ("GP LLC") and PAA GP Holdings LLC. Pursuant to the Simplification Agreement, in exchange for the issuance by us to Plains AAP of approximately 245.5 million common units and our assumption of Plains AAP's outstanding debt of approximately $642 million, subject to certain adjustments, Plains AAP will contribute our incentive distribution rights to us for cancellation thereof and PAA GP's 2% economic general partner interest in us will be converted into a non-economic general partner interest. Following the closing of the transactions contemplated by the Simplification Agreement (the "Simplification"), which is expected to occur on November 15, 2016, both PAA and PAGP will continue to be publicly traded. We will be required to repay the outstanding indebtedness of Plains AAP assumed by us in connection with the Simplification within two business days after the day on which the transactions contemplated by the Simplification close, which repayment date is expected to be November 17, 2016.</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Principal Executive Offices</w:t>
      </w:r>
    </w:p>
    <w:p>
      <w:pPr>
        <w:spacing w:after="0" w:line="227" w:lineRule="exact"/>
        <w:rPr>
          <w:sz w:val="20"/>
          <w:szCs w:val="20"/>
          <w:color w:val="auto"/>
        </w:rPr>
      </w:pPr>
    </w:p>
    <w:p>
      <w:pPr>
        <w:jc w:val="both"/>
        <w:ind w:left="240" w:right="340" w:firstLine="351"/>
        <w:spacing w:after="0" w:line="262" w:lineRule="auto"/>
        <w:rPr>
          <w:sz w:val="20"/>
          <w:szCs w:val="20"/>
          <w:color w:val="auto"/>
        </w:rPr>
      </w:pPr>
      <w:r>
        <w:rPr>
          <w:rFonts w:ascii="Times New Roman" w:cs="Times New Roman" w:eastAsia="Times New Roman" w:hAnsi="Times New Roman"/>
          <w:sz w:val="18"/>
          <w:szCs w:val="18"/>
          <w:color w:val="auto"/>
        </w:rPr>
        <w:t xml:space="preserve">Our executive offices are located at 333 Clay Street, Suite 1600, Houston, Texas 77002. Our telephone number is (713) 646-4100. We maintain a website at </w:t>
      </w:r>
      <w:r>
        <w:rPr>
          <w:rFonts w:ascii="Times New Roman" w:cs="Times New Roman" w:eastAsia="Times New Roman" w:hAnsi="Times New Roman"/>
          <w:sz w:val="18"/>
          <w:szCs w:val="18"/>
          <w:i w:val="1"/>
          <w:iCs w:val="1"/>
          <w:color w:val="auto"/>
        </w:rPr>
        <w:t>www.plainsallamerican.com</w:t>
      </w:r>
      <w:r>
        <w:rPr>
          <w:rFonts w:ascii="Times New Roman" w:cs="Times New Roman" w:eastAsia="Times New Roman" w:hAnsi="Times New Roman"/>
          <w:sz w:val="18"/>
          <w:szCs w:val="18"/>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7" w:lineRule="exact"/>
        <w:rPr>
          <w:sz w:val="20"/>
          <w:szCs w:val="20"/>
          <w:color w:val="auto"/>
        </w:rPr>
      </w:pPr>
    </w:p>
    <w:p>
      <w:pPr>
        <w:ind w:left="240" w:firstLine="351"/>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2015 and our Quarterly Reports on Form 10-Q for the quarterly periods ended March 31, 2016, June 30, 2016 and September 30, 2016,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7576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57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240" w:right="500" w:firstLine="348"/>
        <w:spacing w:after="0" w:line="262" w:lineRule="auto"/>
        <w:rPr>
          <w:sz w:val="20"/>
          <w:szCs w:val="20"/>
          <w:color w:val="auto"/>
        </w:rPr>
      </w:pPr>
      <w:r>
        <w:rPr>
          <w:rFonts w:ascii="Times New Roman" w:cs="Times New Roman" w:eastAsia="Times New Roman" w:hAnsi="Times New Roman"/>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86" w:lineRule="exact"/>
        <w:rPr>
          <w:sz w:val="20"/>
          <w:szCs w:val="20"/>
          <w:color w:val="auto"/>
        </w:rPr>
      </w:pPr>
    </w:p>
    <w:p>
      <w:pPr>
        <w:ind w:left="1340"/>
        <w:spacing w:after="0"/>
        <w:tabs>
          <w:tab w:leader="none" w:pos="4480" w:val="left"/>
        </w:tabs>
        <w:rPr>
          <w:sz w:val="20"/>
          <w:szCs w:val="20"/>
          <w:color w:val="auto"/>
        </w:rPr>
      </w:pPr>
      <w:r>
        <w:rPr>
          <w:rFonts w:ascii="Times New Roman" w:cs="Times New Roman" w:eastAsia="Times New Roman" w:hAnsi="Times New Roman"/>
          <w:sz w:val="18"/>
          <w:szCs w:val="18"/>
          <w:color w:val="auto"/>
        </w:rPr>
        <w:t>Issuers</w:t>
      </w:r>
      <w:r>
        <w:rPr>
          <w:sz w:val="20"/>
          <w:szCs w:val="20"/>
          <w:color w:val="auto"/>
        </w:rPr>
        <w:tab/>
      </w:r>
      <w:r>
        <w:rPr>
          <w:rFonts w:ascii="Times New Roman" w:cs="Times New Roman" w:eastAsia="Times New Roman" w:hAnsi="Times New Roman"/>
          <w:sz w:val="18"/>
          <w:szCs w:val="18"/>
          <w:color w:val="auto"/>
        </w:rPr>
        <w:t>Plains All American Pipeline, L.P. and PAA Finance Corp.</w:t>
      </w: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PAA Finance Corp., a Delaware corporation, is a wholly owned subsidiary of</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Plains All American Pipeline, L.P. that has been organized for the purpose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co-issuing our existing notes, the Notes offered hereby and the notes issued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any future offerings. PAA Finance Corp. does not have operations of any kind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and will not have any revenue other than as may be incidental to its activities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co-issuer of our debt securities.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Future guarantees</w:t>
            </w:r>
          </w:p>
        </w:tc>
        <w:tc>
          <w:tcPr>
            <w:tcW w:w="7720" w:type="dxa"/>
            <w:vAlign w:val="bottom"/>
            <w:gridSpan w:val="7"/>
          </w:tcPr>
          <w:p>
            <w:pPr>
              <w:ind w:left="800"/>
              <w:spacing w:after="0"/>
              <w:rPr>
                <w:sz w:val="20"/>
                <w:szCs w:val="20"/>
                <w:color w:val="auto"/>
              </w:rPr>
            </w:pPr>
            <w:r>
              <w:rPr>
                <w:rFonts w:ascii="Times New Roman" w:cs="Times New Roman" w:eastAsia="Times New Roman" w:hAnsi="Times New Roman"/>
                <w:sz w:val="18"/>
                <w:szCs w:val="18"/>
                <w:color w:val="auto"/>
              </w:rPr>
              <w:t>Initially, the Notes will not be guaranteed by any subsidiaries of the issuers. In</w:t>
            </w:r>
          </w:p>
        </w:tc>
      </w:tr>
      <w:tr>
        <w:trPr>
          <w:trHeight w:val="216"/>
        </w:trPr>
        <w:tc>
          <w:tcPr>
            <w:tcW w:w="3700" w:type="dxa"/>
            <w:vAlign w:val="bottom"/>
          </w:tcPr>
          <w:p>
            <w:pPr>
              <w:spacing w:after="0"/>
              <w:rPr>
                <w:sz w:val="18"/>
                <w:szCs w:val="18"/>
                <w:color w:val="auto"/>
              </w:rPr>
            </w:pPr>
          </w:p>
        </w:tc>
        <w:tc>
          <w:tcPr>
            <w:tcW w:w="7720" w:type="dxa"/>
            <w:vAlign w:val="bottom"/>
            <w:gridSpan w:val="7"/>
          </w:tcPr>
          <w:p>
            <w:pPr>
              <w:ind w:left="800"/>
              <w:spacing w:after="0"/>
              <w:rPr>
                <w:sz w:val="20"/>
                <w:szCs w:val="20"/>
                <w:color w:val="auto"/>
              </w:rPr>
            </w:pPr>
            <w:r>
              <w:rPr>
                <w:rFonts w:ascii="Times New Roman" w:cs="Times New Roman" w:eastAsia="Times New Roman" w:hAnsi="Times New Roman"/>
                <w:sz w:val="18"/>
                <w:szCs w:val="18"/>
                <w:color w:val="auto"/>
              </w:rPr>
              <w:t>the future, however, if any subsidiaries guarantee any of the issuers' other debt,</w:t>
            </w:r>
          </w:p>
        </w:tc>
      </w:tr>
      <w:tr>
        <w:trPr>
          <w:trHeight w:val="216"/>
        </w:trPr>
        <w:tc>
          <w:tcPr>
            <w:tcW w:w="3700" w:type="dxa"/>
            <w:vAlign w:val="bottom"/>
          </w:tcPr>
          <w:p>
            <w:pPr>
              <w:spacing w:after="0"/>
              <w:rPr>
                <w:sz w:val="18"/>
                <w:szCs w:val="18"/>
                <w:color w:val="auto"/>
              </w:rPr>
            </w:pPr>
          </w:p>
        </w:tc>
        <w:tc>
          <w:tcPr>
            <w:tcW w:w="7720" w:type="dxa"/>
            <w:vAlign w:val="bottom"/>
            <w:gridSpan w:val="7"/>
          </w:tcPr>
          <w:p>
            <w:pPr>
              <w:ind w:left="800"/>
              <w:spacing w:after="0"/>
              <w:rPr>
                <w:sz w:val="20"/>
                <w:szCs w:val="20"/>
                <w:color w:val="auto"/>
              </w:rPr>
            </w:pPr>
            <w:r>
              <w:rPr>
                <w:rFonts w:ascii="Times New Roman" w:cs="Times New Roman" w:eastAsia="Times New Roman" w:hAnsi="Times New Roman"/>
                <w:sz w:val="18"/>
                <w:szCs w:val="18"/>
                <w:color w:val="auto"/>
              </w:rPr>
              <w:t>then those subsidiaries will, jointly and severally, fully and unconditionally</w:t>
            </w:r>
          </w:p>
        </w:tc>
      </w:tr>
      <w:tr>
        <w:trPr>
          <w:trHeight w:val="216"/>
        </w:trPr>
        <w:tc>
          <w:tcPr>
            <w:tcW w:w="3700" w:type="dxa"/>
            <w:vAlign w:val="bottom"/>
          </w:tcPr>
          <w:p>
            <w:pPr>
              <w:spacing w:after="0"/>
              <w:rPr>
                <w:sz w:val="18"/>
                <w:szCs w:val="18"/>
                <w:color w:val="auto"/>
              </w:rPr>
            </w:pPr>
          </w:p>
        </w:tc>
        <w:tc>
          <w:tcPr>
            <w:tcW w:w="602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rPr>
              <w:t>guarantee the issuers' payment obligations under the Notes. Please read</w:t>
            </w:r>
          </w:p>
        </w:tc>
        <w:tc>
          <w:tcPr>
            <w:tcW w:w="1700" w:type="dxa"/>
            <w:vAlign w:val="bottom"/>
          </w:tcPr>
          <w:p>
            <w:pPr>
              <w:spacing w:after="0"/>
              <w:rPr>
                <w:sz w:val="18"/>
                <w:szCs w:val="18"/>
                <w:color w:val="auto"/>
              </w:rPr>
            </w:pPr>
          </w:p>
        </w:tc>
      </w:tr>
      <w:tr>
        <w:trPr>
          <w:trHeight w:val="228"/>
        </w:trPr>
        <w:tc>
          <w:tcPr>
            <w:tcW w:w="3700" w:type="dxa"/>
            <w:vAlign w:val="bottom"/>
          </w:tcPr>
          <w:p>
            <w:pPr>
              <w:spacing w:after="0"/>
              <w:rPr>
                <w:sz w:val="19"/>
                <w:szCs w:val="19"/>
                <w:color w:val="auto"/>
              </w:rPr>
            </w:pPr>
          </w:p>
        </w:tc>
        <w:tc>
          <w:tcPr>
            <w:tcW w:w="468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"Description of Notes—Possible Future Guarantees."</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59"/>
        </w:trPr>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Notes offered</w:t>
            </w: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aggregate principal amount of</w:t>
            </w:r>
          </w:p>
        </w:tc>
        <w:tc>
          <w:tcPr>
            <w:tcW w:w="24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Senior Notes due 20</w:t>
            </w:r>
          </w:p>
        </w:tc>
        <w:tc>
          <w:tcPr>
            <w:tcW w:w="1700" w:type="dxa"/>
            <w:vAlign w:val="bottom"/>
          </w:tcPr>
          <w:p>
            <w:pPr>
              <w:jc w:val="right"/>
              <w:ind w:right="1605"/>
              <w:spacing w:after="0"/>
              <w:rPr>
                <w:sz w:val="20"/>
                <w:szCs w:val="20"/>
                <w:color w:val="auto"/>
              </w:rPr>
            </w:pPr>
            <w:r>
              <w:rPr>
                <w:rFonts w:ascii="Times New Roman" w:cs="Times New Roman" w:eastAsia="Times New Roman" w:hAnsi="Times New Roman"/>
                <w:sz w:val="11"/>
                <w:szCs w:val="11"/>
                <w:color w:val="auto"/>
                <w:w w:val="70"/>
              </w:rPr>
              <w:t>.</w:t>
            </w:r>
          </w:p>
        </w:tc>
      </w:tr>
      <w:tr>
        <w:trPr>
          <w:trHeight w:val="459"/>
        </w:trPr>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Maturity date</w:t>
            </w:r>
          </w:p>
        </w:tc>
        <w:tc>
          <w:tcPr>
            <w:tcW w:w="120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 20</w:t>
            </w:r>
          </w:p>
        </w:tc>
        <w:tc>
          <w:tcPr>
            <w:tcW w:w="2000" w:type="dxa"/>
            <w:vAlign w:val="bottom"/>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Interest rate</w:t>
            </w:r>
          </w:p>
        </w:tc>
        <w:tc>
          <w:tcPr>
            <w:tcW w:w="120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7"/>
        </w:trPr>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Interest payment dates</w:t>
            </w:r>
          </w:p>
        </w:tc>
        <w:tc>
          <w:tcPr>
            <w:tcW w:w="53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We will pay interest on the Notes semi-annually in arrears on</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1700" w:type="dxa"/>
            <w:vAlign w:val="bottom"/>
          </w:tcPr>
          <w:p>
            <w:pPr>
              <w:spacing w:after="0"/>
              <w:rPr>
                <w:sz w:val="24"/>
                <w:szCs w:val="24"/>
                <w:color w:val="auto"/>
              </w:rPr>
            </w:pPr>
          </w:p>
        </w:tc>
      </w:tr>
      <w:tr>
        <w:trPr>
          <w:trHeight w:val="228"/>
        </w:trPr>
        <w:tc>
          <w:tcPr>
            <w:tcW w:w="3700" w:type="dxa"/>
            <w:vAlign w:val="bottom"/>
          </w:tcPr>
          <w:p>
            <w:pPr>
              <w:spacing w:after="0"/>
              <w:rPr>
                <w:sz w:val="19"/>
                <w:szCs w:val="19"/>
                <w:color w:val="auto"/>
              </w:rPr>
            </w:pP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w:t>
            </w:r>
          </w:p>
        </w:tc>
        <w:tc>
          <w:tcPr>
            <w:tcW w:w="2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each year, beginning on</w:t>
            </w: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 2017.</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7"/>
        </w:trPr>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Optional redemption</w:t>
            </w:r>
          </w:p>
        </w:tc>
        <w:tc>
          <w:tcPr>
            <w:tcW w:w="7720" w:type="dxa"/>
            <w:vAlign w:val="bottom"/>
            <w:gridSpan w:val="7"/>
          </w:tcPr>
          <w:p>
            <w:pPr>
              <w:ind w:left="800"/>
              <w:spacing w:after="0"/>
              <w:rPr>
                <w:sz w:val="20"/>
                <w:szCs w:val="20"/>
                <w:color w:val="auto"/>
              </w:rPr>
            </w:pPr>
            <w:r>
              <w:rPr>
                <w:rFonts w:ascii="Times New Roman" w:cs="Times New Roman" w:eastAsia="Times New Roman" w:hAnsi="Times New Roman"/>
                <w:sz w:val="18"/>
                <w:szCs w:val="18"/>
                <w:color w:val="auto"/>
              </w:rPr>
              <w:t>We may redeem the Notes, in whole or in part, at any time and from time to</w:t>
            </w:r>
          </w:p>
        </w:tc>
      </w:tr>
      <w:tr>
        <w:trPr>
          <w:trHeight w:val="216"/>
        </w:trPr>
        <w:tc>
          <w:tcPr>
            <w:tcW w:w="3700" w:type="dxa"/>
            <w:vAlign w:val="bottom"/>
          </w:tcPr>
          <w:p>
            <w:pPr>
              <w:spacing w:after="0"/>
              <w:rPr>
                <w:sz w:val="18"/>
                <w:szCs w:val="18"/>
                <w:color w:val="auto"/>
              </w:rPr>
            </w:pPr>
          </w:p>
        </w:tc>
        <w:tc>
          <w:tcPr>
            <w:tcW w:w="468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time prior to maturity. If we redeem the Notes before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2340" w:type="dxa"/>
            <w:vAlign w:val="bottom"/>
            <w:gridSpan w:val="2"/>
          </w:tcPr>
          <w:p>
            <w:pPr>
              <w:jc w:val="right"/>
              <w:ind w:right="1585"/>
              <w:spacing w:after="0"/>
              <w:rPr>
                <w:sz w:val="20"/>
                <w:szCs w:val="20"/>
                <w:color w:val="auto"/>
              </w:rPr>
            </w:pPr>
            <w:r>
              <w:rPr>
                <w:rFonts w:ascii="Times New Roman" w:cs="Times New Roman" w:eastAsia="Times New Roman" w:hAnsi="Times New Roman"/>
                <w:sz w:val="18"/>
                <w:szCs w:val="18"/>
                <w:color w:val="auto"/>
              </w:rPr>
              <w:t>(three</w:t>
            </w:r>
          </w:p>
        </w:tc>
      </w:tr>
      <w:tr>
        <w:trPr>
          <w:trHeight w:val="216"/>
        </w:trPr>
        <w:tc>
          <w:tcPr>
            <w:tcW w:w="3700" w:type="dxa"/>
            <w:vAlign w:val="bottom"/>
          </w:tcPr>
          <w:p>
            <w:pPr>
              <w:spacing w:after="0"/>
              <w:rPr>
                <w:sz w:val="18"/>
                <w:szCs w:val="18"/>
                <w:color w:val="auto"/>
              </w:rPr>
            </w:pPr>
          </w:p>
        </w:tc>
        <w:tc>
          <w:tcPr>
            <w:tcW w:w="602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w w:val="97"/>
              </w:rPr>
              <w:t>months prior to their maturity date), the Notes may be redeemed at a price</w:t>
            </w:r>
          </w:p>
        </w:tc>
        <w:tc>
          <w:tcPr>
            <w:tcW w:w="17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602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w w:val="97"/>
              </w:rPr>
              <w:t>equal to the greater of (i) 100% of the principal amount of the Notes to be</w:t>
            </w:r>
          </w:p>
        </w:tc>
        <w:tc>
          <w:tcPr>
            <w:tcW w:w="17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602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w w:val="98"/>
              </w:rPr>
              <w:t>redeemed or (ii) the sum of the present values of the remaining scheduled</w:t>
            </w:r>
          </w:p>
        </w:tc>
        <w:tc>
          <w:tcPr>
            <w:tcW w:w="17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7720" w:type="dxa"/>
            <w:vAlign w:val="bottom"/>
            <w:gridSpan w:val="7"/>
          </w:tcPr>
          <w:p>
            <w:pPr>
              <w:ind w:left="800"/>
              <w:spacing w:after="0"/>
              <w:rPr>
                <w:sz w:val="20"/>
                <w:szCs w:val="20"/>
                <w:color w:val="auto"/>
              </w:rPr>
            </w:pPr>
            <w:r>
              <w:rPr>
                <w:rFonts w:ascii="Times New Roman" w:cs="Times New Roman" w:eastAsia="Times New Roman" w:hAnsi="Times New Roman"/>
                <w:sz w:val="18"/>
                <w:szCs w:val="18"/>
                <w:color w:val="auto"/>
              </w:rPr>
              <w:t>payments of principal of and interest on the Notes to be redeemed that would</w:t>
            </w:r>
          </w:p>
        </w:tc>
      </w:tr>
      <w:tr>
        <w:trPr>
          <w:trHeight w:val="216"/>
        </w:trPr>
        <w:tc>
          <w:tcPr>
            <w:tcW w:w="3700" w:type="dxa"/>
            <w:vAlign w:val="bottom"/>
          </w:tcPr>
          <w:p>
            <w:pPr>
              <w:spacing w:after="0"/>
              <w:rPr>
                <w:sz w:val="18"/>
                <w:szCs w:val="18"/>
                <w:color w:val="auto"/>
              </w:rPr>
            </w:pPr>
          </w:p>
        </w:tc>
        <w:tc>
          <w:tcPr>
            <w:tcW w:w="7720" w:type="dxa"/>
            <w:vAlign w:val="bottom"/>
            <w:gridSpan w:val="7"/>
          </w:tcPr>
          <w:p>
            <w:pPr>
              <w:ind w:left="800"/>
              <w:spacing w:after="0"/>
              <w:rPr>
                <w:sz w:val="20"/>
                <w:szCs w:val="20"/>
                <w:color w:val="auto"/>
              </w:rPr>
            </w:pPr>
            <w:r>
              <w:rPr>
                <w:rFonts w:ascii="Times New Roman" w:cs="Times New Roman" w:eastAsia="Times New Roman" w:hAnsi="Times New Roman"/>
                <w:sz w:val="18"/>
                <w:szCs w:val="18"/>
                <w:color w:val="auto"/>
              </w:rPr>
              <w:t>be due if the Notes matured three months prior to the maturity date (which we</w:t>
            </w:r>
          </w:p>
        </w:tc>
      </w:tr>
      <w:tr>
        <w:trPr>
          <w:trHeight w:val="216"/>
        </w:trPr>
        <w:tc>
          <w:tcPr>
            <w:tcW w:w="3700" w:type="dxa"/>
            <w:vAlign w:val="bottom"/>
          </w:tcPr>
          <w:p>
            <w:pPr>
              <w:spacing w:after="0"/>
              <w:rPr>
                <w:sz w:val="18"/>
                <w:szCs w:val="18"/>
                <w:color w:val="auto"/>
              </w:rPr>
            </w:pPr>
          </w:p>
        </w:tc>
        <w:tc>
          <w:tcPr>
            <w:tcW w:w="602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rPr>
              <w:t>refer to as the "Par Call Date"), discounted to the redemption date on a</w:t>
            </w:r>
          </w:p>
        </w:tc>
        <w:tc>
          <w:tcPr>
            <w:tcW w:w="17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602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rPr>
              <w:t>semiannual basis at the Adjusted Treasury Rate (as defined herein)</w:t>
            </w:r>
          </w:p>
        </w:tc>
        <w:tc>
          <w:tcPr>
            <w:tcW w:w="17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plus</w:t>
            </w:r>
          </w:p>
        </w:tc>
        <w:tc>
          <w:tcPr>
            <w:tcW w:w="400" w:type="dxa"/>
            <w:vAlign w:val="bottom"/>
          </w:tcPr>
          <w:p>
            <w:pPr>
              <w:spacing w:after="0"/>
              <w:rPr>
                <w:sz w:val="18"/>
                <w:szCs w:val="18"/>
                <w:color w:val="auto"/>
              </w:rPr>
            </w:pPr>
          </w:p>
        </w:tc>
        <w:tc>
          <w:tcPr>
            <w:tcW w:w="6120" w:type="dxa"/>
            <w:vAlign w:val="bottom"/>
            <w:gridSpan w:val="5"/>
          </w:tcPr>
          <w:p>
            <w:pPr>
              <w:jc w:val="center"/>
              <w:ind w:right="1445"/>
              <w:spacing w:after="0"/>
              <w:rPr>
                <w:sz w:val="20"/>
                <w:szCs w:val="20"/>
                <w:color w:val="auto"/>
              </w:rPr>
            </w:pPr>
            <w:r>
              <w:rPr>
                <w:rFonts w:ascii="Times New Roman" w:cs="Times New Roman" w:eastAsia="Times New Roman" w:hAnsi="Times New Roman"/>
                <w:sz w:val="18"/>
                <w:szCs w:val="18"/>
                <w:color w:val="auto"/>
                <w:w w:val="97"/>
              </w:rPr>
              <w:t>basis points, together with accrued and unpaid interest to the date</w:t>
            </w:r>
          </w:p>
        </w:tc>
      </w:tr>
      <w:tr>
        <w:trPr>
          <w:trHeight w:val="216"/>
        </w:trPr>
        <w:tc>
          <w:tcPr>
            <w:tcW w:w="3700" w:type="dxa"/>
            <w:vAlign w:val="bottom"/>
          </w:tcPr>
          <w:p>
            <w:pPr>
              <w:spacing w:after="0"/>
              <w:rPr>
                <w:sz w:val="18"/>
                <w:szCs w:val="18"/>
                <w:color w:val="auto"/>
              </w:rPr>
            </w:pPr>
          </w:p>
        </w:tc>
        <w:tc>
          <w:tcPr>
            <w:tcW w:w="468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of redemption. If we redeem the Notes on or after</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 20</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(three</w:t>
            </w:r>
          </w:p>
        </w:tc>
        <w:tc>
          <w:tcPr>
            <w:tcW w:w="17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7720" w:type="dxa"/>
            <w:vAlign w:val="bottom"/>
            <w:gridSpan w:val="7"/>
          </w:tcPr>
          <w:p>
            <w:pPr>
              <w:ind w:left="800"/>
              <w:spacing w:after="0"/>
              <w:rPr>
                <w:sz w:val="20"/>
                <w:szCs w:val="20"/>
                <w:color w:val="auto"/>
              </w:rPr>
            </w:pPr>
            <w:r>
              <w:rPr>
                <w:rFonts w:ascii="Times New Roman" w:cs="Times New Roman" w:eastAsia="Times New Roman" w:hAnsi="Times New Roman"/>
                <w:sz w:val="18"/>
                <w:szCs w:val="18"/>
                <w:color w:val="auto"/>
              </w:rPr>
              <w:t>months prior to their maturity date), the redemption price will equal 100% of</w:t>
            </w:r>
          </w:p>
        </w:tc>
      </w:tr>
      <w:tr>
        <w:trPr>
          <w:trHeight w:val="216"/>
        </w:trPr>
        <w:tc>
          <w:tcPr>
            <w:tcW w:w="3700" w:type="dxa"/>
            <w:vAlign w:val="bottom"/>
          </w:tcPr>
          <w:p>
            <w:pPr>
              <w:spacing w:after="0"/>
              <w:rPr>
                <w:sz w:val="18"/>
                <w:szCs w:val="18"/>
                <w:color w:val="auto"/>
              </w:rPr>
            </w:pPr>
          </w:p>
        </w:tc>
        <w:tc>
          <w:tcPr>
            <w:tcW w:w="602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w w:val="97"/>
              </w:rPr>
              <w:t>the principal amount of the Notes to be redeemed plus accrued and unpaid</w:t>
            </w:r>
          </w:p>
        </w:tc>
        <w:tc>
          <w:tcPr>
            <w:tcW w:w="17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602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rPr>
              <w:t>interest to the redemption date. See "Description of Notes—Optional</w:t>
            </w:r>
          </w:p>
        </w:tc>
        <w:tc>
          <w:tcPr>
            <w:tcW w:w="1700" w:type="dxa"/>
            <w:vAlign w:val="bottom"/>
          </w:tcPr>
          <w:p>
            <w:pPr>
              <w:spacing w:after="0"/>
              <w:rPr>
                <w:sz w:val="18"/>
                <w:szCs w:val="18"/>
                <w:color w:val="auto"/>
              </w:rPr>
            </w:pPr>
          </w:p>
        </w:tc>
      </w:tr>
      <w:tr>
        <w:trPr>
          <w:trHeight w:val="228"/>
        </w:trPr>
        <w:tc>
          <w:tcPr>
            <w:tcW w:w="3700" w:type="dxa"/>
            <w:vAlign w:val="bottom"/>
          </w:tcPr>
          <w:p>
            <w:pPr>
              <w:spacing w:after="0"/>
              <w:rPr>
                <w:sz w:val="19"/>
                <w:szCs w:val="19"/>
                <w:color w:val="auto"/>
              </w:rPr>
            </w:pPr>
          </w:p>
        </w:tc>
        <w:tc>
          <w:tcPr>
            <w:tcW w:w="36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Redemption."</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7"/>
        </w:trPr>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Ranking</w:t>
            </w:r>
          </w:p>
        </w:tc>
        <w:tc>
          <w:tcPr>
            <w:tcW w:w="7720" w:type="dxa"/>
            <w:vAlign w:val="bottom"/>
            <w:gridSpan w:val="7"/>
          </w:tcPr>
          <w:p>
            <w:pPr>
              <w:ind w:left="800"/>
              <w:spacing w:after="0"/>
              <w:rPr>
                <w:sz w:val="20"/>
                <w:szCs w:val="20"/>
                <w:color w:val="auto"/>
              </w:rPr>
            </w:pPr>
            <w:r>
              <w:rPr>
                <w:rFonts w:ascii="Times New Roman" w:cs="Times New Roman" w:eastAsia="Times New Roman" w:hAnsi="Times New Roman"/>
                <w:sz w:val="18"/>
                <w:szCs w:val="18"/>
                <w:color w:val="auto"/>
              </w:rPr>
              <w:t>The Notes will be general senior unsecured obligations of the issuers and will</w:t>
            </w:r>
          </w:p>
        </w:tc>
      </w:tr>
      <w:tr>
        <w:trPr>
          <w:trHeight w:val="216"/>
        </w:trPr>
        <w:tc>
          <w:tcPr>
            <w:tcW w:w="3700" w:type="dxa"/>
            <w:vAlign w:val="bottom"/>
          </w:tcPr>
          <w:p>
            <w:pPr>
              <w:spacing w:after="0"/>
              <w:rPr>
                <w:sz w:val="18"/>
                <w:szCs w:val="18"/>
                <w:color w:val="auto"/>
              </w:rPr>
            </w:pPr>
          </w:p>
        </w:tc>
        <w:tc>
          <w:tcPr>
            <w:tcW w:w="602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rPr>
              <w:t>rank equally in right of payment with the existing and future senior</w:t>
            </w:r>
          </w:p>
        </w:tc>
        <w:tc>
          <w:tcPr>
            <w:tcW w:w="1700" w:type="dxa"/>
            <w:vAlign w:val="bottom"/>
          </w:tcPr>
          <w:p>
            <w:pPr>
              <w:spacing w:after="0"/>
              <w:rPr>
                <w:sz w:val="18"/>
                <w:szCs w:val="18"/>
                <w:color w:val="auto"/>
              </w:rPr>
            </w:pPr>
          </w:p>
        </w:tc>
      </w:tr>
      <w:tr>
        <w:trPr>
          <w:trHeight w:val="228"/>
        </w:trPr>
        <w:tc>
          <w:tcPr>
            <w:tcW w:w="3700" w:type="dxa"/>
            <w:vAlign w:val="bottom"/>
          </w:tcPr>
          <w:p>
            <w:pPr>
              <w:spacing w:after="0"/>
              <w:rPr>
                <w:sz w:val="19"/>
                <w:szCs w:val="19"/>
                <w:color w:val="auto"/>
              </w:rPr>
            </w:pPr>
          </w:p>
        </w:tc>
        <w:tc>
          <w:tcPr>
            <w:tcW w:w="36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indebtedness of the issuers.</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4"/>
        </w:trPr>
        <w:tc>
          <w:tcPr>
            <w:tcW w:w="3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427"/>
        </w:trPr>
        <w:tc>
          <w:tcPr>
            <w:tcW w:w="3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jc w:val="right"/>
              <w:ind w:right="1372"/>
              <w:spacing w:after="0"/>
              <w:rPr>
                <w:sz w:val="20"/>
                <w:szCs w:val="20"/>
                <w:color w:val="auto"/>
              </w:rPr>
            </w:pPr>
            <w:r>
              <w:rPr>
                <w:rFonts w:ascii="Times New Roman" w:cs="Times New Roman" w:eastAsia="Times New Roman" w:hAnsi="Times New Roman"/>
                <w:sz w:val="18"/>
                <w:szCs w:val="18"/>
                <w:color w:val="auto"/>
              </w:rPr>
              <w:t>S-3</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8"/>
        </w:trPr>
        <w:tc>
          <w:tcPr>
            <w:tcW w:w="37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7319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731901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Certain covenants</w:t>
            </w: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Notes will be issued under an indenture containing covenants for your</w:t>
            </w:r>
          </w:p>
        </w:tc>
      </w:tr>
      <w:tr>
        <w:trPr>
          <w:trHeight w:val="228"/>
        </w:trPr>
        <w:tc>
          <w:tcPr>
            <w:tcW w:w="2640" w:type="dxa"/>
            <w:vAlign w:val="bottom"/>
          </w:tcPr>
          <w:p>
            <w:pPr>
              <w:spacing w:after="0"/>
              <w:rPr>
                <w:sz w:val="19"/>
                <w:szCs w:val="19"/>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benefit. These covenants restrict our ability, with certain exceptions, to:</w:t>
            </w:r>
          </w:p>
        </w:tc>
      </w:tr>
      <w:tr>
        <w:trPr>
          <w:trHeight w:val="432"/>
        </w:trPr>
        <w:tc>
          <w:tcPr>
            <w:tcW w:w="2640" w:type="dxa"/>
            <w:vAlign w:val="bottom"/>
          </w:tcPr>
          <w:p>
            <w:pPr>
              <w:spacing w:after="0"/>
              <w:rPr>
                <w:sz w:val="24"/>
                <w:szCs w:val="24"/>
                <w:color w:val="auto"/>
              </w:rPr>
            </w:pP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incur liens on principal properties to secure debt;</w:t>
            </w:r>
          </w:p>
        </w:tc>
        <w:tc>
          <w:tcPr>
            <w:tcW w:w="1040" w:type="dxa"/>
            <w:vAlign w:val="bottom"/>
          </w:tcPr>
          <w:p>
            <w:pPr>
              <w:spacing w:after="0"/>
              <w:rPr>
                <w:sz w:val="24"/>
                <w:szCs w:val="24"/>
                <w:color w:val="auto"/>
              </w:rPr>
            </w:pPr>
          </w:p>
        </w:tc>
      </w:tr>
      <w:tr>
        <w:trPr>
          <w:trHeight w:val="432"/>
        </w:trPr>
        <w:tc>
          <w:tcPr>
            <w:tcW w:w="2640" w:type="dxa"/>
            <w:vAlign w:val="bottom"/>
          </w:tcPr>
          <w:p>
            <w:pPr>
              <w:spacing w:after="0"/>
              <w:rPr>
                <w:sz w:val="24"/>
                <w:szCs w:val="24"/>
                <w:color w:val="auto"/>
              </w:rPr>
            </w:pP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engage in sale-leaseback transactions; and</w:t>
            </w:r>
          </w:p>
        </w:tc>
        <w:tc>
          <w:tcPr>
            <w:tcW w:w="1040" w:type="dxa"/>
            <w:vAlign w:val="bottom"/>
          </w:tcPr>
          <w:p>
            <w:pPr>
              <w:spacing w:after="0"/>
              <w:rPr>
                <w:sz w:val="24"/>
                <w:szCs w:val="24"/>
                <w:color w:val="auto"/>
              </w:rPr>
            </w:pPr>
          </w:p>
        </w:tc>
      </w:tr>
      <w:tr>
        <w:trPr>
          <w:trHeight w:val="420"/>
        </w:trPr>
        <w:tc>
          <w:tcPr>
            <w:tcW w:w="2640" w:type="dxa"/>
            <w:vAlign w:val="bottom"/>
          </w:tcPr>
          <w:p>
            <w:pPr>
              <w:spacing w:after="0"/>
              <w:rPr>
                <w:sz w:val="24"/>
                <w:szCs w:val="24"/>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merge or consolidate with another entity or sell, lease or transfer</w:t>
            </w:r>
          </w:p>
        </w:tc>
      </w:tr>
      <w:tr>
        <w:trPr>
          <w:trHeight w:val="228"/>
        </w:trPr>
        <w:tc>
          <w:tcPr>
            <w:tcW w:w="2640" w:type="dxa"/>
            <w:vAlign w:val="bottom"/>
          </w:tcPr>
          <w:p>
            <w:pPr>
              <w:spacing w:after="0"/>
              <w:rPr>
                <w:sz w:val="19"/>
                <w:szCs w:val="19"/>
                <w:color w:val="auto"/>
              </w:rPr>
            </w:pPr>
          </w:p>
        </w:tc>
        <w:tc>
          <w:tcPr>
            <w:tcW w:w="5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substantially all of our properties or assets to another entity.</w:t>
            </w:r>
          </w:p>
        </w:tc>
        <w:tc>
          <w:tcPr>
            <w:tcW w:w="1040" w:type="dxa"/>
            <w:vAlign w:val="bottom"/>
          </w:tcPr>
          <w:p>
            <w:pPr>
              <w:spacing w:after="0"/>
              <w:rPr>
                <w:sz w:val="19"/>
                <w:szCs w:val="19"/>
                <w:color w:val="auto"/>
              </w:rPr>
            </w:pPr>
          </w:p>
        </w:tc>
      </w:tr>
      <w:tr>
        <w:trPr>
          <w:trHeight w:val="459"/>
        </w:trPr>
        <w:tc>
          <w:tcPr>
            <w:tcW w:w="2640" w:type="dxa"/>
            <w:vAlign w:val="bottom"/>
          </w:tcPr>
          <w:p>
            <w:pPr>
              <w:spacing w:after="0"/>
              <w:rPr>
                <w:sz w:val="24"/>
                <w:szCs w:val="24"/>
                <w:color w:val="auto"/>
              </w:rPr>
            </w:pP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See "Description of Notes—Covenants."</w:t>
            </w:r>
          </w:p>
        </w:tc>
        <w:tc>
          <w:tcPr>
            <w:tcW w:w="1040" w:type="dxa"/>
            <w:vAlign w:val="bottom"/>
          </w:tcPr>
          <w:p>
            <w:pPr>
              <w:spacing w:after="0"/>
              <w:rPr>
                <w:sz w:val="24"/>
                <w:szCs w:val="24"/>
                <w:color w:val="auto"/>
              </w:rPr>
            </w:pPr>
          </w:p>
        </w:tc>
      </w:tr>
      <w:tr>
        <w:trPr>
          <w:trHeight w:val="44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net proceeds of this offering will be approximately $</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million after</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deducting the underwriting discount and our estimated offering expenses. We</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expect to use the net proceeds from this offering to repay outstanding</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borrowings under our senior unsecured revolving credit facility and</w:t>
            </w:r>
          </w:p>
        </w:tc>
      </w:tr>
      <w:tr>
        <w:trPr>
          <w:trHeight w:val="228"/>
        </w:trPr>
        <w:tc>
          <w:tcPr>
            <w:tcW w:w="2640" w:type="dxa"/>
            <w:vAlign w:val="bottom"/>
          </w:tcPr>
          <w:p>
            <w:pPr>
              <w:spacing w:after="0"/>
              <w:rPr>
                <w:sz w:val="19"/>
                <w:szCs w:val="19"/>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commercial paper program and for general partnership purposes.</w:t>
            </w:r>
          </w:p>
        </w:tc>
      </w:tr>
      <w:tr>
        <w:trPr>
          <w:trHeight w:val="447"/>
        </w:trPr>
        <w:tc>
          <w:tcPr>
            <w:tcW w:w="2640" w:type="dxa"/>
            <w:vAlign w:val="bottom"/>
          </w:tcPr>
          <w:p>
            <w:pPr>
              <w:spacing w:after="0"/>
              <w:rPr>
                <w:sz w:val="24"/>
                <w:szCs w:val="24"/>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Amounts repaid under our senior unsecured revolving credit facility and</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commercial paper program may be reborrowed, as necessary, to fund our</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ongoing expansion capital program, future acquisitions and investments or for</w:t>
            </w:r>
          </w:p>
        </w:tc>
      </w:tr>
      <w:tr>
        <w:trPr>
          <w:trHeight w:val="228"/>
        </w:trPr>
        <w:tc>
          <w:tcPr>
            <w:tcW w:w="2640" w:type="dxa"/>
            <w:vAlign w:val="bottom"/>
          </w:tcPr>
          <w:p>
            <w:pPr>
              <w:spacing w:after="0"/>
              <w:rPr>
                <w:sz w:val="19"/>
                <w:szCs w:val="19"/>
                <w:color w:val="auto"/>
              </w:rPr>
            </w:pP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general partnership purposes. Please read "Use of Proceeds."</w:t>
            </w:r>
          </w:p>
        </w:tc>
        <w:tc>
          <w:tcPr>
            <w:tcW w:w="1040" w:type="dxa"/>
            <w:vAlign w:val="bottom"/>
          </w:tcPr>
          <w:p>
            <w:pPr>
              <w:spacing w:after="0"/>
              <w:rPr>
                <w:sz w:val="19"/>
                <w:szCs w:val="19"/>
                <w:color w:val="auto"/>
              </w:rPr>
            </w:pPr>
          </w:p>
        </w:tc>
      </w:tr>
      <w:tr>
        <w:trPr>
          <w:trHeight w:val="44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Book entry, delivery and form</w:t>
            </w: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The Notes will be represented by one or more permanent global certificates in</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6"/>
              </w:rPr>
              <w:t>fully registered form deposited with a custodian for, and registered in the name</w:t>
            </w:r>
          </w:p>
        </w:tc>
      </w:tr>
      <w:tr>
        <w:trPr>
          <w:trHeight w:val="228"/>
        </w:trPr>
        <w:tc>
          <w:tcPr>
            <w:tcW w:w="2640" w:type="dxa"/>
            <w:vAlign w:val="bottom"/>
          </w:tcPr>
          <w:p>
            <w:pPr>
              <w:spacing w:after="0"/>
              <w:rPr>
                <w:sz w:val="19"/>
                <w:szCs w:val="19"/>
                <w:color w:val="auto"/>
              </w:rPr>
            </w:pP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a nominee of The Depository Trust Company.</w:t>
            </w:r>
          </w:p>
        </w:tc>
        <w:tc>
          <w:tcPr>
            <w:tcW w:w="1040" w:type="dxa"/>
            <w:vAlign w:val="bottom"/>
          </w:tcPr>
          <w:p>
            <w:pPr>
              <w:spacing w:after="0"/>
              <w:rPr>
                <w:sz w:val="19"/>
                <w:szCs w:val="19"/>
                <w:color w:val="auto"/>
              </w:rPr>
            </w:pPr>
          </w:p>
        </w:tc>
      </w:tr>
      <w:tr>
        <w:trPr>
          <w:trHeight w:val="44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Further issuances</w:t>
            </w: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We may create and issue additional Notes ranking equally and ratably with the</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Notes offered by this prospectus supplement in all respects, so that such</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additional Notes will be consolidated and form a single series with such Notes</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and will have the same terms, as to status, redemption or otherwise except for</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the issue date, the initial interest payment date, if applicable, and the payment</w:t>
            </w:r>
          </w:p>
        </w:tc>
      </w:tr>
      <w:tr>
        <w:trPr>
          <w:trHeight w:val="228"/>
        </w:trPr>
        <w:tc>
          <w:tcPr>
            <w:tcW w:w="2640" w:type="dxa"/>
            <w:vAlign w:val="bottom"/>
          </w:tcPr>
          <w:p>
            <w:pPr>
              <w:spacing w:after="0"/>
              <w:rPr>
                <w:sz w:val="19"/>
                <w:szCs w:val="19"/>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of interest accruing prior to the issue date of such additional Notes.</w:t>
            </w:r>
          </w:p>
        </w:tc>
      </w:tr>
      <w:tr>
        <w:trPr>
          <w:trHeight w:val="44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 listing</w:t>
            </w: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The Notes are a new issue of securities with no established trading market. We</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do not currently intend to apply for listing of the Notes on any securities</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exchange or have the Notes quoted on any automated quotation system. See</w:t>
            </w:r>
          </w:p>
        </w:tc>
      </w:tr>
      <w:tr>
        <w:trPr>
          <w:trHeight w:val="216"/>
        </w:trPr>
        <w:tc>
          <w:tcPr>
            <w:tcW w:w="2640" w:type="dxa"/>
            <w:vAlign w:val="bottom"/>
          </w:tcPr>
          <w:p>
            <w:pPr>
              <w:spacing w:after="0"/>
              <w:rPr>
                <w:sz w:val="18"/>
                <w:szCs w:val="18"/>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"Risk Factors—Risks Related to the Notes—Your ability to transfer the Notes</w:t>
            </w:r>
          </w:p>
        </w:tc>
      </w:tr>
      <w:tr>
        <w:trPr>
          <w:trHeight w:val="228"/>
        </w:trPr>
        <w:tc>
          <w:tcPr>
            <w:tcW w:w="2640" w:type="dxa"/>
            <w:vAlign w:val="bottom"/>
          </w:tcPr>
          <w:p>
            <w:pPr>
              <w:spacing w:after="0"/>
              <w:rPr>
                <w:sz w:val="19"/>
                <w:szCs w:val="19"/>
                <w:color w:val="auto"/>
              </w:rPr>
            </w:pP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may be limited by the absence of an organized trading market."</w:t>
            </w:r>
          </w:p>
        </w:tc>
        <w:tc>
          <w:tcPr>
            <w:tcW w:w="1040" w:type="dxa"/>
            <w:vAlign w:val="bottom"/>
          </w:tcPr>
          <w:p>
            <w:pPr>
              <w:spacing w:after="0"/>
              <w:rPr>
                <w:sz w:val="19"/>
                <w:szCs w:val="19"/>
                <w:color w:val="auto"/>
              </w:rPr>
            </w:pPr>
          </w:p>
        </w:tc>
      </w:tr>
      <w:tr>
        <w:trPr>
          <w:trHeight w:val="45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State of New York.</w:t>
            </w:r>
          </w:p>
        </w:tc>
        <w:tc>
          <w:tcPr>
            <w:tcW w:w="1040" w:type="dxa"/>
            <w:vAlign w:val="bottom"/>
          </w:tcPr>
          <w:p>
            <w:pPr>
              <w:spacing w:after="0"/>
              <w:rPr>
                <w:sz w:val="24"/>
                <w:szCs w:val="24"/>
                <w:color w:val="auto"/>
              </w:rPr>
            </w:pPr>
          </w:p>
        </w:tc>
      </w:tr>
      <w:tr>
        <w:trPr>
          <w:trHeight w:val="45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040" w:type="dxa"/>
            <w:vAlign w:val="bottom"/>
          </w:tcPr>
          <w:p>
            <w:pPr>
              <w:spacing w:after="0"/>
              <w:rPr>
                <w:sz w:val="24"/>
                <w:szCs w:val="24"/>
                <w:color w:val="auto"/>
              </w:rPr>
            </w:pPr>
          </w:p>
        </w:tc>
      </w:tr>
      <w:tr>
        <w:trPr>
          <w:trHeight w:val="44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Investing in the Notes involves risks. You should consider carefully all of the</w:t>
            </w:r>
          </w:p>
        </w:tc>
      </w:tr>
      <w:tr>
        <w:trPr>
          <w:trHeight w:val="228"/>
        </w:trPr>
        <w:tc>
          <w:tcPr>
            <w:tcW w:w="2640" w:type="dxa"/>
            <w:vAlign w:val="bottom"/>
          </w:tcPr>
          <w:p>
            <w:pPr>
              <w:spacing w:after="0"/>
              <w:rPr>
                <w:sz w:val="19"/>
                <w:szCs w:val="19"/>
                <w:color w:val="auto"/>
              </w:rPr>
            </w:pPr>
          </w:p>
        </w:tc>
        <w:tc>
          <w:tcPr>
            <w:tcW w:w="6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information in this prospectus supplement, the accompanying base prospectus,</w:t>
            </w:r>
          </w:p>
        </w:tc>
      </w:tr>
    </w:tbl>
    <w:p>
      <w:pPr>
        <w:ind w:left="4500" w:right="159"/>
        <w:spacing w:after="0" w:line="254" w:lineRule="auto"/>
        <w:rPr>
          <w:sz w:val="20"/>
          <w:szCs w:val="20"/>
          <w:color w:val="auto"/>
        </w:rPr>
      </w:pPr>
      <w:r>
        <w:rPr>
          <w:rFonts w:ascii="Times New Roman" w:cs="Times New Roman" w:eastAsia="Times New Roman" w:hAnsi="Times New Roman"/>
          <w:sz w:val="18"/>
          <w:szCs w:val="18"/>
          <w:color w:val="auto"/>
        </w:rPr>
        <w:t>any free writing prospectus relating to this offering and the documents incorporated by reference herein and therein. In particular, you should consider carefully the specific risks set forth in "Risk Factors" beginning on page S-5 of this prospectus supplement.</w:t>
      </w: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right="8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Before making an investment in the Notes offered hereby, you should carefully consider the risk factors included below and those included in Item 1A. "Risk Factors" in our Annual Report on Form 10-K for the fiscal year ended December 31, 2015 (File No. 001-14569), which is 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8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September 30, 2016, on an as further adjusted basis as described under "Capitalization," the Notes would have been subordinated to $500 million of short-term secured indebtedness and would have been structurally subordinated to $560 million of our subsidiaries' indebtedness.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leverage may limit our ability to borrow additional funds, comply with the terms of our indebtedness or capitalize on business opportunities.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leverage is significant in relation to our partners' capital. As of September 30, 2016, on an as further adjusted basis as described under "Capitalization,"</w:t>
      </w:r>
    </w:p>
    <w:p>
      <w:pPr>
        <w:spacing w:after="0" w:line="44"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auto"/>
        </w:rPr>
        <w:t>our total outstanding long-term debt was approximately $ billion, and our total outstanding short-term debt was approximately $1.384 billion.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5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97"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Our leverage may adversely affect our ability to fund future working capital, capital expenditures and other general partnership requirements, future acquisition, construction or development activities,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ability to transfer the Notes may be limited by the absence of an organized trading market.</w:t>
      </w:r>
    </w:p>
    <w:p>
      <w:pPr>
        <w:spacing w:after="0" w:line="229"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9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69"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204" w:lineRule="exact"/>
        <w:rPr>
          <w:sz w:val="20"/>
          <w:szCs w:val="20"/>
          <w:color w:val="auto"/>
        </w:rPr>
      </w:pPr>
    </w:p>
    <w:p>
      <w:pPr>
        <w:ind w:left="1080" w:right="86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unitholders and the general partner for any one or more of the next four calendar quarters;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of our loan or other agreements.</w:t>
      </w:r>
    </w:p>
    <w:p>
      <w:pPr>
        <w:spacing w:after="0" w:line="225"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666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USE OF PROCEEDS</w:t>
            </w:r>
          </w:p>
        </w:tc>
      </w:tr>
      <w:tr>
        <w:trPr>
          <w:trHeight w:val="432"/>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net proceeds of this offering will be approximately $</w:t>
            </w: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million after deducting the underwriting discount and our estimated offering expenses. We</w:t>
            </w:r>
          </w:p>
        </w:tc>
      </w:tr>
    </w:tbl>
    <w:p>
      <w:pPr>
        <w:ind w:right="440"/>
        <w:spacing w:after="0" w:line="302" w:lineRule="auto"/>
        <w:rPr>
          <w:sz w:val="20"/>
          <w:szCs w:val="20"/>
          <w:color w:val="auto"/>
        </w:rPr>
      </w:pPr>
      <w:r>
        <w:rPr>
          <w:rFonts w:ascii="Times New Roman" w:cs="Times New Roman" w:eastAsia="Times New Roman" w:hAnsi="Times New Roman"/>
          <w:sz w:val="16"/>
          <w:szCs w:val="16"/>
          <w:color w:val="auto"/>
        </w:rPr>
        <w:t>expect to use the net proceeds from this offering to repay outstanding borrowings under our senior unsecured revolving credit facility and commercial paper program and for general partnership purposes. Amounts repaid under our senior unsecured revolving credit facility and commercial paper program may be reborrowed, as necessary, to fund our ongoing expansion capital program, future acquisitions and investments or for general partnership purposes.</w:t>
      </w:r>
    </w:p>
    <w:p>
      <w:pPr>
        <w:spacing w:after="0" w:line="157" w:lineRule="exact"/>
        <w:rPr>
          <w:sz w:val="20"/>
          <w:szCs w:val="20"/>
          <w:color w:val="auto"/>
        </w:rPr>
      </w:pPr>
    </w:p>
    <w:p>
      <w:pPr>
        <w:ind w:right="260" w:firstLine="341"/>
        <w:spacing w:after="0" w:line="262" w:lineRule="auto"/>
        <w:rPr>
          <w:sz w:val="20"/>
          <w:szCs w:val="20"/>
          <w:color w:val="auto"/>
        </w:rPr>
      </w:pPr>
      <w:r>
        <w:rPr>
          <w:rFonts w:ascii="Times New Roman" w:cs="Times New Roman" w:eastAsia="Times New Roman" w:hAnsi="Times New Roman"/>
          <w:sz w:val="18"/>
          <w:szCs w:val="18"/>
          <w:color w:val="auto"/>
        </w:rPr>
        <w:t>Affiliates of certain underwriters are lenders under our senior unsecured revolving credit facility or dealers under our commercial paper program and may hold commercial paper notes thereunder. Accordingly, they may receive a portion of the net proceeds from this offering. Please read "Underwriting" in this prospectus supplement for further information.</w:t>
      </w:r>
    </w:p>
    <w:p>
      <w:pPr>
        <w:spacing w:after="0" w:line="186"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As of November 14, 2016, we had approximately $900 million of borrowings outstanding under our senior secured hedged inventory facility with a weighted average interest rate of 1.60%. Proceeds from such facility are primarily used to finance purchased or stored hedged inventory, including New York Mercantile Exchange ("NYMEX") and Intercontinental Exchange ("ICE") margin deposits. As of November 14, 2016, we had no borrowings outstanding under our senior unsecured revolving credit facility, which bears interest at a variable rate. On November 15, 2016 we plan to borrow $642 million under our senior unsecured revolving credit facility and/or our senior secured hedged inventory facility, and will use such borrowings to repay Plains AAP's outstanding indebtedness assumed in connection with the Simplification. As of November 14, 2016 there were no borrowings outstanding under our senior unsecured 364-day revolving credit facility, which bears interest at a variable rate. As of November 14, 2016, we had approximately $756 million of borrowings outstanding under our commercial paper program with a weighted average interest rate of approximately 1.44%. The outstanding borrowings under our commercial paper program have maturity dates of three months or less. Our commercial paper program is backstopped by our senior secured hedged inventory facility and our senior unsecured revolving credit facility. Borrowings from our commercial paper program are primarily used to fund hedged NGL and crude oil inventory and NYMEX and ICE margin deposits, capital investments and for other general partnership purposes.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Ended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charges(1)</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2.39x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2.80x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4.30x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4.41x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4.03x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4.13x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62" w:lineRule="auto"/>
        <w:tabs>
          <w:tab w:leader="none" w:pos="1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costs attributable to borrowings for hedged inventory purchases of $10 million for the nine months ended September 30, 2016 and $6 million, $12 million, $30 million, $12 million and $20 million for the years ended December 31, 2015, 2014, 2013, 2012 and 2011, respectively.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2016:</w:t>
      </w:r>
    </w:p>
    <w:p>
      <w:pPr>
        <w:spacing w:after="0" w:line="239"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right="580" w:hanging="532"/>
        <w:spacing w:after="0" w:line="275"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Simplification, specifically, the assumption of Plains AAP's outstanding debt of approximately $642 million (See "Prospectus Supplement Summary—Recent Developments—</w:t>
      </w:r>
      <w:r>
        <w:rPr>
          <w:rFonts w:ascii="Times New Roman" w:cs="Times New Roman" w:eastAsia="Times New Roman" w:hAnsi="Times New Roman"/>
          <w:sz w:val="18"/>
          <w:szCs w:val="18"/>
          <w:i w:val="1"/>
          <w:iCs w:val="1"/>
          <w:color w:val="auto"/>
        </w:rPr>
        <w:t>Simplification Transactions</w:t>
      </w:r>
      <w:r>
        <w:rPr>
          <w:rFonts w:ascii="Times New Roman" w:cs="Times New Roman" w:eastAsia="Times New Roman" w:hAnsi="Times New Roman"/>
          <w:sz w:val="18"/>
          <w:szCs w:val="18"/>
          <w:color w:val="auto"/>
        </w:rPr>
        <w:t>"); and</w:t>
      </w:r>
    </w:p>
    <w:p>
      <w:pPr>
        <w:spacing w:after="0" w:line="187" w:lineRule="exact"/>
        <w:rPr>
          <w:rFonts w:ascii="Times New Roman" w:cs="Times New Roman" w:eastAsia="Times New Roman" w:hAnsi="Times New Roman"/>
          <w:sz w:val="18"/>
          <w:szCs w:val="18"/>
          <w:color w:val="auto"/>
        </w:rPr>
      </w:pPr>
    </w:p>
    <w:p>
      <w:pPr>
        <w:ind w:left="1620" w:right="40" w:hanging="532"/>
        <w:spacing w:after="0" w:line="339" w:lineRule="auto"/>
        <w:tabs>
          <w:tab w:leader="none" w:pos="16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of an additional 4.9 million common units under our continuous offering program after September 30, 2016, generating proceeds of $154 million, including our general partners' proportionate capital contribution and net of commissions to our sales agents; and</w:t>
      </w:r>
    </w:p>
    <w:p>
      <w:pPr>
        <w:spacing w:after="0" w:line="371" w:lineRule="exact"/>
        <w:rPr>
          <w:rFonts w:ascii="Times New Roman" w:cs="Times New Roman" w:eastAsia="Times New Roman" w:hAnsi="Times New Roman"/>
          <w:sz w:val="16"/>
          <w:szCs w:val="16"/>
          <w:color w:val="auto"/>
        </w:rPr>
      </w:pPr>
    </w:p>
    <w:p>
      <w:pPr>
        <w:ind w:left="108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further adjusted basis to give effect to the sale of the Notes offered hereby and the application of the net proceeds therefrom as described under "Use of Proceeds" in this prospectus supplement.</w:t>
      </w:r>
    </w:p>
    <w:p>
      <w:pPr>
        <w:spacing w:after="0" w:line="174"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This table should also be read in conjunction with our financial statements and the notes thereto that are incorporated by reference into this prospectus supplement.</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As Further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4"/>
                <w:szCs w:val="14"/>
                <w:color w:val="auto"/>
              </w:rPr>
            </w:pPr>
          </w:p>
        </w:tc>
        <w:tc>
          <w:tcPr>
            <w:tcW w:w="8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millions)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DEBT(1)(2)</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paper notes</w:t>
            </w:r>
          </w:p>
        </w:tc>
        <w:tc>
          <w:tcPr>
            <w:tcW w:w="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Senior secured hedged inventory facility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6.13% senior notes due January 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short-term debt</w:t>
            </w:r>
          </w:p>
        </w:tc>
        <w:tc>
          <w:tcPr>
            <w:tcW w:w="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notes, net of unamortized discounts and debt issuance costs</w:t>
            </w:r>
          </w:p>
        </w:tc>
        <w:tc>
          <w:tcPr>
            <w:tcW w:w="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Senior unsecured revolving credit facility(3)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offered hereby, net of unamortized discount and debt issuance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paper notes(1)(2)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Series A preferred unitholders</w:t>
            </w:r>
          </w:p>
        </w:tc>
        <w:tc>
          <w:tcPr>
            <w:tcW w:w="1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unitholders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partner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partners' capital excluding noncontrolling interests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partners' capital</w:t>
            </w:r>
          </w:p>
        </w:tc>
        <w:tc>
          <w:tcPr>
            <w:tcW w:w="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right="120" w:hanging="531"/>
        <w:spacing w:after="0" w:line="275" w:lineRule="auto"/>
        <w:tabs>
          <w:tab w:leader="none" w:pos="1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paper notes are backstopped by our senior unsecured revolving credit facility and our senior secured hedged inventory facility, which primarily mature in August 2021 and August</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spacing w:after="0" w:line="255" w:lineRule="auto"/>
        <w:rPr>
          <w:sz w:val="20"/>
          <w:szCs w:val="20"/>
          <w:color w:val="auto"/>
        </w:rPr>
      </w:pPr>
      <w:r>
        <w:rPr>
          <w:rFonts w:ascii="Times New Roman" w:cs="Times New Roman" w:eastAsia="Times New Roman" w:hAnsi="Times New Roman"/>
          <w:sz w:val="18"/>
          <w:szCs w:val="18"/>
          <w:color w:val="auto"/>
        </w:rPr>
        <w:t>2019, respectively; as such, any borrowings under our commercial paper program effectively reduce the available capacity under these facilities. As of September 30, 2016, we classified $256 million of the borrowings under the commercial paper program as short-term, as these borrowings were primarily designated as working capital borrowings, were required to be repaid within one year and were primarily for hedged NGL and crude oil inventory and NYMEX and ICE margin deposits. As of September 30, 2016, we classified $500 million of the borrowings under the commercial paper program as long-term based on our ability and intent to refinance these commercial paper notes on a long-term basis under our credit facilities.</w:t>
      </w:r>
    </w:p>
    <w:p>
      <w:pPr>
        <w:spacing w:after="0" w:line="207" w:lineRule="exact"/>
        <w:rPr>
          <w:sz w:val="20"/>
          <w:szCs w:val="20"/>
          <w:color w:val="auto"/>
        </w:rPr>
      </w:pPr>
    </w:p>
    <w:p>
      <w:pPr>
        <w:ind w:left="1680" w:right="80" w:hanging="531"/>
        <w:spacing w:after="0" w:line="256" w:lineRule="auto"/>
        <w:tabs>
          <w:tab w:leader="none" w:pos="1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Canadian subsidiary, Plains Midstream Canada ULC ("PMCULC"), is an obligor of our commercial paper program. On a historical, as adjusted and an as further adjusted basis as of September 30, 2016, $335 million was outstanding for PMCULC under our commercial paper program and $225 million under our senior secured hedged inventory facility. As of November 14, 2016, PMCULC had approximately $180 million of borrowings outstanding under our commercial paper program, and $450 million of borrowings under our senior secured hedged inventory facility.</w:t>
      </w:r>
    </w:p>
    <w:p>
      <w:pPr>
        <w:spacing w:after="0" w:line="219" w:lineRule="exact"/>
        <w:rPr>
          <w:rFonts w:ascii="Times New Roman" w:cs="Times New Roman" w:eastAsia="Times New Roman" w:hAnsi="Times New Roman"/>
          <w:sz w:val="18"/>
          <w:szCs w:val="18"/>
          <w:color w:val="auto"/>
        </w:rPr>
      </w:pPr>
    </w:p>
    <w:p>
      <w:pPr>
        <w:ind w:left="1680" w:right="240" w:hanging="531"/>
        <w:spacing w:after="0" w:line="255" w:lineRule="auto"/>
        <w:tabs>
          <w:tab w:leader="none" w:pos="1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14, 2016, we had no borrowings outstanding under our senior unsecured revolving credit facility. The "As Adjusted" column reflects (i) an increase in borrowings of $642 million to repay outstanding indebtedness of Plains AAP assumed by us in connection with the transactions contemplated by the Simplification, and (ii) a repayment of borrowings in the amount of $154 million resulting from proceeds from sales of common units (together with our general partners' proportionate capital contribution) under our continuous offering program. In connection with this offering, we plan to repay all of the borrowings under the senior unsecured revolving credit facility. See "Use of Proceeds" in this prospectus supplement.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will issue the Notes under an indenture (the "Base Indenture") dated as of September 25, 2002, among us, the subsidiary guarantors and U.S. Bank National Association, as successor trustee, and a supplemental indenture thereto with respect to the Notes to be dated as of November , 2016 (the Base Indenture, as supplemented by such supplemental indenture, the "Indenture"). The Notes will constitute a new series of debt securities under the Base Indenture, and multiple other series are now outstanding under the Base Indenture, each issued under a separate supplemental indenture.</w:t>
      </w:r>
    </w:p>
    <w:p>
      <w:pPr>
        <w:spacing w:after="0" w:line="190"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193" w:lineRule="exact"/>
        <w:rPr>
          <w:sz w:val="20"/>
          <w:szCs w:val="20"/>
          <w:color w:val="auto"/>
        </w:rPr>
      </w:pPr>
    </w:p>
    <w:p>
      <w:pPr>
        <w:ind w:right="360" w:firstLine="348"/>
        <w:spacing w:after="0" w:line="262" w:lineRule="auto"/>
        <w:rPr>
          <w:sz w:val="20"/>
          <w:szCs w:val="20"/>
          <w:color w:val="auto"/>
        </w:rPr>
      </w:pPr>
      <w:r>
        <w:rPr>
          <w:rFonts w:ascii="Times New Roman" w:cs="Times New Roman" w:eastAsia="Times New Roman" w:hAnsi="Times New Roman"/>
          <w:sz w:val="18"/>
          <w:szCs w:val="18"/>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86"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the Notes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Notes will be:</w:t>
      </w:r>
    </w:p>
    <w:p>
      <w:pPr>
        <w:spacing w:after="0" w:line="239"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unsecured indebtedness ranking equally in right of payment with all of our existing and future unsubordinated indebtedness;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series of debt securities issued under the Base Indenture;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to our general partner;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future subordinated indebtedness;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any of our existing and future secured indebtedness, to the extent of the security for that debt; and</w:t>
      </w:r>
    </w:p>
    <w:p>
      <w:pPr>
        <w:spacing w:after="0" w:line="238"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existing and future indebtedness and other obligations of our subsidiaries, including trade payables, other than subsidiaries that may guarantee the Notes in the future.</w:t>
      </w:r>
    </w:p>
    <w:p>
      <w:pPr>
        <w:spacing w:after="0" w:line="174"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As of September 30, 2016, on an as further adjusted basis as described under "Capitalization," the Notes would have been subordinated to $500 million of short-term secured indebtedness and would have been structurally subordinated to $560 million of our subsidiaries' outstanding indebtedness. See "Risk Factors —Risks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227" w:lineRule="exact"/>
        <w:rPr>
          <w:sz w:val="20"/>
          <w:szCs w:val="20"/>
          <w:color w:val="auto"/>
        </w:rPr>
      </w:pPr>
    </w:p>
    <w:p>
      <w:pPr>
        <w:ind w:left="360"/>
        <w:spacing w:after="0"/>
        <w:tabs>
          <w:tab w:leader="none" w:pos="5700" w:val="left"/>
          <w:tab w:leader="none" w:pos="9140" w:val="left"/>
          <w:tab w:leader="none" w:pos="9580" w:val="left"/>
        </w:tabs>
        <w:rPr>
          <w:sz w:val="20"/>
          <w:szCs w:val="20"/>
          <w:color w:val="auto"/>
        </w:rPr>
      </w:pPr>
      <w:r>
        <w:rPr>
          <w:rFonts w:ascii="Times New Roman" w:cs="Times New Roman" w:eastAsia="Times New Roman" w:hAnsi="Times New Roman"/>
          <w:sz w:val="18"/>
          <w:szCs w:val="18"/>
          <w:color w:val="auto"/>
        </w:rPr>
        <w:t>We will issue the Notes in an initial aggregate principal amount of $</w:t>
      </w:r>
      <w:r>
        <w:rPr>
          <w:sz w:val="20"/>
          <w:szCs w:val="20"/>
          <w:color w:val="auto"/>
        </w:rPr>
        <w:tab/>
      </w:r>
      <w:r>
        <w:rPr>
          <w:rFonts w:ascii="Times New Roman" w:cs="Times New Roman" w:eastAsia="Times New Roman" w:hAnsi="Times New Roman"/>
          <w:sz w:val="18"/>
          <w:szCs w:val="18"/>
          <w:color w:val="auto"/>
        </w:rPr>
        <w:t>million. The Notes will mature on</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6"/>
          <w:szCs w:val="16"/>
          <w:color w:val="auto"/>
        </w:rPr>
        <w:t>. The Notes will bear</w:t>
      </w:r>
    </w:p>
    <w:p>
      <w:pPr>
        <w:spacing w:after="0" w:line="21" w:lineRule="exact"/>
        <w:rPr>
          <w:sz w:val="20"/>
          <w:szCs w:val="20"/>
          <w:color w:val="auto"/>
        </w:rPr>
      </w:pPr>
    </w:p>
    <w:p>
      <w:pPr>
        <w:spacing w:after="0"/>
        <w:tabs>
          <w:tab w:leader="none" w:pos="2240" w:val="left"/>
          <w:tab w:leader="none" w:pos="6140" w:val="left"/>
        </w:tabs>
        <w:rPr>
          <w:sz w:val="20"/>
          <w:szCs w:val="20"/>
          <w:color w:val="auto"/>
        </w:rPr>
      </w:pPr>
      <w:r>
        <w:rPr>
          <w:rFonts w:ascii="Times New Roman" w:cs="Times New Roman" w:eastAsia="Times New Roman" w:hAnsi="Times New Roman"/>
          <w:sz w:val="18"/>
          <w:szCs w:val="18"/>
          <w:color w:val="auto"/>
        </w:rPr>
        <w:t>interest at an annual rate of</w:t>
      </w:r>
      <w:r>
        <w:rPr>
          <w:sz w:val="20"/>
          <w:szCs w:val="20"/>
          <w:color w:val="auto"/>
        </w:rPr>
        <w:tab/>
      </w:r>
      <w:r>
        <w:rPr>
          <w:rFonts w:ascii="Times New Roman" w:cs="Times New Roman" w:eastAsia="Times New Roman" w:hAnsi="Times New Roman"/>
          <w:sz w:val="18"/>
          <w:szCs w:val="18"/>
          <w:color w:val="auto"/>
        </w:rPr>
        <w:t>%. Interest on the Notes will accrue from November</w:t>
      </w:r>
      <w:r>
        <w:rPr>
          <w:sz w:val="20"/>
          <w:szCs w:val="20"/>
          <w:color w:val="auto"/>
        </w:rPr>
        <w:tab/>
      </w:r>
      <w:r>
        <w:rPr>
          <w:rFonts w:ascii="Times New Roman" w:cs="Times New Roman" w:eastAsia="Times New Roman" w:hAnsi="Times New Roman"/>
          <w:sz w:val="16"/>
          <w:szCs w:val="16"/>
          <w:color w:val="auto"/>
        </w:rPr>
        <w:t>, 2016 and will be payable semi-annually in arrears</w:t>
      </w:r>
    </w:p>
    <w:p>
      <w:pPr>
        <w:spacing w:after="0" w:line="9" w:lineRule="exact"/>
        <w:rPr>
          <w:sz w:val="20"/>
          <w:szCs w:val="20"/>
          <w:color w:val="auto"/>
        </w:rPr>
      </w:pPr>
    </w:p>
    <w:p>
      <w:pPr>
        <w:spacing w:after="0"/>
        <w:tabs>
          <w:tab w:leader="none" w:pos="1220" w:val="left"/>
          <w:tab w:leader="none" w:pos="2560" w:val="left"/>
          <w:tab w:leader="none" w:pos="5260" w:val="left"/>
        </w:tabs>
        <w:rPr>
          <w:sz w:val="20"/>
          <w:szCs w:val="20"/>
          <w:color w:val="auto"/>
        </w:rPr>
      </w:pP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of each year, beginning</w:t>
      </w:r>
      <w:r>
        <w:rPr>
          <w:sz w:val="20"/>
          <w:szCs w:val="20"/>
          <w:color w:val="auto"/>
        </w:rPr>
        <w:tab/>
      </w:r>
      <w:r>
        <w:rPr>
          <w:rFonts w:ascii="Times New Roman" w:cs="Times New Roman" w:eastAsia="Times New Roman" w:hAnsi="Times New Roman"/>
          <w:sz w:val="16"/>
          <w:szCs w:val="16"/>
          <w:color w:val="auto"/>
        </w:rPr>
        <w:t>, 2017. We will make each interest payment to the holders of record at the close of</w:t>
      </w:r>
    </w:p>
    <w:p>
      <w:pPr>
        <w:spacing w:after="0" w:line="9" w:lineRule="exact"/>
        <w:rPr>
          <w:sz w:val="20"/>
          <w:szCs w:val="20"/>
          <w:color w:val="auto"/>
        </w:rPr>
      </w:pPr>
    </w:p>
    <w:p>
      <w:pPr>
        <w:spacing w:after="0"/>
        <w:tabs>
          <w:tab w:leader="none" w:pos="1900" w:val="left"/>
          <w:tab w:leader="none" w:pos="3200" w:val="left"/>
        </w:tabs>
        <w:rPr>
          <w:sz w:val="20"/>
          <w:szCs w:val="20"/>
          <w:color w:val="auto"/>
        </w:rPr>
      </w:pPr>
      <w:r>
        <w:rPr>
          <w:rFonts w:ascii="Times New Roman" w:cs="Times New Roman" w:eastAsia="Times New Roman" w:hAnsi="Times New Roman"/>
          <w:sz w:val="18"/>
          <w:szCs w:val="18"/>
          <w:color w:val="auto"/>
        </w:rPr>
        <w:t>business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6"/>
          <w:szCs w:val="16"/>
          <w:color w:val="auto"/>
        </w:rPr>
        <w:t>preceding such interest payment dates. Interest will be computed on the basis of a 360-day year consisting of twelve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30-day months. We will issue the Notes in minimum denominations of $2,000 and integral multiples of $1,000 in excess thereof.</w:t>
      </w:r>
    </w:p>
    <w:p>
      <w:pPr>
        <w:spacing w:after="0" w:line="213"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of General Partner</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22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90"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Provided that no default shall have occurred and shall be continuing under the Indenture, a future subsidiary guarantor will be unconditionally released and discharged from its guarantee:</w:t>
      </w:r>
    </w:p>
    <w:p>
      <w:pPr>
        <w:spacing w:after="0" w:line="187" w:lineRule="exact"/>
        <w:rPr>
          <w:sz w:val="20"/>
          <w:szCs w:val="20"/>
          <w:color w:val="auto"/>
        </w:rPr>
      </w:pPr>
    </w:p>
    <w:p>
      <w:pPr>
        <w:ind w:left="1080" w:right="6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of our direct or indirect equity interests in that subsidiary guarantor to any Person that is not our affiliate; or</w:t>
      </w:r>
    </w:p>
    <w:p>
      <w:pPr>
        <w:spacing w:after="0" w:line="200"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7" w:lineRule="exact"/>
        <w:rPr>
          <w:sz w:val="20"/>
          <w:szCs w:val="20"/>
          <w:color w:val="auto"/>
        </w:rPr>
      </w:pPr>
    </w:p>
    <w:p>
      <w:pPr>
        <w:ind w:right="20" w:firstLine="348"/>
        <w:spacing w:after="0" w:line="285" w:lineRule="auto"/>
        <w:rPr>
          <w:sz w:val="20"/>
          <w:szCs w:val="20"/>
          <w:color w:val="auto"/>
        </w:rPr>
      </w:pPr>
      <w:r>
        <w:rPr>
          <w:rFonts w:ascii="Times New Roman" w:cs="Times New Roman" w:eastAsia="Times New Roman" w:hAnsi="Times New Roman"/>
          <w:sz w:val="16"/>
          <w:szCs w:val="16"/>
          <w:color w:val="auto"/>
        </w:rPr>
        <w:t>The Notes will be redeemable, in whole or in part, at our option at any time and from time to time prior to maturity. If we redeem the Notes before the Par Call Date, the Notes may be redeemed at a redemption price equal to the greater of (i) 100% of the principal amount of the Notes to be redeemed and (ii) as determined by the Quotation Agent, the sum of the present values of the remaining scheduled payments of principal and interest on the Notes to be redeemed that would have been due if the Notes matured on the Par Call Date (not including any portion of those payments of interest accrued to the date of redemption), discounted to the date of redemption on a semiannual basis (assuming 360-day years, each consisting of twelve 30-day months) at the Adjusted Treasury Rate (as</w:t>
      </w: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defined herein) plus</w:t>
      </w:r>
      <w:r>
        <w:rPr>
          <w:sz w:val="20"/>
          <w:szCs w:val="20"/>
          <w:color w:val="auto"/>
        </w:rPr>
        <w:tab/>
      </w:r>
      <w:r>
        <w:rPr>
          <w:rFonts w:ascii="Times New Roman" w:cs="Times New Roman" w:eastAsia="Times New Roman" w:hAnsi="Times New Roman"/>
          <w:sz w:val="16"/>
          <w:szCs w:val="16"/>
          <w:color w:val="auto"/>
        </w:rPr>
        <w:t>basis points, together with accrued and unpaid interest to the date of redemption.</w:t>
      </w:r>
    </w:p>
    <w:p>
      <w:pPr>
        <w:spacing w:after="0" w:line="21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If we redeem the Notes on or after the Par Call Date, the redemption price will equal 100% of the principal amount of the Notes to be redeemed plus accrued and unpaid interest to the redemption date.</w:t>
      </w:r>
    </w:p>
    <w:p>
      <w:pPr>
        <w:spacing w:after="0" w:line="172" w:lineRule="exact"/>
        <w:rPr>
          <w:sz w:val="20"/>
          <w:szCs w:val="20"/>
          <w:color w:val="auto"/>
        </w:rPr>
      </w:pPr>
    </w:p>
    <w:p>
      <w:pPr>
        <w:ind w:right="3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Treasury Rate</w:t>
      </w:r>
      <w:r>
        <w:rPr>
          <w:rFonts w:ascii="Times New Roman" w:cs="Times New Roman" w:eastAsia="Times New Roman" w:hAnsi="Times New Roman"/>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81"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87"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81" w:lineRule="exact"/>
        <w:rPr>
          <w:sz w:val="20"/>
          <w:szCs w:val="20"/>
          <w:color w:val="auto"/>
        </w:rPr>
      </w:pPr>
    </w:p>
    <w:p>
      <w:pPr>
        <w:ind w:left="360"/>
        <w:spacing w:after="0"/>
        <w:tabs>
          <w:tab w:leader="none" w:pos="3020" w:val="left"/>
          <w:tab w:leader="none" w:pos="34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6"/>
          <w:szCs w:val="16"/>
          <w:color w:val="auto"/>
        </w:rPr>
        <w:t>(three months prior to the maturity date).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a Primary Treasury Dealer (as defined below) appointed by us.</w:t>
      </w:r>
    </w:p>
    <w:p>
      <w:pPr>
        <w:spacing w:after="0" w:line="225"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J.P. Morgan Securities LLC, BNP Paribas Securities Corp., Merrill Lynch, Pierce, Fenner &amp; Smith Incorporated and Wells Fargo Securities, LLC, each a primary U.S. Government securities dealer in the United States (a "Primary Treasury Dealer"), or their respective successors; provided, however, if any of the foregoing ceases to be a Primary Treasury Dealer, we shall substitute another Primary Treasury Dealer.</w:t>
      </w:r>
    </w:p>
    <w:p>
      <w:pPr>
        <w:spacing w:after="0" w:line="181"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20" w:firstLine="351"/>
        <w:spacing w:after="0" w:line="275"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date of redemption, interest will cease to accrue on the Notes or portions thereof called for redemption.</w:t>
      </w:r>
    </w:p>
    <w:p>
      <w:pPr>
        <w:spacing w:after="0" w:line="174"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On or before a redemption date, we will deposit with a paying agent (or with the trustee) sufficient money to pay the redemption price and accrued interest on the Notes to be redeemed.</w:t>
      </w:r>
    </w:p>
    <w:p>
      <w:pPr>
        <w:spacing w:after="0" w:line="174" w:lineRule="exact"/>
        <w:rPr>
          <w:sz w:val="20"/>
          <w:szCs w:val="20"/>
          <w:color w:val="auto"/>
        </w:rPr>
      </w:pPr>
    </w:p>
    <w:p>
      <w:pPr>
        <w:ind w:right="720" w:firstLine="351"/>
        <w:spacing w:after="0" w:line="275" w:lineRule="auto"/>
        <w:rPr>
          <w:sz w:val="20"/>
          <w:szCs w:val="20"/>
          <w:color w:val="auto"/>
        </w:rPr>
      </w:pPr>
      <w:r>
        <w:rPr>
          <w:rFonts w:ascii="Times New Roman" w:cs="Times New Roman" w:eastAsia="Times New Roman" w:hAnsi="Times New Roman"/>
          <w:sz w:val="18"/>
          <w:szCs w:val="18"/>
          <w:color w:val="auto"/>
        </w:rPr>
        <w:t>If less than all of the Notes are to be redeemed at any time, the trustee will select Notes (or any portion of Notes in integral multiples of $1,000) for redemption as follows:</w:t>
      </w:r>
    </w:p>
    <w:p>
      <w:pPr>
        <w:spacing w:after="0" w:line="187"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listed, in compliance with the requirements of the principal national securities exchange on which such Notes are listed; or</w:t>
      </w:r>
    </w:p>
    <w:p>
      <w:pPr>
        <w:spacing w:after="0" w:line="252"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not so listed or there are no such requirements, on a pro rata basis, by lot or by such method as the trustee shall deem fair and appropriate.</w:t>
      </w:r>
    </w:p>
    <w:p>
      <w:pPr>
        <w:spacing w:after="0" w:line="174" w:lineRule="exact"/>
        <w:rPr>
          <w:sz w:val="20"/>
          <w:szCs w:val="20"/>
          <w:color w:val="auto"/>
        </w:rPr>
      </w:pPr>
    </w:p>
    <w:p>
      <w:pPr>
        <w:jc w:val="both"/>
        <w:ind w:right="240" w:firstLine="351"/>
        <w:spacing w:after="0" w:line="310" w:lineRule="auto"/>
        <w:rPr>
          <w:sz w:val="20"/>
          <w:szCs w:val="20"/>
          <w:color w:val="auto"/>
        </w:rPr>
      </w:pPr>
      <w:r>
        <w:rPr>
          <w:rFonts w:ascii="Times New Roman" w:cs="Times New Roman" w:eastAsia="Times New Roman" w:hAnsi="Times New Roman"/>
          <w:sz w:val="16"/>
          <w:szCs w:val="16"/>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239"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any premium on any Note at maturity, upon redemption or otherwise;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60 days in the payment when due of interest on any Note;</w:t>
      </w:r>
    </w:p>
    <w:p>
      <w:pPr>
        <w:spacing w:after="0" w:line="252" w:lineRule="exact"/>
        <w:rPr>
          <w:rFonts w:ascii="Times New Roman" w:cs="Times New Roman" w:eastAsia="Times New Roman" w:hAnsi="Times New Roman"/>
          <w:sz w:val="18"/>
          <w:szCs w:val="18"/>
          <w:color w:val="auto"/>
        </w:rPr>
      </w:pPr>
    </w:p>
    <w:p>
      <w:pPr>
        <w:ind w:left="1080" w:right="40" w:hanging="532"/>
        <w:spacing w:after="0" w:line="310" w:lineRule="auto"/>
        <w:tabs>
          <w:tab w:leader="none" w:pos="10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164" w:lineRule="exact"/>
        <w:rPr>
          <w:rFonts w:ascii="Times New Roman" w:cs="Times New Roman" w:eastAsia="Times New Roman" w:hAnsi="Times New Roman"/>
          <w:sz w:val="16"/>
          <w:szCs w:val="16"/>
          <w:color w:val="auto"/>
        </w:rPr>
      </w:pPr>
    </w:p>
    <w:p>
      <w:pPr>
        <w:jc w:val="both"/>
        <w:ind w:left="1080" w:right="120" w:hanging="532"/>
        <w:spacing w:after="0" w:line="287" w:lineRule="auto"/>
        <w:tabs>
          <w:tab w:leader="none" w:pos="10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principal of or premium, if any, or interest on such debt prior to the expiration of any grace period provided in such debt (a "Payment Default"), or</w:t>
      </w:r>
    </w:p>
    <w:p>
      <w:pPr>
        <w:spacing w:after="0" w:line="32" w:lineRule="exact"/>
        <w:rPr>
          <w:sz w:val="20"/>
          <w:szCs w:val="20"/>
          <w:color w:val="auto"/>
        </w:rPr>
      </w:pPr>
    </w:p>
    <w:p>
      <w:pPr>
        <w:ind w:left="1080"/>
        <w:spacing w:after="0" w:line="252" w:lineRule="auto"/>
        <w:rPr>
          <w:sz w:val="20"/>
          <w:szCs w:val="20"/>
          <w:color w:val="auto"/>
        </w:rPr>
      </w:pPr>
      <w:r>
        <w:rPr>
          <w:rFonts w:ascii="Times New Roman" w:cs="Times New Roman" w:eastAsia="Times New Roman" w:hAnsi="Times New Roman"/>
          <w:sz w:val="18"/>
          <w:szCs w:val="18"/>
          <w:color w:val="auto"/>
        </w:rPr>
        <w:t>(y)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209" w:lineRule="exact"/>
        <w:rPr>
          <w:sz w:val="20"/>
          <w:szCs w:val="20"/>
          <w:color w:val="auto"/>
        </w:rPr>
      </w:pPr>
    </w:p>
    <w:p>
      <w:pPr>
        <w:ind w:left="1080" w:right="6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 bankruptcy, insolvency or reorganization of us or, if and so long as the Notes are guaranteed by a subsidiary guarantor, by such subsidiary guarantor; 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are guaranteed by a subsidiary guarantor: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ind w:right="20" w:firstLine="341"/>
        <w:spacing w:after="0" w:line="256" w:lineRule="auto"/>
        <w:rPr>
          <w:sz w:val="20"/>
          <w:szCs w:val="20"/>
          <w:color w:val="auto"/>
        </w:rPr>
      </w:pPr>
      <w:r>
        <w:rPr>
          <w:rFonts w:ascii="Times New Roman" w:cs="Times New Roman" w:eastAsia="Times New Roman" w:hAnsi="Times New Roman"/>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93"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93"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7"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213"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in the case of a merger, or the surviving Person: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right="280" w:hanging="532"/>
        <w:spacing w:after="0" w:line="26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99" w:lineRule="exact"/>
        <w:rPr>
          <w:rFonts w:ascii="Times New Roman" w:cs="Times New Roman" w:eastAsia="Times New Roman" w:hAnsi="Times New Roman"/>
          <w:sz w:val="18"/>
          <w:szCs w:val="18"/>
          <w:color w:val="auto"/>
        </w:rPr>
      </w:pPr>
    </w:p>
    <w:p>
      <w:pPr>
        <w:jc w:val="both"/>
        <w:ind w:left="1620" w:right="40" w:hanging="532"/>
        <w:spacing w:after="0" w:line="26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or series of transactions, no Default or Event of Default has occurred and is continuing;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line="26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213"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86"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200"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other provisions with respect to the redemption of any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w:t>
      </w:r>
    </w:p>
    <w:p>
      <w:pPr>
        <w:spacing w:after="0" w:line="238"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security that may have been granted with respect to the Notes;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currency other than that stated in the Notes;</w:t>
      </w:r>
    </w:p>
    <w:p>
      <w:pPr>
        <w:spacing w:after="0" w:line="238"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225"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Notwithstanding the preceding paragraph, without the consent of any holder of Notes, we, any subsidiary guarantors and the trustee may amend or supplement the Indenture or the Notes:</w:t>
      </w:r>
    </w:p>
    <w:p>
      <w:pPr>
        <w:spacing w:after="0" w:line="201"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52"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subsidiary guarantors as permitted pursuant to the terms of the Indenture (see "—Possible Future Guarantees");</w:t>
      </w:r>
    </w:p>
    <w:p>
      <w:pPr>
        <w:spacing w:after="0" w:line="238"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and/or any guarantees;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under the Base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229" w:lineRule="exact"/>
        <w:rPr>
          <w:sz w:val="20"/>
          <w:szCs w:val="20"/>
          <w:color w:val="auto"/>
        </w:rPr>
      </w:pPr>
    </w:p>
    <w:p>
      <w:pPr>
        <w:jc w:val="both"/>
        <w:ind w:right="60" w:firstLine="348"/>
        <w:spacing w:after="0" w:line="258" w:lineRule="auto"/>
        <w:rPr>
          <w:sz w:val="20"/>
          <w:szCs w:val="20"/>
          <w:color w:val="auto"/>
        </w:rPr>
      </w:pPr>
      <w:r>
        <w:rPr>
          <w:rFonts w:ascii="Times New Roman" w:cs="Times New Roman" w:eastAsia="Times New Roman" w:hAnsi="Times New Roman"/>
          <w:sz w:val="18"/>
          <w:szCs w:val="18"/>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204"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52"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99"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99" w:lineRule="exact"/>
        <w:rPr>
          <w:rFonts w:ascii="Times New Roman" w:cs="Times New Roman" w:eastAsia="Times New Roman" w:hAnsi="Times New Roman"/>
          <w:sz w:val="18"/>
          <w:szCs w:val="18"/>
          <w:color w:val="auto"/>
        </w:rPr>
      </w:pPr>
    </w:p>
    <w:p>
      <w:pPr>
        <w:ind w:left="1080" w:right="200" w:hanging="532"/>
        <w:spacing w:after="0" w:line="26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213"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 Person existing thereon at the time such Person becomes a Restricted Subsidiary by acquisition, merger or otherwise; provided, however, that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such lien only encumbers the property or assets of such Person at the time such Person becomes a Restricted Subsidiary;</w:t>
      </w:r>
    </w:p>
    <w:p>
      <w:pPr>
        <w:spacing w:after="0" w:line="239" w:lineRule="exact"/>
        <w:rPr>
          <w:sz w:val="20"/>
          <w:szCs w:val="20"/>
          <w:color w:val="auto"/>
        </w:rPr>
      </w:pPr>
    </w:p>
    <w:p>
      <w:pPr>
        <w:ind w:left="1080" w:right="18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6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199"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206"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our debt or debt of any Restricted Subsidiary.</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Sale-Leasebacks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not, and will not permit any Subsidiary to, engage in a Sale-leaseback Transaction, unless:</w:t>
      </w:r>
    </w:p>
    <w:p>
      <w:pPr>
        <w:spacing w:after="0" w:line="252" w:lineRule="exact"/>
        <w:rPr>
          <w:sz w:val="20"/>
          <w:szCs w:val="20"/>
          <w:color w:val="auto"/>
        </w:rPr>
      </w:pPr>
    </w:p>
    <w:p>
      <w:pPr>
        <w:ind w:left="1080" w:right="120" w:hanging="532"/>
        <w:spacing w:after="0" w:line="26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involves a lease for a period, including renewals, of not more than three years;</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20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"—Limitations on Liens," does not exceed 10% of Consolidated Net Tangible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93"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227" w:lineRule="exact"/>
        <w:rPr>
          <w:sz w:val="20"/>
          <w:szCs w:val="20"/>
          <w:color w:val="auto"/>
        </w:rPr>
      </w:pPr>
    </w:p>
    <w:p>
      <w:pPr>
        <w:ind w:right="280" w:firstLine="341"/>
        <w:spacing w:after="0" w:line="262" w:lineRule="auto"/>
        <w:rPr>
          <w:sz w:val="20"/>
          <w:szCs w:val="20"/>
          <w:color w:val="auto"/>
        </w:rPr>
      </w:pPr>
      <w:r>
        <w:rPr>
          <w:rFonts w:ascii="Times New Roman" w:cs="Times New Roman" w:eastAsia="Times New Roman" w:hAnsi="Times New Roman"/>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86" w:lineRule="exact"/>
        <w:rPr>
          <w:sz w:val="20"/>
          <w:szCs w:val="20"/>
          <w:color w:val="auto"/>
        </w:rPr>
      </w:pPr>
    </w:p>
    <w:p>
      <w:pPr>
        <w:ind w:right="140" w:firstLine="341"/>
        <w:spacing w:after="0" w:line="262" w:lineRule="auto"/>
        <w:rPr>
          <w:sz w:val="20"/>
          <w:szCs w:val="20"/>
          <w:color w:val="auto"/>
        </w:rPr>
      </w:pPr>
      <w:r>
        <w:rPr>
          <w:rFonts w:ascii="Times New Roman" w:cs="Times New Roman" w:eastAsia="Times New Roman" w:hAnsi="Times New Roman"/>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86" w:lineRule="exact"/>
        <w:rPr>
          <w:sz w:val="20"/>
          <w:szCs w:val="20"/>
          <w:color w:val="auto"/>
        </w:rPr>
      </w:pPr>
    </w:p>
    <w:p>
      <w:pPr>
        <w:ind w:right="440" w:firstLine="348"/>
        <w:spacing w:after="0" w:line="275"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74" w:lineRule="exact"/>
        <w:rPr>
          <w:sz w:val="20"/>
          <w:szCs w:val="20"/>
          <w:color w:val="auto"/>
        </w:rPr>
      </w:pPr>
    </w:p>
    <w:p>
      <w:pPr>
        <w:ind w:right="60" w:firstLine="351"/>
        <w:spacing w:after="0" w:line="293" w:lineRule="auto"/>
        <w:rPr>
          <w:sz w:val="20"/>
          <w:szCs w:val="20"/>
          <w:color w:val="auto"/>
        </w:rPr>
      </w:pPr>
      <w:r>
        <w:rPr>
          <w:rFonts w:ascii="Times New Roman" w:cs="Times New Roman" w:eastAsia="Times New Roman" w:hAnsi="Times New Roman"/>
          <w:sz w:val="16"/>
          <w:szCs w:val="16"/>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65"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74"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74"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187"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all outstanding Notes to the trustee for cancellation; or</w:t>
      </w:r>
    </w:p>
    <w:p>
      <w:pPr>
        <w:spacing w:after="0" w:line="252"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comply with the other requirements of the Indenture in relation to satisfaction and discharge.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Indebtedness</w:t>
      </w:r>
      <w:r>
        <w:rPr>
          <w:rFonts w:ascii="Times New Roman" w:cs="Times New Roman" w:eastAsia="Times New Roman" w:hAnsi="Times New Roman"/>
          <w:sz w:val="18"/>
          <w:szCs w:val="18"/>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92"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81"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Interests</w:t>
      </w:r>
      <w:r>
        <w:rPr>
          <w:rFonts w:ascii="Times New Roman" w:cs="Times New Roman" w:eastAsia="Times New Roman" w:hAnsi="Times New Roman"/>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after deducting therefrom:</w:t>
      </w:r>
    </w:p>
    <w:p>
      <w:pPr>
        <w:spacing w:after="0" w:line="227" w:lineRule="exact"/>
        <w:rPr>
          <w:sz w:val="20"/>
          <w:szCs w:val="20"/>
          <w:color w:val="auto"/>
        </w:rPr>
      </w:pPr>
    </w:p>
    <w:p>
      <w:pPr>
        <w:ind w:left="1240" w:hanging="341"/>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w:t>
      </w:r>
    </w:p>
    <w:p>
      <w:pPr>
        <w:spacing w:after="0" w:line="225" w:lineRule="exact"/>
        <w:rPr>
          <w:rFonts w:ascii="Times New Roman" w:cs="Times New Roman" w:eastAsia="Times New Roman" w:hAnsi="Times New Roman"/>
          <w:sz w:val="18"/>
          <w:szCs w:val="18"/>
          <w:color w:val="auto"/>
        </w:rPr>
      </w:pPr>
    </w:p>
    <w:p>
      <w:pPr>
        <w:ind w:left="1080" w:right="100" w:firstLine="360"/>
        <w:spacing w:after="0" w:line="275" w:lineRule="auto"/>
        <w:tabs>
          <w:tab w:leader="none" w:pos="175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73"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of long-term debt;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  the amount, net of any applicable reserves, of all goodwill, trade names, trademarks, patents and other like intangible assets,</w:t>
      </w:r>
    </w:p>
    <w:p>
      <w:pPr>
        <w:spacing w:after="0" w:line="225"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right="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Funded Debt</w:t>
      </w:r>
      <w:r>
        <w:rPr>
          <w:rFonts w:ascii="Times New Roman" w:cs="Times New Roman" w:eastAsia="Times New Roman" w:hAnsi="Times New Roman"/>
          <w:sz w:val="18"/>
          <w:szCs w:val="18"/>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date on which the Notes are initially issued.</w:t>
      </w:r>
    </w:p>
    <w:p>
      <w:pPr>
        <w:spacing w:after="0" w:line="225"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Managing General Partner</w:t>
      </w:r>
      <w:r>
        <w:rPr>
          <w:rFonts w:ascii="Times New Roman" w:cs="Times New Roman" w:eastAsia="Times New Roman" w:hAnsi="Times New Roman"/>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87" w:lineRule="exact"/>
        <w:rPr>
          <w:sz w:val="20"/>
          <w:szCs w:val="20"/>
          <w:color w:val="auto"/>
        </w:rPr>
      </w:pPr>
    </w:p>
    <w:p>
      <w:pPr>
        <w:jc w:val="both"/>
        <w:ind w:right="20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Debt</w:t>
      </w:r>
      <w:r>
        <w:rPr>
          <w:rFonts w:ascii="Times New Roman" w:cs="Times New Roman" w:eastAsia="Times New Roman" w:hAnsi="Times New Roman"/>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240" w:hanging="341"/>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225" w:lineRule="exact"/>
        <w:rPr>
          <w:rFonts w:ascii="Times New Roman" w:cs="Times New Roman" w:eastAsia="Times New Roman" w:hAnsi="Times New Roman"/>
          <w:sz w:val="18"/>
          <w:szCs w:val="18"/>
          <w:color w:val="auto"/>
        </w:rPr>
      </w:pPr>
    </w:p>
    <w:p>
      <w:pPr>
        <w:ind w:left="540" w:right="240" w:firstLine="359"/>
        <w:spacing w:after="0" w:line="262" w:lineRule="auto"/>
        <w:tabs>
          <w:tab w:leader="none" w:pos="12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86" w:lineRule="exact"/>
        <w:rPr>
          <w:rFonts w:ascii="Times New Roman" w:cs="Times New Roman" w:eastAsia="Times New Roman" w:hAnsi="Times New Roman"/>
          <w:sz w:val="18"/>
          <w:szCs w:val="18"/>
          <w:color w:val="auto"/>
        </w:rPr>
      </w:pPr>
    </w:p>
    <w:p>
      <w:pPr>
        <w:ind w:left="540" w:right="180" w:firstLine="359"/>
        <w:spacing w:after="0" w:line="275" w:lineRule="auto"/>
        <w:tabs>
          <w:tab w:leader="none" w:pos="12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73" w:lineRule="exact"/>
        <w:rPr>
          <w:rFonts w:ascii="Times New Roman" w:cs="Times New Roman" w:eastAsia="Times New Roman" w:hAnsi="Times New Roman"/>
          <w:sz w:val="18"/>
          <w:szCs w:val="18"/>
          <w:color w:val="auto"/>
        </w:rPr>
      </w:pPr>
    </w:p>
    <w:p>
      <w:pPr>
        <w:ind w:left="540" w:right="100" w:firstLine="359"/>
        <w:spacing w:after="0" w:line="275" w:lineRule="auto"/>
        <w:tabs>
          <w:tab w:leader="none" w:pos="12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73"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 other than capital leases;</w:t>
      </w:r>
    </w:p>
    <w:p>
      <w:pPr>
        <w:spacing w:after="0" w:line="225" w:lineRule="exact"/>
        <w:rPr>
          <w:rFonts w:ascii="Times New Roman" w:cs="Times New Roman" w:eastAsia="Times New Roman" w:hAnsi="Times New Roman"/>
          <w:sz w:val="18"/>
          <w:szCs w:val="18"/>
          <w:color w:val="auto"/>
        </w:rPr>
      </w:pPr>
    </w:p>
    <w:p>
      <w:pPr>
        <w:ind w:left="540" w:right="440" w:firstLine="359"/>
        <w:spacing w:after="0" w:line="275" w:lineRule="auto"/>
        <w:tabs>
          <w:tab w:leader="none" w:pos="12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in favor of any surety company or clerk of court for the purpose of obtaining indemnity or stay of judicial proceedings;</w:t>
      </w:r>
    </w:p>
    <w:p>
      <w:pPr>
        <w:spacing w:after="0" w:line="173" w:lineRule="exact"/>
        <w:rPr>
          <w:rFonts w:ascii="Times New Roman" w:cs="Times New Roman" w:eastAsia="Times New Roman" w:hAnsi="Times New Roman"/>
          <w:sz w:val="18"/>
          <w:szCs w:val="18"/>
          <w:color w:val="auto"/>
        </w:rPr>
      </w:pPr>
    </w:p>
    <w:p>
      <w:pPr>
        <w:ind w:left="540" w:right="420" w:firstLine="359"/>
        <w:spacing w:after="0" w:line="275" w:lineRule="auto"/>
        <w:tabs>
          <w:tab w:leader="none" w:pos="12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property or assets acquired or sold by us or any Restricted Subsidiary resulting from the exercise of any rights arising out of defaults on receivables;</w:t>
      </w:r>
    </w:p>
    <w:p>
      <w:pPr>
        <w:spacing w:after="0" w:line="173" w:lineRule="exact"/>
        <w:rPr>
          <w:rFonts w:ascii="Times New Roman" w:cs="Times New Roman" w:eastAsia="Times New Roman" w:hAnsi="Times New Roman"/>
          <w:sz w:val="18"/>
          <w:szCs w:val="18"/>
          <w:color w:val="auto"/>
        </w:rPr>
      </w:pPr>
    </w:p>
    <w:p>
      <w:pPr>
        <w:ind w:left="540" w:right="120" w:firstLine="359"/>
        <w:spacing w:after="0" w:line="275" w:lineRule="auto"/>
        <w:tabs>
          <w:tab w:leader="none" w:pos="12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73"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us or any Restricted Subsidiary;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40" w:firstLine="359"/>
        <w:spacing w:after="0" w:line="258" w:lineRule="auto"/>
        <w:tabs>
          <w:tab w:leader="none" w:pos="12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industrial development, pollution control or similar revenue bonds;</w:t>
      </w:r>
    </w:p>
    <w:p>
      <w:pPr>
        <w:spacing w:after="0" w:line="225" w:lineRule="exact"/>
        <w:rPr>
          <w:rFonts w:ascii="Times New Roman" w:cs="Times New Roman" w:eastAsia="Times New Roman" w:hAnsi="Times New Roman"/>
          <w:sz w:val="18"/>
          <w:szCs w:val="18"/>
          <w:color w:val="auto"/>
        </w:rPr>
      </w:pPr>
    </w:p>
    <w:p>
      <w:pPr>
        <w:ind w:left="540" w:right="100" w:firstLine="359"/>
        <w:spacing w:after="0" w:line="255" w:lineRule="auto"/>
        <w:tabs>
          <w:tab w:leader="none" w:pos="12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193" w:lineRule="exact"/>
        <w:rPr>
          <w:rFonts w:ascii="Times New Roman" w:cs="Times New Roman" w:eastAsia="Times New Roman" w:hAnsi="Times New Roman"/>
          <w:sz w:val="18"/>
          <w:szCs w:val="18"/>
          <w:color w:val="auto"/>
        </w:rPr>
      </w:pPr>
    </w:p>
    <w:p>
      <w:pPr>
        <w:ind w:left="540" w:right="460" w:firstLine="359"/>
        <w:spacing w:after="0" w:line="275" w:lineRule="auto"/>
        <w:tabs>
          <w:tab w:leader="none" w:pos="12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73"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to secure performance of bids, trade contracts, leases or statutory obligations;</w:t>
      </w:r>
    </w:p>
    <w:p>
      <w:pPr>
        <w:spacing w:after="0" w:line="225" w:lineRule="exact"/>
        <w:rPr>
          <w:rFonts w:ascii="Times New Roman" w:cs="Times New Roman" w:eastAsia="Times New Roman" w:hAnsi="Times New Roman"/>
          <w:sz w:val="18"/>
          <w:szCs w:val="18"/>
          <w:color w:val="auto"/>
        </w:rPr>
      </w:pPr>
    </w:p>
    <w:p>
      <w:pPr>
        <w:ind w:left="540" w:right="180" w:firstLine="359"/>
        <w:spacing w:after="0" w:line="258" w:lineRule="auto"/>
        <w:tabs>
          <w:tab w:leader="none" w:pos="12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90" w:lineRule="exact"/>
        <w:rPr>
          <w:rFonts w:ascii="Times New Roman" w:cs="Times New Roman" w:eastAsia="Times New Roman" w:hAnsi="Times New Roman"/>
          <w:sz w:val="18"/>
          <w:szCs w:val="18"/>
          <w:color w:val="auto"/>
        </w:rPr>
      </w:pPr>
    </w:p>
    <w:p>
      <w:pPr>
        <w:ind w:left="540" w:right="60" w:firstLine="359"/>
        <w:spacing w:after="0" w:line="258" w:lineRule="auto"/>
        <w:tabs>
          <w:tab w:leader="none" w:pos="12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90" w:lineRule="exact"/>
        <w:rPr>
          <w:rFonts w:ascii="Times New Roman" w:cs="Times New Roman" w:eastAsia="Times New Roman" w:hAnsi="Times New Roman"/>
          <w:sz w:val="18"/>
          <w:szCs w:val="18"/>
          <w:color w:val="auto"/>
        </w:rPr>
      </w:pPr>
    </w:p>
    <w:p>
      <w:pPr>
        <w:ind w:left="540" w:right="240" w:firstLine="359"/>
        <w:spacing w:after="0" w:line="301" w:lineRule="auto"/>
        <w:tabs>
          <w:tab w:leader="none" w:pos="122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57" w:lineRule="exact"/>
        <w:rPr>
          <w:rFonts w:ascii="Times New Roman" w:cs="Times New Roman" w:eastAsia="Times New Roman" w:hAnsi="Times New Roman"/>
          <w:sz w:val="16"/>
          <w:szCs w:val="16"/>
          <w:color w:val="auto"/>
        </w:rPr>
      </w:pPr>
    </w:p>
    <w:p>
      <w:pPr>
        <w:ind w:left="540" w:right="160" w:firstLine="359"/>
        <w:spacing w:after="0" w:line="275" w:lineRule="auto"/>
        <w:tabs>
          <w:tab w:leader="none" w:pos="12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duties to any municipality or public authority with respect to any lease, easement, right-of-way, license, franchise, privilege, permit or grant.</w:t>
      </w:r>
    </w:p>
    <w:p>
      <w:pPr>
        <w:spacing w:after="0" w:line="172"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whether owned or leased on the Issue Date or thereafter acquired:</w:t>
      </w:r>
    </w:p>
    <w:p>
      <w:pPr>
        <w:spacing w:after="0" w:line="227" w:lineRule="exact"/>
        <w:rPr>
          <w:sz w:val="20"/>
          <w:szCs w:val="20"/>
          <w:color w:val="auto"/>
        </w:rPr>
      </w:pPr>
    </w:p>
    <w:p>
      <w:pPr>
        <w:ind w:left="540" w:firstLine="359"/>
        <w:spacing w:after="0" w:line="262" w:lineRule="auto"/>
        <w:tabs>
          <w:tab w:leader="none" w:pos="12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86" w:lineRule="exact"/>
        <w:rPr>
          <w:rFonts w:ascii="Times New Roman" w:cs="Times New Roman" w:eastAsia="Times New Roman" w:hAnsi="Times New Roman"/>
          <w:sz w:val="18"/>
          <w:szCs w:val="18"/>
          <w:color w:val="auto"/>
        </w:rPr>
      </w:pPr>
    </w:p>
    <w:p>
      <w:pPr>
        <w:ind w:left="540" w:right="220" w:firstLine="359"/>
        <w:spacing w:after="0" w:line="256" w:lineRule="auto"/>
        <w:tabs>
          <w:tab w:leader="none" w:pos="12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91"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Plains All American Pipeline owning or leasing, directly or indirectly through ownership in another Subsidiary, any Principal Property.</w:t>
      </w:r>
    </w:p>
    <w:p>
      <w:pPr>
        <w:spacing w:after="0" w:line="170"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227" w:lineRule="exact"/>
        <w:rPr>
          <w:sz w:val="20"/>
          <w:szCs w:val="20"/>
          <w:color w:val="auto"/>
        </w:rPr>
      </w:pPr>
    </w:p>
    <w:p>
      <w:pPr>
        <w:ind w:left="540" w:right="40" w:firstLine="359"/>
        <w:spacing w:after="0" w:line="262" w:lineRule="auto"/>
        <w:tabs>
          <w:tab w:leader="none" w:pos="12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86" w:lineRule="exact"/>
        <w:rPr>
          <w:rFonts w:ascii="Times New Roman" w:cs="Times New Roman" w:eastAsia="Times New Roman" w:hAnsi="Times New Roman"/>
          <w:sz w:val="18"/>
          <w:szCs w:val="18"/>
          <w:color w:val="auto"/>
        </w:rPr>
      </w:pPr>
    </w:p>
    <w:p>
      <w:pPr>
        <w:ind w:left="540" w:right="100" w:firstLine="359"/>
        <w:spacing w:after="0" w:line="275" w:lineRule="auto"/>
        <w:tabs>
          <w:tab w:leader="none" w:pos="12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22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97" w:lineRule="exact"/>
        <w:rPr>
          <w:sz w:val="20"/>
          <w:szCs w:val="20"/>
          <w:color w:val="auto"/>
        </w:rPr>
      </w:pPr>
    </w:p>
    <w:p>
      <w:pPr>
        <w:ind w:right="100" w:firstLine="341"/>
        <w:spacing w:after="0" w:line="256"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93"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227" w:lineRule="exact"/>
        <w:rPr>
          <w:sz w:val="20"/>
          <w:szCs w:val="20"/>
          <w:color w:val="auto"/>
        </w:rPr>
      </w:pPr>
    </w:p>
    <w:p>
      <w:pPr>
        <w:ind w:right="60" w:firstLine="351"/>
        <w:spacing w:after="0" w:line="252" w:lineRule="auto"/>
        <w:rPr>
          <w:sz w:val="20"/>
          <w:szCs w:val="20"/>
          <w:color w:val="auto"/>
        </w:rPr>
      </w:pPr>
      <w:r>
        <w:rPr>
          <w:rFonts w:ascii="Times New Roman" w:cs="Times New Roman" w:eastAsia="Times New Roman" w:hAnsi="Times New Roman"/>
          <w:sz w:val="18"/>
          <w:szCs w:val="18"/>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Industry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90"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93"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91"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72" w:lineRule="exact"/>
        <w:rPr>
          <w:sz w:val="20"/>
          <w:szCs w:val="20"/>
          <w:color w:val="auto"/>
        </w:rPr>
      </w:pPr>
    </w:p>
    <w:p>
      <w:pPr>
        <w:ind w:right="120" w:firstLine="351"/>
        <w:spacing w:after="0" w:line="285" w:lineRule="auto"/>
        <w:rPr>
          <w:sz w:val="20"/>
          <w:szCs w:val="20"/>
          <w:color w:val="auto"/>
        </w:rPr>
      </w:pPr>
      <w:r>
        <w:rPr>
          <w:rFonts w:ascii="Times New Roman" w:cs="Times New Roman" w:eastAsia="Times New Roman" w:hAnsi="Times New Roman"/>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520" w:firstLine="8"/>
        <w:spacing w:after="0" w:line="261"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86"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91" w:lineRule="exact"/>
        <w:rPr>
          <w:sz w:val="20"/>
          <w:szCs w:val="20"/>
          <w:color w:val="auto"/>
        </w:rPr>
      </w:pPr>
    </w:p>
    <w:p>
      <w:pPr>
        <w:jc w:val="both"/>
        <w:ind w:right="2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6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93"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157"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Book Entry Notes for Certificated Notes</w:t>
      </w:r>
    </w:p>
    <w:p>
      <w:pPr>
        <w:spacing w:after="0" w:line="227" w:lineRule="exact"/>
        <w:rPr>
          <w:sz w:val="20"/>
          <w:szCs w:val="20"/>
          <w:color w:val="auto"/>
        </w:rPr>
      </w:pPr>
    </w:p>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192" w:lineRule="exact"/>
        <w:rPr>
          <w:sz w:val="20"/>
          <w:szCs w:val="20"/>
          <w:color w:val="auto"/>
        </w:rPr>
      </w:pPr>
    </w:p>
    <w:p>
      <w:pPr>
        <w:ind w:right="980" w:firstLine="351"/>
        <w:spacing w:after="0" w:line="275" w:lineRule="auto"/>
        <w:rPr>
          <w:sz w:val="20"/>
          <w:szCs w:val="20"/>
          <w:color w:val="auto"/>
        </w:rPr>
      </w:pPr>
      <w:r>
        <w:rPr>
          <w:rFonts w:ascii="Times New Roman" w:cs="Times New Roman" w:eastAsia="Times New Roman" w:hAnsi="Times New Roman"/>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18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of the United States;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subject to the alternative minimum tax;</w:t>
      </w:r>
    </w:p>
    <w:p>
      <w:pPr>
        <w:spacing w:after="0" w:line="238"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straddle transaction, hedging transaction, conversion transaction or other synthetic security" or integrated transaction;</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Notes under constructive sale provisions of the Code;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pass-through entities and holders of interests therein.</w:t>
      </w:r>
    </w:p>
    <w:p>
      <w:pPr>
        <w:spacing w:after="0" w:line="225"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In addition, the discussion does not consider the effect of U.S. federal estate tax laws or gift tax laws or of any applicable foreign, state, local or other tax laws or income tax treaties.</w:t>
      </w:r>
    </w:p>
    <w:p>
      <w:pPr>
        <w:spacing w:after="0" w:line="174"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are encouraged to consult their tax advisors about the U.S. federal income tax consequences of acquiring, owning and disposing of the Notes.</w:t>
      </w:r>
    </w:p>
    <w:p>
      <w:pPr>
        <w:spacing w:after="0" w:line="186"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PROSPECTIVE INVESTORS ARE ENCOURAGED TO CONSULT THEIR OWN TAX ADVISORS WITH REGARD TO THE APPLICATION OF THE TAX CONSEQUENCES DISCUSSED BELOW TO THEIR PARTICULAR SITUATIONS, AS WELL AS THE APPLICATION OF U.S. FEDERAL ESTATE OR GIFT TAX LAWS OR OF ANY STATE, LOCAL, FOREIGN OR OTHER TAX LAWS OR INCOME TAX TREATIES.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Additional Payments</w:t>
      </w:r>
    </w:p>
    <w:p>
      <w:pPr>
        <w:spacing w:after="0" w:line="227" w:lineRule="exact"/>
        <w:rPr>
          <w:sz w:val="20"/>
          <w:szCs w:val="20"/>
          <w:color w:val="auto"/>
        </w:rPr>
      </w:pPr>
    </w:p>
    <w:p>
      <w:pPr>
        <w:ind w:right="120" w:firstLine="351"/>
        <w:spacing w:after="0" w:line="296" w:lineRule="auto"/>
        <w:rPr>
          <w:sz w:val="20"/>
          <w:szCs w:val="20"/>
          <w:color w:val="auto"/>
        </w:rPr>
      </w:pPr>
      <w:r>
        <w:rPr>
          <w:rFonts w:ascii="Times New Roman" w:cs="Times New Roman" w:eastAsia="Times New Roman" w:hAnsi="Times New Roman"/>
          <w:sz w:val="16"/>
          <w:szCs w:val="16"/>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U.S. Holders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herein, a "U.S. Holder" means a beneficial owner of a Note that is:</w:t>
      </w:r>
    </w:p>
    <w:p>
      <w:pPr>
        <w:spacing w:after="0" w:line="239"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alien of the United States;</w:t>
      </w:r>
    </w:p>
    <w:p>
      <w:pPr>
        <w:spacing w:after="0" w:line="252"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or any political subdivision thereof;</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38"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229"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Notes</w:t>
      </w:r>
    </w:p>
    <w:p>
      <w:pPr>
        <w:spacing w:after="0" w:line="229"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Upon the sale, exchange, retirement, redemption or other taxable disposition of a Note, a U.S. Holder will generally recognize capital gain or loss equal to the difference, if any,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93"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under penalties of perjury, as well as certain other information</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229" w:lineRule="exact"/>
        <w:rPr>
          <w:sz w:val="20"/>
          <w:szCs w:val="20"/>
          <w:color w:val="auto"/>
        </w:rPr>
      </w:pPr>
    </w:p>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Non-U.S. Holders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herein, a "Non-U.S. Holder" means a beneficial owner of a Note that is an individual, corporation, estate or trust that is not a U.S. 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229"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below, the payment to a Non-U.S. Holder of interest on a Note generally will not be subject to U.S. federal income tax and will be exempt from withholding of U.S. federal income tax under the "portfolio interest" exemption provided that interest on the Note is not effectively connected with a U.S. trade or business conducted by the Non-U.S. Holder and the Non-U.S. Holder:</w:t>
      </w:r>
    </w:p>
    <w:p>
      <w:pPr>
        <w:spacing w:after="0" w:line="200"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actually or constructively own 10% or more of our capital or profits interests;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controlled foreign corporation for U.S. federal income tax purposes that is actually or constructively related to us;</w:t>
      </w:r>
    </w:p>
    <w:p>
      <w:pPr>
        <w:spacing w:after="0" w:line="238"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bank whose receipt of interest on the Note is in connection with an extension of credit made pursuant to a loan agreement entered into in the ordinary course of business;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certifies as to his foreign status as described below.</w:t>
      </w:r>
    </w:p>
    <w:p>
      <w:pPr>
        <w:spacing w:after="0" w:line="225"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portfolio interest exemption generally applies only if a Non-U.S. Holder appropriately certifies as to its foreign status. A Non-U.S. Holder can generally meet this certification requirement by providing a properly executed IRS Form W-8BEN or IRS Form W-8BEN-E (or applicable successor form) to the applicable withholding agent.</w:t>
      </w:r>
    </w:p>
    <w:p>
      <w:pPr>
        <w:spacing w:after="0" w:line="186"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93"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If a Non-U.S. Holder cannot satisfy the requirements described above, payments of interest made to the Non-U.S. Holder will be subject to a 30% U.S. federal withholding tax, unless the Non-U.S. Holder provides the applicable withholding agent with a properly executed IRS Form W-8BEN or IRS Form W-8BEN-E (or applicable successor form) claiming an exemption from or reduction of the rate of withholding under the benefit of an income tax treaty, or that the interest paid on the Note is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color w:val="auto"/>
        </w:rPr>
        <w:t>effectively connected with the Non-U.S. Holder's conduct of a trade or business in the United States and the Non-U.S. Holder satisfies the certification requirements described below. See "—Income or Gain Effectively Connected with a U.S. Trade or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Notes</w:t>
      </w:r>
    </w:p>
    <w:p>
      <w:pPr>
        <w:spacing w:after="0" w:line="229"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below, a Non-U.S. Holder generally will not be subject to U.S. federal income tax with respect to gain realized on the sale, exchange, retirement, redemption or other taxable disposition of a Note unless:</w:t>
      </w:r>
    </w:p>
    <w:p>
      <w:pPr>
        <w:spacing w:after="0" w:line="187" w:lineRule="exact"/>
        <w:rPr>
          <w:sz w:val="20"/>
          <w:szCs w:val="20"/>
          <w:color w:val="auto"/>
        </w:rPr>
      </w:pPr>
    </w:p>
    <w:p>
      <w:pPr>
        <w:ind w:left="1080" w:right="580" w:hanging="532"/>
        <w:spacing w:after="0" w:line="339" w:lineRule="auto"/>
        <w:tabs>
          <w:tab w:leader="none" w:pos="10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the conduct by the Non-U.S. Holder of a trade or business in the United States (and if required by an applicable income tax treaty, is attributable to a permanent establishment maintained in the United States by the Non-U.S. Holder); or</w:t>
      </w:r>
    </w:p>
    <w:p>
      <w:pPr>
        <w:spacing w:after="0" w:line="155" w:lineRule="exact"/>
        <w:rPr>
          <w:rFonts w:ascii="Times New Roman" w:cs="Times New Roman" w:eastAsia="Times New Roman" w:hAnsi="Times New Roman"/>
          <w:sz w:val="16"/>
          <w:szCs w:val="16"/>
          <w:color w:val="auto"/>
        </w:rPr>
      </w:pPr>
    </w:p>
    <w:p>
      <w:pPr>
        <w:ind w:left="1080" w:right="12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74" w:lineRule="exact"/>
        <w:rPr>
          <w:sz w:val="20"/>
          <w:szCs w:val="20"/>
          <w:color w:val="auto"/>
        </w:rPr>
      </w:pPr>
    </w:p>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U.S. source capital losses.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or Gain Effectively Connected with a U.S. Trade or Business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interest or gain on a Note is effectively connected with the conduct of such trade or business (and, if required by an applicable income tax treaty, such interest or gain is attributable to a permanent establishment such Non-U.S. Holder maintains in the United States), then the interest income or gain from the Note will generally be subject to U.S. federal income tax at regular graduated rates in the same manner as if that Non-U.S. Holder were a U.S. Holder. Effectively connected interest income will not be subject to U.S. federal withholding tax if the Non-U.S. Holder satisfies certain certification requirements by providing to the applicable withholding agent a properly executed IRS Form W-8ECI (or successor form). In addition, if the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For this purpose, interest received on a Note and gain recognized on the disposition of a Note will be included in earnings and profits if the interest or gain is effectively connected with the conduct by the Non-U.S. Holder of a U.S. trade or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Payments to a Non-U.S. Holder of interest on a Note, and amounts withheld from such payments, if any, generally will be required to be reported to the IRS and to the Non-U.S. Holder. Copies of these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86" w:lineRule="exact"/>
        <w:rPr>
          <w:sz w:val="20"/>
          <w:szCs w:val="20"/>
          <w:color w:val="auto"/>
        </w:rPr>
      </w:pPr>
    </w:p>
    <w:p>
      <w:pPr>
        <w:ind w:right="380" w:firstLine="351"/>
        <w:spacing w:after="0" w:line="339" w:lineRule="auto"/>
        <w:rPr>
          <w:sz w:val="20"/>
          <w:szCs w:val="20"/>
          <w:color w:val="auto"/>
        </w:rPr>
      </w:pPr>
      <w:r>
        <w:rPr>
          <w:rFonts w:ascii="Times New Roman" w:cs="Times New Roman" w:eastAsia="Times New Roman" w:hAnsi="Times New Roman"/>
          <w:sz w:val="16"/>
          <w:szCs w:val="16"/>
          <w:color w:val="auto"/>
        </w:rPr>
        <w:t>Backup withholding generally will not apply to payments of interest and principal on a Note to a Non-U.S. Holder if the certification described in "U.S. Federal Income Taxation of Non-U.S. Holders—Interest on the Notes" is duly provided by the holder or the holder otherwise establishes an exemption,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applicable withholding agent does not have actual knowledge or reason to know that the holder is a United States person.</w:t>
      </w:r>
    </w:p>
    <w:p>
      <w:pPr>
        <w:spacing w:after="0" w:line="225" w:lineRule="exact"/>
        <w:rPr>
          <w:sz w:val="20"/>
          <w:szCs w:val="20"/>
          <w:color w:val="auto"/>
        </w:rPr>
      </w:pPr>
    </w:p>
    <w:p>
      <w:pPr>
        <w:ind w:right="40" w:firstLine="351"/>
        <w:spacing w:after="0" w:line="293" w:lineRule="auto"/>
        <w:rPr>
          <w:sz w:val="20"/>
          <w:szCs w:val="20"/>
          <w:color w:val="auto"/>
        </w:rPr>
      </w:pPr>
      <w:r>
        <w:rPr>
          <w:rFonts w:ascii="Times New Roman" w:cs="Times New Roman" w:eastAsia="Times New Roman" w:hAnsi="Times New Roman"/>
          <w:sz w:val="16"/>
          <w:szCs w:val="16"/>
          <w:color w:val="auto"/>
        </w:rPr>
        <w:t>Payment of the proceeds from a disposition of a Note effected by the U.S. office of a U.S. or foreign broker will be subject to information reporting requirements and backup withholding unless the Non-U.S. Holder 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178"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person;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person that derives 50% or more of its gross income for certain periods from the conduct of a trade or business in the United States;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for U.S. federal income tax purposes; or</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7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from payments to a Non-U.S. Holder under the backup withholding rules is allowable as a credit against such holder's U.S. federal income tax liability, if any, and a refund of any excess may be obtained from the IRS if the required information or appropriate claim form is timely provided to the IRS.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on Payments to Certain Foreign Entities</w:t>
      </w:r>
    </w:p>
    <w:p>
      <w:pPr>
        <w:spacing w:after="0" w:line="227"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(referred to as "FATCA") impose a 30% U.S. federal withholding tax on payments of interest on the Notes and on the gross proceeds from the sale or other disposition of the Notes (if such sale or other disposition occurs after December 31, 2018),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implications of FATCA on an investment in the Notes.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PRECEDING DISCUSSION OF MATERIAL U.S. FEDERAL INCOME TAX CONSEQUENCES IS FOR GENERAL INFORMATION ONLY AND IS NOT TAX ADVICE. EACH PROSPECTIVE INVESTOR IS ENCOURAGED TO CONSULT ITS OWN TAX ADVISOR REGARDING THE PARTICULAR U.S. FEDERAL, STATE, LOCAL AND FOREIGN TAX CONSEQUENCES OF PURCHASING, HOLDING AND DISPOSING OF THE NOTES, INCLUDING THE CONSEQUENCES OF ANY PROPOSED CHANGE IN APPLICABLE LAWS.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the date of this prospectus supplement, between us and the underwriters named below, we have agreed to sell to each of the underwriters, for whom J.P. Morgan Securities LLC, BNP Paribas Securities Corp., Merrill Lynch, Pierce, Fenner &amp; Smith Incorporated and Wells Fargo Securities, LLC are acting as representatives, and the underwriters have agreed, severally and not jointly, to purchase the principal amount of the Notes set forth opposite their respective names below:</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0" w:type="dxa"/>
            <w:vAlign w:val="bottom"/>
          </w:tcPr>
          <w:p>
            <w:pPr>
              <w:spacing w:after="0"/>
              <w:rPr>
                <w:sz w:val="1"/>
                <w:szCs w:val="1"/>
                <w:color w:val="auto"/>
              </w:rPr>
            </w:pPr>
          </w:p>
        </w:tc>
      </w:tr>
      <w:tr>
        <w:trPr>
          <w:trHeight w:val="165"/>
        </w:trPr>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92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2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Incorporated</w:t>
            </w:r>
          </w:p>
        </w:tc>
        <w:tc>
          <w:tcPr>
            <w:tcW w:w="2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underwriters propose initially to offer the Notes to the public at the public offering price set forth on the cover page of this prospectus supplement and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offer the Notes to certain dealers at such price less a concession not in excess of</w:t>
            </w:r>
          </w:p>
        </w:tc>
        <w:tc>
          <w:tcPr>
            <w:tcW w:w="51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6"/>
              </w:rPr>
              <w:t>% of the principal amount of the Notes. The underwriters may allow a</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not in excess of</w:t>
            </w:r>
          </w:p>
        </w:tc>
        <w:tc>
          <w:tcPr>
            <w:tcW w:w="942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w w:val="98"/>
              </w:rPr>
              <w:t>% of the principal amount of the Notes, on sales to certain other brokers and dealers. After this initial public offering, the public</w:t>
            </w:r>
          </w:p>
        </w:tc>
      </w:tr>
      <w:tr>
        <w:trPr>
          <w:trHeight w:val="228"/>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offering price, concession and discount may be changed.</w:t>
            </w:r>
          </w:p>
        </w:tc>
        <w:tc>
          <w:tcPr>
            <w:tcW w:w="2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2"/>
        </w:trPr>
        <w:tc>
          <w:tcPr>
            <w:tcW w:w="112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compensation to be paid by us to the underwriters.</w:t>
            </w:r>
          </w:p>
        </w:tc>
      </w:tr>
      <w:tr>
        <w:trPr>
          <w:trHeight w:val="350"/>
        </w:trPr>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4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5"/>
              </w:rPr>
              <w:t>Underwriting</w:t>
            </w:r>
          </w:p>
        </w:tc>
      </w:tr>
      <w:tr>
        <w:trPr>
          <w:trHeight w:val="165"/>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Discount</w:t>
            </w:r>
          </w:p>
        </w:tc>
        <w:tc>
          <w:tcPr>
            <w:tcW w:w="170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3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40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 will be approximately $1.5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 and Short Positions</w:t>
      </w:r>
    </w:p>
    <w:p>
      <w:pPr>
        <w:spacing w:after="0" w:line="227"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86"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227" w:lineRule="exact"/>
        <w:rPr>
          <w:sz w:val="20"/>
          <w:szCs w:val="20"/>
          <w:color w:val="auto"/>
        </w:rPr>
      </w:pPr>
    </w:p>
    <w:p>
      <w:pPr>
        <w:ind w:right="140" w:firstLine="348"/>
        <w:spacing w:after="0" w:line="257"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November , 2016, which is the business day following the date of pricing of the Notes (such settlement being referred to as "T+ "). Under Rule 15c6-1 of the Exchange Act, trades in the secondary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generally are required to settle in three business days unless the parties to any such trade expressly agree otherwise. Accordingly, purchasers who wish to trade the</w:t>
      </w:r>
    </w:p>
    <w:p>
      <w:pPr>
        <w:spacing w:after="0" w:line="388"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239" w:lineRule="exact"/>
        <w:rPr>
          <w:sz w:val="20"/>
          <w:szCs w:val="20"/>
          <w:color w:val="auto"/>
        </w:rPr>
      </w:pPr>
    </w:p>
    <w:p>
      <w:pPr>
        <w:ind w:left="1080" w:hanging="532"/>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is a person whose ordinary activities involve it in acquiring, holding, managing or disposing of investments (as principal or agent) for the purposes of its business and (ii) it has not offered or sold and will not offer or sell the Notes other than to persons whose ordinary activities involve them in acquiring, holding, managing or disposing of investments (as principal or as agent) for the purposes of their businesses or who it is reasonable to expect will acquire, hold, manage or dispose of investments (as principal or agent) for the purposes of their businesses where the issue of the Notes would otherwise constitute a contravention of Section 19 of the FSMA by us;</w:t>
      </w:r>
    </w:p>
    <w:p>
      <w:pPr>
        <w:spacing w:after="0" w:line="219"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199"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Notes in, from or otherwise involving the United Kingdom.</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securities which are the subject to the offering contemplated by this prospectus supplement to the public in that Relevant Member State other than:</w:t>
      </w:r>
    </w:p>
    <w:p>
      <w:pPr>
        <w:spacing w:after="0" w:line="204"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52"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subject to obtaining the prior consent of the Dealer or Dealers nominated by us for any such offer;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no such offer of securities shall require us or any underwriter to publish a prospectus pursuant to Article 3 of the Prospectus Directive.</w:t>
      </w:r>
    </w:p>
    <w:p>
      <w:pPr>
        <w:spacing w:after="0" w:line="225"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securities to the public" in relation to any securities in any Relevant Member State means the communication in any form and by means of sufficient information on the terms of the offer and the securities to be offered so as to enable an investor to decide to purchase securities,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7" w:lineRule="exact"/>
        <w:rPr>
          <w:sz w:val="20"/>
          <w:szCs w:val="20"/>
          <w:color w:val="auto"/>
        </w:rPr>
      </w:pPr>
    </w:p>
    <w:p>
      <w:pPr>
        <w:ind w:right="240" w:firstLine="341"/>
        <w:spacing w:after="0" w:line="275" w:lineRule="auto"/>
        <w:rPr>
          <w:sz w:val="20"/>
          <w:szCs w:val="20"/>
          <w:color w:val="auto"/>
        </w:rPr>
      </w:pPr>
      <w:r>
        <w:rPr>
          <w:rFonts w:ascii="Times New Roman" w:cs="Times New Roman" w:eastAsia="Times New Roman" w:hAnsi="Times New Roman"/>
          <w:sz w:val="18"/>
          <w:szCs w:val="18"/>
          <w:color w:val="auto"/>
        </w:rPr>
        <w:t>Affiliates of certain underwriters are lenders under our senior unsecured revolving credit facility or dealers under our commercial paper program and may hold commercial paper notes thereunder. Accordingly, they may receive a portion of the net proceeds from this offering.</w:t>
      </w:r>
    </w:p>
    <w:p>
      <w:pPr>
        <w:spacing w:after="0" w:line="174"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In particular, affiliates of each of the underwriters are lenders under our credit facilities.</w:t>
      </w:r>
    </w:p>
    <w:p>
      <w:pPr>
        <w:spacing w:after="0" w:line="186"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7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25" w:right="77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200" w:firstLine="348"/>
        <w:spacing w:after="0" w:line="255"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207"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2015;</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for the quarterly periods ended March 31, 2016, June 30, 2016 and September 30, 2016; and</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filed with the SEC on January 19, 2016 (Series A preferred unit purchase agreement), February 2, 2016 (closing of Series A preferred offering), May 18, 2016 (indictment related to Santa Barbara County crude oil release), July 14, 2016 (simplification agreement), August 9, 2016 (recommencement of at-the-market offering program), August 17, 2016 (amendments to credit facilities) and August 31, 2016 (compensatory arrangements for certain officers).</w:t>
      </w:r>
    </w:p>
    <w:p>
      <w:pPr>
        <w:spacing w:after="0" w:line="190" w:lineRule="exact"/>
        <w:rPr>
          <w:sz w:val="20"/>
          <w:szCs w:val="20"/>
          <w:color w:val="auto"/>
        </w:rPr>
      </w:pPr>
    </w:p>
    <w:p>
      <w:pPr>
        <w:ind w:right="560" w:firstLine="345"/>
        <w:spacing w:after="0" w:line="275" w:lineRule="auto"/>
        <w:rPr>
          <w:sz w:val="20"/>
          <w:szCs w:val="20"/>
          <w:color w:val="auto"/>
        </w:rPr>
      </w:pPr>
      <w:r>
        <w:rPr>
          <w:rFonts w:ascii="Times New Roman" w:cs="Times New Roman" w:eastAsia="Times New Roman" w:hAnsi="Times New Roman"/>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213" w:lineRule="exact"/>
        <w:rPr>
          <w:sz w:val="20"/>
          <w:szCs w:val="20"/>
          <w:color w:val="auto"/>
        </w:rPr>
      </w:pPr>
    </w:p>
    <w:p>
      <w:pPr>
        <w:ind w:firstLine="341"/>
        <w:spacing w:after="0" w:line="310" w:lineRule="auto"/>
        <w:rPr>
          <w:sz w:val="20"/>
          <w:szCs w:val="20"/>
          <w:color w:val="auto"/>
        </w:rPr>
      </w:pPr>
      <w:r>
        <w:rPr>
          <w:rFonts w:ascii="Times New Roman" w:cs="Times New Roman" w:eastAsia="Times New Roman" w:hAnsi="Times New Roman"/>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45"/>
        <w:spacing w:after="0" w:line="262"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PAA FINANCE CORP.</w:t>
      </w:r>
    </w:p>
    <w:p>
      <w:pPr>
        <w:spacing w:after="0" w:line="18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4"/>
          <w:szCs w:val="24"/>
          <w:b w:val="1"/>
          <w:bCs w:val="1"/>
          <w:color w:val="auto"/>
        </w:rPr>
        <w:t>Common Units</w:t>
      </w:r>
    </w:p>
    <w:p>
      <w:pPr>
        <w:spacing w:after="0" w:line="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210" w:lineRule="exact"/>
        <w:rPr>
          <w:sz w:val="20"/>
          <w:szCs w:val="20"/>
          <w:color w:val="auto"/>
        </w:rPr>
      </w:pPr>
    </w:p>
    <w:p>
      <w:pPr>
        <w:jc w:val="both"/>
        <w:ind w:right="340" w:firstLine="348"/>
        <w:spacing w:after="0" w:line="262" w:lineRule="auto"/>
        <w:rPr>
          <w:sz w:val="20"/>
          <w:szCs w:val="20"/>
          <w:color w:val="auto"/>
        </w:rPr>
      </w:pPr>
      <w:r>
        <w:rPr>
          <w:rFonts w:ascii="Times New Roman" w:cs="Times New Roman" w:eastAsia="Times New Roman" w:hAnsi="Times New Roman"/>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86"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173" w:lineRule="exact"/>
        <w:rPr>
          <w:sz w:val="20"/>
          <w:szCs w:val="20"/>
          <w:color w:val="auto"/>
        </w:rPr>
      </w:pPr>
    </w:p>
    <w:p>
      <w:pPr>
        <w:ind w:right="20" w:firstLine="351"/>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units and the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85"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72"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4680" w:type="dxa"/>
            <w:vAlign w:val="bottom"/>
            <w:gridSpan w:val="16"/>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Table of Contents</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5"/>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About This Prospectus</w:t>
              </w:r>
            </w:hyperlink>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Where You Can Find More Information</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About Plains All American Pipeline, L.P.</w:t>
              </w:r>
            </w:hyperlink>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Risk Factors</w:t>
              </w:r>
            </w:hyperlink>
          </w:p>
        </w:tc>
        <w:tc>
          <w:tcPr>
            <w:tcW w:w="2040" w:type="dxa"/>
            <w:vAlign w:val="bottom"/>
            <w:gridSpan w:val="9"/>
          </w:tcPr>
          <w:p>
            <w:pPr>
              <w:spacing w:after="0"/>
              <w:rPr>
                <w:sz w:val="17"/>
                <w:szCs w:val="17"/>
                <w:color w:val="auto"/>
              </w:rPr>
            </w:pPr>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Use of Proceeds</w:t>
              </w:r>
            </w:hyperlink>
          </w:p>
        </w:tc>
        <w:tc>
          <w:tcPr>
            <w:tcW w:w="2380" w:type="dxa"/>
            <w:vAlign w:val="bottom"/>
            <w:gridSpan w:val="10"/>
          </w:tcPr>
          <w:p>
            <w:pPr>
              <w:spacing w:after="0"/>
              <w:rPr>
                <w:sz w:val="17"/>
                <w:szCs w:val="17"/>
                <w:color w:val="auto"/>
              </w:rPr>
            </w:pPr>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Ratio of Earnings to Fixed Charges</w:t>
              </w:r>
            </w:hyperlink>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Times New Roman" w:cs="Times New Roman" w:eastAsia="Times New Roman" w:hAnsi="Times New Roman"/>
                <w:sz w:val="18"/>
                <w:szCs w:val="18"/>
                <w:color w:val="0000EE"/>
                <w:w w:val="96"/>
              </w:rPr>
            </w:pPr>
            <w:hyperlink w:anchor="page55">
              <w:r>
                <w:rPr>
                  <w:rFonts w:ascii="Times New Roman" w:cs="Times New Roman" w:eastAsia="Times New Roman" w:hAnsi="Times New Roman"/>
                  <w:sz w:val="18"/>
                  <w:szCs w:val="18"/>
                  <w:color w:val="0000EE"/>
                  <w:w w:val="96"/>
                </w:rPr>
                <w:t>Description of Our Debt Securities</w:t>
              </w:r>
            </w:hyperlink>
          </w:p>
        </w:tc>
        <w:tc>
          <w:tcPr>
            <w:tcW w:w="1080" w:type="dxa"/>
            <w:vAlign w:val="bottom"/>
            <w:gridSpan w:val="5"/>
          </w:tcPr>
          <w:p>
            <w:pPr>
              <w:spacing w:after="0"/>
              <w:rPr>
                <w:sz w:val="17"/>
                <w:szCs w:val="17"/>
                <w:color w:val="auto"/>
              </w:rPr>
            </w:pPr>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64">
              <w:r>
                <w:rPr>
                  <w:rFonts w:ascii="Times New Roman" w:cs="Times New Roman" w:eastAsia="Times New Roman" w:hAnsi="Times New Roman"/>
                  <w:sz w:val="18"/>
                  <w:szCs w:val="18"/>
                  <w:color w:val="0000EE"/>
                  <w:w w:val="96"/>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15</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Cash Distribution Policy</w:t>
              </w:r>
            </w:hyperlink>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Description of Our Partnership Agreement</w:t>
              </w:r>
            </w:hyperlink>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24</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Plan of Distribution</w:t>
              </w:r>
            </w:hyperlink>
          </w:p>
        </w:tc>
        <w:tc>
          <w:tcPr>
            <w:tcW w:w="5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38</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9">
              <w:r>
                <w:rPr>
                  <w:rFonts w:ascii="Times New Roman" w:cs="Times New Roman" w:eastAsia="Times New Roman" w:hAnsi="Times New Roman"/>
                  <w:sz w:val="18"/>
                  <w:szCs w:val="18"/>
                  <w:color w:val="0000EE"/>
                  <w:w w:val="88"/>
                </w:rPr>
                <w:t>40</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Experts</w:t>
              </w:r>
            </w:hyperlink>
          </w:p>
        </w:tc>
        <w:tc>
          <w:tcPr>
            <w:tcW w:w="2560" w:type="dxa"/>
            <w:vAlign w:val="bottom"/>
            <w:gridSpan w:val="11"/>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41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7" w:lineRule="exact"/>
        <w:rPr>
          <w:sz w:val="20"/>
          <w:szCs w:val="20"/>
          <w:color w:val="auto"/>
        </w:rPr>
      </w:pPr>
    </w:p>
    <w:p>
      <w:pPr>
        <w:ind w:right="2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In making your investment decision, you should rely only on the information contained or incorporated by reference in this prospectus. We have not authorized anyone to provide you with additional or different information. If any other person provides you with additional, different or inconsistent information, you should not rely on it.</w:t>
      </w:r>
    </w:p>
    <w:p>
      <w:pPr>
        <w:spacing w:after="0" w:line="181"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4"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0"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2014;</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for the quarterly periods ended March 31, 2015 and June 30, 2015;</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filed on January 9, 2015, January 20, 2015, March 2, 2015, May 15, 2015, May 26, 2015, June 11, 2015, August 14, 2015, August 19, 2015 and August 26, 2015; and</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units contained in our Form 8-A/A dated November 3, 1998 and any subsequent amendment thereto filed for the purpose of updating such description.</w:t>
      </w:r>
    </w:p>
    <w:p>
      <w:pPr>
        <w:spacing w:after="0" w:line="174" w:lineRule="exact"/>
        <w:rPr>
          <w:sz w:val="20"/>
          <w:szCs w:val="20"/>
          <w:color w:val="auto"/>
        </w:rPr>
      </w:pPr>
    </w:p>
    <w:p>
      <w:pPr>
        <w:ind w:right="580" w:firstLine="345"/>
        <w:spacing w:after="0" w:line="275" w:lineRule="auto"/>
        <w:rPr>
          <w:sz w:val="20"/>
          <w:szCs w:val="20"/>
          <w:color w:val="auto"/>
        </w:rPr>
      </w:pPr>
      <w:r>
        <w:rPr>
          <w:rFonts w:ascii="Times New Roman" w:cs="Times New Roman" w:eastAsia="Times New Roman" w:hAnsi="Times New Roman"/>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213" w:lineRule="exact"/>
        <w:rPr>
          <w:sz w:val="20"/>
          <w:szCs w:val="20"/>
          <w:color w:val="auto"/>
        </w:rPr>
      </w:pPr>
    </w:p>
    <w:p>
      <w:pPr>
        <w:ind w:right="200" w:firstLine="341"/>
        <w:spacing w:after="0" w:line="262" w:lineRule="auto"/>
        <w:rPr>
          <w:sz w:val="20"/>
          <w:szCs w:val="20"/>
          <w:color w:val="auto"/>
        </w:rPr>
      </w:pPr>
      <w:r>
        <w:rPr>
          <w:rFonts w:ascii="Times New Roman" w:cs="Times New Roman" w:eastAsia="Times New Roman" w:hAnsi="Times New Roman"/>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8"/>
          <w:szCs w:val="18"/>
          <w:color w:val="auto"/>
        </w:rPr>
        <w:t xml:space="preserve">We also make available free of charge on our website at </w:t>
      </w:r>
      <w:r>
        <w:rPr>
          <w:rFonts w:ascii="Times New Roman" w:cs="Times New Roman" w:eastAsia="Times New Roman" w:hAnsi="Times New Roman"/>
          <w:sz w:val="18"/>
          <w:szCs w:val="18"/>
          <w:i w:val="1"/>
          <w:iCs w:val="1"/>
          <w:color w:val="auto"/>
        </w:rPr>
        <w:t>ir.paalp.com</w:t>
      </w:r>
      <w:r>
        <w:rPr>
          <w:rFonts w:ascii="Times New Roman" w:cs="Times New Roman" w:eastAsia="Times New Roman" w:hAnsi="Times New Roman"/>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40" w:firstLine="341"/>
        <w:spacing w:after="0" w:line="296" w:lineRule="auto"/>
        <w:rPr>
          <w:sz w:val="20"/>
          <w:szCs w:val="20"/>
          <w:color w:val="auto"/>
        </w:rPr>
      </w:pPr>
      <w:r>
        <w:rPr>
          <w:rFonts w:ascii="Times New Roman" w:cs="Times New Roman" w:eastAsia="Times New Roman" w:hAnsi="Times New Roman"/>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results or outcomes anticipated in the forward-looking statements. The most important of these factors include, but are not limited to:</w:t>
      </w:r>
    </w:p>
    <w:p>
      <w:pPr>
        <w:spacing w:after="0" w:line="239"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growth projects;</w:t>
      </w:r>
    </w:p>
    <w:p>
      <w:pPr>
        <w:spacing w:after="0" w:line="252" w:lineRule="exact"/>
        <w:rPr>
          <w:rFonts w:ascii="Times New Roman" w:cs="Times New Roman" w:eastAsia="Times New Roman" w:hAnsi="Times New Roman"/>
          <w:sz w:val="18"/>
          <w:szCs w:val="18"/>
          <w:color w:val="auto"/>
        </w:rPr>
      </w:pPr>
    </w:p>
    <w:p>
      <w:pPr>
        <w:ind w:left="1080" w:hanging="532"/>
        <w:spacing w:after="0" w:line="310" w:lineRule="auto"/>
        <w:tabs>
          <w:tab w:leader="none" w:pos="10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52"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52" w:lineRule="exact"/>
        <w:rPr>
          <w:rFonts w:ascii="Times New Roman" w:cs="Times New Roman" w:eastAsia="Times New Roman" w:hAnsi="Times New Roman"/>
          <w:sz w:val="18"/>
          <w:szCs w:val="18"/>
          <w:color w:val="auto"/>
        </w:rPr>
      </w:pPr>
    </w:p>
    <w:p>
      <w:pPr>
        <w:ind w:left="1080" w:right="360" w:hanging="532"/>
        <w:spacing w:after="0" w:line="339" w:lineRule="auto"/>
        <w:tabs>
          <w:tab w:leader="none" w:pos="10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38"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52"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7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facilities, including our ability to satisfy our contractual obligations to our customers at our facilities;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23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in Item 1A. of our 2014 Annual Report on Form 10-K for the fiscal year ended December 31, 2014 (File No. 001-14569). Except as required by applicable securities laws, we do not intend to update these forward-looking statements and information.</w:t>
      </w:r>
    </w:p>
    <w:p>
      <w:pPr>
        <w:spacing w:after="0" w:line="1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360" w:firstLine="348"/>
        <w:spacing w:after="0" w:line="262" w:lineRule="auto"/>
        <w:rPr>
          <w:sz w:val="20"/>
          <w:szCs w:val="20"/>
          <w:color w:val="auto"/>
        </w:rPr>
      </w:pPr>
      <w:r>
        <w:rPr>
          <w:rFonts w:ascii="Times New Roman" w:cs="Times New Roman" w:eastAsia="Times New Roman" w:hAnsi="Times New Roman"/>
          <w:sz w:val="18"/>
          <w:szCs w:val="18"/>
          <w:color w:val="auto"/>
        </w:rPr>
        <w:t>We are a Delaware limited partnership formed in 1998.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w:t>
      </w:r>
    </w:p>
    <w:p>
      <w:pPr>
        <w:spacing w:after="0" w:line="186" w:lineRule="exact"/>
        <w:rPr>
          <w:sz w:val="20"/>
          <w:szCs w:val="20"/>
          <w:color w:val="auto"/>
        </w:rPr>
      </w:pPr>
    </w:p>
    <w:p>
      <w:pPr>
        <w:jc w:val="both"/>
        <w:ind w:right="40" w:firstLine="348"/>
        <w:spacing w:after="0" w:line="262" w:lineRule="auto"/>
        <w:rPr>
          <w:sz w:val="20"/>
          <w:szCs w:val="20"/>
          <w:color w:val="auto"/>
        </w:rPr>
      </w:pPr>
      <w:r>
        <w:rPr>
          <w:rFonts w:ascii="Times New Roman" w:cs="Times New Roman" w:eastAsia="Times New Roman" w:hAnsi="Times New Roman"/>
          <w:sz w:val="18"/>
          <w:szCs w:val="18"/>
          <w:color w:val="auto"/>
        </w:rPr>
        <w:t>We are one of the largest publicly 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6" w:lineRule="exact"/>
        <w:rPr>
          <w:sz w:val="20"/>
          <w:szCs w:val="20"/>
          <w:color w:val="auto"/>
        </w:rPr>
      </w:pPr>
    </w:p>
    <w:p>
      <w:pPr>
        <w:jc w:val="both"/>
        <w:ind w:right="220" w:firstLine="351"/>
        <w:spacing w:after="0" w:line="262" w:lineRule="auto"/>
        <w:rPr>
          <w:sz w:val="20"/>
          <w:szCs w:val="20"/>
          <w:color w:val="auto"/>
        </w:rPr>
      </w:pPr>
      <w:r>
        <w:rPr>
          <w:rFonts w:ascii="Times New Roman" w:cs="Times New Roman" w:eastAsia="Times New Roman" w:hAnsi="Times New Roman"/>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86" w:lineRule="exact"/>
        <w:rPr>
          <w:sz w:val="20"/>
          <w:szCs w:val="20"/>
          <w:color w:val="auto"/>
        </w:rPr>
      </w:pPr>
    </w:p>
    <w:p>
      <w:pPr>
        <w:jc w:val="both"/>
        <w:ind w:right="260" w:firstLine="351"/>
        <w:spacing w:after="0" w:line="262" w:lineRule="auto"/>
        <w:rPr>
          <w:sz w:val="20"/>
          <w:szCs w:val="20"/>
          <w:color w:val="auto"/>
        </w:rPr>
      </w:pPr>
      <w:r>
        <w:rPr>
          <w:rFonts w:ascii="Times New Roman" w:cs="Times New Roman" w:eastAsia="Times New Roman" w:hAnsi="Times New Roman"/>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LLC, Plains AAP, L.P. and Plains All American GP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Acquisition and Investment Activities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92" w:lineRule="exact"/>
        <w:rPr>
          <w:sz w:val="20"/>
          <w:szCs w:val="20"/>
          <w:color w:val="auto"/>
        </w:rPr>
      </w:pPr>
    </w:p>
    <w:p>
      <w:pPr>
        <w:ind w:right="140" w:firstLine="348"/>
        <w:spacing w:after="0" w:line="293" w:lineRule="auto"/>
        <w:rPr>
          <w:sz w:val="20"/>
          <w:szCs w:val="20"/>
          <w:color w:val="auto"/>
        </w:rPr>
      </w:pPr>
      <w:r>
        <w:rPr>
          <w:rFonts w:ascii="Times New Roman" w:cs="Times New Roman" w:eastAsia="Times New Roman" w:hAnsi="Times New Roman"/>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Executive Offices and Internet Address</w:t>
      </w:r>
    </w:p>
    <w:p>
      <w:pPr>
        <w:spacing w:after="0" w:line="227"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 xml:space="preserve">Our principal executive offices are located at 333 Clay Street, Suite 1600, Houston, Texas 77002 and our telephone number is (713) 646-4100. Our website is located at </w:t>
      </w:r>
      <w:r>
        <w:rPr>
          <w:rFonts w:ascii="Times New Roman" w:cs="Times New Roman" w:eastAsia="Times New Roman" w:hAnsi="Times New Roman"/>
          <w:sz w:val="16"/>
          <w:szCs w:val="16"/>
          <w:i w:val="1"/>
          <w:iCs w:val="1"/>
          <w:color w:val="auto"/>
        </w:rPr>
        <w:t>www.plainsallamerican.com</w:t>
      </w:r>
      <w:r>
        <w:rPr>
          <w:rFonts w:ascii="Times New Roman" w:cs="Times New Roman" w:eastAsia="Times New Roman" w:hAnsi="Times New Roman"/>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7" w:lineRule="exact"/>
        <w:rPr>
          <w:sz w:val="20"/>
          <w:szCs w:val="20"/>
          <w:color w:val="auto"/>
        </w:rPr>
      </w:pPr>
    </w:p>
    <w:p>
      <w:pPr>
        <w:jc w:val="both"/>
        <w:ind w:right="140" w:firstLine="351"/>
        <w:spacing w:after="0" w:line="262" w:lineRule="auto"/>
        <w:rPr>
          <w:sz w:val="20"/>
          <w:szCs w:val="20"/>
          <w:color w:val="auto"/>
        </w:rPr>
      </w:pPr>
      <w:r>
        <w:rPr>
          <w:rFonts w:ascii="Times New Roman" w:cs="Times New Roman" w:eastAsia="Times New Roman" w:hAnsi="Times New Roman"/>
          <w:sz w:val="18"/>
          <w:szCs w:val="18"/>
          <w:color w:val="auto"/>
        </w:rPr>
        <w:t>For additional information about us, including our partnership structure and management, please refer to the documents set forth under "Where You Can Find More Information" in this prospectus, including our Annual Report on Form 10-K for the fiscal year ended December 31, 2014, which is incorporated by reference herein.</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2014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86" w:lineRule="exact"/>
        <w:rPr>
          <w:sz w:val="20"/>
          <w:szCs w:val="20"/>
          <w:color w:val="auto"/>
        </w:rPr>
      </w:pPr>
    </w:p>
    <w:p>
      <w:pPr>
        <w:ind w:right="400" w:firstLine="341"/>
        <w:spacing w:after="0" w:line="275"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a prospectus supplement.</w:t>
      </w:r>
    </w:p>
    <w:p>
      <w:pPr>
        <w:spacing w:after="0" w:line="1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Charges(1)</w:t>
            </w: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2.67x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4.30x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4.41x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4.03x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4.13x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2.57x</w:t>
            </w: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15" w:lineRule="exact"/>
        <w:rPr>
          <w:sz w:val="20"/>
          <w:szCs w:val="20"/>
          <w:color w:val="auto"/>
        </w:rPr>
      </w:pPr>
    </w:p>
    <w:p>
      <w:pPr>
        <w:jc w:val="both"/>
        <w:ind w:left="1680" w:right="240" w:hanging="531"/>
        <w:spacing w:after="0" w:line="262" w:lineRule="auto"/>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general obligations;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senior debt securities or subordinated debt securities; and</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under separate indentures (which may be existing indentures) among Plains All American Pipeline, PAA Finance and U.S. Bank National Association, as successor Trustee.</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3"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Terms of Each Series of Debt Securities in the Prospectus Supplement</w:t>
      </w:r>
    </w:p>
    <w:p>
      <w:pPr>
        <w:spacing w:after="0" w:line="227"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87"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PAA Finance will be a co-issuer of the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if any, that are pledged as security for the payment of the debt securities;</w:t>
      </w:r>
    </w:p>
    <w:p>
      <w:pPr>
        <w:spacing w:after="0" w:line="238"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issue the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if the maturity of the debt securities is accelerated;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 in which the debt securities will be payable, if not U.S. dollars;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225"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227"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86"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3" w:lineRule="exact"/>
        <w:rPr>
          <w:sz w:val="20"/>
          <w:szCs w:val="20"/>
          <w:color w:val="auto"/>
        </w:rPr>
      </w:pPr>
    </w:p>
    <w:p>
      <w:pPr>
        <w:ind w:right="40" w:firstLine="341"/>
        <w:spacing w:after="0" w:line="339" w:lineRule="auto"/>
        <w:rPr>
          <w:sz w:val="20"/>
          <w:szCs w:val="20"/>
          <w:color w:val="auto"/>
        </w:rPr>
      </w:pPr>
      <w:r>
        <w:rPr>
          <w:rFonts w:ascii="Times New Roman" w:cs="Times New Roman" w:eastAsia="Times New Roman" w:hAnsi="Times New Roman"/>
          <w:sz w:val="16"/>
          <w:szCs w:val="16"/>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Asset Sale</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0"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87" w:lineRule="exact"/>
        <w:rPr>
          <w:sz w:val="20"/>
          <w:szCs w:val="20"/>
          <w:color w:val="auto"/>
        </w:rPr>
      </w:pPr>
    </w:p>
    <w:p>
      <w:pPr>
        <w:jc w:val="both"/>
        <w:ind w:left="1080" w:right="120" w:hanging="532"/>
        <w:spacing w:after="0" w:line="26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7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under "—Events of Default and Remedies" below) may exist.</w:t>
      </w:r>
    </w:p>
    <w:p>
      <w:pPr>
        <w:spacing w:after="0" w:line="174"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7" w:lineRule="exact"/>
        <w:rPr>
          <w:sz w:val="20"/>
          <w:szCs w:val="20"/>
          <w:color w:val="auto"/>
        </w:rPr>
      </w:pPr>
    </w:p>
    <w:p>
      <w:pPr>
        <w:ind w:right="220" w:firstLine="351"/>
        <w:spacing w:after="0" w:line="339" w:lineRule="auto"/>
        <w:rPr>
          <w:sz w:val="20"/>
          <w:szCs w:val="20"/>
          <w:color w:val="auto"/>
        </w:rPr>
      </w:pPr>
      <w:r>
        <w:rPr>
          <w:rFonts w:ascii="Times New Roman" w:cs="Times New Roman" w:eastAsia="Times New Roman" w:hAnsi="Times New Roman"/>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Indentures</w:t>
      </w:r>
    </w:p>
    <w:p>
      <w:pPr>
        <w:spacing w:after="0" w:line="227"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0"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w:t>
      </w:r>
    </w:p>
    <w:p>
      <w:pPr>
        <w:spacing w:after="0" w:line="238"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debt security;</w:t>
      </w:r>
    </w:p>
    <w:p>
      <w:pPr>
        <w:spacing w:after="0" w:line="238"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indenture, release any security that may have been granted with respect to the debt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currency other than that stated in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make any change in the subordination provisions that adversely affects the rights of any holder under those provisions;</w:t>
      </w:r>
    </w:p>
    <w:p>
      <w:pPr>
        <w:spacing w:after="0" w:line="187"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may be permitted in the case of a particular series of debt securities);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7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00" w:lineRule="exact"/>
        <w:rPr>
          <w:rFonts w:ascii="Times New Roman" w:cs="Times New Roman" w:eastAsia="Times New Roman" w:hAnsi="Times New Roman"/>
          <w:sz w:val="18"/>
          <w:szCs w:val="18"/>
          <w:color w:val="auto"/>
        </w:rPr>
      </w:pPr>
    </w:p>
    <w:p>
      <w:pPr>
        <w:ind w:left="360" w:right="780" w:firstLine="188"/>
        <w:spacing w:after="0" w:line="563" w:lineRule="auto"/>
        <w:tabs>
          <w:tab w:leader="none" w:pos="109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of terms of any series of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87"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guarantors pursuant to the terms of the indenture;</w:t>
      </w:r>
    </w:p>
    <w:p>
      <w:pPr>
        <w:spacing w:after="0" w:line="238"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and/or any guarantees.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or any premium on any debt security of that series;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within 60 days of the due date, interest on any debt security of that series;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sinking fund payment with respect to any debt securities of that series;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issuers to comply with the covenant described under "—Consolidation, Merger or Asset Sale;"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that continues for 30 days after written notice is given to the issuers;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an issuer;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341"/>
        <w:spacing w:after="0" w:line="262"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86"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0"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Limit on Amount of Debt Securities</w:t>
      </w:r>
    </w:p>
    <w:p>
      <w:pPr>
        <w:spacing w:after="0" w:line="227"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Notes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issue debt securities of a series only in registered form, without coupons, unless otherwise indicated in the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Denominations</w:t>
      </w:r>
    </w:p>
    <w:p>
      <w:pPr>
        <w:spacing w:after="0" w:line="227"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Unless the prospectus supplement states otherwise, the debt securities will be issued only in principal amounts of $1,000 each or integral multiples of $1,000.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74"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Registration and Transfer</w:t>
      </w:r>
    </w:p>
    <w:p>
      <w:pPr>
        <w:spacing w:after="0" w:line="227"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not be required to:</w:t>
      </w:r>
    </w:p>
    <w:p>
      <w:pPr>
        <w:spacing w:after="0" w:line="239" w:lineRule="exact"/>
        <w:rPr>
          <w:sz w:val="20"/>
          <w:szCs w:val="20"/>
          <w:color w:val="auto"/>
        </w:rPr>
      </w:pPr>
    </w:p>
    <w:p>
      <w:pPr>
        <w:ind w:left="1080" w:right="20" w:hanging="532"/>
        <w:spacing w:after="0" w:line="26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13"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called for redemption or repurchase, except the unredeemed portion of any debt security we are redeeming or repurchasing in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only to the Senior Debt Securities</w:t>
      </w:r>
    </w:p>
    <w:p>
      <w:pPr>
        <w:spacing w:after="0" w:line="227" w:lineRule="exact"/>
        <w:rPr>
          <w:sz w:val="20"/>
          <w:szCs w:val="20"/>
          <w:color w:val="auto"/>
        </w:rPr>
      </w:pPr>
    </w:p>
    <w:p>
      <w:pPr>
        <w:ind w:right="240" w:firstLine="348"/>
        <w:spacing w:after="0" w:line="26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only to the Subordinated Debt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Debt Securities Subordinated to Senior Indebtedness</w:t>
      </w:r>
    </w:p>
    <w:p>
      <w:pPr>
        <w:spacing w:after="0" w:line="229"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Blockages</w:t>
      </w:r>
    </w:p>
    <w:p>
      <w:pPr>
        <w:spacing w:after="0" w:line="229"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The subordinated indenture will provide that no payment of principal, interest and any premium on the subordinated debt securities may be made in the event:</w:t>
      </w:r>
    </w:p>
    <w:p>
      <w:pPr>
        <w:spacing w:after="0" w:line="187"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property is involved in any voluntary or involuntary liquidation or bankruptcy;</w:t>
      </w:r>
    </w:p>
    <w:p>
      <w:pPr>
        <w:spacing w:after="0" w:line="238"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Limitation on Amount of Senior Debt</w:t>
      </w:r>
    </w:p>
    <w:p>
      <w:pPr>
        <w:spacing w:after="0" w:line="229"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subordinated indenture will not limit the amount of Senior Indebtedness that Plains All American Pipeline may incur, unless otherwise indicated in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3"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Beneficial interests in global debt securities will be shown on, and transfers of global debt securities will be made only through, records maintained by DTC and its participants.</w:t>
      </w:r>
    </w:p>
    <w:p>
      <w:pPr>
        <w:spacing w:after="0" w:line="174"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9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74"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DTC is owned by a number of its Direct Participants and by the New York Stock Exchange, Inc., The American Stock Exchange, Inc. and the Financial Industry Regulatory Authority ("FINRA").</w:t>
      </w:r>
    </w:p>
    <w:p>
      <w:pPr>
        <w:spacing w:after="0" w:line="174"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86"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securities held for the account of customers registered in "street name." However, payments will be the responsibility of the participants and not of DTC, the Trustee or us.</w:t>
      </w:r>
    </w:p>
    <w:p>
      <w:pPr>
        <w:spacing w:after="0" w:line="174"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Debt securities represented by a global debt security will be exchangeable for certificated debt securities with the same terms in authorized denominations only if:</w:t>
      </w:r>
    </w:p>
    <w:p>
      <w:pPr>
        <w:spacing w:after="0" w:line="187" w:lineRule="exact"/>
        <w:rPr>
          <w:sz w:val="20"/>
          <w:szCs w:val="20"/>
          <w:color w:val="auto"/>
        </w:rPr>
      </w:pPr>
    </w:p>
    <w:p>
      <w:pPr>
        <w:ind w:left="1080" w:right="260" w:hanging="532"/>
        <w:spacing w:after="0" w:line="27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not to require all of the debt securities of a series to be represented by a global debt security.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225" w:lineRule="exact"/>
        <w:rPr>
          <w:sz w:val="20"/>
          <w:szCs w:val="20"/>
          <w:color w:val="auto"/>
        </w:rPr>
      </w:pPr>
    </w:p>
    <w:p>
      <w:pPr>
        <w:ind w:left="1220" w:hanging="321"/>
        <w:spacing w:after="0"/>
        <w:tabs>
          <w:tab w:leader="none" w:pos="1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080" w:right="180" w:firstLine="360"/>
        <w:spacing w:after="0" w:line="262" w:lineRule="auto"/>
        <w:tabs>
          <w:tab w:leader="none" w:pos="17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86" w:lineRule="exact"/>
        <w:rPr>
          <w:rFonts w:ascii="Times New Roman" w:cs="Times New Roman" w:eastAsia="Times New Roman" w:hAnsi="Times New Roman"/>
          <w:sz w:val="18"/>
          <w:szCs w:val="18"/>
          <w:color w:val="auto"/>
        </w:rPr>
      </w:pPr>
    </w:p>
    <w:p>
      <w:pPr>
        <w:ind w:left="1080" w:firstLine="360"/>
        <w:spacing w:after="0" w:line="254" w:lineRule="auto"/>
        <w:tabs>
          <w:tab w:leader="none" w:pos="17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9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225" w:lineRule="exact"/>
        <w:rPr>
          <w:rFonts w:ascii="Times New Roman" w:cs="Times New Roman" w:eastAsia="Times New Roman" w:hAnsi="Times New Roman"/>
          <w:sz w:val="18"/>
          <w:szCs w:val="18"/>
          <w:color w:val="auto"/>
        </w:rPr>
      </w:pPr>
    </w:p>
    <w:p>
      <w:pPr>
        <w:ind w:left="540" w:right="640" w:firstLine="359"/>
        <w:spacing w:after="0" w:line="275" w:lineRule="auto"/>
        <w:tabs>
          <w:tab w:leader="none" w:pos="12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have been satisfied.</w:t>
      </w:r>
    </w:p>
    <w:p>
      <w:pPr>
        <w:spacing w:after="0" w:line="174"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The debt securities of a particular series will be subject to legal or covenant defeasance to the extent, and upon the terms and conditions, set forth in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7"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 of Trustee</w:t>
      </w:r>
    </w:p>
    <w:p>
      <w:pPr>
        <w:spacing w:after="0" w:line="229"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resignation will require the appointment of a successor trustee under the applicable indenture in accordance with the terms and conditions of such indenture.</w:t>
      </w:r>
    </w:p>
    <w:p>
      <w:pPr>
        <w:spacing w:after="0" w:line="248"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Trustee if it is a Creditor</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Certificates and Opinions to be Furnished to Trustee</w:t>
      </w:r>
    </w:p>
    <w:p>
      <w:pPr>
        <w:spacing w:after="0" w:line="229" w:lineRule="exact"/>
        <w:rPr>
          <w:sz w:val="20"/>
          <w:szCs w:val="20"/>
          <w:color w:val="auto"/>
        </w:rPr>
      </w:pPr>
    </w:p>
    <w:p>
      <w:pPr>
        <w:jc w:val="both"/>
        <w:ind w:right="240" w:firstLine="351"/>
        <w:spacing w:after="0" w:line="262" w:lineRule="auto"/>
        <w:rPr>
          <w:sz w:val="20"/>
          <w:szCs w:val="20"/>
          <w:color w:val="auto"/>
        </w:rPr>
      </w:pPr>
      <w:r>
        <w:rPr>
          <w:rFonts w:ascii="Times New Roman" w:cs="Times New Roman" w:eastAsia="Times New Roman" w:hAnsi="Times New Roman"/>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COMMON UNITS</w:t>
      </w:r>
    </w:p>
    <w:p>
      <w:pPr>
        <w:spacing w:after="0" w:line="227"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common units is American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holder of common units is entitled to one vote for each common unit on all matters submitted to a vote of the unitholders.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Limited Partner or Assignee</w:t>
      </w:r>
    </w:p>
    <w:p>
      <w:pPr>
        <w:spacing w:after="0" w:line="22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Except as described below under "—Limited Liability," the common units will be fully paid, and unitholders will not be required to make additional capital contributions to us.</w:t>
      </w:r>
    </w:p>
    <w:p>
      <w:pPr>
        <w:spacing w:after="0" w:line="174"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90" w:lineRule="exact"/>
        <w:rPr>
          <w:sz w:val="20"/>
          <w:szCs w:val="20"/>
          <w:color w:val="auto"/>
        </w:rPr>
      </w:pPr>
    </w:p>
    <w:p>
      <w:pPr>
        <w:ind w:right="40" w:firstLine="341"/>
        <w:spacing w:after="0" w:line="301" w:lineRule="auto"/>
        <w:rPr>
          <w:sz w:val="20"/>
          <w:szCs w:val="20"/>
          <w:color w:val="auto"/>
        </w:rPr>
      </w:pPr>
      <w:r>
        <w:rPr>
          <w:rFonts w:ascii="Times New Roman" w:cs="Times New Roman" w:eastAsia="Times New Roman" w:hAnsi="Times New Roman"/>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Records</w:t>
      </w:r>
    </w:p>
    <w:p>
      <w:pPr>
        <w:spacing w:after="0" w:line="227"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93"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0"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 limited partner can, for a purpose reasonably related to the limited partner's interest as a limited partner, upon reasonable demand and at his own expense, have furnished to him:</w:t>
      </w:r>
    </w:p>
    <w:p>
      <w:pPr>
        <w:spacing w:after="0" w:line="187"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name and last known address of each partner;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our tax returns;</w:t>
      </w:r>
    </w:p>
    <w:p>
      <w:pPr>
        <w:spacing w:after="0" w:line="238"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our partnership agreement, our certificate of limited partnership, amendments to either of them and powers of attorney which have been executed under our partnership agreement;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status of our business and financial condition;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225"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i w:val="1"/>
          <w:iCs w:val="1"/>
          <w:color w:val="auto"/>
        </w:rPr>
        <w:t>General.</w:t>
      </w:r>
      <w:r>
        <w:rPr>
          <w:sz w:val="20"/>
          <w:szCs w:val="20"/>
          <w:color w:val="auto"/>
        </w:rPr>
        <w:tab/>
      </w:r>
      <w:r>
        <w:rPr>
          <w:rFonts w:ascii="Times New Roman" w:cs="Times New Roman" w:eastAsia="Times New Roman" w:hAnsi="Times New Roman"/>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Definition of Available Cash. </w:t>
      </w:r>
      <w:r>
        <w:rPr>
          <w:rFonts w:ascii="Times New Roman" w:cs="Times New Roman" w:eastAsia="Times New Roman" w:hAnsi="Times New Roman"/>
          <w:sz w:val="18"/>
          <w:szCs w:val="18"/>
          <w:color w:val="auto"/>
        </w:rPr>
        <w:t>Available cash generally means, for any quarter ending prior to liquidation, all cash on hand at the end of that quarter 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cash reserves that are necessary or appropriate in the reasonable discretion of the general partner to:</w:t>
      </w:r>
    </w:p>
    <w:p>
      <w:pPr>
        <w:spacing w:after="0" w:line="186"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partnership debt instrument or other agreement;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unitholders and the general partner in respect of any one or more of the next four quarters.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225" w:lineRule="exact"/>
        <w:rPr>
          <w:sz w:val="20"/>
          <w:szCs w:val="20"/>
          <w:color w:val="auto"/>
        </w:rPr>
      </w:pPr>
    </w:p>
    <w:p>
      <w:pPr>
        <w:ind w:right="6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Cash distributions to our unitholders will be characterized as either operating surplus or capital surplus. We distribute available cash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surplus differently than available cash from capital surplus. See "—Quarterly Distributions of Available Cash."</w:t>
      </w:r>
    </w:p>
    <w:p>
      <w:pPr>
        <w:spacing w:after="0" w:line="170" w:lineRule="exact"/>
        <w:rPr>
          <w:sz w:val="20"/>
          <w:szCs w:val="20"/>
          <w:color w:val="auto"/>
        </w:rPr>
      </w:pPr>
    </w:p>
    <w:p>
      <w:pPr>
        <w:ind w:left="360"/>
        <w:spacing w:after="0"/>
        <w:tabs>
          <w:tab w:leader="none" w:pos="2800" w:val="left"/>
        </w:tabs>
        <w:rPr>
          <w:sz w:val="20"/>
          <w:szCs w:val="20"/>
          <w:color w:val="auto"/>
        </w:rPr>
      </w:pPr>
      <w:r>
        <w:rPr>
          <w:rFonts w:ascii="Times New Roman" w:cs="Times New Roman" w:eastAsia="Times New Roman" w:hAnsi="Times New Roman"/>
          <w:sz w:val="18"/>
          <w:szCs w:val="18"/>
          <w:i w:val="1"/>
          <w:iCs w:val="1"/>
          <w:color w:val="auto"/>
        </w:rPr>
        <w:t>Definition of Operating Surplus.</w:t>
      </w:r>
      <w:r>
        <w:rPr>
          <w:sz w:val="20"/>
          <w:szCs w:val="20"/>
          <w:color w:val="auto"/>
        </w:rPr>
        <w:tab/>
      </w:r>
      <w:r>
        <w:rPr>
          <w:rFonts w:ascii="Times New Roman" w:cs="Times New Roman" w:eastAsia="Times New Roman" w:hAnsi="Times New Roman"/>
          <w:sz w:val="16"/>
          <w:szCs w:val="16"/>
          <w:color w:val="auto"/>
        </w:rPr>
        <w:t>Operating surplus refers generally to:</w:t>
      </w:r>
    </w:p>
    <w:p>
      <w:pPr>
        <w:spacing w:after="0" w:line="241"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on the closing date of our initial public offering; plus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plus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cash receipts from operations, excluding cash that is capital surplus; less</w:t>
      </w:r>
    </w:p>
    <w:p>
      <w:pPr>
        <w:spacing w:after="0" w:line="238"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72" w:lineRule="exact"/>
        <w:rPr>
          <w:sz w:val="20"/>
          <w:szCs w:val="20"/>
          <w:color w:val="auto"/>
        </w:rPr>
      </w:pPr>
    </w:p>
    <w:p>
      <w:pPr>
        <w:ind w:left="360"/>
        <w:spacing w:after="0"/>
        <w:tabs>
          <w:tab w:leader="none" w:pos="2600" w:val="left"/>
        </w:tabs>
        <w:rPr>
          <w:sz w:val="20"/>
          <w:szCs w:val="20"/>
          <w:color w:val="auto"/>
        </w:rPr>
      </w:pPr>
      <w:r>
        <w:rPr>
          <w:rFonts w:ascii="Times New Roman" w:cs="Times New Roman" w:eastAsia="Times New Roman" w:hAnsi="Times New Roman"/>
          <w:sz w:val="18"/>
          <w:szCs w:val="18"/>
          <w:i w:val="1"/>
          <w:iCs w:val="1"/>
          <w:color w:val="auto"/>
        </w:rPr>
        <w:t>Definition of Capital Surplus.</w:t>
      </w:r>
      <w:r>
        <w:rPr>
          <w:sz w:val="20"/>
          <w:szCs w:val="20"/>
          <w:color w:val="auto"/>
        </w:rPr>
        <w:tab/>
      </w:r>
      <w:r>
        <w:rPr>
          <w:rFonts w:ascii="Times New Roman" w:cs="Times New Roman" w:eastAsia="Times New Roman" w:hAnsi="Times New Roman"/>
          <w:sz w:val="16"/>
          <w:szCs w:val="16"/>
          <w:color w:val="auto"/>
        </w:rPr>
        <w:t>Capital surplus will generally be generated only by:</w:t>
      </w:r>
    </w:p>
    <w:p>
      <w:pPr>
        <w:spacing w:after="0" w:line="254"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other than working capital borrowings;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and equity securities;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for cash, other than inventory, accounts receivable and other assets in the ordinary course of business.</w:t>
      </w:r>
    </w:p>
    <w:p>
      <w:pPr>
        <w:spacing w:after="0" w:line="225"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86"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Issuance of Additional Units</w:t>
      </w:r>
    </w:p>
    <w:p>
      <w:pPr>
        <w:spacing w:after="0" w:line="227"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Distributions of Available Cash</w:t>
      </w:r>
    </w:p>
    <w:p>
      <w:pPr>
        <w:spacing w:after="0" w:line="227"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From Operating Surplus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make distributions of available cash from operating surplus in the following manner:</w:t>
      </w:r>
    </w:p>
    <w:p>
      <w:pPr>
        <w:spacing w:after="0" w:line="239" w:lineRule="exact"/>
        <w:rPr>
          <w:sz w:val="20"/>
          <w:szCs w:val="20"/>
          <w:color w:val="auto"/>
        </w:rPr>
      </w:pPr>
    </w:p>
    <w:p>
      <w:pPr>
        <w:ind w:left="1080" w:right="220" w:hanging="532"/>
        <w:spacing w:after="0" w:line="27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 to the general partner, until we distribute for each unit an amount equal to the minimum quarterly distribution for that quarter;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in the manner described in "—Incentive Distribution Rights"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Distribution Rights</w:t>
      </w:r>
    </w:p>
    <w:p>
      <w:pPr>
        <w:spacing w:after="0" w:line="227" w:lineRule="exact"/>
        <w:rPr>
          <w:sz w:val="20"/>
          <w:szCs w:val="20"/>
          <w:color w:val="auto"/>
        </w:rPr>
      </w:pPr>
    </w:p>
    <w:p>
      <w:pPr>
        <w:ind w:right="40" w:firstLine="351"/>
        <w:spacing w:after="0" w:line="310" w:lineRule="auto"/>
        <w:rPr>
          <w:sz w:val="20"/>
          <w:szCs w:val="20"/>
          <w:color w:val="auto"/>
        </w:rPr>
      </w:pPr>
      <w:r>
        <w:rPr>
          <w:rFonts w:ascii="Times New Roman" w:cs="Times New Roman" w:eastAsia="Times New Roman" w:hAnsi="Times New Roman"/>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that exceed the minimum quarterly distribution, if any, and the related 2% distribution to the general partner.</w:t>
      </w:r>
    </w:p>
    <w:p>
      <w:pPr>
        <w:spacing w:after="0" w:line="151"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200" w:lineRule="exact"/>
        <w:rPr>
          <w:sz w:val="20"/>
          <w:szCs w:val="20"/>
          <w:color w:val="auto"/>
        </w:rPr>
      </w:pPr>
    </w:p>
    <w:p>
      <w:pPr>
        <w:ind w:left="1080" w:right="320" w:hanging="532"/>
        <w:spacing w:after="0" w:line="27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85% to all unitholders, pro rata, and 15% to the general partner, until each unitholder receives a total of $0.2475 for that quarter for each outstanding unit (the "first target distribution");</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75% to all unitholders, pro rata, and 25% to the general partner, until each unitholder receives a total of $0.3375 for that quarter for each outstanding unit (the "second target distribution");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50% to all unitholders, pro rata, and 50% to the general partner.</w:t>
      </w:r>
    </w:p>
    <w:p>
      <w:pPr>
        <w:spacing w:after="0" w:line="225"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Incentive Distribution Rights</w:t>
      </w:r>
    </w:p>
    <w:p>
      <w:pPr>
        <w:spacing w:after="0" w:line="227"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from Capital Surplus</w:t>
      </w:r>
    </w:p>
    <w:p>
      <w:pPr>
        <w:spacing w:after="0" w:line="225" w:lineRule="exact"/>
        <w:rPr>
          <w:sz w:val="20"/>
          <w:szCs w:val="20"/>
          <w:color w:val="auto"/>
        </w:rPr>
      </w:pPr>
    </w:p>
    <w:p>
      <w:pPr>
        <w:ind w:left="360"/>
        <w:spacing w:after="0"/>
        <w:tabs>
          <w:tab w:leader="none" w:pos="4380" w:val="left"/>
        </w:tabs>
        <w:rPr>
          <w:sz w:val="20"/>
          <w:szCs w:val="20"/>
          <w:color w:val="auto"/>
        </w:rPr>
      </w:pPr>
      <w:r>
        <w:rPr>
          <w:rFonts w:ascii="Times New Roman" w:cs="Times New Roman" w:eastAsia="Times New Roman" w:hAnsi="Times New Roman"/>
          <w:sz w:val="18"/>
          <w:szCs w:val="18"/>
          <w:i w:val="1"/>
          <w:iCs w:val="1"/>
          <w:color w:val="auto"/>
        </w:rPr>
        <w:t>How Distributions from Capital Surplus Will Be Made.</w:t>
      </w:r>
      <w:r>
        <w:rPr>
          <w:sz w:val="20"/>
          <w:szCs w:val="20"/>
          <w:color w:val="auto"/>
        </w:rPr>
        <w:tab/>
      </w:r>
      <w:r>
        <w:rPr>
          <w:rFonts w:ascii="Times New Roman" w:cs="Times New Roman" w:eastAsia="Times New Roman" w:hAnsi="Times New Roman"/>
          <w:sz w:val="16"/>
          <w:szCs w:val="16"/>
          <w:color w:val="auto"/>
        </w:rPr>
        <w:t>We will make distributions of available cash from capital surplus in the following manner:</w:t>
      </w:r>
    </w:p>
    <w:p>
      <w:pPr>
        <w:spacing w:after="0" w:line="241" w:lineRule="exact"/>
        <w:rPr>
          <w:sz w:val="20"/>
          <w:szCs w:val="20"/>
          <w:color w:val="auto"/>
        </w:rPr>
      </w:pPr>
    </w:p>
    <w:p>
      <w:pPr>
        <w:ind w:left="1080" w:right="260" w:hanging="532"/>
        <w:spacing w:after="0" w:line="27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we will make all distributions of available cash from capital surplus as if they were from operating surplus.</w:t>
      </w:r>
    </w:p>
    <w:p>
      <w:pPr>
        <w:spacing w:after="0" w:line="223"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Effect of a Distribution from Capital Surplus. </w:t>
      </w:r>
      <w:r>
        <w:rPr>
          <w:rFonts w:ascii="Times New Roman" w:cs="Times New Roman" w:eastAsia="Times New Roman" w:hAnsi="Times New Roman"/>
          <w:sz w:val="18"/>
          <w:szCs w:val="18"/>
          <w:color w:val="auto"/>
        </w:rPr>
        <w:t>Our partnership agreement treats a distribution of available cash from capital surplus as the repayment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87" w:lineRule="exact"/>
        <w:rPr>
          <w:sz w:val="20"/>
          <w:szCs w:val="20"/>
          <w:color w:val="auto"/>
        </w:rPr>
      </w:pPr>
    </w:p>
    <w:p>
      <w:pPr>
        <w:ind w:left="360"/>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When Payback Occurs.</w:t>
      </w:r>
      <w:r>
        <w:rPr>
          <w:sz w:val="20"/>
          <w:szCs w:val="20"/>
          <w:color w:val="auto"/>
        </w:rPr>
        <w:tab/>
      </w:r>
      <w:r>
        <w:rPr>
          <w:rFonts w:ascii="Times New Roman" w:cs="Times New Roman" w:eastAsia="Times New Roman" w:hAnsi="Times New Roman"/>
          <w:sz w:val="16"/>
          <w:szCs w:val="16"/>
          <w:color w:val="auto"/>
        </w:rPr>
        <w:t>When "payback" of the reduced initial unit price has occurred, i.e., when the unrecovered capital of the common units is zero, then</w:t>
      </w:r>
    </w:p>
    <w:p>
      <w:pPr>
        <w:spacing w:after="0" w:line="241" w:lineRule="exact"/>
        <w:rPr>
          <w:sz w:val="20"/>
          <w:szCs w:val="20"/>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 and the target distribution levels will be reduced to zero for subsequent quarters;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of available cash will be treated as operating surplus; and</w:t>
      </w:r>
    </w:p>
    <w:p>
      <w:pPr>
        <w:spacing w:after="0" w:line="252"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will be entitled to receive 50% of distributions of available cash in its capacities as general partner and as holder of the incentive distribution rights.</w:t>
      </w:r>
    </w:p>
    <w:p>
      <w:pPr>
        <w:spacing w:after="0" w:line="174"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Distributions of available cash from capital surplus will not reduce the minimum quarterly distribution or target distribution levels for the quarter in which they are distributed.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the Minimum Quarterly Distribution and Target Distribution Levels</w:t>
      </w:r>
    </w:p>
    <w:p>
      <w:pPr>
        <w:spacing w:after="0" w:line="225"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How We Adjust the Minimum Quarterly Distribution and Target Distribution Levels. </w:t>
      </w:r>
      <w:r>
        <w:rPr>
          <w:rFonts w:ascii="Times New Roman" w:cs="Times New Roman" w:eastAsia="Times New Roman" w:hAnsi="Times New Roman"/>
          <w:sz w:val="18"/>
          <w:szCs w:val="18"/>
          <w:color w:val="auto"/>
        </w:rPr>
        <w:t>In addition to adjusting the minimum quarterly distribution and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197"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distribution levels;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unrecovered capital;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amounts calculated on a per unit basis.</w:t>
      </w:r>
    </w:p>
    <w:p>
      <w:pPr>
        <w:spacing w:after="0" w:line="225"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For example, in the event of a two-for-one split of the common units, the minimum quarterly distribution, each of the target distribution levels and the unrecovered capital of the common units would each be reduced to 50% of its pre-split level.</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If We Became Subject to Taxation. </w:t>
      </w:r>
      <w:r>
        <w:rPr>
          <w:rFonts w:ascii="Times New Roman" w:cs="Times New Roman" w:eastAsia="Times New Roman" w:hAnsi="Times New Roman"/>
          <w:sz w:val="18"/>
          <w:szCs w:val="18"/>
          <w:color w:val="auto"/>
        </w:rPr>
        <w:t>If legislation is enacted or if existing law is modified or interpreted by the relevant governmental authority so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197" w:lineRule="exact"/>
        <w:rPr>
          <w:sz w:val="20"/>
          <w:szCs w:val="20"/>
          <w:color w:val="auto"/>
        </w:rPr>
      </w:pPr>
    </w:p>
    <w:p>
      <w:pPr>
        <w:jc w:val="both"/>
        <w:ind w:left="1080" w:right="220" w:hanging="532"/>
        <w:spacing w:after="0" w:line="26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86"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Cash Upon Liquidation</w:t>
      </w:r>
    </w:p>
    <w:p>
      <w:pPr>
        <w:spacing w:after="0" w:line="225" w:lineRule="exact"/>
        <w:rPr>
          <w:sz w:val="20"/>
          <w:szCs w:val="20"/>
          <w:color w:val="auto"/>
        </w:rPr>
      </w:pPr>
    </w:p>
    <w:p>
      <w:pPr>
        <w:jc w:val="both"/>
        <w:ind w:right="12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General. </w:t>
      </w:r>
      <w:r>
        <w:rPr>
          <w:rFonts w:ascii="Times New Roman" w:cs="Times New Roman" w:eastAsia="Times New Roman" w:hAnsi="Times New Roman"/>
          <w:sz w:val="16"/>
          <w:szCs w:val="16"/>
          <w:color w:val="auto"/>
        </w:rPr>
        <w:t>If we dissolve and liquidate, we will sell our assets or otherwise dispose of our assets and we will adjust the partners' capital account balances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47" w:lineRule="exact"/>
        <w:rPr>
          <w:sz w:val="20"/>
          <w:szCs w:val="20"/>
          <w:color w:val="auto"/>
        </w:rPr>
      </w:pPr>
    </w:p>
    <w:p>
      <w:pPr>
        <w:ind w:left="360"/>
        <w:spacing w:after="0"/>
        <w:tabs>
          <w:tab w:leader="none" w:pos="2120" w:val="left"/>
        </w:tabs>
        <w:rPr>
          <w:sz w:val="20"/>
          <w:szCs w:val="20"/>
          <w:color w:val="auto"/>
        </w:rPr>
      </w:pPr>
      <w:r>
        <w:rPr>
          <w:rFonts w:ascii="Times New Roman" w:cs="Times New Roman" w:eastAsia="Times New Roman" w:hAnsi="Times New Roman"/>
          <w:sz w:val="18"/>
          <w:szCs w:val="18"/>
          <w:i w:val="1"/>
          <w:iCs w:val="1"/>
          <w:color w:val="auto"/>
        </w:rPr>
        <w:t>Manner of Adjustment.</w:t>
      </w:r>
      <w:r>
        <w:rPr>
          <w:sz w:val="20"/>
          <w:szCs w:val="20"/>
          <w:color w:val="auto"/>
        </w:rPr>
        <w:tab/>
      </w:r>
      <w:r>
        <w:rPr>
          <w:rFonts w:ascii="Times New Roman" w:cs="Times New Roman" w:eastAsia="Times New Roman" w:hAnsi="Times New Roman"/>
          <w:sz w:val="16"/>
          <w:szCs w:val="16"/>
          <w:color w:val="auto"/>
        </w:rPr>
        <w:t>If we liquidate, we would allocate any loss to the general partner and each unitholder as follows:</w:t>
      </w:r>
    </w:p>
    <w:p>
      <w:pPr>
        <w:spacing w:after="0" w:line="254" w:lineRule="exact"/>
        <w:rPr>
          <w:sz w:val="20"/>
          <w:szCs w:val="20"/>
          <w:color w:val="auto"/>
        </w:rPr>
      </w:pPr>
    </w:p>
    <w:p>
      <w:pPr>
        <w:ind w:left="1080" w:right="120" w:hanging="532"/>
        <w:spacing w:after="0" w:line="27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100% to the general partner.</w:t>
      </w:r>
    </w:p>
    <w:p>
      <w:pPr>
        <w:spacing w:after="0" w:line="22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Interim Adjustments to Capital Accounts. </w:t>
      </w:r>
      <w:r>
        <w:rPr>
          <w:rFonts w:ascii="Times New Roman" w:cs="Times New Roman" w:eastAsia="Times New Roman" w:hAnsi="Times New Roman"/>
          <w:sz w:val="18"/>
          <w:szCs w:val="18"/>
          <w:color w:val="auto"/>
        </w:rPr>
        <w:t>If we issued additional security interests or made distributions of property, interim adjustments to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material provisions of our partnership agreement. The following provisions of our partnership agreement are summarized elsewhere in this prospectus:</w:t>
      </w:r>
    </w:p>
    <w:p>
      <w:pPr>
        <w:spacing w:after="0" w:line="187"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available cash are described under "Cash Distribution Policy;"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taxable income and other tax matters are described under "Material U.S. Federal Income Tax Consequences;"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common units are described under "Description of Our Common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Reimbursements of Our General Partner</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227" w:lineRule="exact"/>
        <w:rPr>
          <w:sz w:val="20"/>
          <w:szCs w:val="20"/>
          <w:color w:val="auto"/>
        </w:rPr>
      </w:pPr>
    </w:p>
    <w:p>
      <w:pPr>
        <w:ind w:firstLine="351"/>
        <w:spacing w:after="0" w:line="339" w:lineRule="auto"/>
        <w:rPr>
          <w:sz w:val="20"/>
          <w:szCs w:val="20"/>
          <w:color w:val="auto"/>
        </w:rPr>
      </w:pPr>
      <w:r>
        <w:rPr>
          <w:rFonts w:ascii="Times New Roman" w:cs="Times New Roman" w:eastAsia="Times New Roman" w:hAnsi="Times New Roman"/>
          <w:sz w:val="16"/>
          <w:szCs w:val="16"/>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28"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86"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74"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227"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0"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3"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0"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74"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227"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0" w:lineRule="exact"/>
        <w:rPr>
          <w:sz w:val="20"/>
          <w:szCs w:val="20"/>
          <w:color w:val="auto"/>
        </w:rPr>
      </w:pPr>
    </w:p>
    <w:p>
      <w:pPr>
        <w:ind w:left="5620" w:right="2860" w:hanging="5072"/>
        <w:spacing w:after="0" w:line="525" w:lineRule="auto"/>
        <w:tabs>
          <w:tab w:leader="none" w:pos="10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towards the payment of all of our creditors and the creation of a reserve for contingent liabilities; and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to all partners in accordance with the positive balance in the respective capital accounts.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Under some circumstances and subject to some limitations, the liquidator may defer liquidation or distribution of our assets for a reasonable period of time.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the liquidator determines that a sale would be impractical or would cause a loss to our partners, our general partner may distribute assets in kind to our partners.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Management Provisions</w:t>
      </w:r>
    </w:p>
    <w:p>
      <w:pPr>
        <w:spacing w:after="0" w:line="227"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201" w:lineRule="exact"/>
        <w:rPr>
          <w:sz w:val="20"/>
          <w:szCs w:val="20"/>
          <w:color w:val="auto"/>
        </w:rPr>
      </w:pPr>
    </w:p>
    <w:p>
      <w:pPr>
        <w:ind w:left="1080" w:right="32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227" w:lineRule="exact"/>
        <w:rPr>
          <w:sz w:val="20"/>
          <w:szCs w:val="20"/>
          <w:color w:val="auto"/>
        </w:rPr>
      </w:pPr>
    </w:p>
    <w:p>
      <w:pPr>
        <w:ind w:right="60" w:firstLine="351"/>
        <w:spacing w:after="0" w:line="285" w:lineRule="auto"/>
        <w:rPr>
          <w:sz w:val="20"/>
          <w:szCs w:val="20"/>
          <w:color w:val="auto"/>
        </w:rPr>
      </w:pPr>
      <w:r>
        <w:rPr>
          <w:rFonts w:ascii="Times New Roman" w:cs="Times New Roman" w:eastAsia="Times New Roman" w:hAnsi="Times New Roman"/>
          <w:sz w:val="16"/>
          <w:szCs w:val="16"/>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ind w:right="20" w:firstLine="8"/>
        <w:spacing w:after="0" w:line="261" w:lineRule="auto"/>
        <w:tabs>
          <w:tab w:leader="none" w:pos="2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7"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93"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7"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7" w:lineRule="exact"/>
        <w:rPr>
          <w:sz w:val="20"/>
          <w:szCs w:val="20"/>
          <w:color w:val="auto"/>
        </w:rPr>
      </w:pPr>
    </w:p>
    <w:p>
      <w:pPr>
        <w:ind w:right="260" w:firstLine="348"/>
        <w:spacing w:after="0" w:line="256"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93"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cs="Times New Roman" w:eastAsia="Times New Roman" w:hAnsi="Times New Roman"/>
          <w:sz w:val="18"/>
          <w:szCs w:val="18"/>
          <w:b w:val="1"/>
          <w:bCs w:val="1"/>
          <w:i w:val="1"/>
          <w:iCs w:val="1"/>
          <w:color w:val="auto"/>
        </w:rPr>
        <w:t>Accordingly, we encourage each unitholder to consult the unitholder's own tax advisor in analyzing the federal,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local and non-U.S. tax consequences particular to that unitholder resulting from ownership or disposition of units and potential changes in applicable tax laws.</w:t>
      </w:r>
    </w:p>
    <w:p>
      <w:pPr>
        <w:spacing w:after="0" w:line="195"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93"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229"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74"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95" w:lineRule="exact"/>
        <w:rPr>
          <w:sz w:val="20"/>
          <w:szCs w:val="20"/>
          <w:color w:val="auto"/>
        </w:rPr>
      </w:pPr>
    </w:p>
    <w:p>
      <w:pPr>
        <w:jc w:val="both"/>
        <w:ind w:right="460" w:firstLine="351"/>
        <w:spacing w:after="0" w:line="258" w:lineRule="auto"/>
        <w:rPr>
          <w:sz w:val="20"/>
          <w:szCs w:val="20"/>
          <w:color w:val="auto"/>
        </w:rPr>
      </w:pPr>
      <w:r>
        <w:rPr>
          <w:rFonts w:ascii="Times New Roman" w:cs="Times New Roman" w:eastAsia="Times New Roman" w:hAnsi="Times New Roman"/>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0" w:lineRule="exact"/>
        <w:rPr>
          <w:sz w:val="20"/>
          <w:szCs w:val="20"/>
          <w:color w:val="auto"/>
        </w:rPr>
      </w:pPr>
    </w:p>
    <w:p>
      <w:pPr>
        <w:ind w:left="1220" w:hanging="321"/>
        <w:spacing w:after="0"/>
        <w:tabs>
          <w:tab w:leader="none" w:pos="12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we nor any of our partnership or limited liability company subsidiaries has elected to be treated as a corporation for federal income tax</w:t>
      </w:r>
    </w:p>
    <w:p>
      <w:pPr>
        <w:spacing w:after="0" w:line="44"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purposes;</w:t>
      </w:r>
    </w:p>
    <w:p>
      <w:pPr>
        <w:spacing w:after="0" w:line="212" w:lineRule="exact"/>
        <w:rPr>
          <w:rFonts w:ascii="Times New Roman" w:cs="Times New Roman" w:eastAsia="Times New Roman" w:hAnsi="Times New Roman"/>
          <w:sz w:val="16"/>
          <w:szCs w:val="16"/>
          <w:color w:val="auto"/>
        </w:rPr>
      </w:pPr>
    </w:p>
    <w:p>
      <w:pPr>
        <w:ind w:left="540" w:firstLine="359"/>
        <w:spacing w:after="0" w:line="275" w:lineRule="auto"/>
        <w:tabs>
          <w:tab w:leader="none" w:pos="12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73" w:lineRule="exact"/>
        <w:rPr>
          <w:rFonts w:ascii="Times New Roman" w:cs="Times New Roman" w:eastAsia="Times New Roman" w:hAnsi="Times New Roman"/>
          <w:sz w:val="18"/>
          <w:szCs w:val="18"/>
          <w:color w:val="auto"/>
        </w:rPr>
      </w:pPr>
    </w:p>
    <w:p>
      <w:pPr>
        <w:ind w:left="540" w:right="220" w:firstLine="359"/>
        <w:spacing w:after="0" w:line="262" w:lineRule="auto"/>
        <w:tabs>
          <w:tab w:leader="none" w:pos="12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93"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 traded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partnerships as corporations upon which we rely for our treatment as a partnership for U.S. federal income tax purposes. 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remainder of this discussion is based on the opinion of Vinson &amp; Elkins L.L.P. that we will be treated as a partnership for federal income tax purposes.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of Unit Ownership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Status</w:t>
      </w:r>
    </w:p>
    <w:p>
      <w:pPr>
        <w:spacing w:after="0" w:line="229"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0" w:lineRule="exact"/>
        <w:rPr>
          <w:sz w:val="20"/>
          <w:szCs w:val="20"/>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assignees who have executed and delivered transfer applications, and are awaiting admission as limited partners, and</w:t>
      </w:r>
    </w:p>
    <w:p>
      <w:pPr>
        <w:spacing w:after="0" w:line="252"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3"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Flow-Through of Taxable Income</w:t>
      </w:r>
    </w:p>
    <w:p>
      <w:pPr>
        <w:spacing w:after="0" w:line="229"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40"/>
        <w:spacing w:after="0" w:line="310" w:lineRule="auto"/>
        <w:rPr>
          <w:sz w:val="20"/>
          <w:szCs w:val="20"/>
          <w:color w:val="auto"/>
        </w:rPr>
      </w:pPr>
      <w:r>
        <w:rPr>
          <w:rFonts w:ascii="Times New Roman" w:cs="Times New Roman" w:eastAsia="Times New Roman" w:hAnsi="Times New Roman"/>
          <w:sz w:val="16"/>
          <w:szCs w:val="16"/>
          <w:color w:val="auto"/>
        </w:rPr>
        <w:t>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Units</w:t>
      </w:r>
    </w:p>
    <w:p>
      <w:pPr>
        <w:spacing w:after="0" w:line="229" w:lineRule="exact"/>
        <w:rPr>
          <w:sz w:val="20"/>
          <w:szCs w:val="20"/>
          <w:color w:val="auto"/>
        </w:rPr>
      </w:pPr>
    </w:p>
    <w:p>
      <w:pPr>
        <w:ind w:right="40" w:firstLine="341"/>
        <w:spacing w:after="0" w:line="301" w:lineRule="auto"/>
        <w:rPr>
          <w:sz w:val="20"/>
          <w:szCs w:val="20"/>
          <w:color w:val="auto"/>
        </w:rPr>
      </w:pPr>
      <w:r>
        <w:rPr>
          <w:rFonts w:ascii="Times New Roman" w:cs="Times New Roman" w:eastAsia="Times New Roman" w:hAnsi="Times New Roman"/>
          <w:sz w:val="16"/>
          <w:szCs w:val="16"/>
          <w:color w:val="auto"/>
        </w:rPr>
        <w:t>A unitholder's tax basis in its units initially will be the amount it paid for those units plus the unitholder's initial share of our liabilities. That basis generally will be (i) increased by the unitholder's share of our income and any increases in such unitholder's share of our "nonrecourse liabilities" (liabilities for which no partner, including our general partner, bears the economic risk of loss), and (ii) decreased, but not below zero, by distributions to it, by its share of our losses, and any decreases in its share of our nonrecourse liabilities and its share of our expenditures that are neither deductible nor required to be capitalized.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Distributions</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74" w:lineRule="exact"/>
        <w:rPr>
          <w:sz w:val="20"/>
          <w:szCs w:val="20"/>
          <w:color w:val="auto"/>
        </w:rPr>
      </w:pPr>
    </w:p>
    <w:p>
      <w:pPr>
        <w:ind w:right="20" w:firstLine="341"/>
        <w:spacing w:after="0" w:line="301" w:lineRule="auto"/>
        <w:rPr>
          <w:sz w:val="20"/>
          <w:szCs w:val="20"/>
          <w:color w:val="auto"/>
        </w:rPr>
      </w:pPr>
      <w:r>
        <w:rPr>
          <w:rFonts w:ascii="Times New Roman" w:cs="Times New Roman" w:eastAsia="Times New Roman" w:hAnsi="Times New Roman"/>
          <w:sz w:val="16"/>
          <w:szCs w:val="16"/>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57" w:lineRule="exact"/>
        <w:rPr>
          <w:sz w:val="20"/>
          <w:szCs w:val="20"/>
          <w:color w:val="auto"/>
        </w:rPr>
      </w:pPr>
    </w:p>
    <w:p>
      <w:pPr>
        <w:ind w:right="40" w:firstLine="341"/>
        <w:spacing w:after="0" w:line="285" w:lineRule="auto"/>
        <w:rPr>
          <w:sz w:val="20"/>
          <w:szCs w:val="20"/>
          <w:color w:val="auto"/>
        </w:rPr>
      </w:pPr>
      <w:r>
        <w:rPr>
          <w:rFonts w:ascii="Times New Roman" w:cs="Times New Roman" w:eastAsia="Times New Roman" w:hAnsi="Times New Roman"/>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w:t>
      </w:r>
    </w:p>
    <w:p>
      <w:pPr>
        <w:ind w:right="400" w:firstLine="8"/>
        <w:spacing w:after="0" w:line="261" w:lineRule="auto"/>
        <w:tabs>
          <w:tab w:leader="none" w:pos="2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non-pro rata portion of that distribution over (2) the unitholder's tax basis (generally zero) in the Section 751 Assets deemed to be relinquished in the exchange.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Losses</w:t>
      </w:r>
    </w:p>
    <w:p>
      <w:pPr>
        <w:spacing w:after="0" w:line="229" w:lineRule="exact"/>
        <w:rPr>
          <w:sz w:val="20"/>
          <w:szCs w:val="20"/>
          <w:color w:val="auto"/>
        </w:rPr>
      </w:pPr>
    </w:p>
    <w:p>
      <w:pPr>
        <w:ind w:right="60" w:firstLine="341"/>
        <w:spacing w:after="0" w:line="254" w:lineRule="auto"/>
        <w:rPr>
          <w:sz w:val="20"/>
          <w:szCs w:val="20"/>
          <w:color w:val="auto"/>
        </w:rPr>
      </w:pPr>
      <w:r>
        <w:rPr>
          <w:rFonts w:ascii="Times New Roman" w:cs="Times New Roman" w:eastAsia="Times New Roman" w:hAnsi="Times New Roman"/>
          <w:sz w:val="18"/>
          <w:szCs w:val="18"/>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74"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3" w:lineRule="exact"/>
        <w:rPr>
          <w:sz w:val="20"/>
          <w:szCs w:val="20"/>
          <w:color w:val="auto"/>
        </w:rPr>
      </w:pPr>
    </w:p>
    <w:p>
      <w:pPr>
        <w:ind w:right="80" w:firstLine="351"/>
        <w:spacing w:after="0" w:line="291" w:lineRule="auto"/>
        <w:rPr>
          <w:sz w:val="20"/>
          <w:szCs w:val="20"/>
          <w:color w:val="auto"/>
        </w:rPr>
      </w:pPr>
      <w:r>
        <w:rPr>
          <w:rFonts w:ascii="Times New Roman" w:cs="Times New Roman" w:eastAsia="Times New Roman" w:hAnsi="Times New Roman"/>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or your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deductibility of a non-corporate taxpayer's "investment interest expense" generally is limited to the amount of that taxpayer's "net investment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interest expense includes:</w:t>
      </w:r>
    </w:p>
    <w:p>
      <w:pPr>
        <w:spacing w:after="0" w:line="226"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allocable to property held for investment;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allocated against portfolio income;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interest expense incurred to purchase or carry an interest in a passive activity to the extent allocable against portfolio income.</w:t>
      </w:r>
    </w:p>
    <w:p>
      <w:pPr>
        <w:spacing w:after="0" w:line="225"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Entity-Level Collections of Unitholder Taxes</w:t>
      </w:r>
    </w:p>
    <w:p>
      <w:pPr>
        <w:spacing w:after="0" w:line="229"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If we are required or elect under applicable law to pay any federal, state, local or non-U.S. tax on behalf of any current or former unitholder or our general partner, we are authorized to pay those taxes and treat the payment as a distribution of cash to the relevant unitholder or general partner.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nearly as is practicable.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229"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5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0"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8"/>
          <w:szCs w:val="18"/>
          <w:color w:val="auto"/>
        </w:rPr>
        <w:t>An allocation of items of our income, gain, loss or deduction, generally must have "substantial economic effect" as determined under Treasury Regulations. If an allocation does not have substantial economic effect, it will be reallocated to our common unitholders the basis of their interests in us, which will be determined by taking into account all the facts and circumstances, including:</w:t>
      </w:r>
    </w:p>
    <w:p>
      <w:pPr>
        <w:spacing w:after="0" w:line="200"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relative contributions to us;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all the partners in profits and losses;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all the partners in cash flow;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all the partners to distributions of capital upon liquidation.</w:t>
      </w:r>
    </w:p>
    <w:p>
      <w:pPr>
        <w:spacing w:after="0" w:line="225"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Vinson &amp; Elkins L.L.P. is of the opinion that, with the exception of the issues described in "—Section 754 Election" and "—Disposition of Units— Allocations Between Transferors and Transferees," allocations under our partnership agreement will have substantial economic effect.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Securities Loans</w:t>
      </w:r>
    </w:p>
    <w:p>
      <w:pPr>
        <w:spacing w:after="0" w:line="229" w:lineRule="exact"/>
        <w:rPr>
          <w:sz w:val="20"/>
          <w:szCs w:val="20"/>
          <w:color w:val="auto"/>
        </w:rPr>
      </w:pPr>
    </w:p>
    <w:p>
      <w:pPr>
        <w:jc w:val="both"/>
        <w:ind w:right="120" w:firstLine="341"/>
        <w:spacing w:after="0" w:line="258" w:lineRule="auto"/>
        <w:rPr>
          <w:sz w:val="20"/>
          <w:szCs w:val="20"/>
          <w:color w:val="auto"/>
        </w:rPr>
      </w:pPr>
      <w:r>
        <w:rPr>
          <w:rFonts w:ascii="Times New Roman" w:cs="Times New Roman" w:eastAsia="Times New Roman" w:hAnsi="Times New Roman"/>
          <w:sz w:val="18"/>
          <w:szCs w:val="18"/>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90"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"—Disposition of Units—Recognition of Gain or Loss."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229"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229" w:lineRule="exact"/>
        <w:rPr>
          <w:sz w:val="20"/>
          <w:szCs w:val="20"/>
          <w:color w:val="auto"/>
        </w:rPr>
      </w:pPr>
    </w:p>
    <w:p>
      <w:pPr>
        <w:ind w:right="120" w:firstLine="348"/>
        <w:spacing w:after="0" w:line="296" w:lineRule="auto"/>
        <w:rPr>
          <w:sz w:val="20"/>
          <w:szCs w:val="20"/>
          <w:color w:val="auto"/>
        </w:rPr>
      </w:pPr>
      <w:r>
        <w:rPr>
          <w:rFonts w:ascii="Times New Roman" w:cs="Times New Roman" w:eastAsia="Times New Roman" w:hAnsi="Times New Roman"/>
          <w:sz w:val="16"/>
          <w:szCs w:val="16"/>
          <w:color w:val="auto"/>
        </w:rPr>
        <w:t>We have made the election permitted by Section 754 of the Code that permits us to adjust the tax basis in our assets as to specific purchased units under Section 743(b) of the Code to reflect the unit purchase price. The Section 743(b) adjustment separately applies to each purchaser of units based upon the values and basis of our assets at the time of the relevant purchase. The Section 743(b) adjustment does not apply to a person who purchases units directly from us. For purposes of this discussion, a common unitholder's basis in our assets will be considered to have two components: (1) its share of the tax basis in our assets as to all common unitholders ("common basis") and (2) its Section 743(b) adjustment to that tax basis (which may be positive or negative).</w:t>
      </w:r>
    </w:p>
    <w:p>
      <w:pPr>
        <w:spacing w:after="0" w:line="162"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Under Treasury Regulations, a Section 743(b) adjustment attributable to property depreciable under Section 168 of the Code, such as our storage assets, may be amortizable over the remaining cost recovery period for such property, while a Section 743(b) adjustment attributable to properties subject to depreciation under Section 167 of the Code, must be amortized straight-line or using the 150% declining balance method. As a result, if we owned any assets subject to depreciation under Section 167 of the Code, the amortization rates could give rise to differences in the taxation of common unitholders purchasing units from us and common unitholders purchasing from other common unitholders.</w:t>
      </w:r>
    </w:p>
    <w:p>
      <w:pPr>
        <w:spacing w:after="0" w:line="193"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Under our partnership agreement, we are authorized to take a position to preserve the uniformity of units even if that position is not consistent with these or any other Treasury Regulations. Please read "—Uniformity of Units." Consistent with this authority, we intend to treat properties depreciable under Section 167, if any, in the same manner as properties depreciable under Section 168 for this purpose. These positions are consistent with the methods employed by other publicly traded partnerships but are inconsistent with the existing Treasury Regulations, and Vinson &amp; Elkins L.L.P. has not opined on the validity of this approach.</w:t>
      </w:r>
    </w:p>
    <w:p>
      <w:pPr>
        <w:spacing w:after="0" w:line="193"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IRS may challenge our positions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Treatment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Method and Taxable Year</w:t>
      </w:r>
    </w:p>
    <w:p>
      <w:pPr>
        <w:spacing w:after="0" w:line="229"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Basis, Depreciation and Amortization</w:t>
      </w:r>
    </w:p>
    <w:p>
      <w:pPr>
        <w:spacing w:after="0" w:line="229"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"—Tax Consequences of Unit Ownership—Allocation of Income, Gain, Loss and Deduction."</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93"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Tax Basis of Our Properties</w:t>
      </w:r>
    </w:p>
    <w:p>
      <w:pPr>
        <w:spacing w:after="0" w:line="229"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of Gain or Loss</w:t>
      </w:r>
    </w:p>
    <w:p>
      <w:pPr>
        <w:spacing w:after="0" w:line="229" w:lineRule="exact"/>
        <w:rPr>
          <w:sz w:val="20"/>
          <w:szCs w:val="20"/>
          <w:color w:val="auto"/>
        </w:rPr>
      </w:pPr>
    </w:p>
    <w:p>
      <w:pPr>
        <w:ind w:right="80" w:firstLine="341"/>
        <w:spacing w:after="0" w:line="258" w:lineRule="auto"/>
        <w:rPr>
          <w:sz w:val="20"/>
          <w:szCs w:val="20"/>
          <w:color w:val="auto"/>
        </w:rPr>
      </w:pPr>
      <w:r>
        <w:rPr>
          <w:rFonts w:ascii="Times New Roman" w:cs="Times New Roman" w:eastAsia="Times New Roman" w:hAnsi="Times New Roman"/>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93" w:lineRule="exact"/>
        <w:rPr>
          <w:sz w:val="20"/>
          <w:szCs w:val="20"/>
          <w:color w:val="auto"/>
        </w:rPr>
      </w:pPr>
    </w:p>
    <w:p>
      <w:pPr>
        <w:jc w:val="both"/>
        <w:ind w:right="100" w:firstLine="348"/>
        <w:spacing w:after="0" w:line="301" w:lineRule="auto"/>
        <w:rPr>
          <w:sz w:val="20"/>
          <w:szCs w:val="20"/>
          <w:color w:val="auto"/>
        </w:rPr>
      </w:pPr>
      <w:r>
        <w:rPr>
          <w:rFonts w:ascii="Times New Roman" w:cs="Times New Roman" w:eastAsia="Times New Roman" w:hAnsi="Times New Roman"/>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5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93"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0" w:lineRule="exact"/>
        <w:rPr>
          <w:sz w:val="20"/>
          <w:szCs w:val="20"/>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notional principal contract; or</w:t>
      </w:r>
    </w:p>
    <w:p>
      <w:pPr>
        <w:spacing w:after="0" w:line="238" w:lineRule="exact"/>
        <w:rPr>
          <w:rFonts w:ascii="Times New Roman" w:cs="Times New Roman" w:eastAsia="Times New Roman" w:hAnsi="Times New Roman"/>
          <w:sz w:val="18"/>
          <w:szCs w:val="18"/>
          <w:color w:val="auto"/>
        </w:rPr>
      </w:pPr>
    </w:p>
    <w:p>
      <w:pPr>
        <w:ind w:left="5620" w:right="3140" w:hanging="5072"/>
        <w:spacing w:after="0" w:line="525" w:lineRule="auto"/>
        <w:tabs>
          <w:tab w:leader="none" w:pos="108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or forward contract with respect to the partnership interest or substantially identical property.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Allocations Between Transferors and Transferees</w:t>
      </w:r>
    </w:p>
    <w:p>
      <w:pPr>
        <w:spacing w:after="0" w:line="229" w:lineRule="exact"/>
        <w:rPr>
          <w:sz w:val="20"/>
          <w:szCs w:val="20"/>
          <w:color w:val="auto"/>
        </w:rPr>
      </w:pPr>
    </w:p>
    <w:p>
      <w:pPr>
        <w:ind w:right="100" w:firstLine="351"/>
        <w:spacing w:after="0" w:line="293" w:lineRule="auto"/>
        <w:rPr>
          <w:sz w:val="20"/>
          <w:szCs w:val="20"/>
          <w:color w:val="auto"/>
        </w:rPr>
      </w:pPr>
      <w:r>
        <w:rPr>
          <w:rFonts w:ascii="Times New Roman" w:cs="Times New Roman" w:eastAsia="Times New Roman" w:hAnsi="Times New Roman"/>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65"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Nonetheless, the safe harbor in the proposed regulations differs slightly from the proration method we have adopted because the safe harbor would allocate tax items among the months based upon the relative number of days in each month, and could require certain tax items which our general partner may not consider extraordinary to be allocated to the month in which such items actually occur.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might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95" w:lineRule="exact"/>
        <w:rPr>
          <w:sz w:val="20"/>
          <w:szCs w:val="20"/>
          <w:color w:val="auto"/>
        </w:rPr>
      </w:pPr>
    </w:p>
    <w:p>
      <w:pPr>
        <w:ind w:right="300" w:firstLine="341"/>
        <w:spacing w:after="0" w:line="275" w:lineRule="auto"/>
        <w:rPr>
          <w:sz w:val="20"/>
          <w:szCs w:val="20"/>
          <w:color w:val="auto"/>
        </w:rPr>
      </w:pPr>
      <w:r>
        <w:rPr>
          <w:rFonts w:ascii="Times New Roman" w:cs="Times New Roman" w:eastAsia="Times New Roman" w:hAnsi="Times New Roman"/>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 Requirements</w:t>
      </w:r>
    </w:p>
    <w:p>
      <w:pPr>
        <w:spacing w:after="0" w:line="229" w:lineRule="exact"/>
        <w:rPr>
          <w:sz w:val="20"/>
          <w:szCs w:val="20"/>
          <w:color w:val="auto"/>
        </w:rPr>
      </w:pPr>
    </w:p>
    <w:p>
      <w:pPr>
        <w:ind w:right="80" w:firstLine="341"/>
        <w:spacing w:after="0" w:line="256" w:lineRule="auto"/>
        <w:rPr>
          <w:sz w:val="20"/>
          <w:szCs w:val="20"/>
          <w:color w:val="auto"/>
        </w:rPr>
      </w:pPr>
      <w:r>
        <w:rPr>
          <w:rFonts w:ascii="Times New Roman" w:cs="Times New Roman" w:eastAsia="Times New Roman" w:hAnsi="Times New Roman"/>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Constructive Termination</w:t>
      </w:r>
    </w:p>
    <w:p>
      <w:pPr>
        <w:spacing w:after="0" w:line="229"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will be considered to have terminated our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such unitholder's taxable income for the year of termination.</w:t>
      </w:r>
    </w:p>
    <w:p>
      <w:pPr>
        <w:spacing w:after="0" w:line="193" w:lineRule="exact"/>
        <w:rPr>
          <w:sz w:val="20"/>
          <w:szCs w:val="20"/>
          <w:color w:val="auto"/>
        </w:rPr>
      </w:pPr>
    </w:p>
    <w:p>
      <w:pPr>
        <w:ind w:right="140" w:firstLine="341"/>
        <w:spacing w:after="0" w:line="255" w:lineRule="auto"/>
        <w:rPr>
          <w:sz w:val="20"/>
          <w:szCs w:val="20"/>
          <w:color w:val="auto"/>
        </w:rPr>
      </w:pPr>
      <w:r>
        <w:rPr>
          <w:rFonts w:ascii="Times New Roman" w:cs="Times New Roman" w:eastAsia="Times New Roman" w:hAnsi="Times New Roman"/>
          <w:sz w:val="18"/>
          <w:szCs w:val="18"/>
          <w:color w:val="auto"/>
        </w:rPr>
        <w:t>A constructive termination occurring on a date other than December 31 will result in us filing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We would be required to make new tax elections after a termination, including a new election under Section 754 of the Code, and the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Uniformity of Units</w:t>
      </w:r>
    </w:p>
    <w:p>
      <w:pPr>
        <w:spacing w:after="0" w:line="22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could result from a literal application of Treasury Regulation Section 1.167(c)-1(a)(6), which is not anticipated to apply to a material portion of our assets. Any non-uniformity could have a negative impact on the value of the units. Please read "—Tax Consequences of Unit Ownership—Section 754 Election."</w:t>
      </w:r>
    </w:p>
    <w:p>
      <w:pPr>
        <w:spacing w:after="0" w:line="19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necessary to preserve the uniformity of our units, our partnership agreement permits our general partner to take positions in filing our tax returns even when contrary to a literal application of regulations like the one described above. These positions may include reducing for some common unitholders the depreciation, amortization or loss deductions to which they would otherwise be entitled or reporting a slower amortization of Section 743(b) adjustments for some common unitholders than that to which they would otherwise be entitled. The general partner does not anticipate needing to take such positions, but if they were necessary, Vinson &amp; Elkins L.L.P. would be unable to opine as to validity of such filing positions in the absence of direct and controlling authority.</w:t>
      </w:r>
    </w:p>
    <w:p>
      <w:pPr>
        <w:spacing w:after="0" w:line="193" w:lineRule="exact"/>
        <w:rPr>
          <w:sz w:val="20"/>
          <w:szCs w:val="20"/>
          <w:color w:val="auto"/>
        </w:rPr>
      </w:pPr>
    </w:p>
    <w:p>
      <w:pPr>
        <w:ind w:right="120" w:firstLine="341"/>
        <w:spacing w:after="0" w:line="255" w:lineRule="auto"/>
        <w:rPr>
          <w:sz w:val="20"/>
          <w:szCs w:val="20"/>
          <w:color w:val="auto"/>
        </w:rPr>
      </w:pPr>
      <w:r>
        <w:rPr>
          <w:rFonts w:ascii="Times New Roman" w:cs="Times New Roman" w:eastAsia="Times New Roman" w:hAnsi="Times New Roman"/>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Organizations and Other Investors</w:t>
      </w:r>
    </w:p>
    <w:p>
      <w:pPr>
        <w:spacing w:after="0" w:line="229"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9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Non-U.S. Unitholders will be considered to be engaged in business in the United States because of their ownership of our units. Furthermore, it is probable that they will be deemed to conduct such activities through permanent establishments in the U.S.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92"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93" w:lineRule="exact"/>
        <w:rPr>
          <w:sz w:val="20"/>
          <w:szCs w:val="20"/>
          <w:color w:val="auto"/>
        </w:rPr>
      </w:pPr>
    </w:p>
    <w:p>
      <w:pPr>
        <w:ind w:firstLine="341"/>
        <w:spacing w:after="0" w:line="252" w:lineRule="auto"/>
        <w:rPr>
          <w:sz w:val="20"/>
          <w:szCs w:val="20"/>
          <w:color w:val="auto"/>
        </w:rPr>
      </w:pPr>
      <w:r>
        <w:rPr>
          <w:rFonts w:ascii="Times New Roman" w:cs="Times New Roman" w:eastAsia="Times New Roman" w:hAnsi="Times New Roman"/>
          <w:sz w:val="18"/>
          <w:szCs w:val="18"/>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Unitholder from the sale of its interest in a partnership that is engaged in a trade or business in the United States will be considered to be "effectively connected" with a U.S. trade or business. Thus, part of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and associated personal property, and interests in certain entities holding U.S. real 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Returns and Audit Procedures</w:t>
      </w:r>
    </w:p>
    <w:p>
      <w:pPr>
        <w:spacing w:after="0" w:line="229"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3"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IRS may audit our federal income tax information returns. Neither we, nor Vinson &amp; Elkins L.L.P. can assure prospective unitholders that the IRS will not successfully contend in court that those positions are impermissible,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not related to our returns as well as those related to its returns.</w:t>
      </w:r>
    </w:p>
    <w:p>
      <w:pPr>
        <w:spacing w:after="0" w:line="190"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0"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95"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225" w:lineRule="exact"/>
        <w:rPr>
          <w:sz w:val="20"/>
          <w:szCs w:val="20"/>
          <w:color w:val="auto"/>
        </w:rPr>
      </w:pPr>
    </w:p>
    <w:p>
      <w:pPr>
        <w:ind w:left="1240" w:hanging="341"/>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225" w:lineRule="exact"/>
        <w:rPr>
          <w:rFonts w:ascii="Times New Roman" w:cs="Times New Roman" w:eastAsia="Times New Roman" w:hAnsi="Times New Roman"/>
          <w:sz w:val="18"/>
          <w:szCs w:val="18"/>
          <w:color w:val="auto"/>
        </w:rPr>
      </w:pPr>
    </w:p>
    <w:p>
      <w:pPr>
        <w:ind w:left="1760" w:hanging="320"/>
        <w:spacing w:after="0"/>
        <w:tabs>
          <w:tab w:leader="none" w:pos="17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225" w:lineRule="exact"/>
        <w:rPr>
          <w:rFonts w:ascii="Times New Roman" w:cs="Times New Roman" w:eastAsia="Times New Roman" w:hAnsi="Times New Roman"/>
          <w:sz w:val="18"/>
          <w:szCs w:val="18"/>
          <w:color w:val="auto"/>
        </w:rPr>
      </w:pPr>
    </w:p>
    <w:p>
      <w:pPr>
        <w:ind w:left="5620" w:right="460" w:hanging="4180"/>
        <w:spacing w:after="0" w:line="525" w:lineRule="auto"/>
        <w:tabs>
          <w:tab w:leader="none" w:pos="17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 owned agency or instrumentality of either of the foregoing; or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760" w:hanging="320"/>
        <w:spacing w:after="0"/>
        <w:tabs>
          <w:tab w:leader="none" w:pos="17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225" w:lineRule="exact"/>
        <w:rPr>
          <w:rFonts w:ascii="Times New Roman" w:cs="Times New Roman" w:eastAsia="Times New Roman" w:hAnsi="Times New Roman"/>
          <w:sz w:val="18"/>
          <w:szCs w:val="18"/>
          <w:color w:val="auto"/>
        </w:rPr>
      </w:pPr>
    </w:p>
    <w:p>
      <w:pPr>
        <w:ind w:left="540" w:right="80" w:firstLine="359"/>
        <w:spacing w:after="0" w:line="275" w:lineRule="auto"/>
        <w:tabs>
          <w:tab w:leader="none" w:pos="12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174"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Accuracy-Related Penalties</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229"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of Debt Securities</w:t>
      </w:r>
    </w:p>
    <w:p>
      <w:pPr>
        <w:spacing w:after="0" w:line="229"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72"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for public offering and sale;</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 who may act as agent or may purchase securities as principal and thereafter resell the securities from time to time: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crosses and block transactions) or distributions;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NYSE;</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 or</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or</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then-current market prices;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0"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62"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86"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74"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74"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74"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0" w:name="page91"/>
    <w:bookmarkEnd w:id="90"/>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621030</wp:posOffset>
            </wp:positionV>
            <wp:extent cx="18954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972820</wp:posOffset>
            </wp:positionV>
            <wp:extent cx="2160905" cy="643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60905" cy="6432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960" w:hanging="853"/>
        <w:spacing w:after="0"/>
        <w:tabs>
          <w:tab w:leader="none" w:pos="4960" w:val="left"/>
        </w:tabs>
        <w:numPr>
          <w:ilvl w:val="0"/>
          <w:numId w:val="8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8954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21" w:lineRule="exact"/>
        <w:rPr>
          <w:sz w:val="20"/>
          <w:szCs w:val="20"/>
          <w:color w:val="auto"/>
        </w:rPr>
      </w:pPr>
    </w:p>
    <w:p>
      <w:pPr>
        <w:ind w:left="4820"/>
        <w:spacing w:after="0"/>
        <w:tabs>
          <w:tab w:leader="none" w:pos="6140" w:val="left"/>
        </w:tabs>
        <w:rPr>
          <w:sz w:val="20"/>
          <w:szCs w:val="20"/>
          <w:color w:val="auto"/>
        </w:rPr>
      </w:pPr>
      <w:r>
        <w:rPr>
          <w:rFonts w:ascii="Times New Roman" w:cs="Times New Roman" w:eastAsia="Times New Roman" w:hAnsi="Times New Roman"/>
          <w:sz w:val="18"/>
          <w:szCs w:val="18"/>
          <w:b w:val="1"/>
          <w:bCs w:val="1"/>
          <w:color w:val="auto"/>
        </w:rPr>
        <w:t>November</w:t>
      </w:r>
      <w:r>
        <w:rPr>
          <w:sz w:val="20"/>
          <w:szCs w:val="20"/>
          <w:color w:val="auto"/>
        </w:rPr>
        <w:tab/>
      </w:r>
      <w:r>
        <w:rPr>
          <w:rFonts w:ascii="Times New Roman" w:cs="Times New Roman" w:eastAsia="Times New Roman" w:hAnsi="Times New Roman"/>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153670</wp:posOffset>
            </wp:positionV>
            <wp:extent cx="18954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J.P. Morgan</w:t>
      </w:r>
    </w:p>
    <w:p>
      <w:pPr>
        <w:jc w:val="center"/>
        <w:ind w:right="-1200"/>
        <w:spacing w:after="0" w:line="237" w:lineRule="auto"/>
        <w:rPr>
          <w:sz w:val="20"/>
          <w:szCs w:val="20"/>
          <w:color w:val="auto"/>
        </w:rPr>
      </w:pPr>
      <w:r>
        <w:rPr>
          <w:rFonts w:ascii="Times New Roman" w:cs="Times New Roman" w:eastAsia="Times New Roman" w:hAnsi="Times New Roman"/>
          <w:sz w:val="32"/>
          <w:szCs w:val="32"/>
          <w:b w:val="1"/>
          <w:bCs w:val="1"/>
          <w:color w:val="auto"/>
        </w:rPr>
        <w:t>BNP PARIBAS</w:t>
      </w:r>
    </w:p>
    <w:p>
      <w:pPr>
        <w:jc w:val="center"/>
        <w:ind w:right="-1200"/>
        <w:spacing w:after="0" w:line="238" w:lineRule="auto"/>
        <w:rPr>
          <w:sz w:val="20"/>
          <w:szCs w:val="20"/>
          <w:color w:val="auto"/>
        </w:rPr>
      </w:pPr>
      <w:r>
        <w:rPr>
          <w:rFonts w:ascii="Times New Roman" w:cs="Times New Roman" w:eastAsia="Times New Roman" w:hAnsi="Times New Roman"/>
          <w:sz w:val="32"/>
          <w:szCs w:val="32"/>
          <w:b w:val="1"/>
          <w:bCs w:val="1"/>
          <w:color w:val="auto"/>
        </w:rPr>
        <w:t>BofA Merrill Lynch</w:t>
      </w:r>
    </w:p>
    <w:p>
      <w:pPr>
        <w:spacing w:after="0" w:line="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138430</wp:posOffset>
            </wp:positionV>
            <wp:extent cx="18954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770890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
      <w:numFmt w:val="bullet"/>
      <w:start w:val="1"/>
    </w:lvl>
    <w:lvl w:ilvl="1">
      <w:lvlJc w:val="left"/>
      <w:lvlText w:val="•"/>
      <w:numFmt w:val="bullet"/>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1)"/>
      <w:numFmt w:val="decimal"/>
      <w:start w:val="2"/>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lvl w:ilvl="1">
      <w:lvlJc w:val="left"/>
      <w:lvlText w:val="•"/>
      <w:numFmt w:val="bullet"/>
      <w:start w:val="1"/>
    </w:lvl>
  </w:abstractNum>
  <w:abstractNum w:abstractNumId="16">
    <w:nsid w:val="3DC240FB"/>
    <w:multiLevelType w:val="hybridMultilevel"/>
    <w:lvl w:ilvl="0">
      <w:lvlJc w:val="left"/>
      <w:lvlText w:val="•"/>
      <w:numFmt w:val="bullet"/>
      <w:start w:val="1"/>
    </w:lvl>
    <w:lvl w:ilvl="1">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lvl w:ilvl="1">
      <w:lvlJc w:val="left"/>
      <w:lvlText w:val="(%2)"/>
      <w:numFmt w:val="lowerLetter"/>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10"/>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lowerLetter"/>
      <w:start w:val="1"/>
    </w:lvl>
  </w:abstractNum>
  <w:abstractNum w:abstractNumId="37">
    <w:nsid w:val="10233C99"/>
    <w:multiLevelType w:val="hybridMultilevel"/>
    <w:lvl w:ilvl="0">
      <w:lvlJc w:val="left"/>
      <w:lvlText w:val="(%1)"/>
      <w:numFmt w:val="lowerLetter"/>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1)"/>
      <w:numFmt w:val="lowerLetter"/>
      <w:start w:val="1"/>
    </w:lvl>
    <w:lvl w:ilvl="1">
      <w:lvlJc w:val="left"/>
      <w:lvlText w:val="(%2)"/>
      <w:numFmt w:val="decimal"/>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1)"/>
      <w:numFmt w:val="decimal"/>
      <w:start w:val="2"/>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1)"/>
      <w:numFmt w:val="decimal"/>
      <w:start w:val="1"/>
    </w:lvl>
    <w:lvl w:ilvl="1">
      <w:lvlJc w:val="left"/>
      <w:lvlText w:val="(%2)"/>
      <w:numFmt w:val="lowerLetter"/>
      <w:start w:val="1"/>
    </w:lvl>
  </w:abstractNum>
  <w:abstractNum w:abstractNumId="79">
    <w:nsid w:val="14330624"/>
    <w:multiLevelType w:val="hybridMultilevel"/>
    <w:lvl w:ilvl="0">
      <w:lvlJc w:val="left"/>
      <w:lvlText w:val="%1"/>
      <w:numFmt w:val="decimal"/>
      <w:start w:val="1"/>
    </w:lvl>
    <w:lvl w:ilvl="1">
      <w:lvlJc w:val="left"/>
      <w:lvlText w:val="(%2)"/>
      <w:numFmt w:val="lowerLetter"/>
      <w:start w:val="3"/>
    </w:lvl>
  </w:abstractNum>
  <w:abstractNum w:abstractNumId="80">
    <w:nsid w:val="7FFFCA11"/>
    <w:multiLevelType w:val="hybridMultilevel"/>
    <w:lvl w:ilvl="0">
      <w:lvlJc w:val="left"/>
      <w:lvlText w:val="(%1)"/>
      <w:numFmt w:val="decimal"/>
      <w:start w:val="3"/>
    </w:lvl>
    <w:lvl w:ilvl="1">
      <w:lvlJc w:val="left"/>
      <w:lvlText w:val="%2"/>
      <w:numFmt w:val="lowerLetter"/>
      <w:start w:val="1"/>
    </w:lvl>
  </w:abstractNum>
  <w:abstractNum w:abstractNumId="81">
    <w:nsid w:val="1A27709E"/>
    <w:multiLevelType w:val="hybridMultilevel"/>
    <w:lvl w:ilvl="0">
      <w:lvlJc w:val="left"/>
      <w:lvlText w:val="•"/>
      <w:numFmt w:val="bullet"/>
      <w:start w:val="1"/>
    </w:lvl>
    <w:lvl w:ilvl="1">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2020-01-21T20:18:48Z</dcterms:created>
  <dcterms:modified xsi:type="dcterms:W3CDTF">2020-01-21T20:18:48Z</dcterms:modified>
</cp:coreProperties>
</file>