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66"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02/02/2017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66"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42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840" w:type="dxa"/>
            <w:vAlign w:val="bottom"/>
          </w:tcPr>
          <w:p>
            <w:pPr>
              <w:spacing w:after="0"/>
              <w:rPr>
                <w:sz w:val="20"/>
                <w:szCs w:val="20"/>
                <w:color w:val="auto"/>
              </w:rPr>
            </w:pPr>
            <w:r>
              <w:rPr>
                <w:rFonts w:ascii="Arial" w:cs="Arial" w:eastAsia="Arial" w:hAnsi="Arial"/>
                <w:sz w:val="18"/>
                <w:szCs w:val="18"/>
                <w:color w:val="0000FF"/>
              </w:rPr>
              <w:t>77002</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8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6"/>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00" w:type="dxa"/>
            <w:vAlign w:val="bottom"/>
            <w:gridSpan w:val="4"/>
          </w:tcPr>
          <w:p>
            <w:pPr>
              <w:jc w:val="center"/>
              <w:ind w:left="552"/>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Units (Limited Partner Interests)</w:t>
            </w:r>
          </w:p>
        </w:tc>
        <w:tc>
          <w:tcPr>
            <w:tcW w:w="960" w:type="dxa"/>
            <w:vAlign w:val="bottom"/>
            <w:gridSpan w:val="2"/>
            <w:vMerge w:val="restart"/>
          </w:tcPr>
          <w:p>
            <w:pPr>
              <w:jc w:val="center"/>
              <w:ind w:right="58"/>
              <w:spacing w:after="0"/>
              <w:rPr>
                <w:sz w:val="20"/>
                <w:szCs w:val="20"/>
                <w:color w:val="auto"/>
              </w:rPr>
            </w:pPr>
            <w:r>
              <w:rPr>
                <w:rFonts w:ascii="Arial" w:cs="Arial" w:eastAsia="Arial" w:hAnsi="Arial"/>
                <w:sz w:val="18"/>
                <w:szCs w:val="18"/>
                <w:color w:val="0000FF"/>
                <w:w w:val="88"/>
              </w:rPr>
              <w:t>02/02/2017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40" w:type="dxa"/>
            <w:vAlign w:val="bottom"/>
            <w:vMerge w:val="restart"/>
          </w:tcPr>
          <w:p>
            <w:pPr>
              <w:jc w:val="center"/>
              <w:ind w:left="150"/>
              <w:spacing w:after="0"/>
              <w:rPr>
                <w:sz w:val="20"/>
                <w:szCs w:val="20"/>
                <w:color w:val="auto"/>
              </w:rPr>
            </w:pPr>
            <w:r>
              <w:rPr>
                <w:rFonts w:ascii="Arial" w:cs="Arial" w:eastAsia="Arial" w:hAnsi="Arial"/>
                <w:sz w:val="18"/>
                <w:szCs w:val="18"/>
                <w:color w:val="0000FF"/>
                <w:w w:val="87"/>
              </w:rPr>
              <w:t>75,000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6"/>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243,383,735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80" w:type="dxa"/>
            <w:vAlign w:val="bottom"/>
            <w:gridSpan w:val="8"/>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Units (Limited Partner Interests)</w:t>
            </w:r>
          </w:p>
        </w:tc>
        <w:tc>
          <w:tcPr>
            <w:tcW w:w="960" w:type="dxa"/>
            <w:vAlign w:val="bottom"/>
            <w:gridSpan w:val="2"/>
            <w:vMerge w:val="restart"/>
          </w:tcPr>
          <w:p>
            <w:pPr>
              <w:jc w:val="center"/>
              <w:ind w:right="58"/>
              <w:spacing w:after="0"/>
              <w:rPr>
                <w:sz w:val="20"/>
                <w:szCs w:val="20"/>
                <w:color w:val="auto"/>
              </w:rPr>
            </w:pPr>
            <w:r>
              <w:rPr>
                <w:rFonts w:ascii="Arial" w:cs="Arial" w:eastAsia="Arial" w:hAnsi="Arial"/>
                <w:sz w:val="18"/>
                <w:szCs w:val="18"/>
                <w:color w:val="0000FF"/>
                <w:w w:val="88"/>
              </w:rPr>
              <w:t>02/14/2017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740" w:type="dxa"/>
            <w:vAlign w:val="bottom"/>
            <w:vMerge w:val="restart"/>
          </w:tcPr>
          <w:p>
            <w:pPr>
              <w:jc w:val="center"/>
              <w:ind w:left="150"/>
              <w:spacing w:after="0"/>
              <w:rPr>
                <w:sz w:val="20"/>
                <w:szCs w:val="20"/>
                <w:color w:val="auto"/>
              </w:rPr>
            </w:pPr>
            <w:r>
              <w:rPr>
                <w:rFonts w:ascii="Arial" w:cs="Arial" w:eastAsia="Arial" w:hAnsi="Arial"/>
                <w:sz w:val="18"/>
                <w:szCs w:val="18"/>
                <w:color w:val="0000FF"/>
                <w:w w:val="88"/>
              </w:rPr>
              <w:t>7,810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spacing w:after="0" w:line="386"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(3)</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243,391,545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80" w:type="dxa"/>
            <w:vAlign w:val="bottom"/>
            <w:gridSpan w:val="8"/>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8"/>
            <w:vMerge w:val="restart"/>
          </w:tcPr>
          <w:p>
            <w:pPr>
              <w:ind w:left="60"/>
              <w:spacing w:after="0"/>
              <w:rPr>
                <w:sz w:val="20"/>
                <w:szCs w:val="20"/>
                <w:color w:val="auto"/>
              </w:rPr>
            </w:pPr>
            <w:r>
              <w:rPr>
                <w:rFonts w:ascii="Arial" w:cs="Arial" w:eastAsia="Arial" w:hAnsi="Arial"/>
                <w:sz w:val="18"/>
                <w:szCs w:val="18"/>
                <w:color w:val="0000FF"/>
              </w:rPr>
              <w:t>Common Units (Limited Partner Interests)</w:t>
            </w:r>
          </w:p>
        </w:tc>
        <w:tc>
          <w:tcPr>
            <w:tcW w:w="960" w:type="dxa"/>
            <w:vAlign w:val="bottom"/>
            <w:gridSpan w:val="2"/>
            <w:vMerge w:val="restart"/>
          </w:tcPr>
          <w:p>
            <w:pPr>
              <w:jc w:val="center"/>
              <w:ind w:right="58"/>
              <w:spacing w:after="0"/>
              <w:rPr>
                <w:sz w:val="20"/>
                <w:szCs w:val="20"/>
                <w:color w:val="auto"/>
              </w:rPr>
            </w:pPr>
            <w:r>
              <w:rPr>
                <w:rFonts w:ascii="Arial" w:cs="Arial" w:eastAsia="Arial" w:hAnsi="Arial"/>
                <w:sz w:val="18"/>
                <w:szCs w:val="18"/>
                <w:color w:val="0000FF"/>
                <w:w w:val="88"/>
              </w:rPr>
              <w:t>02/28/2017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40" w:type="dxa"/>
            <w:vAlign w:val="bottom"/>
            <w:vMerge w:val="restart"/>
          </w:tcPr>
          <w:p>
            <w:pPr>
              <w:jc w:val="center"/>
              <w:ind w:left="150"/>
              <w:spacing w:after="0"/>
              <w:rPr>
                <w:sz w:val="20"/>
                <w:szCs w:val="20"/>
                <w:color w:val="auto"/>
              </w:rPr>
            </w:pPr>
            <w:r>
              <w:rPr>
                <w:rFonts w:ascii="Arial" w:cs="Arial" w:eastAsia="Arial" w:hAnsi="Arial"/>
                <w:sz w:val="18"/>
                <w:szCs w:val="18"/>
                <w:color w:val="0000FF"/>
                <w:w w:val="87"/>
              </w:rPr>
              <w:t>80,000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96"/>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243,311,545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80" w:type="dxa"/>
            <w:vAlign w:val="bottom"/>
            <w:gridSpan w:val="8"/>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5"/>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80" w:type="dxa"/>
            <w:vAlign w:val="bottom"/>
            <w:gridSpan w:val="13"/>
          </w:tcPr>
          <w:p>
            <w:pPr>
              <w:jc w:val="center"/>
              <w:ind w:left="27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3A. Deemed</w:t>
            </w:r>
          </w:p>
        </w:tc>
        <w:tc>
          <w:tcPr>
            <w:tcW w:w="4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48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840" w:type="dxa"/>
            <w:vAlign w:val="bottom"/>
          </w:tcPr>
          <w:p>
            <w:pPr>
              <w:ind w:left="380"/>
              <w:spacing w:after="0"/>
              <w:rPr>
                <w:sz w:val="20"/>
                <w:szCs w:val="20"/>
                <w:color w:val="auto"/>
              </w:rPr>
            </w:pPr>
            <w:r>
              <w:rPr>
                <w:rFonts w:ascii="Arial" w:cs="Arial" w:eastAsia="Arial" w:hAnsi="Arial"/>
                <w:sz w:val="18"/>
                <w:szCs w:val="18"/>
                <w:color w:val="0000FF"/>
                <w:w w:val="87"/>
              </w:rPr>
              <w:t>77002</w:t>
            </w: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840" w:type="dxa"/>
            <w:vAlign w:val="bottom"/>
          </w:tcPr>
          <w:p>
            <w:pPr>
              <w:ind w:left="38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333 CLAY STREET, SUITE 1600</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66"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HOUSTON</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77002</w:t>
      </w:r>
    </w:p>
    <w:p>
      <w:pPr>
        <w:sectPr>
          <w:pgSz w:w="11900" w:h="16866"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w w:val="99"/>
              </w:rPr>
            </w:pPr>
            <w:hyperlink r:id="rId15">
              <w:r>
                <w:rPr>
                  <w:rFonts w:ascii="Arial" w:cs="Arial" w:eastAsia="Arial" w:hAnsi="Arial"/>
                  <w:sz w:val="22"/>
                  <w:szCs w:val="22"/>
                  <w:color w:val="0000EE"/>
                  <w:w w:val="99"/>
                </w:rPr>
                <w:t>Plains All American GP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333 CLAY STREET, SUITE 1600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580" w:type="dxa"/>
            <w:vAlign w:val="bottom"/>
            <w:gridSpan w:val="2"/>
          </w:tcPr>
          <w:p>
            <w:pPr>
              <w:ind w:left="30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PLAINS GP HOLDINGS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333 CLAY ST., SUITE 1600</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580" w:type="dxa"/>
            <w:vAlign w:val="bottom"/>
            <w:gridSpan w:val="2"/>
          </w:tcPr>
          <w:p>
            <w:pPr>
              <w:ind w:left="300"/>
              <w:spacing w:after="0"/>
              <w:rPr>
                <w:sz w:val="20"/>
                <w:szCs w:val="20"/>
                <w:color w:val="auto"/>
              </w:rPr>
            </w:pPr>
            <w:r>
              <w:rPr>
                <w:rFonts w:ascii="Arial" w:cs="Arial" w:eastAsia="Arial" w:hAnsi="Arial"/>
                <w:sz w:val="18"/>
                <w:szCs w:val="18"/>
                <w:color w:val="0000FF"/>
              </w:rPr>
              <w:t>TX</w:t>
            </w:r>
          </w:p>
        </w:tc>
        <w:tc>
          <w:tcPr>
            <w:tcW w:w="1600" w:type="dxa"/>
            <w:vAlign w:val="bottom"/>
          </w:tcPr>
          <w:p>
            <w:pPr>
              <w:ind w:left="18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3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717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7172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February 2, 2017 and February 28, 2017, an owner of AAP Class A units exercised Redemption Rights with respect to 75,000 and 80,000 AAP Class A units, respectively, resulting in the cancellation of such AAP Class A units and the distribution of an equal number of PAA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28"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that certain Omnibus Agreement (the "Omnibus Agreement") dated November 15, 2016, by and among PAGP GP, PAGP, GP LLC, AAP, PAA GP LLC and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February 14, 2017, a total of 7,810 PAGP Class A shares were issued in connection with the vesting of outstanding LTIP awards under PAGP's long-term incentive plan. An equal number of AAP Class A units was issued to PAGP and an equal number of PAA Common Units was issued to AAP.</w:t>
      </w:r>
    </w:p>
    <w:p>
      <w:pPr>
        <w:spacing w:after="0" w:line="32"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02/28/2017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4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2020-01-16T01:22:15Z</dcterms:created>
  <dcterms:modified xsi:type="dcterms:W3CDTF">2020-01-16T01:22:15Z</dcterms:modified>
</cp:coreProperties>
</file>