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3"/>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SCHEDULE 13D</w:t>
      </w:r>
    </w:p>
    <w:p>
      <w:pPr>
        <w:spacing w:after="0" w:line="28"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(Rule 13d-101)</w:t>
      </w:r>
    </w:p>
    <w:p>
      <w:pPr>
        <w:spacing w:after="0" w:line="21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Plains All American Pipeline, L.P.</w:t>
      </w:r>
    </w:p>
    <w:p>
      <w:pPr>
        <w:spacing w:after="0" w:line="64"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40"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726503105</w:t>
      </w:r>
    </w:p>
    <w:p>
      <w:pPr>
        <w:spacing w:after="0" w:line="54"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Laura L. Tyson</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2229 San Felipe Street, Suite 1300</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Houston, Texas 77019</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Telephone: (713) 579-5000</w:t>
      </w:r>
    </w:p>
    <w:p>
      <w:pPr>
        <w:spacing w:after="0" w:line="35"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May 23, 2019</w:t>
      </w:r>
    </w:p>
    <w:p>
      <w:pPr>
        <w:spacing w:after="0" w:line="40"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4"/>
        <w:spacing w:after="0" w:line="308" w:lineRule="auto"/>
        <w:rPr>
          <w:sz w:val="20"/>
          <w:szCs w:val="20"/>
          <w:color w:val="auto"/>
        </w:rPr>
      </w:pPr>
      <w:r>
        <w:rPr>
          <w:rFonts w:ascii="Arial" w:cs="Arial" w:eastAsia="Arial" w:hAnsi="Arial"/>
          <w:sz w:val="17"/>
          <w:szCs w:val="17"/>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21" w:lineRule="exact"/>
        <w:rPr>
          <w:sz w:val="24"/>
          <w:szCs w:val="24"/>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4" w:right="240" w:hanging="4"/>
        <w:spacing w:after="0" w:line="267" w:lineRule="auto"/>
        <w:tabs>
          <w:tab w:leader="none" w:pos="104"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4" w:right="4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207645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84"/>
          </w:cols>
          <w:pgMar w:left="896" w:top="463" w:right="919" w:bottom="1440" w:gutter="0" w:footer="0" w:header="0"/>
        </w:sectPr>
      </w:pPr>
    </w:p>
    <w:bookmarkStart w:id="1" w:name="page2"/>
    <w:bookmarkEnd w:id="1"/>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right="826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EMG Investment,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36195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48895</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-207645</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hanging="646"/>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7820" w:hanging="646"/>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 w:leader="none" w:pos="76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7700" w:hanging="646"/>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6,220,955 Common Units*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20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ind w:left="28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ind w:left="28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6,220,955 Common Units*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040" w:right="5520" w:hanging="646"/>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6,220,955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6440" w:hanging="646"/>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-499110</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60" w:orient="portrait"/>
          <w:cols w:equalWidth="0" w:num="1">
            <w:col w:w="11360"/>
          </w:cols>
          <w:pgMar w:left="300" w:top="463" w:right="239" w:bottom="0" w:gutter="0" w:footer="0" w:header="0"/>
        </w:sectPr>
      </w:pPr>
    </w:p>
    <w:bookmarkStart w:id="2" w:name="page3"/>
    <w:bookmarkEnd w:id="2"/>
    <w:p>
      <w:pPr>
        <w:ind w:left="1400" w:hanging="298"/>
        <w:spacing w:after="0"/>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(Limited Liability Company)</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Beneficial ownership of the Common Units referred to herein is being reported hereunder solely because the reporting person directly owns 6,220,955</w:t>
      </w:r>
    </w:p>
    <w:p>
      <w:pPr>
        <w:spacing w:after="0" w:line="23" w:lineRule="exact"/>
        <w:rPr>
          <w:rFonts w:ascii="Arial" w:cs="Arial" w:eastAsia="Arial" w:hAnsi="Arial"/>
          <w:sz w:val="18"/>
          <w:szCs w:val="18"/>
          <w:color w:val="auto"/>
        </w:rPr>
      </w:pPr>
    </w:p>
    <w:p>
      <w:pPr>
        <w:ind w:left="500"/>
        <w:spacing w:after="0" w:line="291" w:lineRule="auto"/>
        <w:rPr>
          <w:rFonts w:ascii="Arial" w:cs="Arial" w:eastAsia="Arial" w:hAnsi="Arial"/>
          <w:sz w:val="18"/>
          <w:szCs w:val="18"/>
          <w:color w:val="auto"/>
        </w:rPr>
      </w:pPr>
      <w:r>
        <w:rPr>
          <w:rFonts w:ascii="Arial" w:cs="Arial" w:eastAsia="Arial" w:hAnsi="Arial"/>
          <w:sz w:val="16"/>
          <w:szCs w:val="16"/>
          <w:color w:val="auto"/>
        </w:rPr>
        <w:t>Class A Units representing limited partner interests (the “Class A Units”) in Plains AAP, L.P. (“AAP”), which, pursuant to the AAP Partnership Agreement (as defined below in Item 2), are redeemable at the election of the reporting person in exchange for a like number of common units representing limited partner interests (“Common Units”) in the Issuer held by AAP (the “Redemption Right”). Simultaneously with the redemption of Class A Units in exchange for Common Units, the reporting person must transfer to Plains GP Holdings, L.P. (“PAGP”) a corresponding number of Class B shares representing limited partner interests (the “PAGP Class B Shares”) in PAGP and a corresponding number of units representing membership interests (“Holdings GP Units”) in PAA GP Holdings LLC (“Holdings GP”). Neither the filing of this Schedule 13D nor any of its contents shall be deemed to constitute an admission by any reporting person (other than John T. Raymond, solely with respect to his direct holdings of Common Units) that it is the beneficial owner of any of the securities referred to herein for purposes of Section 13(d) of the Securities Exchange Act of 1934, as amended, or for any other purpose, and such beneficial ownership is expressly disclaimed. See Items 2, 3, 4 and 5.</w:t>
      </w:r>
    </w:p>
    <w:p>
      <w:pPr>
        <w:spacing w:after="0" w:line="165" w:lineRule="exact"/>
        <w:rPr>
          <w:rFonts w:ascii="Arial" w:cs="Arial" w:eastAsia="Arial" w:hAnsi="Arial"/>
          <w:sz w:val="18"/>
          <w:szCs w:val="18"/>
          <w:color w:val="auto"/>
        </w:rPr>
      </w:pPr>
    </w:p>
    <w:p>
      <w:pPr>
        <w:ind w:left="500" w:right="260" w:hanging="492"/>
        <w:spacing w:after="0" w:line="25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the total number of Common Units (726,821,163) issued and outstanding as of May 1, 2019, which is the most recent date provided in the Issuer’s Quarterly Report on Form 10-Q for the period ended March 31, 2019. The Common Units to which EMG and each other holder of a Redemption Right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-2512060</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-2297430</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040" w:right="8220" w:hanging="646"/>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NGP MR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36195</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40" w:hanging="646"/>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48895</wp:posOffset>
            </wp:positionV>
            <wp:extent cx="59429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-207645</wp:posOffset>
            </wp:positionV>
            <wp:extent cx="59429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hanging="646"/>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7820" w:hanging="646"/>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 w:leader="none" w:pos="76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7700" w:hanging="646"/>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6,220,955 Common Units*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20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ind w:left="28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ind w:left="28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6,220,955 Common Units*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040" w:right="5520" w:hanging="646"/>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6,220,955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6440" w:hanging="646"/>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-499110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60" w:orient="portrait"/>
          <w:cols w:equalWidth="0" w:num="1">
            <w:col w:w="11360"/>
          </w:cols>
          <w:pgMar w:left="300" w:top="463" w:right="239" w:bottom="0" w:gutter="0" w:footer="0" w:header="0"/>
        </w:sectPr>
      </w:pPr>
    </w:p>
    <w:bookmarkStart w:id="4" w:name="page5"/>
    <w:bookmarkEnd w:id="4"/>
    <w:p>
      <w:pPr>
        <w:ind w:left="1392" w:hanging="298"/>
        <w:spacing w:after="0"/>
        <w:tabs>
          <w:tab w:leader="none" w:pos="13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(Limited Liability Company)</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92" w:hanging="486"/>
        <w:spacing w:after="0" w:line="27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Beneficial ownership of the Common Units referred to herein is being reported hereunder solely because the reporting person may be deemed to beneficially own such securities as a result of its status as the designated manager of EMG Investment, LLC (“EMG”). EMG directly owns 6,220,955 Class A Units in AAP, which, pursuant to the AAP Partnership Agreement (as defined below in Item 2), are redeemable at the election of EMG in exchange for a like number of Common Units in the Issuer held by AAP. Simultaneously with the redemption of Class A Units in exchange for Common Units, EMG must transfer to PAGP a corresponding number of PAGP Class B Shares and a corresponding number of Holdings GP Units. Neither the filing of this Schedule 13D nor any of its contents shall be deemed to constitute an admission by any reporting person (other than John T. Raymond, solely with respect to his direct holdings of Common Units) that it or he is the beneficial owner of any of the securities referred to herein for purposes of Section 13(d) of the Securities Exchange Act of 1934, as amended, or for any other purpose, and such beneficial ownership is expressly disclaimed. See Items 2, 3, 4 and 5.</w:t>
      </w:r>
    </w:p>
    <w:p>
      <w:pPr>
        <w:spacing w:after="0" w:line="181" w:lineRule="exact"/>
        <w:rPr>
          <w:rFonts w:ascii="Arial" w:cs="Arial" w:eastAsia="Arial" w:hAnsi="Arial"/>
          <w:sz w:val="18"/>
          <w:szCs w:val="18"/>
          <w:color w:val="auto"/>
        </w:rPr>
      </w:pPr>
    </w:p>
    <w:p>
      <w:pPr>
        <w:ind w:left="492" w:right="240" w:hanging="492"/>
        <w:spacing w:after="0" w:line="257" w:lineRule="auto"/>
        <w:tabs>
          <w:tab w:leader="none" w:pos="4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the total number of Common Units (726,821,163) issued and outstanding as of May 1, 2019, which is the most recent date provided in the Issuer’s Quarterly Report on Form 10-Q for the period ended March 31, 2019. The Common Units to which EMG and each other holder of a Redemption Right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-2357755</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-2143125</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5" w:name="page6"/>
    <w:bookmarkEnd w:id="5"/>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right="8260" w:hanging="646"/>
        <w:spacing w:after="0" w:line="30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Names of Reporting Persons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50800</wp:posOffset>
            </wp:positionV>
            <wp:extent cx="6586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40" w:hanging="646"/>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48895</wp:posOffset>
            </wp:positionV>
            <wp:extent cx="59429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-207645</wp:posOffset>
            </wp:positionV>
            <wp:extent cx="59429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hanging="646"/>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7820" w:hanging="646"/>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 w:leader="none" w:pos="76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7700" w:hanging="646"/>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36195</wp:posOffset>
            </wp:positionV>
            <wp:extent cx="6586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13,058,352 Common Units*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20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ind w:left="28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6,220,955 Common Units*</w:t>
            </w:r>
          </w:p>
        </w:tc>
        <w:tc>
          <w:tcPr>
            <w:tcW w:w="0" w:type="dxa"/>
            <w:vAlign w:val="bottom"/>
          </w:tcPr>
          <w:p>
            <w:pPr>
              <w:spacing w:after="0"/>
              <w:rPr>
                <w:sz w:val="1"/>
                <w:szCs w:val="1"/>
                <w:color w:val="auto"/>
              </w:rPr>
            </w:pPr>
          </w:p>
        </w:tc>
      </w:tr>
      <w:tr>
        <w:trPr>
          <w:trHeight w:val="109"/>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ind w:left="28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13,058,352 Common Units*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6,220,955 Common Units*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040" w:right="5520" w:hanging="646"/>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19,279,307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6560" w:hanging="646"/>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-499110</wp:posOffset>
            </wp:positionV>
            <wp:extent cx="6586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60" w:orient="portrait"/>
          <w:cols w:equalWidth="0" w:num="1">
            <w:col w:w="11360"/>
          </w:cols>
          <w:pgMar w:left="300" w:top="463" w:right="239" w:bottom="0" w:gutter="0" w:footer="0" w:header="0"/>
        </w:sectPr>
      </w:pPr>
    </w:p>
    <w:bookmarkStart w:id="6" w:name="page7"/>
    <w:bookmarkEnd w:id="6"/>
    <w:p>
      <w:pPr>
        <w:ind w:left="1092"/>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306705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72" w:hanging="572"/>
        <w:spacing w:after="0" w:line="285" w:lineRule="auto"/>
        <w:tabs>
          <w:tab w:leader="none" w:pos="57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reporting person directly owns (i) 1,599,616 Common Units and (ii) 8,275,520 Class A Units in AAP, which, pursuant to the AAP Partnership Agreement (as defined below in Item 2), are redeemable at the election of the reporting person in exchange for a like number of Common Units in the Issuer held by AAP. Simultaneously with the redemption of Class A Units in exchange for Common Units, the reporting person must transfer to PAGP a corresponding number of PAGP Class B Shares and a corresponding number of Holdings GP Units. An additional 3,183,216 Common Units may be deemed to be beneficially owned by the reporting person as a result of his status as the sole member of Lynx Holdings I, LLC (“Lynx”). Lynx owns 3,183,216 Class A Units in AAP, which, pursuant to the AAP Partnership Agreement (as defined below in Item 2), are redeemable at the election of Lynx in exchange for a like number of Common Units in the Issuer held by AAP. Simultaneously with the redemption of Class A Units in exchange for Common Units, Lynx must transfer to PAGP a corresponding number of PAGP Class B Shares and a corresponding number of Holdings GP Units. Beneficial ownership of the remaining 6,220,955 Common Units referred to herein is being reported hereunder solely because the reporting person may be deemed to beneficially own such securities as a result of his status as the Chief Executive Officer of the designated manager of EMG. EMG directly owns 6,220,955 Class A Units in AAP, which, pursuant to the AAP Partnership Agreement (as defined below in Item 2), are redeemable at the election of EMG in exchange for a like number of Common Units in the Issuer held by AAP. Simultaneously with the redemption of Class A Units in exchange for Common Units, EMG must transfer to PAGP a corresponding number of PAGP Class B Shares and a corresponding number of Holdings GP Units. Neither the filing of this Schedule 13D nor any of its contents shall be deemed to constitute an admission by any reporting person (other than John T. Raymond, solely with respect to his direct holdings of Common Units) that it or he is the beneficial owner of any of the securities referred to herein for purposes of Section 13(d) of the Securities Exchange Act of 1934, as amended, or for any other purpose, and such beneficial ownership is expressly disclaimed. See Items 2, 3, 4 and 5.</w:t>
      </w:r>
    </w:p>
    <w:p>
      <w:pPr>
        <w:spacing w:after="0" w:line="175" w:lineRule="exact"/>
        <w:rPr>
          <w:sz w:val="20"/>
          <w:szCs w:val="20"/>
          <w:color w:val="auto"/>
        </w:rPr>
      </w:pPr>
    </w:p>
    <w:p>
      <w:pPr>
        <w:ind w:left="572" w:hanging="572"/>
        <w:spacing w:after="0" w:line="257" w:lineRule="auto"/>
        <w:tabs>
          <w:tab w:leader="none" w:pos="5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the total number of Common Units (726,821,163) issued and outstanding as of May 1, 2019, which is the most recent date provided in the Issuer’s Quarterly Report on Form 10-Q for the period ended March 31, 2019. The Common Units to which John T. Raymond and each other holder of a Redemption Right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7" w:name="page8"/>
    <w:bookmarkEnd w:id="7"/>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right="8260" w:hanging="646"/>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John G. Calvert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40" w:hanging="646"/>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48895</wp:posOffset>
            </wp:positionV>
            <wp:extent cx="59429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-207645</wp:posOffset>
            </wp:positionV>
            <wp:extent cx="59429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hanging="646"/>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7820" w:hanging="646"/>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 w:leader="none" w:pos="76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7700" w:hanging="646"/>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36195</wp:posOffset>
            </wp:positionV>
            <wp:extent cx="6586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7</w:t>
            </w:r>
          </w:p>
        </w:tc>
        <w:tc>
          <w:tcPr>
            <w:tcW w:w="94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20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ind w:left="280"/>
              <w:spacing w:after="0"/>
              <w:rPr>
                <w:sz w:val="20"/>
                <w:szCs w:val="20"/>
                <w:color w:val="auto"/>
              </w:rPr>
            </w:pPr>
            <w:r>
              <w:rPr>
                <w:rFonts w:ascii="Arial" w:cs="Arial" w:eastAsia="Arial" w:hAnsi="Arial"/>
                <w:sz w:val="18"/>
                <w:szCs w:val="18"/>
                <w:color w:val="auto"/>
              </w:rPr>
              <w:t>8</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22"/>
                <w:szCs w:val="22"/>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6,220,955 Common Units*</w:t>
            </w:r>
          </w:p>
        </w:tc>
        <w:tc>
          <w:tcPr>
            <w:tcW w:w="0" w:type="dxa"/>
            <w:vAlign w:val="bottom"/>
          </w:tcPr>
          <w:p>
            <w:pPr>
              <w:spacing w:after="0"/>
              <w:rPr>
                <w:sz w:val="1"/>
                <w:szCs w:val="1"/>
                <w:color w:val="auto"/>
              </w:rPr>
            </w:pPr>
          </w:p>
        </w:tc>
      </w:tr>
      <w:tr>
        <w:trPr>
          <w:trHeight w:val="109"/>
        </w:trPr>
        <w:tc>
          <w:tcPr>
            <w:tcW w:w="12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9"/>
                <w:szCs w:val="9"/>
                <w:color w:val="auto"/>
              </w:rPr>
            </w:pPr>
          </w:p>
        </w:tc>
        <w:tc>
          <w:tcPr>
            <w:tcW w:w="9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ind w:left="280"/>
              <w:spacing w:after="0"/>
              <w:rPr>
                <w:sz w:val="20"/>
                <w:szCs w:val="20"/>
                <w:color w:val="auto"/>
              </w:rPr>
            </w:pPr>
            <w:r>
              <w:rPr>
                <w:rFonts w:ascii="Arial" w:cs="Arial" w:eastAsia="Arial" w:hAnsi="Arial"/>
                <w:sz w:val="18"/>
                <w:szCs w:val="18"/>
                <w:color w:val="auto"/>
              </w:rPr>
              <w:t>9</w:t>
            </w:r>
          </w:p>
        </w:tc>
        <w:tc>
          <w:tcPr>
            <w:tcW w:w="94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10</w:t>
            </w:r>
          </w:p>
        </w:tc>
        <w:tc>
          <w:tcPr>
            <w:tcW w:w="94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Arial" w:cs="Arial" w:eastAsia="Arial" w:hAnsi="Arial"/>
                <w:sz w:val="18"/>
                <w:szCs w:val="18"/>
                <w:color w:val="auto"/>
              </w:rPr>
              <w:t>6,220,955 Common Units*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040" w:right="5520" w:hanging="646"/>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6,220,955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right="6560" w:hanging="646"/>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0.9%**</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-499110</wp:posOffset>
            </wp:positionV>
            <wp:extent cx="6586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60" w:orient="portrait"/>
          <w:cols w:equalWidth="0" w:num="1">
            <w:col w:w="11360"/>
          </w:cols>
          <w:pgMar w:left="300" w:top="463" w:right="239" w:bottom="0" w:gutter="0" w:footer="0" w:header="0"/>
        </w:sectPr>
      </w:pPr>
    </w:p>
    <w:bookmarkStart w:id="8" w:name="page9"/>
    <w:bookmarkEnd w:id="8"/>
    <w:p>
      <w:pPr>
        <w:ind w:left="1092"/>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306705</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72" w:hanging="572"/>
        <w:spacing w:after="0" w:line="270" w:lineRule="auto"/>
        <w:tabs>
          <w:tab w:leader="none" w:pos="572"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Beneficial ownership of the Common Units referred to herein is being reported hereunder solely because the reporting person may be deemed to beneficially own such securities as a result of his status as the President of the designated manager of EMG. EMG directly owns 6,220,955 Class A Units in AAP, which, pursuant to the AAP Partnership Agreement (as defined below in Item 2), are redeemable at the election of EMG in exchange for a like number of Common Units in the Issuer held by AAP. Simultaneously with the redemption of Class A Units in exchange for Common Units, EMG must transfer to PAGP a corresponding number of PAGP Class B Shares and a corresponding number of Holdings GP Units. Neither the filing of this Schedule 13D nor any of its contents shall be deemed to constitute an admission by any reporting person (other than John T. Raymond, solely with respect to his direct holdings of Common Units) that it or he is the beneficial owner of any of the securities referred to herein for purposes of Section 13(d) of the Securities Exchange Act of 1934, as amended, or for any other purpose, and such beneficial ownership is expressly disclaimed. See Items 2, 3, 4 and 5.</w:t>
      </w:r>
    </w:p>
    <w:p>
      <w:pPr>
        <w:spacing w:after="0" w:line="182" w:lineRule="exact"/>
        <w:rPr>
          <w:sz w:val="20"/>
          <w:szCs w:val="20"/>
          <w:color w:val="auto"/>
        </w:rPr>
      </w:pPr>
    </w:p>
    <w:p>
      <w:pPr>
        <w:ind w:left="572" w:right="140" w:hanging="572"/>
        <w:spacing w:after="0" w:line="257" w:lineRule="auto"/>
        <w:tabs>
          <w:tab w:leader="none" w:pos="5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the total number of Common Units (726,821,163) issued and outstanding as of May 1, 2019, which is the most recent date provided in the Issuer’s Quarterly Report on Form 10-Q for the period ended March 31, 2019. The Common Units to which EMG and each other holder of a Redemption Right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18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125"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Amendment No. 1 to Schedule 13D</w:t>
      </w:r>
    </w:p>
    <w:p>
      <w:pPr>
        <w:spacing w:after="0" w:line="229" w:lineRule="exact"/>
        <w:rPr>
          <w:sz w:val="20"/>
          <w:szCs w:val="20"/>
          <w:color w:val="auto"/>
        </w:rPr>
      </w:pPr>
    </w:p>
    <w:p>
      <w:pPr>
        <w:jc w:val="both"/>
        <w:ind w:right="280" w:firstLine="492"/>
        <w:spacing w:after="0" w:line="264" w:lineRule="auto"/>
        <w:rPr>
          <w:sz w:val="20"/>
          <w:szCs w:val="20"/>
          <w:color w:val="auto"/>
        </w:rPr>
      </w:pPr>
      <w:r>
        <w:rPr>
          <w:rFonts w:ascii="Arial" w:cs="Arial" w:eastAsia="Arial" w:hAnsi="Arial"/>
          <w:sz w:val="18"/>
          <w:szCs w:val="18"/>
          <w:color w:val="auto"/>
        </w:rPr>
        <w:t>This Amendment No. 1 to Schedule 13D amends and supplements the Schedule 13D, dated November 15, 2016, originally filed with the Securities and Exchange Commission (the “Commission”) on November 25, 2016 (the “Schedule 13D”). Capitalized terms used but otherwise defined herein shall have the meanings ascribed to such terms in the Schedule 13D</w:t>
      </w:r>
      <w:r>
        <w:rPr>
          <w:rFonts w:ascii="Arial" w:cs="Arial" w:eastAsia="Arial" w:hAnsi="Arial"/>
          <w:sz w:val="17"/>
          <w:szCs w:val="17"/>
          <w:color w:val="auto"/>
        </w:rPr>
        <w:t>.</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first sentence of the second paragraph of Item 2(a) is hereby amended and restated in its entirety as follows: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the Eighth Amended and Restated Agreement of Limited Partnership of Plains AAP, L.P., a Delaware limited partnership (“</w:t>
      </w:r>
      <w:r>
        <w:rPr>
          <w:rFonts w:ascii="Arial" w:cs="Arial" w:eastAsia="Arial" w:hAnsi="Arial"/>
          <w:sz w:val="18"/>
          <w:szCs w:val="18"/>
          <w:u w:val="single" w:color="auto"/>
          <w:color w:val="auto"/>
        </w:rPr>
        <w:t>AAP</w:t>
      </w:r>
      <w:r>
        <w:rPr>
          <w:rFonts w:ascii="Arial" w:cs="Arial" w:eastAsia="Arial" w:hAnsi="Arial"/>
          <w:sz w:val="18"/>
          <w:szCs w:val="18"/>
          <w:color w:val="auto"/>
        </w:rPr>
        <w:t>”), dated as of November 15, 2016, as amended (the “</w:t>
      </w:r>
      <w:r>
        <w:rPr>
          <w:rFonts w:ascii="Arial" w:cs="Arial" w:eastAsia="Arial" w:hAnsi="Arial"/>
          <w:sz w:val="18"/>
          <w:szCs w:val="18"/>
          <w:u w:val="single" w:color="auto"/>
          <w:color w:val="auto"/>
        </w:rPr>
        <w:t>AAP Partnership Agreement</w:t>
      </w:r>
      <w:r>
        <w:rPr>
          <w:rFonts w:ascii="Arial" w:cs="Arial" w:eastAsia="Arial" w:hAnsi="Arial"/>
          <w:sz w:val="18"/>
          <w:szCs w:val="18"/>
          <w:color w:val="auto"/>
        </w:rPr>
        <w:t>”), the Second Amended and Restated Agreement of Limited Partnership of Plains GP Holdings, L.P., a publicly-traded Delaware limited partnership (“</w:t>
      </w:r>
      <w:r>
        <w:rPr>
          <w:rFonts w:ascii="Arial" w:cs="Arial" w:eastAsia="Arial" w:hAnsi="Arial"/>
          <w:sz w:val="18"/>
          <w:szCs w:val="18"/>
          <w:u w:val="single" w:color="auto"/>
          <w:color w:val="auto"/>
        </w:rPr>
        <w:t>PAGP</w:t>
      </w:r>
      <w:r>
        <w:rPr>
          <w:rFonts w:ascii="Arial" w:cs="Arial" w:eastAsia="Arial" w:hAnsi="Arial"/>
          <w:sz w:val="18"/>
          <w:szCs w:val="18"/>
          <w:color w:val="auto"/>
        </w:rPr>
        <w:t>”), dated as of November 15, 2016 (the “</w:t>
      </w:r>
      <w:r>
        <w:rPr>
          <w:rFonts w:ascii="Arial" w:cs="Arial" w:eastAsia="Arial" w:hAnsi="Arial"/>
          <w:sz w:val="18"/>
          <w:szCs w:val="18"/>
          <w:u w:val="single" w:color="auto"/>
          <w:color w:val="auto"/>
        </w:rPr>
        <w:t>PAGP Partnership Agreement</w:t>
      </w:r>
      <w:r>
        <w:rPr>
          <w:rFonts w:ascii="Arial" w:cs="Arial" w:eastAsia="Arial" w:hAnsi="Arial"/>
          <w:sz w:val="18"/>
          <w:szCs w:val="18"/>
          <w:color w:val="auto"/>
        </w:rPr>
        <w:t>”), and the Third Amended and Restated Limited Liability Company Agreement, of PAA GP Holdings LLC, a Delaware limited partnership (“</w:t>
      </w:r>
      <w:r>
        <w:rPr>
          <w:rFonts w:ascii="Arial" w:cs="Arial" w:eastAsia="Arial" w:hAnsi="Arial"/>
          <w:sz w:val="18"/>
          <w:szCs w:val="18"/>
          <w:u w:val="single" w:color="auto"/>
          <w:color w:val="auto"/>
        </w:rPr>
        <w:t>Holdings GP</w:t>
      </w:r>
      <w:r>
        <w:rPr>
          <w:rFonts w:ascii="Arial" w:cs="Arial" w:eastAsia="Arial" w:hAnsi="Arial"/>
          <w:sz w:val="18"/>
          <w:szCs w:val="18"/>
          <w:color w:val="auto"/>
        </w:rPr>
        <w:t>”), dated as of February 16, 2017, as amended (the “</w:t>
      </w:r>
      <w:r>
        <w:rPr>
          <w:rFonts w:ascii="Arial" w:cs="Arial" w:eastAsia="Arial" w:hAnsi="Arial"/>
          <w:sz w:val="18"/>
          <w:szCs w:val="18"/>
          <w:u w:val="single" w:color="auto"/>
          <w:color w:val="auto"/>
        </w:rPr>
        <w:t>Holdings GP Agreement</w:t>
      </w:r>
      <w:r>
        <w:rPr>
          <w:rFonts w:ascii="Arial" w:cs="Arial" w:eastAsia="Arial" w:hAnsi="Arial"/>
          <w:sz w:val="18"/>
          <w:szCs w:val="18"/>
          <w:color w:val="auto"/>
        </w:rPr>
        <w:t>”), EMG has the right, from time to time and subject to a partial lock-up, to immediately redeem (the “</w:t>
      </w:r>
      <w:r>
        <w:rPr>
          <w:rFonts w:ascii="Arial" w:cs="Arial" w:eastAsia="Arial" w:hAnsi="Arial"/>
          <w:sz w:val="18"/>
          <w:szCs w:val="18"/>
          <w:u w:val="single" w:color="auto"/>
          <w:color w:val="auto"/>
        </w:rPr>
        <w:t>Redemption Right</w:t>
      </w:r>
      <w:r>
        <w:rPr>
          <w:rFonts w:ascii="Arial" w:cs="Arial" w:eastAsia="Arial" w:hAnsi="Arial"/>
          <w:sz w:val="18"/>
          <w:szCs w:val="18"/>
          <w:color w:val="auto"/>
        </w:rPr>
        <w:t>”) its Class A units representing limited partner interests (the “</w:t>
      </w:r>
      <w:r>
        <w:rPr>
          <w:rFonts w:ascii="Arial" w:cs="Arial" w:eastAsia="Arial" w:hAnsi="Arial"/>
          <w:sz w:val="18"/>
          <w:szCs w:val="18"/>
          <w:u w:val="single" w:color="auto"/>
          <w:color w:val="auto"/>
        </w:rPr>
        <w:t>Class A Units</w:t>
      </w:r>
      <w:r>
        <w:rPr>
          <w:rFonts w:ascii="Arial" w:cs="Arial" w:eastAsia="Arial" w:hAnsi="Arial"/>
          <w:sz w:val="18"/>
          <w:szCs w:val="18"/>
          <w:color w:val="auto"/>
        </w:rPr>
        <w:t>”) in AAP in exchange for a like number of Common Units in the Issuer held by 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fifth paragraph of Item 2(a) is hereby amended by replacing the words ‘Chief Operating Officer’ with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sixth paragraph of Item 2(a) is hereby amended and restated in its entirety as follows: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the terms of the Limited Liability Company Agreement of the Manager, dated as of February 16, 2007 (the “Manager LLC Agreement”) may require the signature of the Chief Executive Officer or the President of the Manager and another officer. Mr. Raymond and Mr. Calvert are the only Chief Executive Officer and President, respectively, of the Manager and they may not be removed nor may additional officers be appointed without the unanimous consent of the members of the Manager. As such, the approval of either Mr. Raymond or Mr. Calvert may be required for action to be taken on behalf of the Manager, including the voting or disposition of investment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2(b) is hereby amended and restated in its entirety as follows:</w:t>
      </w:r>
    </w:p>
    <w:p>
      <w:pPr>
        <w:spacing w:after="0" w:line="225" w:lineRule="exact"/>
        <w:rPr>
          <w:sz w:val="20"/>
          <w:szCs w:val="20"/>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principal business address of each of the Reporting Persons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2229 San Felipe Street, Suite 1300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77019</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5(a) is hereby amended and restated in its entirety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 w:name="page11"/>
    <w:bookmarkEnd w:id="10"/>
    <w:p>
      <w:pPr>
        <w:ind w:left="-20" w:right="20" w:firstLine="697"/>
        <w:spacing w:after="0" w:line="293" w:lineRule="auto"/>
        <w:tabs>
          <w:tab w:leader="none" w:pos="1274"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EMG does not directly own any Common Units. EMG owns 6,220,955 Class A Units, which are redeemable, from time to time and subject to a partial lock-up, at the election of EMG in exchange for a like number of Common Units held by AAP. Simultaneously with the redemption of the Class A Units in exchange for Common Units, EMG must transfer to PAGP a corresponding number of PAGP Class B Shares and a corresponding number of Holdings GP Units. As a result, EMG may be deemed to beneficially own the Common Units to which it is entitled upon the exercise of its Redemption Right. Based on there being 726,821,163 Common Units outstanding as of May 1, 2019 and assuming all 6,220,955 Class A Units held by EMG are redeemed in exchange for Common Units pursuant to the Redemption Right, EMG would directly own approximately 0.9% of the Common Units.</w:t>
      </w:r>
    </w:p>
    <w:p>
      <w:pPr>
        <w:spacing w:after="0" w:line="164" w:lineRule="exact"/>
        <w:rPr>
          <w:rFonts w:ascii="Arial" w:cs="Arial" w:eastAsia="Arial" w:hAnsi="Arial"/>
          <w:sz w:val="16"/>
          <w:szCs w:val="16"/>
          <w:color w:val="auto"/>
        </w:rPr>
      </w:pPr>
    </w:p>
    <w:p>
      <w:pPr>
        <w:ind w:left="-20" w:right="60" w:firstLine="1305"/>
        <w:spacing w:after="0" w:line="291" w:lineRule="auto"/>
        <w:tabs>
          <w:tab w:leader="none" w:pos="1956"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Manager does not directly own any Common Units. As a result of its status as the designated manager of EMG, the Manager may be deemed to beneficially own the 6,220,955 Class A Units held of record by EMG, which are redeemable, from time to time and subject to a partial lock-up, at the election of EMG in exchange for a like number of Common Units held by AAP. Simultaneously with the redemption of the Class A Units in exchange for Common Units, EMG must transfer to PAGP a corresponding number of PAGP Class B Shares and a corresponding number of Holdings GP Units. As a result, EMG may be deemed to beneficially own the Common Units to which it is entitled upon the exercise of its Redemption Right. Based on there being 726,821,163 Common Units outstanding as of May 1, 2019 and assuming all 6,220,955 Class A Units held by EMG are redeemed by EMG in exchange for Common Units pursuant to the Redemption Right, the Manager may be deemed to beneficially own approximately 0.9% of the Common Units.</w:t>
      </w:r>
    </w:p>
    <w:p>
      <w:pPr>
        <w:spacing w:after="0" w:line="167" w:lineRule="exact"/>
        <w:rPr>
          <w:rFonts w:ascii="Arial" w:cs="Arial" w:eastAsia="Arial" w:hAnsi="Arial"/>
          <w:sz w:val="16"/>
          <w:szCs w:val="16"/>
          <w:color w:val="auto"/>
        </w:rPr>
      </w:pPr>
    </w:p>
    <w:p>
      <w:pPr>
        <w:ind w:left="-20" w:firstLine="1305"/>
        <w:spacing w:after="0" w:line="286" w:lineRule="auto"/>
        <w:tabs>
          <w:tab w:leader="none" w:pos="1965" w:val="left"/>
        </w:tabs>
        <w:numPr>
          <w:ilvl w:val="1"/>
          <w:numId w:val="39"/>
        </w:numPr>
        <w:rPr>
          <w:rFonts w:ascii="Arial" w:cs="Arial" w:eastAsia="Arial" w:hAnsi="Arial"/>
          <w:sz w:val="16"/>
          <w:szCs w:val="16"/>
          <w:color w:val="auto"/>
        </w:rPr>
      </w:pPr>
      <w:r>
        <w:rPr>
          <w:rFonts w:ascii="Arial" w:cs="Arial" w:eastAsia="Arial" w:hAnsi="Arial"/>
          <w:sz w:val="16"/>
          <w:szCs w:val="16"/>
          <w:color w:val="auto"/>
        </w:rPr>
        <w:t>Mr. Raymond directly owns 1,599,616 Common Units and 8,275,520 Class A Units, which are redeemable, from time to time and subject to a partial lock-up, at the election of Mr. Raymond in exchange for a like number of Common Units held by AAP. Simultaneously with the redemption of the Class A Units in exchange for Common Units, Mr. Raymond must transfer to PAGP a corresponding number of PAGP Class B Shares and a corresponding number of Holdings GP Units. As a result, Mr. Raymond may be deemed to beneficially own the Common Units to which he is entitled upon the exercise of his Redemption Right. Mr. Raymond may be deemed to beneficially own an additional (a) 3,183,216 Class A Units held of record by Lynx, of which he is the sole member, and (b) 6,220,955 Class A Units held of record by EMG, as a result of his status as the Chief Executive Officer of the designated manager of EMG. The Class A Units are redeemable, from time to time and subject to a partial lock-up, at the election of Lynx and EMG, as applicable, in exchange for a like number of Common Units held by AAP. Simultaneously with the redemption of the Class A Units in exchange for Common Units, Lynx and EMG, as applicable, must transfer to PAGP a corresponding number of PAGP Class B Shares and a corresponding number of Holdings GP Units. As a result, Lynx and EMG may be deemed to beneficially own the Common Units to which they are entitled upon the exercise of their respective Redemption Right. Based on there being 726,821,163 Common Units outstanding as of May 1, 2019 and assuming all 8,275,520 Class A Units held by Mr. Raymond, all 6,220,955 Class A Units held by EMG, and all 3,183,216 Class A Units held by Lynx are redeemed in exchange for Common Units pursuant to the Redemption Right, Mr. Raymond may be deemed to beneficially own approximately 2.7% of the Common Units.</w:t>
      </w:r>
    </w:p>
    <w:p>
      <w:pPr>
        <w:spacing w:after="0" w:line="174" w:lineRule="exact"/>
        <w:rPr>
          <w:rFonts w:ascii="Arial" w:cs="Arial" w:eastAsia="Arial" w:hAnsi="Arial"/>
          <w:sz w:val="16"/>
          <w:szCs w:val="16"/>
          <w:color w:val="auto"/>
        </w:rPr>
      </w:pPr>
    </w:p>
    <w:p>
      <w:pPr>
        <w:ind w:left="1940" w:hanging="655"/>
        <w:spacing w:after="0"/>
        <w:tabs>
          <w:tab w:leader="none" w:pos="19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Mr. Calvert does not directly own any Common Units. As a result of his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11" w:name="page12"/>
    <w:bookmarkEnd w:id="11"/>
    <w:p>
      <w:pPr>
        <w:ind w:right="60"/>
        <w:spacing w:after="0" w:line="272" w:lineRule="auto"/>
        <w:rPr>
          <w:sz w:val="20"/>
          <w:szCs w:val="20"/>
          <w:color w:val="auto"/>
        </w:rPr>
      </w:pPr>
      <w:r>
        <w:rPr>
          <w:rFonts w:ascii="Arial" w:cs="Arial" w:eastAsia="Arial" w:hAnsi="Arial"/>
          <w:sz w:val="17"/>
          <w:szCs w:val="17"/>
          <w:color w:val="auto"/>
        </w:rPr>
        <w:t>status as the President of the designated manager of EMG, Mr. Calvert may be deemed to beneficially own the 6,220,955 Class A Units held of record by EMG, which are redeemable, from time to time and subject to a partial lock-up, at the election of EMG in exchange for a like number of Common Units held by AAP. Simultaneously with the redemption of the Class A Units in exchange for Common Units, EMG must transfer to PAGP a corresponding number of PAGP Class B Shares and a corresponding number of Holdings GP Units. As a result, EMG may be deemed to beneficially own the Common Units to which it is entitled upon the exercise of its Redemption Right. Based on there being 726,821,163 Common Units outstanding as of May 1, 2019 and assuming all 6,220,955 Class A Units held by EMG are redeemed by EMG in exchange for Common Units pursuant to the Redemption Right, Mr. Calvert may be deemed to beneficially own approximately 0.9% of the Common Units.</w:t>
      </w:r>
    </w:p>
    <w:p>
      <w:pPr>
        <w:spacing w:after="0" w:line="178"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As discussed above in Item 2(a), the terms of the Manager LLC Agreement may require the signature of the Chief Executive Officer or the President of the Manager and another officer. Mr. Raymond and Mr. Calvert are the only Chief Executive Officer and President, respectively, of the Manager and they may not be removed nor may additional officers be appointed without the unanimous consent of the members of the Manager. As such, the approval of either Mr. Raymond or Mr. Calvert may be required for action to be taken on behalf of the Manager, including the voting or disposition of investment securities.</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Common Units to which EMG and each other Redemption Right Holder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as of the date of this Schedule 13D, certain of the Covered Individuals beneficially own the number and percentage of Common Units set forth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tcPr>
          <w:p>
            <w:pPr>
              <w:jc w:val="center"/>
              <w:ind w:left="748"/>
              <w:spacing w:after="0"/>
              <w:rPr>
                <w:sz w:val="20"/>
                <w:szCs w:val="20"/>
                <w:color w:val="auto"/>
              </w:rPr>
            </w:pPr>
            <w:r>
              <w:rPr>
                <w:rFonts w:ascii="Arial" w:cs="Arial" w:eastAsia="Arial" w:hAnsi="Arial"/>
                <w:sz w:val="14"/>
                <w:szCs w:val="14"/>
                <w:b w:val="1"/>
                <w:bCs w:val="1"/>
                <w:color w:val="auto"/>
                <w:w w:val="94"/>
              </w:rPr>
              <w:t>Common Units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gridSpan w:val="2"/>
          </w:tcPr>
          <w:p>
            <w:pPr>
              <w:jc w:val="right"/>
              <w:ind w:right="1190"/>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2040" w:type="dxa"/>
            <w:vAlign w:val="bottom"/>
          </w:tcPr>
          <w:p>
            <w:pPr>
              <w:jc w:val="center"/>
              <w:ind w:left="728"/>
              <w:spacing w:after="0"/>
              <w:rPr>
                <w:sz w:val="20"/>
                <w:szCs w:val="20"/>
                <w:color w:val="auto"/>
              </w:rPr>
            </w:pPr>
            <w:r>
              <w:rPr>
                <w:rFonts w:ascii="Arial" w:cs="Arial" w:eastAsia="Arial" w:hAnsi="Arial"/>
                <w:sz w:val="14"/>
                <w:szCs w:val="14"/>
                <w:b w:val="1"/>
                <w:bCs w:val="1"/>
                <w:color w:val="auto"/>
                <w:w w:val="93"/>
              </w:rPr>
              <w:t>Beneficially Owned</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gridSpan w:val="2"/>
          </w:tcPr>
          <w:p>
            <w:pPr>
              <w:jc w:val="right"/>
              <w:ind w:right="119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19,279,307(1)</w:t>
            </w:r>
          </w:p>
        </w:tc>
        <w:tc>
          <w:tcPr>
            <w:tcW w:w="4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0"/>
              </w:rPr>
              <w:t>7%(3)</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John G. Calvert</w:t>
            </w:r>
          </w:p>
        </w:tc>
        <w:tc>
          <w:tcPr>
            <w:tcW w:w="20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6,220,955(2)</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L. Tyson</w:t>
            </w:r>
          </w:p>
        </w:tc>
        <w:tc>
          <w:tcPr>
            <w:tcW w:w="20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3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 Nolen Taylor</w:t>
            </w:r>
          </w:p>
        </w:tc>
        <w:tc>
          <w:tcPr>
            <w:tcW w:w="20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3300" w:type="dxa"/>
            <w:vAlign w:val="bottom"/>
            <w:gridSpan w:val="2"/>
          </w:tcPr>
          <w:p>
            <w:pPr>
              <w:jc w:val="right"/>
              <w:ind w:right="21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E. Bajec</w:t>
            </w:r>
          </w:p>
        </w:tc>
        <w:tc>
          <w:tcPr>
            <w:tcW w:w="20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3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Bruce MacNeal Dickson</w:t>
            </w:r>
          </w:p>
        </w:tc>
        <w:tc>
          <w:tcPr>
            <w:tcW w:w="204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3300" w:type="dxa"/>
            <w:vAlign w:val="bottom"/>
            <w:gridSpan w:val="2"/>
          </w:tcPr>
          <w:p>
            <w:pPr>
              <w:jc w:val="right"/>
              <w:ind w:right="21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60" w:hanging="652"/>
        <w:spacing w:after="0" w:line="271" w:lineRule="auto"/>
        <w:tabs>
          <w:tab w:leader="none" w:pos="667" w:val="left"/>
        </w:tabs>
        <w:numPr>
          <w:ilvl w:val="0"/>
          <w:numId w:val="40"/>
        </w:numPr>
        <w:rPr>
          <w:rFonts w:ascii="Arial" w:cs="Arial" w:eastAsia="Arial" w:hAnsi="Arial"/>
          <w:sz w:val="17"/>
          <w:szCs w:val="17"/>
          <w:color w:val="auto"/>
        </w:rPr>
      </w:pPr>
      <w:r>
        <w:rPr>
          <w:rFonts w:ascii="Arial" w:cs="Arial" w:eastAsia="Arial" w:hAnsi="Arial"/>
          <w:sz w:val="17"/>
          <w:szCs w:val="17"/>
          <w:color w:val="auto"/>
        </w:rPr>
        <w:t>Mr. Raymond directly owns (i) 1,599,616 Common Units and (ii) 8,275,520 Class A Units in AAP, which, pursuant to the AAP Partnership Agreement, are redeemable at the election of Mr. Raymond in exchange for a like number of Common Units in the Issuer held by AAP. Simultaneously with the redemption of Class A Units in exchange for Common Units, Mr. Raymond must transfer to PAGP a corresponding number of PAGP Class B Shares and a corresponding number of Holdings GP Units. An additional 3,183,216 Common Units may be deemed to be beneficially owned by Mr. Raymond as a result of his status as the sole member of Lynx. Lynx directly owns 3,183,216 Class A Units in AAP, which, pursuant to the AAP Partnership Agreement, are redeemable at the election of Lynx in exchange for a like number of Common Units in the Issuer held by AAP. Simultaneously with the redemption of Class A Units in exchange for Common Units, Lynx must transfer to PAGP a corresponding number of PAGP Class B Shares and a corresponding number of Holdings GP Units.</w:t>
      </w:r>
    </w:p>
    <w:p>
      <w:pPr>
        <w:spacing w:after="0" w:line="179"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Beneficial ownership of the remaining 6,220,955 Common Units referred to herein is being reported hereunder solely because Mr. Raymond may be deemed to beneficially own such securities as a result of his status as the Chief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660" w:right="60"/>
        <w:spacing w:after="0" w:line="291" w:lineRule="auto"/>
        <w:rPr>
          <w:sz w:val="20"/>
          <w:szCs w:val="20"/>
          <w:color w:val="auto"/>
        </w:rPr>
      </w:pPr>
      <w:r>
        <w:rPr>
          <w:rFonts w:ascii="Arial" w:cs="Arial" w:eastAsia="Arial" w:hAnsi="Arial"/>
          <w:sz w:val="16"/>
          <w:szCs w:val="16"/>
          <w:color w:val="auto"/>
        </w:rPr>
        <w:t>Executive Officer of the designated manager of EMG. EMG directly owns 6,220,955 Class A Units in AAP, which, pursuant to the AAP Partnership Agreement, are redeemable at the election of EMG in exchange for a like number of Common Units in the Issuer held by AAP. Simultaneously with the redemption of Class A Units in exchange for Common Units, EMG must transfer to PAGP a corresponding number of PAGP Class B Shares and a corresponding number of Holdings GP Units. Neither the filing of this Schedule 13D nor any of its contents shall be deemed to constitute an admission by any reporting person (other than John T. Raymond, solely with respect to his direct holdings of Common Units and Class A Units) that it or he is the beneficial owner of any of the securities referred to herein for purposes of Section 13(d) of the Securities Exchange Act of 1934, as amended, or for any other purpose, and such beneficial ownership is expressly disclaimed. See Items 2, 3, 4 and 5.</w:t>
      </w:r>
    </w:p>
    <w:p>
      <w:pPr>
        <w:spacing w:after="0" w:line="167" w:lineRule="exact"/>
        <w:rPr>
          <w:sz w:val="20"/>
          <w:szCs w:val="20"/>
          <w:color w:val="auto"/>
        </w:rPr>
      </w:pPr>
    </w:p>
    <w:p>
      <w:pPr>
        <w:ind w:left="660" w:right="20" w:hanging="652"/>
        <w:spacing w:after="0" w:line="253" w:lineRule="auto"/>
        <w:tabs>
          <w:tab w:leader="none" w:pos="6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Beneficial ownership of the Common Units referred to herein is being reported hereunder solely because the reporting person may be deemed to beneficially own such securities as a result of his status as the President of the designated manager of EMG. EMG directly owns 6,220,955 Class A Units in AAP, which, pursuant to the AAP Partnership Agreement, are redeemable at the election of EMG in exchange for a like number of Common Units in the Issuer held by AAP. Simultaneously with the redemption of Class A Units in exchange for Common Units, EMG must transfer to PAGP a corresponding number of PAGP Class B Shares and a corresponding number of Holdings GP Units. Neither the filing of this Schedule 13D nor any of its contents shall be deemed to constitute an admission by any reporting person (other than John T. Raymond, solely with respect to his direct holdings of Common Units) that it or he is the beneficial owner of any of the securities referred to herein for purposes of Section 13(d) of the Securities Exchange Act of 1934, as amended, or for any other purpose, and such beneficial ownership is expressly disclaimed. See Items 2, 3, 4 and 5.</w:t>
      </w:r>
    </w:p>
    <w:p>
      <w:pPr>
        <w:spacing w:after="0" w:line="197" w:lineRule="exact"/>
        <w:rPr>
          <w:rFonts w:ascii="Arial" w:cs="Arial" w:eastAsia="Arial" w:hAnsi="Arial"/>
          <w:sz w:val="18"/>
          <w:szCs w:val="18"/>
          <w:color w:val="auto"/>
        </w:rPr>
      </w:pPr>
    </w:p>
    <w:p>
      <w:pPr>
        <w:ind w:left="660" w:right="100" w:hanging="652"/>
        <w:spacing w:after="0" w:line="257" w:lineRule="auto"/>
        <w:tabs>
          <w:tab w:leader="none" w:pos="6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total number of Common Units (726,821,163) issued and outstanding as of May 1, 2019, which is the most recent date provided in the Issuer’s Quarterly Report on Form 10-Q for the period ended March 31, 2019. The Common Units to which each other holder of a Redemption Right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5(c) is hereby amended and restated in its entirety as follows:</w:t>
      </w:r>
    </w:p>
    <w:p>
      <w:pPr>
        <w:spacing w:after="0" w:line="225" w:lineRule="exact"/>
        <w:rPr>
          <w:sz w:val="20"/>
          <w:szCs w:val="20"/>
          <w:color w:val="auto"/>
        </w:rPr>
      </w:pPr>
    </w:p>
    <w:p>
      <w:pPr>
        <w:ind w:right="20" w:firstLine="656"/>
        <w:spacing w:after="0" w:line="255" w:lineRule="auto"/>
        <w:tabs>
          <w:tab w:leader="none" w:pos="13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May 23, 2019, pursuant to the AAP Partnership Agreement, EMG redeemed 4,013,478 Class A Units for Common Units on a one-for-one basis, by delivering such Class A Units to AAP along with the associated PAGP Class B Shares and Holdings GP Units. Immediately following such redemption, EMG distributed to certain of its members (including Mr. Raymond), in-kind and on a pro rata basis based on their ownership interests in EMG, the Common Units received in such redemption. Each member receiving such Common Units is bound by a lock-up, which restricts the sale of such Common Units (i) in any amount prior to the 61st day following the date of redemption, (ii) in an amount exceeding 1/3 of the Common Units distributed to such member prior to the 121st day following the date of redemption, and (iii) in an amount exceeding 2/3 of the Common Units distributed to such member prior to the 181st day following the date of redemption.</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Also on May 23, 2019, EMG distributed to certain of its members (including Mr. Raymond), in-kind and on a pro rata basis based on their ownership interests in EMG, bundled interests comprising Class A Units, PAGP Class B Shares and Holdings GP Units. Pursuant to the AAP Partnership Agreement, the members to whom such bundled interests were transferred will have a Redemption Right. Each member receiving such bundled interests is bound by a lock-up, which restricts the sale of Common Units or Class A shares (“PAGP Class A Shares”) of PAGP into which such bundled interests are convertible (i) in any amount prior to the 61st day following the date of redemption, (ii) in an amount exceeding 1/3 of the Common Units or PAGP Class A Shares into which the bundled interests distributed to such member are convertible prior to the 121st day following the date of redemption, and (iii) in an amount exceeding 2/3 of the Common Units or PAGP Class A Shares into which the bundled interests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distributed to such member are convertible prior to the 181st day following the date of redemption.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28, 2019, EMG requested redemption of 8,179,284 Class A Units in exchange for Common Units on a one-for-one basis pursuant to its Redemption Right. EMG sold the Common Units it received pursuant to such request for redemption in multiple transactions exempt from registration under Rule 144 of the Securities Act of 1933, as amended, at a price of $23.10 per Common Unit, the proceeds of which will be distributed to EMG’s remaining members on a pro rata basis.</w:t>
      </w:r>
    </w:p>
    <w:p>
      <w:pPr>
        <w:spacing w:after="0" w:line="187" w:lineRule="exact"/>
        <w:rPr>
          <w:sz w:val="20"/>
          <w:szCs w:val="20"/>
          <w:color w:val="auto"/>
        </w:rPr>
      </w:pPr>
    </w:p>
    <w:p>
      <w:pPr>
        <w:ind w:right="20" w:firstLine="689"/>
        <w:spacing w:after="0" w:line="277" w:lineRule="auto"/>
        <w:rPr>
          <w:sz w:val="20"/>
          <w:szCs w:val="20"/>
          <w:color w:val="auto"/>
        </w:rPr>
      </w:pPr>
      <w:r>
        <w:rPr>
          <w:rFonts w:ascii="Arial" w:cs="Arial" w:eastAsia="Arial" w:hAnsi="Arial"/>
          <w:sz w:val="18"/>
          <w:szCs w:val="18"/>
          <w:color w:val="auto"/>
        </w:rPr>
        <w:t>Except as set forth above, none of the Reporting Persons, or to the Reporting Persons’ knowledge, any of the Covered Individuals, has effected any transactions in Common Units in the past 60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5(e) is hereby amended and restated in its entirety as follows:</w:t>
      </w:r>
    </w:p>
    <w:p>
      <w:pPr>
        <w:spacing w:after="0" w:line="225" w:lineRule="exact"/>
        <w:rPr>
          <w:sz w:val="20"/>
          <w:szCs w:val="20"/>
          <w:color w:val="auto"/>
        </w:rPr>
      </w:pPr>
    </w:p>
    <w:p>
      <w:pPr>
        <w:ind w:right="140" w:firstLine="656"/>
        <w:spacing w:after="0" w:line="277" w:lineRule="auto"/>
        <w:tabs>
          <w:tab w:leader="none" w:pos="8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May 23, 2019, each of the Reporting Persons ceased to beneficially own more than five percent of all of the outstanding Common Units, and accordingly, this Amendment No. 1 constitutes an exit filing for the Reporting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A is hereby amended and restated in its entirety by Schedule A attached hereto.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 Follow]</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June 4,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EMG INVESTMENT,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NGP MR Management, LLC,</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Raymond</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T. Raymond</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NGP MR MANAGEMENT,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Raymond</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T. Raymond</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Calvert</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G. Calvert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T. Raymond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G. Calvert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G. Calvert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about the Reporting Persons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names and titles and principal occupations of the executive officers and directors of the Manager are set forth below. EMG has no officers or directors and is managed by the Manager, which has the executive officers and directors set forth below. The business address of each of the executive officers and directors listed below is 2229 San Felipe Street, Suite 1300, Houston, Texas 77019. The principal business of EMG is to invest in GP LLC and AAP.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80" w:type="dxa"/>
            <w:vAlign w:val="bottom"/>
            <w:gridSpan w:val="2"/>
          </w:tcPr>
          <w:p>
            <w:pPr>
              <w:ind w:left="1680"/>
              <w:spacing w:after="0"/>
              <w:rPr>
                <w:sz w:val="20"/>
                <w:szCs w:val="20"/>
                <w:color w:val="auto"/>
              </w:rPr>
            </w:pPr>
            <w:r>
              <w:rPr>
                <w:rFonts w:ascii="Arial" w:cs="Arial" w:eastAsia="Arial" w:hAnsi="Arial"/>
                <w:sz w:val="14"/>
                <w:szCs w:val="14"/>
                <w:b w:val="1"/>
                <w:bCs w:val="1"/>
                <w:color w:val="auto"/>
              </w:rPr>
              <w:t>Title</w:t>
            </w:r>
          </w:p>
        </w:tc>
        <w:tc>
          <w:tcPr>
            <w:tcW w:w="3640" w:type="dxa"/>
            <w:vAlign w:val="bottom"/>
          </w:tcPr>
          <w:p>
            <w:pPr>
              <w:ind w:left="1160"/>
              <w:spacing w:after="0"/>
              <w:rPr>
                <w:sz w:val="20"/>
                <w:szCs w:val="20"/>
                <w:color w:val="auto"/>
              </w:rPr>
            </w:pPr>
            <w:r>
              <w:rPr>
                <w:rFonts w:ascii="Arial" w:cs="Arial" w:eastAsia="Arial" w:hAnsi="Arial"/>
                <w:sz w:val="14"/>
                <w:szCs w:val="14"/>
                <w:b w:val="1"/>
                <w:bCs w:val="1"/>
                <w:color w:val="auto"/>
              </w:rPr>
              <w:t>Principal Occupation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John T. Raymond</w:t>
            </w:r>
          </w:p>
        </w:tc>
        <w:tc>
          <w:tcPr>
            <w:tcW w:w="240" w:type="dxa"/>
            <w:vAlign w:val="bottom"/>
            <w:tcBorders>
              <w:top w:val="single" w:sz="8" w:color="CCEEFF"/>
            </w:tcBorders>
            <w:shd w:val="clear" w:color="auto" w:fill="CCEEFF"/>
          </w:tcPr>
          <w:p>
            <w:pPr>
              <w:spacing w:after="0"/>
              <w:rPr>
                <w:sz w:val="16"/>
                <w:szCs w:val="16"/>
                <w:color w:val="auto"/>
              </w:rPr>
            </w:pPr>
          </w:p>
        </w:tc>
        <w:tc>
          <w:tcPr>
            <w:tcW w:w="3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Chief Executive Officer</w:t>
            </w:r>
          </w:p>
        </w:tc>
        <w:tc>
          <w:tcPr>
            <w:tcW w:w="220" w:type="dxa"/>
            <w:vAlign w:val="bottom"/>
            <w:tcBorders>
              <w:top w:val="single" w:sz="8" w:color="CCEEFF"/>
            </w:tcBorders>
            <w:shd w:val="clear" w:color="auto" w:fill="CCEEFF"/>
          </w:tcPr>
          <w:p>
            <w:pPr>
              <w:spacing w:after="0"/>
              <w:rPr>
                <w:sz w:val="16"/>
                <w:szCs w:val="16"/>
                <w:color w:val="auto"/>
              </w:rPr>
            </w:pPr>
          </w:p>
        </w:tc>
        <w:tc>
          <w:tcPr>
            <w:tcW w:w="3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Managing Partner and Chief Executive Officer of</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9"/>
              </w:rPr>
              <w:t>the family of funds managed by The Energy &amp;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Minerals 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John G. Calvert</w:t>
            </w: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President</w:t>
            </w: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President of the family of funds managed by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Energy &amp; Minerals 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Laura L. Tyson</w:t>
            </w: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General Counsel, Chief Operating Officer and</w:t>
            </w: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General Counsel, Chief Operating Officer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Secretary</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3"/>
              </w:rPr>
              <w:t>Secretary of the family of funds managed by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Energy &amp; Minerals 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 Nolen Taylor</w:t>
            </w: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Financial Officer</w:t>
            </w: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Financial Officer of the family of funds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managed by The Energy &amp; Minerals 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Christopher E. Bajec</w:t>
            </w: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Tax Officer</w:t>
            </w: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Chief Tax Officer of the family of funds managed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by The Energy &amp; Minerals 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Bruce MacNeal Dickson</w:t>
            </w: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Compliance Officer</w:t>
            </w: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Chief Compliance Officer of the family of funds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managed by The Energy &amp; Minerals 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tcPr>
          <w:p>
            <w:pPr>
              <w:ind w:left="17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bullet"/>
      <w:start w:val="1"/>
    </w:lvl>
  </w:abstractNum>
  <w:abstractNum w:abstractNumId="2">
    <w:nsid w:val="2D1D5AE9"/>
    <w:multiLevelType w:val="hybridMultilevel"/>
    <w:lvl w:ilvl="0">
      <w:lvlJc w:val="left"/>
      <w:lvlText w:val="2"/>
      <w:numFmt w:val="bullet"/>
      <w:start w:val="1"/>
    </w:lvl>
    <w:lvl w:ilvl="1">
      <w:lvlJc w:val="left"/>
      <w:lvlText w:val="(%2)"/>
      <w:numFmt w:val="lowerLetter"/>
      <w:start w:val="1"/>
    </w:lvl>
  </w:abstractNum>
  <w:abstractNum w:abstractNumId="3">
    <w:nsid w:val="6763845E"/>
    <w:multiLevelType w:val="hybridMultilevel"/>
    <w:lvl w:ilvl="0">
      <w:lvlJc w:val="left"/>
      <w:lvlText w:val="3"/>
      <w:numFmt w:val="bullet"/>
      <w:start w:val="1"/>
    </w:lvl>
  </w:abstractNum>
  <w:abstractNum w:abstractNumId="4">
    <w:nsid w:val="75A2A8D4"/>
    <w:multiLevelType w:val="hybridMultilevel"/>
    <w:lvl w:ilvl="0">
      <w:lvlJc w:val="left"/>
      <w:lvlText w:val="4"/>
      <w:numFmt w:val="bullet"/>
      <w:start w:val="1"/>
    </w:lvl>
  </w:abstractNum>
  <w:abstractNum w:abstractNumId="5">
    <w:nsid w:val="8EDBDAB"/>
    <w:multiLevelType w:val="hybridMultilevel"/>
    <w:lvl w:ilvl="0">
      <w:lvlJc w:val="left"/>
      <w:lvlText w:val="6"/>
      <w:numFmt w:val="bullet"/>
      <w:start w:val="1"/>
    </w:lvl>
  </w:abstractNum>
  <w:abstractNum w:abstractNumId="6">
    <w:nsid w:val="79838CB2"/>
    <w:multiLevelType w:val="hybridMultilevel"/>
    <w:lvl w:ilvl="0">
      <w:lvlJc w:val="left"/>
      <w:lvlText w:val="%1"/>
      <w:numFmt w:val="decimal"/>
      <w:start w:val="11"/>
    </w:lvl>
  </w:abstractNum>
  <w:abstractNum w:abstractNumId="7">
    <w:nsid w:val="4353D0CD"/>
    <w:multiLevelType w:val="hybridMultilevel"/>
    <w:lvl w:ilvl="0">
      <w:lvlJc w:val="left"/>
      <w:lvlText w:val="%1"/>
      <w:numFmt w:val="decimal"/>
      <w:start w:val="13"/>
    </w:lvl>
  </w:abstractNum>
  <w:abstractNum w:abstractNumId="8">
    <w:nsid w:val="B03E0C6"/>
    <w:multiLevelType w:val="hybridMultilevel"/>
    <w:lvl w:ilvl="0">
      <w:lvlJc w:val="left"/>
      <w:lvlText w:val="*"/>
      <w:numFmt w:val="bullet"/>
      <w:start w:val="1"/>
    </w:lvl>
    <w:lvl w:ilvl="1">
      <w:lvlJc w:val="left"/>
      <w:lvlText w:val="%2"/>
      <w:numFmt w:val="upperLetter"/>
      <w:start w:val="41"/>
    </w:lvl>
  </w:abstractNum>
  <w:abstractNum w:abstractNumId="9">
    <w:nsid w:val="189A769B"/>
    <w:multiLevelType w:val="hybridMultilevel"/>
    <w:lvl w:ilvl="0">
      <w:lvlJc w:val="left"/>
      <w:lvlText w:val="**"/>
      <w:numFmt w:val="bullet"/>
      <w:start w:val="1"/>
    </w:lvl>
    <w:lvl w:ilvl="1">
      <w:lvlJc w:val="left"/>
      <w:lvlText w:val="%2"/>
      <w:numFmt w:val="upperLetter"/>
      <w:start w:val="1"/>
    </w:lvl>
  </w:abstractNum>
  <w:abstractNum w:abstractNumId="10">
    <w:nsid w:val="54E49EB4"/>
    <w:multiLevelType w:val="hybridMultilevel"/>
    <w:lvl w:ilvl="0">
      <w:lvlJc w:val="left"/>
      <w:lvlText w:val="1"/>
      <w:numFmt w:val="bullet"/>
      <w:start w:val="1"/>
    </w:lvl>
  </w:abstractNum>
  <w:abstractNum w:abstractNumId="11">
    <w:nsid w:val="71F32454"/>
    <w:multiLevelType w:val="hybridMultilevel"/>
    <w:lvl w:ilvl="0">
      <w:lvlJc w:val="left"/>
      <w:lvlText w:val="2"/>
      <w:numFmt w:val="bullet"/>
      <w:start w:val="1"/>
    </w:lvl>
    <w:lvl w:ilvl="1">
      <w:lvlJc w:val="left"/>
      <w:lvlText w:val="(%2)"/>
      <w:numFmt w:val="lowerLetter"/>
      <w:start w:val="1"/>
    </w:lvl>
  </w:abstractNum>
  <w:abstractNum w:abstractNumId="12">
    <w:nsid w:val="2CA88611"/>
    <w:multiLevelType w:val="hybridMultilevel"/>
    <w:lvl w:ilvl="0">
      <w:lvlJc w:val="left"/>
      <w:lvlText w:val="3"/>
      <w:numFmt w:val="bullet"/>
      <w:start w:val="1"/>
    </w:lvl>
  </w:abstractNum>
  <w:abstractNum w:abstractNumId="13">
    <w:nsid w:val="836C40E"/>
    <w:multiLevelType w:val="hybridMultilevel"/>
    <w:lvl w:ilvl="0">
      <w:lvlJc w:val="left"/>
      <w:lvlText w:val="4"/>
      <w:numFmt w:val="bullet"/>
      <w:start w:val="1"/>
    </w:lvl>
  </w:abstractNum>
  <w:abstractNum w:abstractNumId="14">
    <w:nsid w:val="2901D82"/>
    <w:multiLevelType w:val="hybridMultilevel"/>
    <w:lvl w:ilvl="0">
      <w:lvlJc w:val="left"/>
      <w:lvlText w:val="6"/>
      <w:numFmt w:val="bullet"/>
      <w:start w:val="1"/>
    </w:lvl>
  </w:abstractNum>
  <w:abstractNum w:abstractNumId="15">
    <w:nsid w:val="3A95F874"/>
    <w:multiLevelType w:val="hybridMultilevel"/>
    <w:lvl w:ilvl="0">
      <w:lvlJc w:val="left"/>
      <w:lvlText w:val="%1"/>
      <w:numFmt w:val="decimal"/>
      <w:start w:val="11"/>
    </w:lvl>
  </w:abstractNum>
  <w:abstractNum w:abstractNumId="16">
    <w:nsid w:val="8138641"/>
    <w:multiLevelType w:val="hybridMultilevel"/>
    <w:lvl w:ilvl="0">
      <w:lvlJc w:val="left"/>
      <w:lvlText w:val="%1"/>
      <w:numFmt w:val="decimal"/>
      <w:start w:val="13"/>
    </w:lvl>
  </w:abstractNum>
  <w:abstractNum w:abstractNumId="17">
    <w:nsid w:val="1E7FF521"/>
    <w:multiLevelType w:val="hybridMultilevel"/>
    <w:lvl w:ilvl="0">
      <w:lvlJc w:val="left"/>
      <w:lvlText w:val="*"/>
      <w:numFmt w:val="bullet"/>
      <w:start w:val="1"/>
    </w:lvl>
    <w:lvl w:ilvl="1">
      <w:lvlJc w:val="left"/>
      <w:lvlText w:val="%2"/>
      <w:numFmt w:val="upperLetter"/>
      <w:start w:val="41"/>
    </w:lvl>
  </w:abstractNum>
  <w:abstractNum w:abstractNumId="18">
    <w:nsid w:val="7C3DBD3D"/>
    <w:multiLevelType w:val="hybridMultilevel"/>
    <w:lvl w:ilvl="0">
      <w:lvlJc w:val="left"/>
      <w:lvlText w:val="**"/>
      <w:numFmt w:val="bullet"/>
      <w:start w:val="1"/>
    </w:lvl>
    <w:lvl w:ilvl="1">
      <w:lvlJc w:val="left"/>
      <w:lvlText w:val="%2"/>
      <w:numFmt w:val="upperLetter"/>
      <w:start w:val="1"/>
    </w:lvl>
  </w:abstractNum>
  <w:abstractNum w:abstractNumId="19">
    <w:nsid w:val="737B8DDC"/>
    <w:multiLevelType w:val="hybridMultilevel"/>
    <w:lvl w:ilvl="0">
      <w:lvlJc w:val="left"/>
      <w:lvlText w:val="1"/>
      <w:numFmt w:val="bullet"/>
      <w:start w:val="1"/>
    </w:lvl>
  </w:abstractNum>
  <w:abstractNum w:abstractNumId="20">
    <w:nsid w:val="6CEAF087"/>
    <w:multiLevelType w:val="hybridMultilevel"/>
    <w:lvl w:ilvl="0">
      <w:lvlJc w:val="left"/>
      <w:lvlText w:val="2"/>
      <w:numFmt w:val="bullet"/>
      <w:start w:val="1"/>
    </w:lvl>
    <w:lvl w:ilvl="1">
      <w:lvlJc w:val="left"/>
      <w:lvlText w:val="(%2)"/>
      <w:numFmt w:val="lowerLetter"/>
      <w:start w:val="1"/>
    </w:lvl>
  </w:abstractNum>
  <w:abstractNum w:abstractNumId="21">
    <w:nsid w:val="22221A70"/>
    <w:multiLevelType w:val="hybridMultilevel"/>
    <w:lvl w:ilvl="0">
      <w:lvlJc w:val="left"/>
      <w:lvlText w:val="3"/>
      <w:numFmt w:val="bullet"/>
      <w:start w:val="1"/>
    </w:lvl>
  </w:abstractNum>
  <w:abstractNum w:abstractNumId="22">
    <w:nsid w:val="4516DDE9"/>
    <w:multiLevelType w:val="hybridMultilevel"/>
    <w:lvl w:ilvl="0">
      <w:lvlJc w:val="left"/>
      <w:lvlText w:val="4"/>
      <w:numFmt w:val="bullet"/>
      <w:start w:val="1"/>
    </w:lvl>
  </w:abstractNum>
  <w:abstractNum w:abstractNumId="23">
    <w:nsid w:val="3006C83E"/>
    <w:multiLevelType w:val="hybridMultilevel"/>
    <w:lvl w:ilvl="0">
      <w:lvlJc w:val="left"/>
      <w:lvlText w:val="6"/>
      <w:numFmt w:val="bullet"/>
      <w:start w:val="1"/>
    </w:lvl>
  </w:abstractNum>
  <w:abstractNum w:abstractNumId="24">
    <w:nsid w:val="614FD4A1"/>
    <w:multiLevelType w:val="hybridMultilevel"/>
    <w:lvl w:ilvl="0">
      <w:lvlJc w:val="left"/>
      <w:lvlText w:val="%1"/>
      <w:numFmt w:val="decimal"/>
      <w:start w:val="11"/>
    </w:lvl>
  </w:abstractNum>
  <w:abstractNum w:abstractNumId="25">
    <w:nsid w:val="419AC241"/>
    <w:multiLevelType w:val="hybridMultilevel"/>
    <w:lvl w:ilvl="0">
      <w:lvlJc w:val="left"/>
      <w:lvlText w:val="%1"/>
      <w:numFmt w:val="decimal"/>
      <w:start w:val="13"/>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bullet"/>
      <w:start w:val="1"/>
    </w:lvl>
  </w:abstractNum>
  <w:abstractNum w:abstractNumId="29">
    <w:nsid w:val="3804823E"/>
    <w:multiLevelType w:val="hybridMultilevel"/>
    <w:lvl w:ilvl="0">
      <w:lvlJc w:val="left"/>
      <w:lvlText w:val="2"/>
      <w:numFmt w:val="bullet"/>
      <w:start w:val="1"/>
    </w:lvl>
    <w:lvl w:ilvl="1">
      <w:lvlJc w:val="left"/>
      <w:lvlText w:val="(%2)"/>
      <w:numFmt w:val="lowerLetter"/>
      <w:start w:val="1"/>
    </w:lvl>
  </w:abstractNum>
  <w:abstractNum w:abstractNumId="30">
    <w:nsid w:val="77465F01"/>
    <w:multiLevelType w:val="hybridMultilevel"/>
    <w:lvl w:ilvl="0">
      <w:lvlJc w:val="left"/>
      <w:lvlText w:val="3"/>
      <w:numFmt w:val="bullet"/>
      <w:start w:val="1"/>
    </w:lvl>
  </w:abstractNum>
  <w:abstractNum w:abstractNumId="31">
    <w:nsid w:val="7724C67E"/>
    <w:multiLevelType w:val="hybridMultilevel"/>
    <w:lvl w:ilvl="0">
      <w:lvlJc w:val="left"/>
      <w:lvlText w:val="4"/>
      <w:numFmt w:val="bullet"/>
      <w:start w:val="1"/>
    </w:lvl>
  </w:abstractNum>
  <w:abstractNum w:abstractNumId="32">
    <w:nsid w:val="5C482A97"/>
    <w:multiLevelType w:val="hybridMultilevel"/>
    <w:lvl w:ilvl="0">
      <w:lvlJc w:val="left"/>
      <w:lvlText w:val="6"/>
      <w:numFmt w:val="bullet"/>
      <w:start w:val="1"/>
    </w:lvl>
  </w:abstractNum>
  <w:abstractNum w:abstractNumId="33">
    <w:nsid w:val="2463B9EA"/>
    <w:multiLevelType w:val="hybridMultilevel"/>
    <w:lvl w:ilvl="0">
      <w:lvlJc w:val="left"/>
      <w:lvlText w:val="%1"/>
      <w:numFmt w:val="decimal"/>
      <w:start w:val="11"/>
    </w:lvl>
  </w:abstractNum>
  <w:abstractNum w:abstractNumId="34">
    <w:nsid w:val="5E884ADC"/>
    <w:multiLevelType w:val="hybridMultilevel"/>
    <w:lvl w:ilvl="0">
      <w:lvlJc w:val="left"/>
      <w:lvlText w:val="%1"/>
      <w:numFmt w:val="decimal"/>
      <w:start w:val="13"/>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Letter"/>
      <w:start w:val="2"/>
    </w:lvl>
  </w:abstractNum>
  <w:abstractNum w:abstractNumId="38">
    <w:nsid w:val="153EA438"/>
    <w:multiLevelType w:val="hybridMultilevel"/>
    <w:lvl w:ilvl="0">
      <w:lvlJc w:val="left"/>
      <w:lvlText w:val="(%1)"/>
      <w:numFmt w:val="lowerLetter"/>
      <w:start w:val="1"/>
    </w:lvl>
    <w:lvl w:ilvl="1">
      <w:lvlJc w:val="left"/>
      <w:lvlText w:val="(%2)"/>
      <w:numFmt w:val="lowerRoman"/>
      <w:start w:val="2"/>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2"/>
    </w:lvl>
  </w:abstractNum>
  <w:abstractNum w:abstractNumId="41">
    <w:nsid w:val="6A2342EC"/>
    <w:multiLevelType w:val="hybridMultilevel"/>
    <w:lvl w:ilvl="0">
      <w:lvlJc w:val="left"/>
      <w:lvlText w:val="(%1)"/>
      <w:numFmt w:val="lowerLetter"/>
      <w:start w:val="3"/>
    </w:lvl>
  </w:abstractNum>
  <w:abstractNum w:abstractNumId="42">
    <w:nsid w:val="2A487CB0"/>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2019-12-02T00:47:10Z</dcterms:created>
  <dcterms:modified xsi:type="dcterms:W3CDTF">2019-12-02T00:47:10Z</dcterms:modified>
</cp:coreProperties>
</file>