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16, 2015</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544" w:right="31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80"/>
          </w:cols>
          <w:pgMar w:left="240" w:top="544" w:right="31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40"/>
          </w:cols>
          <w:pgMar w:left="240" w:top="544" w:right="31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364-Day Credit Agreement</w:t>
      </w:r>
    </w:p>
    <w:p>
      <w:pPr>
        <w:spacing w:after="0" w:line="229" w:lineRule="exact"/>
        <w:rPr>
          <w:sz w:val="24"/>
          <w:szCs w:val="24"/>
          <w:color w:val="auto"/>
        </w:rPr>
      </w:pPr>
    </w:p>
    <w:p>
      <w:pPr>
        <w:ind w:right="60" w:firstLine="648"/>
        <w:spacing w:after="0" w:line="255" w:lineRule="auto"/>
        <w:rPr>
          <w:sz w:val="20"/>
          <w:szCs w:val="20"/>
          <w:color w:val="auto"/>
        </w:rPr>
      </w:pPr>
      <w:r>
        <w:rPr>
          <w:rFonts w:ascii="Arial" w:cs="Arial" w:eastAsia="Arial" w:hAnsi="Arial"/>
          <w:sz w:val="18"/>
          <w:szCs w:val="18"/>
          <w:color w:val="auto"/>
        </w:rPr>
        <w:t>On January 16, 2015, the Partnership entered into a senior unsecured 364-Day Credit Agreement (the “Credit Agreement”), among Plains All American Pipeline, L.P. (the “Partnership”)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 (terms used but not defined herein have the meanings assigned to them in the Credit Agreement).</w:t>
      </w:r>
    </w:p>
    <w:p>
      <w:pPr>
        <w:spacing w:after="0" w:line="19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Credit Agreement provides for borrowings of up to $1 billion and is fully committed. The Credit Agreement will terminate 364 days after the closing date. Amounts borrowed under the Credit Agreement may be used for any lawful partnership purpose, including financing of acquisitions previously announced by the Partnership.</w:t>
      </w:r>
    </w:p>
    <w:p>
      <w:pPr>
        <w:spacing w:after="0" w:line="181"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Borrowings under the Credit Agreement will bear interest at either a Base Rate or a Eurodollar Rate. A Base Rate Loan bears interest at a fluctuating rate per annum equal to the highest of (a) the federal funds rate plus 1/2 of 1%, (b) the rate of interest in effect for such day as publicly announced from time to time by Bank of America as its “prime rate” and (c) the Eurodollar Market Index Rate plus 1%. Interest on Base Rate Loans will include a margin ranging from 0.000% to 0.500% based upon any variances in the Partnership’s debt ratings. The “prime rate” is a rate set by Bank of America based upon various factors including its costs and desired return, general economic conditions and other factors. A Eurodollar Loan bears interest at a rate per annum equal to the British Bankers Association LIBOR Rate, as published by Reuters, plus a margin, which margin ranges from 0.925% to 1.500% based upon any variances in the Partnership’s debt ratings. The Partnership will also pay a Facility Fee ranging from 0.075% to 0.250% based upon any variances in the Partnership’s debt ratings. The Partnership may voluntarily prepay borrowings under the Credit Agreement, in whole or in part (subject to certain minimum prepayment amounts) without penalty or premium.</w:t>
      </w:r>
    </w:p>
    <w:p>
      <w:pPr>
        <w:spacing w:after="0" w:line="182" w:lineRule="exact"/>
        <w:rPr>
          <w:sz w:val="24"/>
          <w:szCs w:val="24"/>
          <w:color w:val="auto"/>
        </w:rPr>
      </w:pPr>
    </w:p>
    <w:p>
      <w:pPr>
        <w:ind w:right="580" w:firstLine="648"/>
        <w:spacing w:after="0" w:line="277" w:lineRule="auto"/>
        <w:rPr>
          <w:sz w:val="20"/>
          <w:szCs w:val="20"/>
          <w:color w:val="auto"/>
        </w:rPr>
      </w:pPr>
      <w:r>
        <w:rPr>
          <w:rFonts w:ascii="Arial" w:cs="Arial" w:eastAsia="Arial" w:hAnsi="Arial"/>
          <w:sz w:val="18"/>
          <w:szCs w:val="18"/>
          <w:color w:val="auto"/>
        </w:rPr>
        <w:t>The covenants (including financial covenants), restrictions and events of default in the Credit Agreement are substantially the same as in the Partnership’s Revolving Credit Agreement dated August 19, 2011, as amended.</w:t>
      </w:r>
    </w:p>
    <w:p>
      <w:pPr>
        <w:sectPr>
          <w:pgSz w:w="11900" w:h="16838" w:orient="portrait"/>
          <w:cols w:equalWidth="0" w:num="1">
            <w:col w:w="11340"/>
          </w:cols>
          <w:pgMar w:left="240" w:top="544" w:right="319" w:bottom="0" w:gutter="0" w:footer="0" w:header="0"/>
          <w:type w:val="continuous"/>
        </w:sectPr>
      </w:pPr>
    </w:p>
    <w:bookmarkStart w:id="1" w:name="page2"/>
    <w:bookmarkEnd w:id="1"/>
    <w:p>
      <w:pPr>
        <w:ind w:right="240" w:firstLine="648"/>
        <w:spacing w:after="0" w:line="264" w:lineRule="auto"/>
        <w:rPr>
          <w:sz w:val="20"/>
          <w:szCs w:val="20"/>
          <w:color w:val="auto"/>
        </w:rPr>
      </w:pPr>
      <w:r>
        <w:rPr>
          <w:rFonts w:ascii="Arial" w:cs="Arial" w:eastAsia="Arial" w:hAnsi="Arial"/>
          <w:sz w:val="18"/>
          <w:szCs w:val="18"/>
          <w:color w:val="auto"/>
        </w:rPr>
        <w:t>The Credit Agreement contains cross default provisions and prohibits distributions on, or purchases or redemptions of, the Partnership’s common units if any Default or Event of Default has occurred and is continuing. In addition, the Credit Agreement contains various covenants limiting the Partnership’s and its subsidiaries’ ability to, among other things:</w:t>
      </w:r>
    </w:p>
    <w:p>
      <w:pPr>
        <w:spacing w:after="0" w:line="181" w:lineRule="exact"/>
        <w:rPr>
          <w:sz w:val="20"/>
          <w:szCs w:val="20"/>
          <w:color w:val="auto"/>
        </w:rPr>
      </w:pPr>
    </w:p>
    <w:p>
      <w:pPr>
        <w:ind w:left="1020" w:hanging="364"/>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 into certain burdensome agreements; and</w:t>
      </w:r>
    </w:p>
    <w:p>
      <w:pPr>
        <w:spacing w:after="0" w:line="225" w:lineRule="exact"/>
        <w:rPr>
          <w:rFonts w:ascii="Arial" w:cs="Arial" w:eastAsia="Arial" w:hAnsi="Arial"/>
          <w:sz w:val="18"/>
          <w:szCs w:val="18"/>
          <w:color w:val="auto"/>
        </w:rPr>
      </w:pPr>
    </w:p>
    <w:p>
      <w:pPr>
        <w:ind w:left="5660" w:right="5180" w:hanging="5004"/>
        <w:spacing w:after="0" w:line="624" w:lineRule="auto"/>
        <w:tabs>
          <w:tab w:leader="none" w:pos="1007" w:val="left"/>
        </w:tabs>
        <w:numPr>
          <w:ilvl w:val="0"/>
          <w:numId w:val="2"/>
        </w:numPr>
        <w:rPr>
          <w:rFonts w:ascii="Arial" w:cs="Arial" w:eastAsia="Arial" w:hAnsi="Arial"/>
          <w:sz w:val="16"/>
          <w:szCs w:val="16"/>
          <w:color w:val="auto"/>
        </w:rPr>
      </w:pPr>
      <w:r>
        <w:rPr>
          <w:rFonts w:ascii="Arial" w:cs="Arial" w:eastAsia="Arial" w:hAnsi="Arial"/>
          <w:sz w:val="16"/>
          <w:szCs w:val="16"/>
          <w:color w:val="auto"/>
        </w:rPr>
        <w:t>sell substantially all of its assets or enter into a merger or consolidation.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addition, the financial covenant of the Credit Agreement limits the ratio of Consolidated Funded Indebtedness to Consolidated EBITDA to a maximum of 5.00 to 1.00, with an increased maximum ratio of 5.50 to 1.00 during an Acquisition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default under the Credit Agreement would permit the lenders to terminate their commitments and to accelerate the maturity of the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above description of the Credit Agreement is qualified in its entirety by the terms of the Credit Agreement, which is attached hereto as Exhibit 10.1 and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above in Item 1.01 is incorporated herein by reference.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19, 2015, the Partnership issued a press release announcing the closing of the Credit Agreement. A copy of the press release is furnished as Exhibit 99.1 hereto.</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540" w:hanging="88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540" w:right="100" w:hanging="877"/>
        <w:spacing w:after="0" w:line="276" w:lineRule="auto"/>
        <w:tabs>
          <w:tab w:leader="none" w:pos="1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364-Day Credit Agreement dated January 16, 2015 among Plains All American Pipeline, L.P.,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w:t>
      </w:r>
    </w:p>
    <w:p>
      <w:pPr>
        <w:spacing w:after="0" w:line="173"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19, 2015.</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2015</w:t>
      </w:r>
    </w:p>
    <w:p>
      <w:pPr>
        <w:spacing w:after="0" w:line="9"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PAA GP LLC, its general partner</w:t>
      </w:r>
    </w:p>
    <w:p>
      <w:pPr>
        <w:spacing w:after="0" w:line="9"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Plains AAP, L.P., its sole member</w:t>
      </w:r>
    </w:p>
    <w:p>
      <w:pPr>
        <w:spacing w:after="0" w:line="9"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11360"/>
          </w:cols>
          <w:pgMar w:left="240" w:top="125" w:right="299" w:bottom="246" w:gutter="0" w:footer="0" w:header="0"/>
        </w:sect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246"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tcPr>
          <w:p>
            <w:pPr>
              <w:jc w:val="center"/>
              <w:ind w:right="996"/>
              <w:spacing w:after="0"/>
              <w:rPr>
                <w:sz w:val="20"/>
                <w:szCs w:val="20"/>
                <w:color w:val="auto"/>
              </w:rPr>
            </w:pPr>
            <w:r>
              <w:rPr>
                <w:rFonts w:ascii="Arial" w:cs="Arial" w:eastAsia="Arial" w:hAnsi="Arial"/>
                <w:sz w:val="18"/>
                <w:szCs w:val="18"/>
                <w:color w:val="auto"/>
                <w:w w:val="98"/>
              </w:rPr>
              <w:t>INDEX TO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34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103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10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364-Day Credit Agreement dated January 16, 2015 among Plains All American Pipeline, L.P., as Borrower; Bank of America, N.A., as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gridSpan w:val="2"/>
          </w:tcPr>
          <w:p>
            <w:pPr>
              <w:ind w:left="240"/>
              <w:spacing w:after="0"/>
              <w:rPr>
                <w:sz w:val="20"/>
                <w:szCs w:val="20"/>
                <w:color w:val="auto"/>
              </w:rPr>
            </w:pPr>
            <w:r>
              <w:rPr>
                <w:rFonts w:ascii="Arial" w:cs="Arial" w:eastAsia="Arial" w:hAnsi="Arial"/>
                <w:sz w:val="18"/>
                <w:szCs w:val="18"/>
                <w:color w:val="auto"/>
                <w:w w:val="94"/>
              </w:rPr>
              <w:t>Administrative Agent; Citibank, N.A., JPMorgan Chase Bank N.A. and Wells Fargo Bank, National Association, as Co-Syndication Agents;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gridSpan w:val="2"/>
          </w:tcPr>
          <w:p>
            <w:pPr>
              <w:ind w:left="240"/>
              <w:spacing w:after="0"/>
              <w:rPr>
                <w:sz w:val="20"/>
                <w:szCs w:val="20"/>
                <w:color w:val="auto"/>
              </w:rPr>
            </w:pPr>
            <w:r>
              <w:rPr>
                <w:rFonts w:ascii="Arial" w:cs="Arial" w:eastAsia="Arial" w:hAnsi="Arial"/>
                <w:sz w:val="18"/>
                <w:szCs w:val="18"/>
                <w:color w:val="auto"/>
                <w:w w:val="92"/>
              </w:rPr>
              <w:t>DNB Bank ASA, New York Branch and Mizuho Bank, Ltd., as Co-Documentation Agents; the other Lenders party thereto; and Merrill Lynch,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gridSpan w:val="2"/>
          </w:tcPr>
          <w:p>
            <w:pPr>
              <w:ind w:left="240"/>
              <w:spacing w:after="0"/>
              <w:rPr>
                <w:sz w:val="20"/>
                <w:szCs w:val="20"/>
                <w:color w:val="auto"/>
              </w:rPr>
            </w:pPr>
            <w:r>
              <w:rPr>
                <w:rFonts w:ascii="Arial" w:cs="Arial" w:eastAsia="Arial" w:hAnsi="Arial"/>
                <w:sz w:val="18"/>
                <w:szCs w:val="18"/>
                <w:color w:val="auto"/>
                <w:w w:val="93"/>
              </w:rPr>
              <w:t>Pierce, Fenner &amp; Smith Incorporated, Citigroup Global Markets Inc., DNB Markets, Inc., J.P. Morgan Securities LLC, Mizuho Bank, Ltd.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gridSpan w:val="2"/>
          </w:tcPr>
          <w:p>
            <w:pPr>
              <w:ind w:left="240"/>
              <w:spacing w:after="0"/>
              <w:rPr>
                <w:sz w:val="20"/>
                <w:szCs w:val="20"/>
                <w:color w:val="auto"/>
              </w:rPr>
            </w:pPr>
            <w:r>
              <w:rPr>
                <w:rFonts w:ascii="Arial" w:cs="Arial" w:eastAsia="Arial" w:hAnsi="Arial"/>
                <w:sz w:val="18"/>
                <w:szCs w:val="18"/>
                <w:color w:val="auto"/>
              </w:rPr>
              <w:t>Wells Fargo Securities, LLC, as Joint Lead Arrangers and Joint Bookrunners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gridSpan w:val="2"/>
          </w:tcPr>
          <w:p>
            <w:pPr>
              <w:spacing w:after="0"/>
              <w:rPr>
                <w:sz w:val="20"/>
                <w:szCs w:val="20"/>
                <w:color w:val="auto"/>
              </w:rPr>
            </w:pPr>
            <w:r>
              <w:rPr>
                <w:rFonts w:ascii="Arial" w:cs="Arial" w:eastAsia="Arial" w:hAnsi="Arial"/>
                <w:sz w:val="18"/>
                <w:szCs w:val="18"/>
                <w:color w:val="auto"/>
              </w:rPr>
              <w:t>99.1</w:t>
            </w:r>
          </w:p>
        </w:tc>
        <w:tc>
          <w:tcPr>
            <w:tcW w:w="10580" w:type="dxa"/>
            <w:vAlign w:val="bottom"/>
            <w:gridSpan w:val="2"/>
          </w:tcPr>
          <w:p>
            <w:pPr>
              <w:ind w:left="240"/>
              <w:spacing w:after="0"/>
              <w:rPr>
                <w:sz w:val="20"/>
                <w:szCs w:val="20"/>
                <w:color w:val="auto"/>
              </w:rPr>
            </w:pPr>
            <w:r>
              <w:rPr>
                <w:rFonts w:ascii="Arial" w:cs="Arial" w:eastAsia="Arial" w:hAnsi="Arial"/>
                <w:sz w:val="18"/>
                <w:szCs w:val="18"/>
                <w:color w:val="auto"/>
              </w:rPr>
              <w:t>Press Release dated January 19,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580" w:type="dxa"/>
            <w:vAlign w:val="bottom"/>
            <w:gridSpan w:val="2"/>
          </w:tcPr>
          <w:p>
            <w:pPr>
              <w:jc w:val="right"/>
              <w:ind w:right="5576"/>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Number: 726504AJ2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726504AK9</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364-DAY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January 16,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JPMORGAN CHASE 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WELLS FARGO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BANK ASA, NEW YORK BRANCH and MIZUHO BANK,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CITIGROUP GLOBAL MARKETS INC., DNB MARKETS,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SECURITIES LLC, MIZUHO BANK, LTD.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Lead Arrangers and Joint Bookrunners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Unsecured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364-Day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c>
          <w:tcPr>
            <w:tcW w:w="9300" w:type="dxa"/>
            <w:vAlign w:val="bottom"/>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ARTICLE I.</w:t>
            </w:r>
          </w:p>
        </w:tc>
        <w:tc>
          <w:tcPr>
            <w:tcW w:w="9300" w:type="dxa"/>
            <w:vAlign w:val="bottom"/>
          </w:tcPr>
          <w:p>
            <w:pPr>
              <w:ind w:left="360"/>
              <w:spacing w:after="0"/>
              <w:rPr>
                <w:sz w:val="20"/>
                <w:szCs w:val="20"/>
                <w:color w:val="auto"/>
              </w:rPr>
            </w:pPr>
            <w:r>
              <w:rPr>
                <w:rFonts w:ascii="Arial" w:cs="Arial" w:eastAsia="Arial" w:hAnsi="Arial"/>
                <w:sz w:val="18"/>
                <w:szCs w:val="18"/>
                <w:color w:val="auto"/>
              </w:rPr>
              <w:t>DEFINITIONS AND ACCOUNTING TERMS</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4"/>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1.01</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Defined Terms</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1.02</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Other Interpretive Provisions</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1.03</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Accounting Terms</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1.04</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Rounding</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4"/>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1.05</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Times of Day</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ARTICLE II.</w:t>
            </w:r>
          </w:p>
        </w:tc>
        <w:tc>
          <w:tcPr>
            <w:tcW w:w="9300" w:type="dxa"/>
            <w:vAlign w:val="bottom"/>
          </w:tcPr>
          <w:p>
            <w:pPr>
              <w:ind w:left="360"/>
              <w:spacing w:after="0"/>
              <w:rPr>
                <w:sz w:val="20"/>
                <w:szCs w:val="20"/>
                <w:color w:val="auto"/>
              </w:rPr>
            </w:pPr>
            <w:r>
              <w:rPr>
                <w:rFonts w:ascii="Arial" w:cs="Arial" w:eastAsia="Arial" w:hAnsi="Arial"/>
                <w:sz w:val="18"/>
                <w:szCs w:val="18"/>
                <w:color w:val="auto"/>
              </w:rPr>
              <w:t>THE COMMITMENTS AND LOANS</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4"/>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2.01</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2.02</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Borrowings, Conversions and Continuations of Loans</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2.03</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Prepayments</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2.04</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Termination or Reduction of Commitments</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2.05</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Repayment of Loans</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2.06</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2.07</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Fees</w:t>
            </w: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2.08</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Computation of Interest and Fees</w:t>
            </w: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2.09</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Evidence of Debt</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2.10</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Payments Generally; Administrative Agent’s Clawback</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2.11</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Sharing of Payments by Lenders</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4"/>
        </w:trPr>
        <w:tc>
          <w:tcPr>
            <w:tcW w:w="1440" w:type="dxa"/>
            <w:vAlign w:val="bottom"/>
          </w:tcPr>
          <w:p>
            <w:pPr>
              <w:ind w:left="540"/>
              <w:spacing w:after="0"/>
              <w:rPr>
                <w:sz w:val="20"/>
                <w:szCs w:val="20"/>
                <w:color w:val="auto"/>
              </w:rPr>
            </w:pPr>
            <w:r>
              <w:rPr>
                <w:rFonts w:ascii="Arial" w:cs="Arial" w:eastAsia="Arial" w:hAnsi="Arial"/>
                <w:sz w:val="18"/>
                <w:szCs w:val="18"/>
                <w:b w:val="1"/>
                <w:bCs w:val="1"/>
                <w:color w:val="auto"/>
              </w:rPr>
              <w:t>2.12</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Defaulting Lenders</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ARTICLE III.</w:t>
            </w:r>
          </w:p>
        </w:tc>
        <w:tc>
          <w:tcPr>
            <w:tcW w:w="9300" w:type="dxa"/>
            <w:vAlign w:val="bottom"/>
          </w:tcPr>
          <w:p>
            <w:pPr>
              <w:ind w:left="360"/>
              <w:spacing w:after="0"/>
              <w:rPr>
                <w:sz w:val="20"/>
                <w:szCs w:val="20"/>
                <w:color w:val="auto"/>
              </w:rPr>
            </w:pPr>
            <w:r>
              <w:rPr>
                <w:rFonts w:ascii="Arial" w:cs="Arial" w:eastAsia="Arial" w:hAnsi="Arial"/>
                <w:sz w:val="18"/>
                <w:szCs w:val="18"/>
                <w:color w:val="auto"/>
              </w:rPr>
              <w:t>TAXES, YIELD PROTECTION AND ILLEGALITY</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3.01</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Taxes</w:t>
            </w:r>
          </w:p>
        </w:tc>
        <w:tc>
          <w:tcPr>
            <w:tcW w:w="2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3.02</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Illegality</w:t>
            </w:r>
          </w:p>
        </w:tc>
        <w:tc>
          <w:tcPr>
            <w:tcW w:w="2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3.03</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Inability to Determine Rates</w:t>
            </w:r>
          </w:p>
        </w:tc>
        <w:tc>
          <w:tcPr>
            <w:tcW w:w="2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3.04</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Increased Costs; Reserves on Eurodollar Rate Loans</w:t>
            </w:r>
          </w:p>
        </w:tc>
        <w:tc>
          <w:tcPr>
            <w:tcW w:w="2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3.05</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Compensation for Losses</w:t>
            </w:r>
          </w:p>
        </w:tc>
        <w:tc>
          <w:tcPr>
            <w:tcW w:w="2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3.06</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Mitigation Obligations; Replacement of Lenders</w:t>
            </w:r>
          </w:p>
        </w:tc>
        <w:tc>
          <w:tcPr>
            <w:tcW w:w="2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3.07</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Survival</w:t>
            </w:r>
          </w:p>
        </w:tc>
        <w:tc>
          <w:tcPr>
            <w:tcW w:w="2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IV.</w:t>
            </w:r>
          </w:p>
        </w:tc>
        <w:tc>
          <w:tcPr>
            <w:tcW w:w="7280" w:type="dxa"/>
            <w:vAlign w:val="bottom"/>
          </w:tcPr>
          <w:p>
            <w:pPr>
              <w:ind w:left="500"/>
              <w:spacing w:after="0"/>
              <w:rPr>
                <w:sz w:val="20"/>
                <w:szCs w:val="20"/>
                <w:color w:val="auto"/>
              </w:rPr>
            </w:pPr>
            <w:r>
              <w:rPr>
                <w:rFonts w:ascii="Arial" w:cs="Arial" w:eastAsia="Arial" w:hAnsi="Arial"/>
                <w:sz w:val="18"/>
                <w:szCs w:val="18"/>
                <w:color w:val="auto"/>
              </w:rPr>
              <w:t>CONDITIONS PRECEDENT TO LOANS</w:t>
            </w:r>
          </w:p>
        </w:tc>
        <w:tc>
          <w:tcPr>
            <w:tcW w:w="2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4.01</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Conditions Precedent to Initial Loans</w:t>
            </w:r>
          </w:p>
        </w:tc>
        <w:tc>
          <w:tcPr>
            <w:tcW w:w="2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4.02</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Conditions to all Loans</w:t>
            </w:r>
          </w:p>
        </w:tc>
        <w:tc>
          <w:tcPr>
            <w:tcW w:w="2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V.</w:t>
            </w:r>
          </w:p>
        </w:tc>
        <w:tc>
          <w:tcPr>
            <w:tcW w:w="7280" w:type="dxa"/>
            <w:vAlign w:val="bottom"/>
          </w:tcPr>
          <w:p>
            <w:pPr>
              <w:ind w:left="500"/>
              <w:spacing w:after="0"/>
              <w:rPr>
                <w:sz w:val="20"/>
                <w:szCs w:val="20"/>
                <w:color w:val="auto"/>
              </w:rPr>
            </w:pPr>
            <w:r>
              <w:rPr>
                <w:rFonts w:ascii="Arial" w:cs="Arial" w:eastAsia="Arial" w:hAnsi="Arial"/>
                <w:sz w:val="18"/>
                <w:szCs w:val="18"/>
                <w:color w:val="auto"/>
              </w:rPr>
              <w:t>REPRESENTATIONS AND WARRANTIES</w:t>
            </w:r>
          </w:p>
        </w:tc>
        <w:tc>
          <w:tcPr>
            <w:tcW w:w="2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5.01</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Existence, Qualification and Power</w:t>
            </w:r>
          </w:p>
        </w:tc>
        <w:tc>
          <w:tcPr>
            <w:tcW w:w="2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5.02</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Authorization; No Contravention</w:t>
            </w:r>
          </w:p>
        </w:tc>
        <w:tc>
          <w:tcPr>
            <w:tcW w:w="2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5.03</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Governmental Authorization; Other Consents</w:t>
            </w:r>
          </w:p>
        </w:tc>
        <w:tc>
          <w:tcPr>
            <w:tcW w:w="2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5.04</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Binding Effect</w:t>
            </w:r>
          </w:p>
        </w:tc>
        <w:tc>
          <w:tcPr>
            <w:tcW w:w="2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5.05</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 No Material Adverse Effect</w:t>
            </w:r>
          </w:p>
        </w:tc>
        <w:tc>
          <w:tcPr>
            <w:tcW w:w="2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5.06</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Litigation</w:t>
            </w:r>
          </w:p>
        </w:tc>
        <w:tc>
          <w:tcPr>
            <w:tcW w:w="2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300" w:type="dxa"/>
            <w:vAlign w:val="bottom"/>
          </w:tcPr>
          <w:p>
            <w:pPr>
              <w:spacing w:after="0"/>
              <w:rPr>
                <w:sz w:val="24"/>
                <w:szCs w:val="24"/>
                <w:color w:val="auto"/>
              </w:rPr>
            </w:pPr>
          </w:p>
        </w:tc>
        <w:tc>
          <w:tcPr>
            <w:tcW w:w="7280" w:type="dxa"/>
            <w:vAlign w:val="bottom"/>
          </w:tcPr>
          <w:p>
            <w:pPr>
              <w:ind w:left="4380"/>
              <w:spacing w:after="0"/>
              <w:rPr>
                <w:sz w:val="20"/>
                <w:szCs w:val="20"/>
                <w:color w:val="auto"/>
              </w:rPr>
            </w:pPr>
            <w:r>
              <w:rPr>
                <w:rFonts w:ascii="Arial" w:cs="Arial" w:eastAsia="Arial" w:hAnsi="Arial"/>
                <w:sz w:val="18"/>
                <w:szCs w:val="18"/>
                <w:color w:val="auto"/>
              </w:rPr>
              <w:t>i</w:t>
            </w:r>
          </w:p>
        </w:tc>
        <w:tc>
          <w:tcPr>
            <w:tcW w:w="288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728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r>
      <w:tr>
        <w:trPr>
          <w:trHeight w:val="762"/>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5.07</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Environmental Compliance</w:t>
            </w:r>
          </w:p>
        </w:tc>
        <w:tc>
          <w:tcPr>
            <w:tcW w:w="2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5.08</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ERISA Compliance</w:t>
            </w:r>
          </w:p>
        </w:tc>
        <w:tc>
          <w:tcPr>
            <w:tcW w:w="2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5.09</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Margin Regulations; Investment Company Act</w:t>
            </w:r>
          </w:p>
        </w:tc>
        <w:tc>
          <w:tcPr>
            <w:tcW w:w="2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5.10</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Disclosure</w:t>
            </w:r>
          </w:p>
        </w:tc>
        <w:tc>
          <w:tcPr>
            <w:tcW w:w="2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5.11</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Compliance with Laws</w:t>
            </w:r>
          </w:p>
        </w:tc>
        <w:tc>
          <w:tcPr>
            <w:tcW w:w="2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5.12</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OFAC</w:t>
            </w:r>
          </w:p>
        </w:tc>
        <w:tc>
          <w:tcPr>
            <w:tcW w:w="2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5.13</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Anti-Corruption Laws</w:t>
            </w:r>
          </w:p>
        </w:tc>
        <w:tc>
          <w:tcPr>
            <w:tcW w:w="2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VI.</w:t>
            </w:r>
          </w:p>
        </w:tc>
        <w:tc>
          <w:tcPr>
            <w:tcW w:w="7280" w:type="dxa"/>
            <w:vAlign w:val="bottom"/>
          </w:tcPr>
          <w:p>
            <w:pPr>
              <w:ind w:left="500"/>
              <w:spacing w:after="0"/>
              <w:rPr>
                <w:sz w:val="20"/>
                <w:szCs w:val="20"/>
                <w:color w:val="auto"/>
              </w:rPr>
            </w:pPr>
            <w:r>
              <w:rPr>
                <w:rFonts w:ascii="Arial" w:cs="Arial" w:eastAsia="Arial" w:hAnsi="Arial"/>
                <w:sz w:val="18"/>
                <w:szCs w:val="18"/>
                <w:color w:val="auto"/>
              </w:rPr>
              <w:t>AFFIRMATIVE COVENANTS</w:t>
            </w:r>
          </w:p>
        </w:tc>
        <w:tc>
          <w:tcPr>
            <w:tcW w:w="2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6.01</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6.02</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Certificates; Other Information</w:t>
            </w:r>
          </w:p>
        </w:tc>
        <w:tc>
          <w:tcPr>
            <w:tcW w:w="2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6.03</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Notices</w:t>
            </w:r>
          </w:p>
        </w:tc>
        <w:tc>
          <w:tcPr>
            <w:tcW w:w="2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6.04</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Payment of Taxes, Etc.</w:t>
            </w:r>
          </w:p>
        </w:tc>
        <w:tc>
          <w:tcPr>
            <w:tcW w:w="2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6.05</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Preservation of Existence, Etc.</w:t>
            </w:r>
          </w:p>
        </w:tc>
        <w:tc>
          <w:tcPr>
            <w:tcW w:w="2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6.06</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Maintenance of Properties</w:t>
            </w:r>
          </w:p>
        </w:tc>
        <w:tc>
          <w:tcPr>
            <w:tcW w:w="2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6.07</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Maintenance of Insurance</w:t>
            </w:r>
          </w:p>
        </w:tc>
        <w:tc>
          <w:tcPr>
            <w:tcW w:w="2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6.08</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Compliance with Laws</w:t>
            </w:r>
          </w:p>
        </w:tc>
        <w:tc>
          <w:tcPr>
            <w:tcW w:w="2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6.09</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Books and Records</w:t>
            </w:r>
          </w:p>
        </w:tc>
        <w:tc>
          <w:tcPr>
            <w:tcW w:w="2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6.10</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Inspection Rights</w:t>
            </w:r>
          </w:p>
        </w:tc>
        <w:tc>
          <w:tcPr>
            <w:tcW w:w="2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6.11</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Use of Proceeds</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VII.</w:t>
            </w:r>
          </w:p>
        </w:tc>
        <w:tc>
          <w:tcPr>
            <w:tcW w:w="7280" w:type="dxa"/>
            <w:vAlign w:val="bottom"/>
          </w:tcPr>
          <w:p>
            <w:pPr>
              <w:ind w:left="500"/>
              <w:spacing w:after="0"/>
              <w:rPr>
                <w:sz w:val="20"/>
                <w:szCs w:val="20"/>
                <w:color w:val="auto"/>
              </w:rPr>
            </w:pPr>
            <w:r>
              <w:rPr>
                <w:rFonts w:ascii="Arial" w:cs="Arial" w:eastAsia="Arial" w:hAnsi="Arial"/>
                <w:sz w:val="18"/>
                <w:szCs w:val="18"/>
                <w:color w:val="auto"/>
              </w:rPr>
              <w:t>NEGATIVE COVENANTS</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7.01</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Liens</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7.02</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Indebtedness</w:t>
            </w:r>
          </w:p>
        </w:tc>
        <w:tc>
          <w:tcPr>
            <w:tcW w:w="2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7.03</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Fundamental Changes; Dispositions</w:t>
            </w:r>
          </w:p>
        </w:tc>
        <w:tc>
          <w:tcPr>
            <w:tcW w:w="2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7.04</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Restricted Payments</w:t>
            </w:r>
          </w:p>
        </w:tc>
        <w:tc>
          <w:tcPr>
            <w:tcW w:w="2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7.05</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Transactions with Affiliates</w:t>
            </w:r>
          </w:p>
        </w:tc>
        <w:tc>
          <w:tcPr>
            <w:tcW w:w="2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7.06</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Burdensome Agreements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7.07</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Use of Proceeds</w:t>
            </w:r>
          </w:p>
        </w:tc>
        <w:tc>
          <w:tcPr>
            <w:tcW w:w="2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7.08</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Consolidated Leverage Ratio</w:t>
            </w:r>
          </w:p>
        </w:tc>
        <w:tc>
          <w:tcPr>
            <w:tcW w:w="2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7.09</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Unrestricted Subsidiaries</w:t>
            </w:r>
          </w:p>
        </w:tc>
        <w:tc>
          <w:tcPr>
            <w:tcW w:w="2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VIII.</w:t>
            </w:r>
          </w:p>
        </w:tc>
        <w:tc>
          <w:tcPr>
            <w:tcW w:w="7280" w:type="dxa"/>
            <w:vAlign w:val="bottom"/>
          </w:tcPr>
          <w:p>
            <w:pPr>
              <w:ind w:left="500"/>
              <w:spacing w:after="0"/>
              <w:rPr>
                <w:sz w:val="20"/>
                <w:szCs w:val="20"/>
                <w:color w:val="auto"/>
              </w:rPr>
            </w:pPr>
            <w:r>
              <w:rPr>
                <w:rFonts w:ascii="Arial" w:cs="Arial" w:eastAsia="Arial" w:hAnsi="Arial"/>
                <w:sz w:val="18"/>
                <w:szCs w:val="18"/>
                <w:color w:val="auto"/>
              </w:rPr>
              <w:t>EVENTS OF DEFAULT AND REMEDIES</w:t>
            </w:r>
          </w:p>
        </w:tc>
        <w:tc>
          <w:tcPr>
            <w:tcW w:w="2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8.01</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Events of Default</w:t>
            </w:r>
          </w:p>
        </w:tc>
        <w:tc>
          <w:tcPr>
            <w:tcW w:w="2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8.02</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Remedies Upon Event of Default</w:t>
            </w:r>
          </w:p>
        </w:tc>
        <w:tc>
          <w:tcPr>
            <w:tcW w:w="2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8.03</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Application of Funds</w:t>
            </w:r>
          </w:p>
        </w:tc>
        <w:tc>
          <w:tcPr>
            <w:tcW w:w="2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IX.</w:t>
            </w:r>
          </w:p>
        </w:tc>
        <w:tc>
          <w:tcPr>
            <w:tcW w:w="7280" w:type="dxa"/>
            <w:vAlign w:val="bottom"/>
          </w:tcPr>
          <w:p>
            <w:pPr>
              <w:ind w:left="500"/>
              <w:spacing w:after="0"/>
              <w:rPr>
                <w:sz w:val="20"/>
                <w:szCs w:val="20"/>
                <w:color w:val="auto"/>
              </w:rPr>
            </w:pPr>
            <w:r>
              <w:rPr>
                <w:rFonts w:ascii="Arial" w:cs="Arial" w:eastAsia="Arial" w:hAnsi="Arial"/>
                <w:sz w:val="18"/>
                <w:szCs w:val="18"/>
                <w:color w:val="auto"/>
              </w:rPr>
              <w:t>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9.01</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Appointment and Authority</w:t>
            </w:r>
          </w:p>
        </w:tc>
        <w:tc>
          <w:tcPr>
            <w:tcW w:w="2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9.02</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Rights as a Lender</w:t>
            </w:r>
          </w:p>
        </w:tc>
        <w:tc>
          <w:tcPr>
            <w:tcW w:w="2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9.03</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Exculpatory Provisions</w:t>
            </w:r>
          </w:p>
        </w:tc>
        <w:tc>
          <w:tcPr>
            <w:tcW w:w="2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9.04</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Reliance by 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9.05</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Delegation of Duties</w:t>
            </w:r>
          </w:p>
        </w:tc>
        <w:tc>
          <w:tcPr>
            <w:tcW w:w="2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9.06</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Resignation or Removal of 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4"/>
        </w:trPr>
        <w:tc>
          <w:tcPr>
            <w:tcW w:w="1300" w:type="dxa"/>
            <w:vAlign w:val="bottom"/>
          </w:tcPr>
          <w:p>
            <w:pPr>
              <w:ind w:left="540"/>
              <w:spacing w:after="0"/>
              <w:rPr>
                <w:sz w:val="20"/>
                <w:szCs w:val="20"/>
                <w:color w:val="auto"/>
              </w:rPr>
            </w:pPr>
            <w:r>
              <w:rPr>
                <w:rFonts w:ascii="Arial" w:cs="Arial" w:eastAsia="Arial" w:hAnsi="Arial"/>
                <w:sz w:val="18"/>
                <w:szCs w:val="18"/>
                <w:b w:val="1"/>
                <w:bCs w:val="1"/>
                <w:color w:val="auto"/>
              </w:rPr>
              <w:t>9.07</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Non-Reliance on Administrative Agent and Other Lenders</w:t>
            </w:r>
          </w:p>
        </w:tc>
        <w:tc>
          <w:tcPr>
            <w:tcW w:w="28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-7110730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-7110730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7900" w:type="dxa"/>
            <w:vAlign w:val="bottom"/>
          </w:tcPr>
          <w:p>
            <w:pPr>
              <w:ind w:left="4520"/>
              <w:spacing w:after="0"/>
              <w:rPr>
                <w:sz w:val="20"/>
                <w:szCs w:val="20"/>
                <w:color w:val="auto"/>
              </w:rPr>
            </w:pPr>
            <w:r>
              <w:rPr>
                <w:rFonts w:ascii="Arial" w:cs="Arial" w:eastAsia="Arial" w:hAnsi="Arial"/>
                <w:sz w:val="18"/>
                <w:szCs w:val="18"/>
                <w:color w:val="auto"/>
              </w:rPr>
              <w:t>ii</w:t>
            </w:r>
          </w:p>
        </w:tc>
        <w:tc>
          <w:tcPr>
            <w:tcW w:w="2420" w:type="dxa"/>
            <w:vAlign w:val="bottom"/>
          </w:tcPr>
          <w:p>
            <w:pPr>
              <w:spacing w:after="0"/>
              <w:rPr>
                <w:sz w:val="20"/>
                <w:szCs w:val="20"/>
                <w:color w:val="auto"/>
              </w:rPr>
            </w:pPr>
          </w:p>
        </w:tc>
      </w:tr>
      <w:tr>
        <w:trPr>
          <w:trHeight w:val="132"/>
        </w:trPr>
        <w:tc>
          <w:tcPr>
            <w:tcW w:w="1140" w:type="dxa"/>
            <w:vAlign w:val="bottom"/>
            <w:tcBorders>
              <w:bottom w:val="single" w:sz="8" w:color="010101"/>
            </w:tcBorders>
          </w:tcPr>
          <w:p>
            <w:pPr>
              <w:spacing w:after="0"/>
              <w:rPr>
                <w:sz w:val="11"/>
                <w:szCs w:val="11"/>
                <w:color w:val="auto"/>
              </w:rPr>
            </w:pPr>
          </w:p>
        </w:tc>
        <w:tc>
          <w:tcPr>
            <w:tcW w:w="790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r>
      <w:tr>
        <w:trPr>
          <w:trHeight w:val="762"/>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9.08</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No Other Duties, Etc.</w:t>
            </w:r>
          </w:p>
        </w:tc>
        <w:tc>
          <w:tcPr>
            <w:tcW w:w="2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9.09</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Administrative Agent May File Proofs of Claim</w:t>
            </w:r>
          </w:p>
        </w:tc>
        <w:tc>
          <w:tcPr>
            <w:tcW w:w="2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4"/>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9.10</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Collateral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ARTICLE X.</w:t>
            </w:r>
          </w:p>
        </w:tc>
        <w:tc>
          <w:tcPr>
            <w:tcW w:w="7900" w:type="dxa"/>
            <w:vAlign w:val="bottom"/>
          </w:tcPr>
          <w:p>
            <w:pPr>
              <w:ind w:left="660"/>
              <w:spacing w:after="0"/>
              <w:rPr>
                <w:sz w:val="20"/>
                <w:szCs w:val="20"/>
                <w:color w:val="auto"/>
              </w:rPr>
            </w:pPr>
            <w:r>
              <w:rPr>
                <w:rFonts w:ascii="Arial" w:cs="Arial" w:eastAsia="Arial" w:hAnsi="Arial"/>
                <w:sz w:val="18"/>
                <w:szCs w:val="18"/>
                <w:color w:val="auto"/>
              </w:rPr>
              <w:t>MISCELLANEOUS</w:t>
            </w:r>
          </w:p>
        </w:tc>
        <w:tc>
          <w:tcPr>
            <w:tcW w:w="2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4"/>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10.01</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Amendments, Etc.</w:t>
            </w:r>
          </w:p>
        </w:tc>
        <w:tc>
          <w:tcPr>
            <w:tcW w:w="2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10.02</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Notices; Effectiveness; Electronic Communication</w:t>
            </w:r>
          </w:p>
        </w:tc>
        <w:tc>
          <w:tcPr>
            <w:tcW w:w="2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10.03</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No Waiver; Cumulative Remedies; Enforcement; Nature of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10.04</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Expenses; Indemnity; Damage Waiver</w:t>
            </w:r>
          </w:p>
        </w:tc>
        <w:tc>
          <w:tcPr>
            <w:tcW w:w="24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10.05</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Payments Set Aside</w:t>
            </w:r>
          </w:p>
        </w:tc>
        <w:tc>
          <w:tcPr>
            <w:tcW w:w="24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10.06</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Successors and Assigns</w:t>
            </w:r>
          </w:p>
        </w:tc>
        <w:tc>
          <w:tcPr>
            <w:tcW w:w="24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10.07</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Treatment of Certain Information; Confidentiality</w:t>
            </w:r>
          </w:p>
        </w:tc>
        <w:tc>
          <w:tcPr>
            <w:tcW w:w="24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10.08</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Right of Setoff</w:t>
            </w:r>
          </w:p>
        </w:tc>
        <w:tc>
          <w:tcPr>
            <w:tcW w:w="2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10.09</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Interest Rate Limitation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10.10</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Counterparts; Integration; Effectiveness</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10.11</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Survival of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10.12</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Severability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10.13</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Replacement of Lenders</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10.14</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Governing Law; Jurisdiction; Etc.</w:t>
            </w:r>
          </w:p>
        </w:tc>
        <w:tc>
          <w:tcPr>
            <w:tcW w:w="24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10.15</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Waiver of Jury Trial</w:t>
            </w:r>
          </w:p>
        </w:tc>
        <w:tc>
          <w:tcPr>
            <w:tcW w:w="24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10.16</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No Advisory or Fiduciary Responsibility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10.17</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No Recourse to Other Persons</w:t>
            </w:r>
          </w:p>
        </w:tc>
        <w:tc>
          <w:tcPr>
            <w:tcW w:w="2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10.18</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Electronic Execution of Assignments and Certain Other Documents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10.19</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USA PATRIOT Act</w:t>
            </w:r>
          </w:p>
        </w:tc>
        <w:tc>
          <w:tcPr>
            <w:tcW w:w="2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10.20</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Time of the Essence</w:t>
            </w:r>
          </w:p>
        </w:tc>
        <w:tc>
          <w:tcPr>
            <w:tcW w:w="2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4"/>
        </w:trPr>
        <w:tc>
          <w:tcPr>
            <w:tcW w:w="1140" w:type="dxa"/>
            <w:vAlign w:val="bottom"/>
          </w:tcPr>
          <w:p>
            <w:pPr>
              <w:ind w:left="540"/>
              <w:spacing w:after="0"/>
              <w:rPr>
                <w:sz w:val="20"/>
                <w:szCs w:val="20"/>
                <w:color w:val="auto"/>
              </w:rPr>
            </w:pPr>
            <w:r>
              <w:rPr>
                <w:rFonts w:ascii="Arial" w:cs="Arial" w:eastAsia="Arial" w:hAnsi="Arial"/>
                <w:sz w:val="18"/>
                <w:szCs w:val="18"/>
                <w:b w:val="1"/>
                <w:bCs w:val="1"/>
                <w:color w:val="auto"/>
              </w:rPr>
              <w:t>10.21</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ENTIRE AGREEMENT</w:t>
            </w:r>
          </w:p>
        </w:tc>
        <w:tc>
          <w:tcPr>
            <w:tcW w:w="2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w w:val="95"/>
              </w:rPr>
              <w:t>SIGNATURES</w:t>
            </w:r>
          </w:p>
        </w:tc>
        <w:tc>
          <w:tcPr>
            <w:tcW w:w="790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432"/>
        </w:trPr>
        <w:tc>
          <w:tcPr>
            <w:tcW w:w="1140" w:type="dxa"/>
            <w:vAlign w:val="bottom"/>
          </w:tcPr>
          <w:p>
            <w:pPr>
              <w:spacing w:after="0"/>
              <w:rPr>
                <w:sz w:val="24"/>
                <w:szCs w:val="24"/>
                <w:color w:val="auto"/>
              </w:rPr>
            </w:pPr>
          </w:p>
        </w:tc>
        <w:tc>
          <w:tcPr>
            <w:tcW w:w="7900" w:type="dxa"/>
            <w:vAlign w:val="bottom"/>
          </w:tcPr>
          <w:p>
            <w:pPr>
              <w:ind w:left="4500"/>
              <w:spacing w:after="0"/>
              <w:rPr>
                <w:sz w:val="20"/>
                <w:szCs w:val="20"/>
                <w:color w:val="auto"/>
              </w:rPr>
            </w:pPr>
            <w:r>
              <w:rPr>
                <w:rFonts w:ascii="Arial" w:cs="Arial" w:eastAsia="Arial" w:hAnsi="Arial"/>
                <w:sz w:val="18"/>
                <w:szCs w:val="18"/>
                <w:color w:val="auto"/>
              </w:rPr>
              <w:t>iii</w:t>
            </w:r>
          </w:p>
        </w:tc>
        <w:tc>
          <w:tcPr>
            <w:tcW w:w="2420" w:type="dxa"/>
            <w:vAlign w:val="bottom"/>
          </w:tcPr>
          <w:p>
            <w:pPr>
              <w:spacing w:after="0"/>
              <w:rPr>
                <w:sz w:val="24"/>
                <w:szCs w:val="24"/>
                <w:color w:val="auto"/>
              </w:rPr>
            </w:pPr>
          </w:p>
        </w:tc>
      </w:tr>
      <w:tr>
        <w:trPr>
          <w:trHeight w:val="132"/>
        </w:trPr>
        <w:tc>
          <w:tcPr>
            <w:tcW w:w="1140" w:type="dxa"/>
            <w:vAlign w:val="bottom"/>
            <w:tcBorders>
              <w:bottom w:val="single" w:sz="8" w:color="010101"/>
            </w:tcBorders>
          </w:tcPr>
          <w:p>
            <w:pPr>
              <w:spacing w:after="0"/>
              <w:rPr>
                <w:sz w:val="11"/>
                <w:szCs w:val="11"/>
                <w:color w:val="auto"/>
              </w:rPr>
            </w:pPr>
          </w:p>
        </w:tc>
        <w:tc>
          <w:tcPr>
            <w:tcW w:w="790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r>
      <w:tr>
        <w:trPr>
          <w:trHeight w:val="780"/>
        </w:trPr>
        <w:tc>
          <w:tcPr>
            <w:tcW w:w="114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79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18"/>
        </w:trPr>
        <w:tc>
          <w:tcPr>
            <w:tcW w:w="1140" w:type="dxa"/>
            <w:vAlign w:val="bottom"/>
          </w:tcPr>
          <w:p>
            <w:pPr>
              <w:ind w:left="360"/>
              <w:spacing w:after="0"/>
              <w:rPr>
                <w:sz w:val="20"/>
                <w:szCs w:val="20"/>
                <w:color w:val="auto"/>
              </w:rPr>
            </w:pPr>
            <w:r>
              <w:rPr>
                <w:rFonts w:ascii="Arial" w:cs="Arial" w:eastAsia="Arial" w:hAnsi="Arial"/>
                <w:sz w:val="18"/>
                <w:szCs w:val="18"/>
                <w:color w:val="auto"/>
              </w:rPr>
              <w:t>2.01</w:t>
            </w:r>
          </w:p>
        </w:tc>
        <w:tc>
          <w:tcPr>
            <w:tcW w:w="7900" w:type="dxa"/>
            <w:vAlign w:val="bottom"/>
          </w:tcPr>
          <w:p>
            <w:pPr>
              <w:ind w:left="20"/>
              <w:spacing w:after="0"/>
              <w:rPr>
                <w:sz w:val="20"/>
                <w:szCs w:val="20"/>
                <w:color w:val="auto"/>
              </w:rPr>
            </w:pPr>
            <w:r>
              <w:rPr>
                <w:rFonts w:ascii="Arial" w:cs="Arial" w:eastAsia="Arial" w:hAnsi="Arial"/>
                <w:sz w:val="18"/>
                <w:szCs w:val="18"/>
                <w:color w:val="auto"/>
              </w:rPr>
              <w:t>Commitments and Applicable Percentages</w:t>
            </w:r>
          </w:p>
        </w:tc>
        <w:tc>
          <w:tcPr>
            <w:tcW w:w="2420" w:type="dxa"/>
            <w:vAlign w:val="bottom"/>
          </w:tcPr>
          <w:p>
            <w:pPr>
              <w:spacing w:after="0"/>
              <w:rPr>
                <w:sz w:val="24"/>
                <w:szCs w:val="24"/>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5.03</w:t>
            </w:r>
          </w:p>
        </w:tc>
        <w:tc>
          <w:tcPr>
            <w:tcW w:w="7900" w:type="dxa"/>
            <w:vAlign w:val="bottom"/>
          </w:tcPr>
          <w:p>
            <w:pPr>
              <w:ind w:left="20"/>
              <w:spacing w:after="0"/>
              <w:rPr>
                <w:sz w:val="20"/>
                <w:szCs w:val="20"/>
                <w:color w:val="auto"/>
              </w:rPr>
            </w:pPr>
            <w:r>
              <w:rPr>
                <w:rFonts w:ascii="Arial" w:cs="Arial" w:eastAsia="Arial" w:hAnsi="Arial"/>
                <w:sz w:val="18"/>
                <w:szCs w:val="18"/>
                <w:color w:val="auto"/>
              </w:rPr>
              <w:t>Governmental Authorization; Other Consents</w:t>
            </w:r>
          </w:p>
        </w:tc>
        <w:tc>
          <w:tcPr>
            <w:tcW w:w="2420" w:type="dxa"/>
            <w:vAlign w:val="bottom"/>
          </w:tcPr>
          <w:p>
            <w:pPr>
              <w:spacing w:after="0"/>
              <w:rPr>
                <w:sz w:val="18"/>
                <w:szCs w:val="18"/>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5.06</w:t>
            </w:r>
          </w:p>
        </w:tc>
        <w:tc>
          <w:tcPr>
            <w:tcW w:w="790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2420" w:type="dxa"/>
            <w:vAlign w:val="bottom"/>
          </w:tcPr>
          <w:p>
            <w:pPr>
              <w:spacing w:after="0"/>
              <w:rPr>
                <w:sz w:val="18"/>
                <w:szCs w:val="18"/>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5.07</w:t>
            </w:r>
          </w:p>
        </w:tc>
        <w:tc>
          <w:tcPr>
            <w:tcW w:w="7900" w:type="dxa"/>
            <w:vAlign w:val="bottom"/>
          </w:tcPr>
          <w:p>
            <w:pPr>
              <w:ind w:left="20"/>
              <w:spacing w:after="0"/>
              <w:rPr>
                <w:sz w:val="20"/>
                <w:szCs w:val="20"/>
                <w:color w:val="auto"/>
              </w:rPr>
            </w:pPr>
            <w:r>
              <w:rPr>
                <w:rFonts w:ascii="Arial" w:cs="Arial" w:eastAsia="Arial" w:hAnsi="Arial"/>
                <w:sz w:val="18"/>
                <w:szCs w:val="18"/>
                <w:color w:val="auto"/>
              </w:rPr>
              <w:t>Environmental Matters</w:t>
            </w:r>
          </w:p>
        </w:tc>
        <w:tc>
          <w:tcPr>
            <w:tcW w:w="2420" w:type="dxa"/>
            <w:vAlign w:val="bottom"/>
          </w:tcPr>
          <w:p>
            <w:pPr>
              <w:spacing w:after="0"/>
              <w:rPr>
                <w:sz w:val="18"/>
                <w:szCs w:val="18"/>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5.08</w:t>
            </w:r>
          </w:p>
        </w:tc>
        <w:tc>
          <w:tcPr>
            <w:tcW w:w="7900" w:type="dxa"/>
            <w:vAlign w:val="bottom"/>
          </w:tcPr>
          <w:p>
            <w:pPr>
              <w:ind w:left="20"/>
              <w:spacing w:after="0"/>
              <w:rPr>
                <w:sz w:val="20"/>
                <w:szCs w:val="20"/>
                <w:color w:val="auto"/>
              </w:rPr>
            </w:pPr>
            <w:r>
              <w:rPr>
                <w:rFonts w:ascii="Arial" w:cs="Arial" w:eastAsia="Arial" w:hAnsi="Arial"/>
                <w:sz w:val="18"/>
                <w:szCs w:val="18"/>
                <w:color w:val="auto"/>
              </w:rPr>
              <w:t>ERISA Matters</w:t>
            </w:r>
          </w:p>
        </w:tc>
        <w:tc>
          <w:tcPr>
            <w:tcW w:w="2420" w:type="dxa"/>
            <w:vAlign w:val="bottom"/>
          </w:tcPr>
          <w:p>
            <w:pPr>
              <w:spacing w:after="0"/>
              <w:rPr>
                <w:sz w:val="18"/>
                <w:szCs w:val="18"/>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5.11</w:t>
            </w:r>
          </w:p>
        </w:tc>
        <w:tc>
          <w:tcPr>
            <w:tcW w:w="7900" w:type="dxa"/>
            <w:vAlign w:val="bottom"/>
          </w:tcPr>
          <w:p>
            <w:pPr>
              <w:ind w:left="20"/>
              <w:spacing w:after="0"/>
              <w:rPr>
                <w:sz w:val="20"/>
                <w:szCs w:val="20"/>
                <w:color w:val="auto"/>
              </w:rPr>
            </w:pPr>
            <w:r>
              <w:rPr>
                <w:rFonts w:ascii="Arial" w:cs="Arial" w:eastAsia="Arial" w:hAnsi="Arial"/>
                <w:sz w:val="18"/>
                <w:szCs w:val="18"/>
                <w:color w:val="auto"/>
              </w:rPr>
              <w:t>Compliance with Laws</w:t>
            </w:r>
          </w:p>
        </w:tc>
        <w:tc>
          <w:tcPr>
            <w:tcW w:w="2420" w:type="dxa"/>
            <w:vAlign w:val="bottom"/>
          </w:tcPr>
          <w:p>
            <w:pPr>
              <w:spacing w:after="0"/>
              <w:rPr>
                <w:sz w:val="18"/>
                <w:szCs w:val="18"/>
                <w:color w:val="auto"/>
              </w:rPr>
            </w:pP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10.02</w:t>
            </w:r>
          </w:p>
        </w:tc>
        <w:tc>
          <w:tcPr>
            <w:tcW w:w="7900" w:type="dxa"/>
            <w:vAlign w:val="bottom"/>
          </w:tcPr>
          <w:p>
            <w:pPr>
              <w:ind w:left="20"/>
              <w:spacing w:after="0"/>
              <w:rPr>
                <w:sz w:val="20"/>
                <w:szCs w:val="20"/>
                <w:color w:val="auto"/>
              </w:rPr>
            </w:pPr>
            <w:r>
              <w:rPr>
                <w:rFonts w:ascii="Arial" w:cs="Arial" w:eastAsia="Arial" w:hAnsi="Arial"/>
                <w:sz w:val="18"/>
                <w:szCs w:val="18"/>
                <w:color w:val="auto"/>
              </w:rPr>
              <w:t>Administrative Agent’s Office; Certain Addresses for Notices</w:t>
            </w:r>
          </w:p>
        </w:tc>
        <w:tc>
          <w:tcPr>
            <w:tcW w:w="2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-6330315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-6330315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1160" w:hanging="79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 Notice</w:t>
      </w:r>
    </w:p>
    <w:p>
      <w:pPr>
        <w:spacing w:after="0" w:line="23" w:lineRule="exact"/>
        <w:rPr>
          <w:sz w:val="20"/>
          <w:szCs w:val="20"/>
          <w:color w:val="auto"/>
        </w:rPr>
      </w:pPr>
    </w:p>
    <w:p>
      <w:pPr>
        <w:ind w:left="1160" w:hanging="79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Note</w:t>
      </w:r>
    </w:p>
    <w:p>
      <w:pPr>
        <w:spacing w:after="0" w:line="9" w:lineRule="exact"/>
        <w:rPr>
          <w:sz w:val="20"/>
          <w:szCs w:val="20"/>
          <w:color w:val="auto"/>
        </w:rPr>
      </w:pPr>
    </w:p>
    <w:p>
      <w:pPr>
        <w:ind w:left="1160" w:hanging="79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6"/>
          <w:szCs w:val="16"/>
          <w:color w:val="auto"/>
        </w:rPr>
        <w:t>Assignment and Assumption</w:t>
      </w:r>
    </w:p>
    <w:p>
      <w:pPr>
        <w:spacing w:after="0" w:line="9"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6"/>
          <w:szCs w:val="16"/>
          <w:color w:val="auto"/>
        </w:rPr>
        <w:t>Administrative Questionnaire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364-DAY CREDIT AGREEMENT</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This 364-DAY CREDIT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January 16, 2015, among PLAINS ALL AMERICAN PIPELINE, L.P., a Delaware limited partnership (the “</w:t>
      </w:r>
      <w:r>
        <w:rPr>
          <w:rFonts w:ascii="Arial" w:cs="Arial" w:eastAsia="Arial" w:hAnsi="Arial"/>
          <w:sz w:val="16"/>
          <w:szCs w:val="16"/>
          <w:u w:val="single" w:color="auto"/>
          <w:color w:val="auto"/>
        </w:rPr>
        <w:t>Borrower</w:t>
      </w:r>
      <w:r>
        <w:rPr>
          <w:rFonts w:ascii="Arial" w:cs="Arial" w:eastAsia="Arial" w:hAnsi="Arial"/>
          <w:sz w:val="16"/>
          <w:szCs w:val="16"/>
          <w:color w:val="auto"/>
        </w:rPr>
        <w:t>”), each lender from time to time party 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Lender</w:t>
      </w:r>
      <w:r>
        <w:rPr>
          <w:rFonts w:ascii="Arial" w:cs="Arial" w:eastAsia="Arial" w:hAnsi="Arial"/>
          <w:sz w:val="16"/>
          <w:szCs w:val="16"/>
          <w:color w:val="auto"/>
        </w:rPr>
        <w:t>”), CITIBANK, N.A., JPMORGAN CHASE BANK, N.A. and WELLS FARGO BANK, NATIONAL ASSOCIATION as Co-Syndication Agents, DNB BANK ASA, NEW YORK BRANCH and MIZUHO BANK, LTD. as Co-Documentation Agents, and BANK OF AMERICA, N.A., as Administrative Agent.</w:t>
      </w:r>
    </w:p>
    <w:p>
      <w:pPr>
        <w:spacing w:after="0" w:line="15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Borrower has requested that the Lenders provide a 364-day revolving credit facility, and the Lenders are willing to do so on the terms and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ectPr>
          <w:pgSz w:w="11900" w:h="16838" w:orient="portrait"/>
          <w:cols w:equalWidth="0" w:num="1">
            <w:col w:w="11460"/>
          </w:cols>
          <w:pgMar w:left="240" w:top="341" w:right="199" w:bottom="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ARTICLE I. DEFINITIONS AND ACCOUNTING TERMS</w:t>
      </w:r>
    </w:p>
    <w:p>
      <w:pPr>
        <w:spacing w:after="0" w:line="225"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means, as to any Person, Indebtedness of any other Person existing at the time such other Person is merged with or becomes a Subsidiary of such specified Person (regardless of the form of the applicable transaction by which such Person becomes a Subsidiary), in each case, existing at the time of such acquisition and not incurred in contemplation of such acquisition.</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Period</w:t>
      </w:r>
      <w:r>
        <w:rPr>
          <w:rFonts w:ascii="Arial" w:cs="Arial" w:eastAsia="Arial" w:hAnsi="Arial"/>
          <w:sz w:val="18"/>
          <w:szCs w:val="18"/>
          <w:color w:val="auto"/>
        </w:rPr>
        <w:t>” means the period beginning, at the election of the Borrower, with the funding date of the purchase price for a Specified Acquisition and ending on the earliest of (a) the third following fiscal quarter end, (b) the Borrower’s receipt of proceeds of a Specified Equity Offering; and (c) the Borrower’s election in writing to terminate such Acquisition Period.</w:t>
      </w:r>
    </w:p>
    <w:p>
      <w:pPr>
        <w:spacing w:after="0" w:line="18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Bank of America, in its capacity as administrative agent under any of the Loan Documents, or any successor administrative agent appointed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17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xml:space="preserve">” means the Administrative Agent’s address and account as set forth on </w:t>
      </w:r>
      <w:r>
        <w:rPr>
          <w:rFonts w:ascii="Arial" w:cs="Arial" w:eastAsia="Arial" w:hAnsi="Arial"/>
          <w:sz w:val="17"/>
          <w:szCs w:val="17"/>
          <w:u w:val="single" w:color="auto"/>
          <w:color w:val="auto"/>
        </w:rPr>
        <w:t>Schedule 10.02</w:t>
      </w:r>
      <w:r>
        <w:rPr>
          <w:rFonts w:ascii="Arial" w:cs="Arial" w:eastAsia="Arial" w:hAnsi="Arial"/>
          <w:sz w:val="17"/>
          <w:szCs w:val="17"/>
          <w:color w:val="auto"/>
        </w:rPr>
        <w:t xml:space="preserve">, or such other address or account as the Administrative Agent may from time to time notify to the Borrower and the Lenders pursuant to </w:t>
      </w:r>
      <w:r>
        <w:rPr>
          <w:rFonts w:ascii="Arial" w:cs="Arial" w:eastAsia="Arial" w:hAnsi="Arial"/>
          <w:sz w:val="17"/>
          <w:szCs w:val="17"/>
          <w:u w:val="single" w:color="auto"/>
          <w:color w:val="auto"/>
        </w:rPr>
        <w:t>Section 10.02</w:t>
      </w:r>
      <w:r>
        <w:rPr>
          <w:rFonts w:ascii="Arial" w:cs="Arial" w:eastAsia="Arial" w:hAnsi="Arial"/>
          <w:sz w:val="17"/>
          <w:szCs w:val="17"/>
          <w:color w:val="auto"/>
        </w:rPr>
        <w:t>.</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 The initial Aggregate Commitments as of the Closing Date are $1,000,000,000.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364-Day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If the commitment of each Lender to make Loans has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Rate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Pricing</w:t>
            </w:r>
          </w:p>
        </w:tc>
        <w:tc>
          <w:tcPr>
            <w:tcW w:w="2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Debt Ratings</w:t>
            </w:r>
          </w:p>
        </w:tc>
        <w:tc>
          <w:tcPr>
            <w:tcW w:w="19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Facility</w:t>
            </w:r>
          </w:p>
        </w:tc>
        <w:tc>
          <w:tcPr>
            <w:tcW w:w="25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Eurodollar Rate Loans</w:t>
            </w:r>
          </w:p>
        </w:tc>
        <w:tc>
          <w:tcPr>
            <w:tcW w:w="2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Base Rate Loans</w:t>
            </w:r>
          </w:p>
        </w:tc>
        <w:tc>
          <w:tcPr>
            <w:tcW w:w="0" w:type="dxa"/>
            <w:vAlign w:val="bottom"/>
          </w:tcPr>
          <w:p>
            <w:pPr>
              <w:spacing w:after="0"/>
              <w:rPr>
                <w:sz w:val="1"/>
                <w:szCs w:val="1"/>
                <w:color w:val="auto"/>
              </w:rPr>
            </w:pPr>
          </w:p>
        </w:tc>
      </w:tr>
      <w:tr>
        <w:trPr>
          <w:trHeight w:val="17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2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S&amp;P/Moody’s</w:t>
            </w:r>
          </w:p>
        </w:tc>
        <w:tc>
          <w:tcPr>
            <w:tcW w:w="19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Fee</w:t>
            </w:r>
          </w:p>
        </w:tc>
        <w:tc>
          <w:tcPr>
            <w:tcW w:w="2560" w:type="dxa"/>
            <w:vAlign w:val="bottom"/>
            <w:gridSpan w:val="2"/>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80" w:type="dxa"/>
            <w:vAlign w:val="bottom"/>
            <w:tcBorders>
              <w:top w:val="single" w:sz="8" w:color="auto"/>
            </w:tcBorders>
            <w:shd w:val="clear" w:color="auto" w:fill="CCEEFF"/>
          </w:tcPr>
          <w:p>
            <w:pPr>
              <w:jc w:val="right"/>
              <w:ind w:right="655"/>
              <w:spacing w:after="0" w:line="195" w:lineRule="exact"/>
              <w:rPr>
                <w:sz w:val="20"/>
                <w:szCs w:val="20"/>
                <w:color w:val="auto"/>
              </w:rPr>
            </w:pPr>
            <w:r>
              <w:rPr>
                <w:rFonts w:ascii="Arial" w:cs="Arial" w:eastAsia="Arial" w:hAnsi="Arial"/>
                <w:sz w:val="18"/>
                <w:szCs w:val="18"/>
                <w:color w:val="auto"/>
              </w:rPr>
              <w:t>1</w:t>
            </w:r>
          </w:p>
        </w:tc>
        <w:tc>
          <w:tcPr>
            <w:tcW w:w="30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A- / A3</w:t>
            </w: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or higher</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0.075%</w:t>
            </w:r>
          </w:p>
        </w:tc>
        <w:tc>
          <w:tcPr>
            <w:tcW w:w="2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0.925%</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1580" w:type="dxa"/>
            <w:vAlign w:val="bottom"/>
          </w:tcPr>
          <w:p>
            <w:pPr>
              <w:jc w:val="right"/>
              <w:ind w:right="655"/>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7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BBB+ / Baa1</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0.100%</w:t>
            </w:r>
          </w:p>
        </w:tc>
        <w:tc>
          <w:tcPr>
            <w:tcW w:w="256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0.025%</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4"/>
              </w:rPr>
              <w:t>BBB / Baa2</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0.150%</w:t>
            </w:r>
          </w:p>
        </w:tc>
        <w:tc>
          <w:tcPr>
            <w:tcW w:w="2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1580" w:type="dxa"/>
            <w:vAlign w:val="bottom"/>
          </w:tcPr>
          <w:p>
            <w:pPr>
              <w:jc w:val="right"/>
              <w:ind w:right="655"/>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7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BBB- / Baa3</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0.200%</w:t>
            </w:r>
          </w:p>
        </w:tc>
        <w:tc>
          <w:tcPr>
            <w:tcW w:w="256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0.300%</w:t>
            </w:r>
          </w:p>
        </w:tc>
        <w:tc>
          <w:tcPr>
            <w:tcW w:w="0" w:type="dxa"/>
            <w:vAlign w:val="bottom"/>
          </w:tcPr>
          <w:p>
            <w:pPr>
              <w:spacing w:after="0"/>
              <w:rPr>
                <w:sz w:val="1"/>
                <w:szCs w:val="1"/>
                <w:color w:val="auto"/>
              </w:rPr>
            </w:pPr>
          </w:p>
        </w:tc>
      </w:tr>
      <w:tr>
        <w:trPr>
          <w:trHeight w:val="202"/>
        </w:trPr>
        <w:tc>
          <w:tcPr>
            <w:tcW w:w="1580" w:type="dxa"/>
            <w:vAlign w:val="bottom"/>
            <w:shd w:val="clear" w:color="auto" w:fill="CCEEFF"/>
          </w:tcPr>
          <w:p>
            <w:pPr>
              <w:jc w:val="right"/>
              <w:ind w:right="655"/>
              <w:spacing w:after="0" w:line="201" w:lineRule="exact"/>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3"/>
              </w:rPr>
              <w:t>BB+ / Ba1</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or lower</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0.250%</w:t>
            </w:r>
          </w:p>
        </w:tc>
        <w:tc>
          <w:tcPr>
            <w:tcW w:w="2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Rating</w:t>
      </w:r>
      <w:r>
        <w:rPr>
          <w:rFonts w:ascii="Arial" w:cs="Arial" w:eastAsia="Arial" w:hAnsi="Arial"/>
          <w:sz w:val="16"/>
          <w:szCs w:val="16"/>
          <w:color w:val="auto"/>
        </w:rPr>
        <w:t>” means, as of any date of determination, the rating as determined by either S&amp;P or Moody’s (collectively, the “</w:t>
      </w:r>
      <w:r>
        <w:rPr>
          <w:rFonts w:ascii="Arial" w:cs="Arial" w:eastAsia="Arial" w:hAnsi="Arial"/>
          <w:sz w:val="16"/>
          <w:szCs w:val="16"/>
          <w:u w:val="single" w:color="auto"/>
          <w:color w:val="auto"/>
        </w:rPr>
        <w:t>Debt Ratings</w:t>
      </w:r>
      <w:r>
        <w:rPr>
          <w:rFonts w:ascii="Arial" w:cs="Arial" w:eastAsia="Arial" w:hAnsi="Arial"/>
          <w:sz w:val="16"/>
          <w:szCs w:val="16"/>
          <w:color w:val="auto"/>
        </w:rPr>
        <w:t xml:space="preserve">”) of the Borrower’s non-credit-enhanced, senior unsecured long-term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respective Debt Ratings issued by the foregoing rating agencies differ by one Pricing Level, then the Pricing Level for the higher of such Debt Ratings shall apply (with the Debt Rating for Pricing Level 1 being the highest and the Debt Rating for Pricing Level 5 being the lowest); (b) if the respective Debt Ratings issued by the foregoing rating agencies differ by more than one Pricing Level, then the Pricing Level that is one Pricing Level lower than the Pricing Level of the higher Debt Rating shall apply; (c) if the Borrower has only one Debt Rating, the Pricing Level equal to that of such Debt Rating shall apply; and (d) if the Borrower does not have any Debt Rating, then the Administrative Agent and the Borrower shall negotiate in good faith to amend the definition of Applicable Rate to reflect such change in circumstances, and until such time as the Administrative Agent and the Borrower shall reach agreement with respect thereto, Pricing Level 5 shall apply.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Initially, the Applicable Rate shall be determined based upon the Debt Rating specified in the certificate delivered pursuant to </w:t>
      </w:r>
      <w:r>
        <w:rPr>
          <w:rFonts w:ascii="Arial" w:cs="Arial" w:eastAsia="Arial" w:hAnsi="Arial"/>
          <w:sz w:val="16"/>
          <w:szCs w:val="16"/>
          <w:u w:val="single" w:color="auto"/>
          <w:color w:val="auto"/>
        </w:rPr>
        <w:t>Section 4.01(a)(vii)</w:t>
      </w:r>
      <w:r>
        <w:rPr>
          <w:rFonts w:ascii="Arial" w:cs="Arial" w:eastAsia="Arial" w:hAnsi="Arial"/>
          <w:sz w:val="16"/>
          <w:szCs w:val="16"/>
          <w:color w:val="auto"/>
        </w:rPr>
        <w:t xml:space="preserve">. Thereafter, each change in the Applicable Rate resulting from a publicly announced change in the Debt Rating shall be effective, in the case of an upgrade, during the period commencing on the date of delivery by the Borrower to the Administrative Agent of notice thereof pursuant to </w:t>
      </w:r>
      <w:r>
        <w:rPr>
          <w:rFonts w:ascii="Arial" w:cs="Arial" w:eastAsia="Arial" w:hAnsi="Arial"/>
          <w:sz w:val="16"/>
          <w:szCs w:val="16"/>
          <w:u w:val="single" w:color="auto"/>
          <w:color w:val="auto"/>
        </w:rPr>
        <w:t>Section 6.02(d)</w:t>
      </w:r>
      <w:r>
        <w:rPr>
          <w:rFonts w:ascii="Arial" w:cs="Arial" w:eastAsia="Arial" w:hAnsi="Arial"/>
          <w:sz w:val="16"/>
          <w:szCs w:val="16"/>
          <w:color w:val="auto"/>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ectPr>
          <w:pgSz w:w="11900" w:h="16838" w:orient="portrait"/>
          <w:cols w:equalWidth="0" w:num="1">
            <w:col w:w="11420"/>
          </w:cols>
          <w:pgMar w:left="240" w:top="121" w:right="239" w:bottom="87" w:gutter="0" w:footer="0" w:header="0"/>
        </w:sectPr>
      </w:pPr>
    </w:p>
    <w:bookmarkStart w:id="7" w:name="page8"/>
    <w:bookmarkEnd w:id="7"/>
    <w:p>
      <w:pPr>
        <w:spacing w:after="0" w:line="1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Arrangers</w:t>
      </w:r>
      <w:r>
        <w:rPr>
          <w:rFonts w:ascii="Arial" w:cs="Arial" w:eastAsia="Arial" w:hAnsi="Arial"/>
          <w:sz w:val="17"/>
          <w:szCs w:val="17"/>
          <w:color w:val="auto"/>
        </w:rPr>
        <w:t>” means each of Merrill Lynch, Pierce, Fenner &amp; Smith Incorporated, Citigroup Global Markets Inc., DNB Markets, Inc., J.P. Morgan Securities LLC, Mizuho Bank, Ltd. and Wells Fargo Securities, LLC in its capacity as a joint lead arranger and joint bookrunner.</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solely managed by the same investment advisor.</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any other form approved by the Administrative Agent.</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ended December 31, 2013, and the related consolidated statements of income or operations and cash flows for such fiscal year and partners’ capital of the Borrower and its Subsidiaries, including the notes thereto.</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(c) the date of termination of the commitment of each Lender to make Loans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means the Bankruptcy and Insolvency Act, R.S.C. 1985, c. B-3,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in effect on such day plus 1/2 of 1%,</w:t>
      </w:r>
    </w:p>
    <w:p>
      <w:pPr>
        <w:spacing w:after="0" w:line="46" w:lineRule="exact"/>
        <w:rPr>
          <w:sz w:val="20"/>
          <w:szCs w:val="20"/>
          <w:color w:val="auto"/>
        </w:rPr>
      </w:pPr>
    </w:p>
    <w:p>
      <w:pPr>
        <w:ind w:right="140" w:firstLine="8"/>
        <w:spacing w:after="0" w:line="252"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interest in effect for such day as publicly announced from time to time by Bank of America as its “prime rate” and (c) the Eurodollar Rate in effect on such day as determined pursuant to clause (b) of the definition thereof plus 1.00%; and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given that term in the last paragraph of the definition of the term “Change of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borrowing consisting of simultaneous Loans of the same Type and, in the case of Eurodollar Rate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interest rate settings as to a Eurodollar Rate Loan, any fundings, disbursements, settlements and payments (other than prepayments) in respect of any such Eurodollar Rate Loan, or any other dealings to be carried out pursuant to this Agreement in respect of any such Eurodollar Rate Loan, means any such day on which dealings in deposits in Dollars are conducted by and between banks in the London interbank Eurodollar market.</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170"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and Carry Purchases</w:t>
      </w:r>
      <w:r>
        <w:rPr>
          <w:rFonts w:ascii="Arial" w:cs="Arial" w:eastAsia="Arial" w:hAnsi="Arial"/>
          <w:sz w:val="17"/>
          <w:szCs w:val="17"/>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pacing w:after="0" w:line="14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w:t>
      </w:r>
    </w:p>
    <w:p>
      <w:pPr>
        <w:sectPr>
          <w:pgSz w:w="11900" w:h="16975" w:orient="portrait"/>
          <w:cols w:equalWidth="0" w:num="1">
            <w:col w:w="11380"/>
          </w:cols>
          <w:pgMar w:left="240" w:top="125" w:right="279" w:bottom="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authority) or the United States regulatory authorities or foreign regulatory authorities, in each case pursuant to Basel III, shall, in each case, be deemed to be a “Change in Law”, regardless of the date enacted, adopted or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left="1320" w:hanging="664"/>
        <w:spacing w:after="0"/>
        <w:tabs>
          <w:tab w:leader="none" w:pos="132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acquisition of more than 50% of the Equity Interest in the general partner of Plains AAP by a Person that is not a Current Owner if</w:t>
      </w:r>
    </w:p>
    <w:p>
      <w:pPr>
        <w:spacing w:after="0" w:line="34" w:lineRule="exact"/>
        <w:rPr>
          <w:rFonts w:ascii="Arial" w:cs="Arial" w:eastAsia="Arial" w:hAnsi="Arial"/>
          <w:sz w:val="17"/>
          <w:szCs w:val="17"/>
          <w:color w:val="auto"/>
        </w:rPr>
      </w:pPr>
    </w:p>
    <w:p>
      <w:pPr>
        <w:ind w:right="40" w:firstLine="8"/>
        <w:spacing w:after="0" w:line="255"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Equity Interest held by such Person gives such Person the right to elect more than half of the members of the Board, (y) such Person exercises its right to elect more than half of the members of the Board and (z) giving effect to such election, more than half of the members of the Board are not Continuing Directors;</w:t>
      </w:r>
    </w:p>
    <w:p>
      <w:pPr>
        <w:spacing w:after="0" w:line="190" w:lineRule="exact"/>
        <w:rPr>
          <w:rFonts w:ascii="Arial" w:cs="Arial" w:eastAsia="Arial" w:hAnsi="Arial"/>
          <w:sz w:val="18"/>
          <w:szCs w:val="18"/>
          <w:color w:val="auto"/>
        </w:rPr>
      </w:pPr>
    </w:p>
    <w:p>
      <w:pPr>
        <w:ind w:right="40" w:firstLine="656"/>
        <w:spacing w:after="0" w:line="277" w:lineRule="auto"/>
        <w:tabs>
          <w:tab w:leader="none" w:pos="132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general partner of Plains AAP shall cease to be, directly or indirectly, the beneficial owner (within the meaning of Rule 13d-3 under the Securities Exchange Act of 1934, as amended) of a majority of the general partner interests of Plains AAP;</w:t>
      </w:r>
    </w:p>
    <w:p>
      <w:pPr>
        <w:spacing w:after="0" w:line="170" w:lineRule="exact"/>
        <w:rPr>
          <w:rFonts w:ascii="Arial" w:cs="Arial" w:eastAsia="Arial" w:hAnsi="Arial"/>
          <w:sz w:val="18"/>
          <w:szCs w:val="18"/>
          <w:color w:val="auto"/>
        </w:rPr>
      </w:pPr>
    </w:p>
    <w:p>
      <w:pPr>
        <w:ind w:right="200" w:firstLine="656"/>
        <w:spacing w:after="0" w:line="277" w:lineRule="auto"/>
        <w:tabs>
          <w:tab w:leader="none" w:pos="1337" w:val="left"/>
        </w:tabs>
        <w:numPr>
          <w:ilvl w:val="1"/>
          <w:numId w:val="9"/>
        </w:numPr>
        <w:rPr>
          <w:rFonts w:ascii="Arial" w:cs="Arial" w:eastAsia="Arial" w:hAnsi="Arial"/>
          <w:sz w:val="18"/>
          <w:szCs w:val="18"/>
          <w:color w:val="auto"/>
        </w:rPr>
      </w:pPr>
      <w:r>
        <w:rPr>
          <w:rFonts w:ascii="Arial" w:cs="Arial" w:eastAsia="Arial" w:hAnsi="Arial"/>
          <w:sz w:val="18"/>
          <w:szCs w:val="18"/>
          <w:color w:val="auto"/>
        </w:rPr>
        <w:t>Plains AAP shall cease to be, directly or indirectly, the beneficial owner (as defined above) of a majority of the limited liability company interests of General Partner;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9"/>
        </w:numPr>
        <w:rPr>
          <w:rFonts w:ascii="Arial" w:cs="Arial" w:eastAsia="Arial" w:hAnsi="Arial"/>
          <w:sz w:val="16"/>
          <w:szCs w:val="16"/>
          <w:color w:val="auto"/>
        </w:rPr>
      </w:pPr>
      <w:r>
        <w:rPr>
          <w:rFonts w:ascii="Arial" w:cs="Arial" w:eastAsia="Arial" w:hAnsi="Arial"/>
          <w:sz w:val="16"/>
          <w:szCs w:val="16"/>
          <w:color w:val="auto"/>
        </w:rPr>
        <w:t>General Partner shall cease to be, directly or indirectly, the beneficial owner (as defined above) of a majority of the general partner interest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Borrower.</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or equivalent body of the general partner of Plains AAP; “</w:t>
      </w:r>
      <w:r>
        <w:rPr>
          <w:rFonts w:ascii="Arial" w:cs="Arial" w:eastAsia="Arial" w:hAnsi="Arial"/>
          <w:sz w:val="17"/>
          <w:szCs w:val="17"/>
          <w:u w:val="single" w:color="auto"/>
          <w:color w:val="auto"/>
        </w:rPr>
        <w:t>Continuing Directors</w:t>
      </w:r>
      <w:r>
        <w:rPr>
          <w:rFonts w:ascii="Arial" w:cs="Arial" w:eastAsia="Arial" w:hAnsi="Arial"/>
          <w:sz w:val="17"/>
          <w:szCs w:val="17"/>
          <w:color w:val="auto"/>
        </w:rPr>
        <w:t>” means the members of the Board elected, appointed or otherwise designated by a Current Owner or by the Current Owners; “</w:t>
      </w:r>
      <w:r>
        <w:rPr>
          <w:rFonts w:ascii="Arial" w:cs="Arial" w:eastAsia="Arial" w:hAnsi="Arial"/>
          <w:sz w:val="17"/>
          <w:szCs w:val="17"/>
          <w:u w:val="single" w:color="auto"/>
          <w:color w:val="auto"/>
        </w:rPr>
        <w:t>Current Owner</w:t>
      </w:r>
      <w:r>
        <w:rPr>
          <w:rFonts w:ascii="Arial" w:cs="Arial" w:eastAsia="Arial" w:hAnsi="Arial"/>
          <w:sz w:val="17"/>
          <w:szCs w:val="17"/>
          <w:color w:val="auto"/>
        </w:rPr>
        <w:t>” means (i) an owner, as of the effective date of this Agreement, of an Equity Interest in the general partner of Plains AAP and (ii) any Affiliate of such owner.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means the first date on which all the conditions precedent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Operation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such Lender’s obligation to make Loans to the Borrower in an aggregate principal amount which at any one time outstanding, does not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as such amount may from time to time be decreased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or in the Assignment and Assumption pursuant to which such Lender becomes a party hereto, as applicable, as such amount may be adjusted from time to time in accordance with this Agreement.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R.S.C. 1985, c. C-36, as amended, including the regulations made and from time to time in force under that Act.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Assets</w:t>
      </w:r>
      <w:r>
        <w:rPr>
          <w:rFonts w:ascii="Arial" w:cs="Arial" w:eastAsia="Arial" w:hAnsi="Arial"/>
          <w:sz w:val="16"/>
          <w:szCs w:val="16"/>
          <w:color w:val="auto"/>
        </w:rPr>
        <w:t>” means, as of any date of determination, the total assets of the Borrower and its Subsidiaries as set forth on a consolidated balance sheet of the Borrower and its Subsidiaries for their most recently completed fiscal quarter, prepared in accordance with GAAP.</w:t>
      </w:r>
    </w:p>
    <w:p>
      <w:pPr>
        <w:spacing w:after="0" w:line="124"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an amount equal to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the following to the extent deducted in calculating such Consolidated Net Income for such period: (i) all interest charges and expenses, (ii) the provision for Federal, state, local and foreign income taxes (or franchise taxes, to the extent based upon net income) payable by the Borrower and its Subsidiaries (excluding, for the avoidance of doubt, Unrestricted Subsidiaries), (iii) depreciation, depletion and amortization expense, (iv) costs or expenses resulting from distributions or redemptions of the Borrower’s units issued pursuant to the Borrower’s long-term incentive plan, (v) any acquisition-related expenses deducted from Consolidated Net Income and associated with (A) closed acquisitions or (B) any other potential acquisitions that have not been abandoned (minus any acquisition-related expenses covered by clause (B) that relate to (x) potential acquisitions that have since been abandoned or (y) potential acquisitions that have not been consummated within one year following the date such expense was incurred (except that if the potential acquisition is the subject of a pending purchase and sale agreement as of such one-year date, such one-year period of time shall be extended until the first to occur of the termination of such purchase and sale agreement or the first day following the closing of the acquisition contemplated by such purchase and sale agreement)), and (vi) other non-recurring expenses of the Borrower and its Subsidiaries (excluding, for the avoidance of doubt, Unrestricted Subsidiaries) reducing such Consolidated Net Income which do not represent a cash item in such period or any future period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following to the extent included in calculating such Consolidated Net Income: (i) Federal, state, local and foreign income tax credits of the Borrower and its Subsidiaries (excluding, for the avoidance of doubt, Unrestricted Subsidiaries) and</w:t>
      </w:r>
    </w:p>
    <w:p>
      <w:pPr>
        <w:spacing w:after="0" w:line="3" w:lineRule="exact"/>
        <w:rPr>
          <w:sz w:val="20"/>
          <w:szCs w:val="20"/>
          <w:color w:val="auto"/>
        </w:rPr>
      </w:pPr>
    </w:p>
    <w:p>
      <w:pPr>
        <w:ind w:right="20" w:firstLine="8"/>
        <w:spacing w:after="0" w:line="251"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all non-cash items increasing Consolidated Net Income;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for purposes of determining compliance with the financial covenants set forth in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if, since the beginning of the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of any partial ownership interest in any other Person, Consolidated EBITDA shall be calculated giving pro forma effect thereto as if the disposition, acquisition, consolidation or merger had occurred on the first day of such period, and such calculation shall be determined in good faith by a financial officer of the Borrower (and the Borrower will provide to the Administrative Agent such supporting information as Administrative Agent may reasonably request),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Consolidated EBITDA may, as provided in </w:t>
      </w:r>
      <w:r>
        <w:rPr>
          <w:rFonts w:ascii="Arial" w:cs="Arial" w:eastAsia="Arial" w:hAnsi="Arial"/>
          <w:sz w:val="18"/>
          <w:szCs w:val="18"/>
          <w:u w:val="single" w:color="auto"/>
          <w:color w:val="auto"/>
        </w:rPr>
        <w:t>Section 7.08</w:t>
      </w:r>
      <w:r>
        <w:rPr>
          <w:rFonts w:ascii="Arial" w:cs="Arial" w:eastAsia="Arial" w:hAnsi="Arial"/>
          <w:sz w:val="18"/>
          <w:szCs w:val="18"/>
          <w:color w:val="auto"/>
        </w:rPr>
        <w:t>, include Material Project EBITDA Adjustments and New Cavern EBITDA Adjustments.</w:t>
      </w:r>
    </w:p>
    <w:p>
      <w:pPr>
        <w:spacing w:after="0" w:line="1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means, as of any date of determination, the sum of (without duplication): (i) the outstanding principal amount of all Indebtedness which is classified</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9" w:name="page10"/>
    <w:bookmarkEnd w:id="9"/>
    <w:p>
      <w:pPr>
        <w:ind w:right="40"/>
        <w:spacing w:after="0" w:line="253" w:lineRule="auto"/>
        <w:rPr>
          <w:sz w:val="20"/>
          <w:szCs w:val="20"/>
          <w:color w:val="auto"/>
        </w:rPr>
      </w:pPr>
      <w:r>
        <w:rPr>
          <w:rFonts w:ascii="Arial" w:cs="Arial" w:eastAsia="Arial" w:hAnsi="Arial"/>
          <w:sz w:val="18"/>
          <w:szCs w:val="18"/>
          <w:color w:val="auto"/>
        </w:rPr>
        <w:t xml:space="preserve">as “long-term indebtedness” on a consolidated balance sheet of the Borrower and its Subsidiaries on a consolidated basis (excluding, for the avoidance of doubt,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the Borrower and its Subsidiaries on a consolidated basis (excluding, for the avoidance of doubt, Unrestricted Subsidiaries) outstanding under a revolving credit, term or similar agreement (and renewals and extensions thereof); and (iii) the outstanding principal amount of Indebtedness in respect of Capital Leases of the Borrower and its Subsidiaries on a consolidated basis (excluding, for the avoidance of doubt, Unrestricted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Consolidated Funded Indebtedness shall not, if otherwise applicable, include (x) Indebtedness in respect of letters of credit, (y) Indebtedness incurred to finance Cash and Carry Purchases or (z) margin deposits.</w:t>
      </w:r>
    </w:p>
    <w:p>
      <w:pPr>
        <w:spacing w:after="0" w:line="197"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xml:space="preserve">” means, as of the end of any fiscal quarter, the ratio of (a) Consolidated Funded Indebtedness as of such date </w:t>
      </w:r>
      <w:r>
        <w:rPr>
          <w:rFonts w:ascii="Arial" w:cs="Arial" w:eastAsia="Arial" w:hAnsi="Arial"/>
          <w:sz w:val="16"/>
          <w:szCs w:val="16"/>
          <w:i w:val="1"/>
          <w:iCs w:val="1"/>
          <w:color w:val="auto"/>
        </w:rPr>
        <w:t>to</w:t>
      </w:r>
      <w:r>
        <w:rPr>
          <w:rFonts w:ascii="Arial" w:cs="Arial" w:eastAsia="Arial" w:hAnsi="Arial"/>
          <w:sz w:val="16"/>
          <w:szCs w:val="16"/>
          <w:color w:val="auto"/>
        </w:rPr>
        <w:t xml:space="preserve"> (b) Consolidated EBITDA for the trailing four quarter period ending on such date, as Consolidated EBITDA may be adjusted pursuant to </w:t>
      </w:r>
      <w:r>
        <w:rPr>
          <w:rFonts w:ascii="Arial" w:cs="Arial" w:eastAsia="Arial" w:hAnsi="Arial"/>
          <w:sz w:val="16"/>
          <w:szCs w:val="16"/>
          <w:u w:val="single" w:color="auto"/>
          <w:color w:val="auto"/>
        </w:rPr>
        <w:t>Section 7.08</w:t>
      </w:r>
      <w:r>
        <w:rPr>
          <w:rFonts w:ascii="Arial" w:cs="Arial" w:eastAsia="Arial" w:hAnsi="Arial"/>
          <w:sz w:val="16"/>
          <w:szCs w:val="16"/>
          <w:color w:val="auto"/>
        </w:rPr>
        <w:t>.</w:t>
      </w:r>
    </w:p>
    <w:p>
      <w:pPr>
        <w:spacing w:after="0" w:line="12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for the Borrower and its Subsidiaries on a consolidated basis (excluding, for the avoidance of doubt, Unrestricted Subsidiaries), the net income of the Borrower and its Subsidiaries (excluding, for the avoidance of doubt, Unrestricted Subsidiaries) for that period, including any cash dividends or distributions actually received from any Unrestricted Subsidiaries or other Persons during such period, limiting net income attributed to any non-wholly-owned consolidated Subsidiary to a proportional amount of such Subsidiary’s net income equal to the Borrower’s direct or indirect ownership interest therein. “Consolidated Net Income” shall not include (i) any gain or loss from the sale of assets other than in the ordinary course of business, (ii) any non-cash gains or losses resulting from mark to market activity as a result of the implementation of SFAS 133 or EITF 98-10 or</w:t>
      </w:r>
    </w:p>
    <w:p>
      <w:pPr>
        <w:spacing w:after="0" w:line="5" w:lineRule="exact"/>
        <w:rPr>
          <w:sz w:val="20"/>
          <w:szCs w:val="20"/>
          <w:color w:val="auto"/>
        </w:rPr>
      </w:pPr>
    </w:p>
    <w:p>
      <w:pPr>
        <w:ind w:right="180" w:firstLine="8"/>
        <w:spacing w:after="0" w:line="26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extraordinary gains or losses. In addition, “Consolidated Net Income” shall not include the cost or proceeds of purchasing or selling options which are used to hedge future activity, until the period in which such hedged future activity occurs.</w:t>
      </w:r>
    </w:p>
    <w:p>
      <w:pPr>
        <w:spacing w:after="0" w:line="18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as of any date of determination, the Consolidated Assets of the Borrower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book value (net of any applicable reserves and accumulated amortization) of all goodwill, trade names, trademarks, patents and other like intangible assets, excluding fifty percent (50%) of goodwill attributed to the PPX Acquisition, all as set forth, or on a pro forma basis would be set forth, on the consolidated balance sheet of the Borrower and its Subsidiaries for the Borrower’s most recently completed fiscal quarter, prepared in accordance with GAAP.</w:t>
      </w:r>
    </w:p>
    <w:p>
      <w:pPr>
        <w:spacing w:after="0" w:line="1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at any date of determination, the sum of (a) preferred stock (if any), (b) par value of common stock, (c) capital in excess of par value of common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stock, (d) partners’ capital or equity and (e) retained earnings, less treasury stock (if any), of such Person, all as determined on a consolidated basis.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Capitalization</w:t>
      </w:r>
      <w:r>
        <w:rPr>
          <w:rFonts w:ascii="Arial" w:cs="Arial" w:eastAsia="Arial" w:hAnsi="Arial"/>
          <w:sz w:val="17"/>
          <w:szCs w:val="17"/>
          <w:color w:val="auto"/>
        </w:rPr>
        <w:t>” means the sum of (a) Consolidated Funded Indebtedness and (b) the Borrower’s Consolidated Net Worth.</w:t>
      </w:r>
    </w:p>
    <w:p>
      <w:pPr>
        <w:spacing w:after="0" w:line="23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has the meaning specified in the definition of “Applicable Rate”.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the Bankruptcy and Insolvency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at any time during a Default Rate Period,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 Eurodollar Rate Loan, the Default Rate shall be an interest rate equal to the interest rate (including any Applicable Rate) otherwise applicable to such Eurodollar Rate Loan plus 2% per annum.</w:t>
      </w:r>
    </w:p>
    <w:p>
      <w:pPr>
        <w:spacing w:after="0" w:line="16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 Period</w:t>
      </w:r>
      <w:r>
        <w:rPr>
          <w:rFonts w:ascii="Arial" w:cs="Arial" w:eastAsia="Arial" w:hAnsi="Arial"/>
          <w:sz w:val="17"/>
          <w:szCs w:val="17"/>
          <w:color w:val="auto"/>
        </w:rPr>
        <w:t xml:space="preserve">” means (a) any period during which an Event of Default, other than pursuant to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is continuing, provided that such period shall not begin until notice of the commencement of the Default Rate has been given to the Borrower by the Administrative Agent upon the instruction by the Required Lenders and (b) any period during which any Event of Default pursuant to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is continuing unless the Borrower has been notified otherwise by the Administrative Agent upon the instruction by the Required Lenders.</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any Lender that, as determined by the Administrative Agent, (a) has failed to fund any of its funding obligations hereunder in respect of its Loans within two Business Days of the date required to be funded by it hereunder, or has failed to make any payment to the Administrative Agent required under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within the time specified therein, and the Administrative Agent shall have exercised its indemnification right against the Borrower pursuant to the second sentence of </w:t>
      </w:r>
      <w:r>
        <w:rPr>
          <w:rFonts w:ascii="Arial" w:cs="Arial" w:eastAsia="Arial" w:hAnsi="Arial"/>
          <w:sz w:val="16"/>
          <w:szCs w:val="16"/>
          <w:u w:val="single" w:color="auto"/>
          <w:color w:val="auto"/>
        </w:rPr>
        <w:t>Section 3.01(c)(i)</w:t>
      </w:r>
      <w:r>
        <w:rPr>
          <w:rFonts w:ascii="Arial" w:cs="Arial" w:eastAsia="Arial" w:hAnsi="Arial"/>
          <w:sz w:val="16"/>
          <w:szCs w:val="16"/>
          <w:color w:val="auto"/>
        </w:rPr>
        <w:t>, (b) has notified the Borrower or the Administrative Agent that it does not intend to comply with its funding obligations hereunder or has made a public statement to that effect with respect to 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0" w:gutter="0" w:footer="0" w:header="0"/>
        </w:sectPr>
      </w:pPr>
    </w:p>
    <w:bookmarkStart w:id="10" w:name="page11"/>
    <w:bookmarkEnd w:id="10"/>
    <w:p>
      <w:pPr>
        <w:ind w:right="20"/>
        <w:spacing w:after="0" w:line="270" w:lineRule="auto"/>
        <w:rPr>
          <w:sz w:val="20"/>
          <w:szCs w:val="20"/>
          <w:color w:val="auto"/>
        </w:rPr>
      </w:pPr>
      <w:r>
        <w:rPr>
          <w:rFonts w:ascii="Arial" w:cs="Arial" w:eastAsia="Arial" w:hAnsi="Arial"/>
          <w:sz w:val="17"/>
          <w:szCs w:val="17"/>
          <w:color w:val="auto"/>
        </w:rPr>
        <w:t xml:space="preserve">funding obligations hereunder or under other agreements in which it commits to extend credit, (c) has failed, within two Business Days after request by the Administrative Agent,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Person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225" w:lineRule="exact"/>
        <w:rPr>
          <w:sz w:val="20"/>
          <w:szCs w:val="20"/>
          <w:color w:val="auto"/>
        </w:rPr>
      </w:pPr>
    </w:p>
    <w:p>
      <w:pPr>
        <w:ind w:firstLine="656"/>
        <w:spacing w:after="0" w:line="272" w:lineRule="auto"/>
        <w:tabs>
          <w:tab w:leader="none" w:pos="1402"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any Interest Period with respect to a Eurodollar Rate Loan, the rate per annum equal to the London Interbank Offered Rate (“</w:t>
      </w:r>
      <w:r>
        <w:rPr>
          <w:rFonts w:ascii="Arial" w:cs="Arial" w:eastAsia="Arial" w:hAnsi="Arial"/>
          <w:sz w:val="17"/>
          <w:szCs w:val="17"/>
          <w:u w:val="single" w:color="auto"/>
          <w:color w:val="auto"/>
        </w:rPr>
        <w:t>LIBOR</w:t>
      </w:r>
      <w:r>
        <w:rPr>
          <w:rFonts w:ascii="Arial" w:cs="Arial" w:eastAsia="Arial" w:hAnsi="Arial"/>
          <w:sz w:val="17"/>
          <w:szCs w:val="17"/>
          <w:color w:val="auto"/>
        </w:rPr>
        <w:t>”) by reference to the ICE Benchmark Administration Interest Settlement Rates for deposits in Dollars or a rate comparable to, or successor of, LIBOR, which comparable or successor rate is approved by the Administrative Agent and the Borrower, as published on the applicable Bloomberg or Reuters screen page (or such other commercially available sources providing quotations of LIBOR or such comparable or successor rates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 if the Eurodollar Rate shall be less than zero, such rate shall be deemed zero for purposes of this Agreement; and</w:t>
      </w:r>
    </w:p>
    <w:p>
      <w:pPr>
        <w:spacing w:after="0" w:line="177" w:lineRule="exact"/>
        <w:rPr>
          <w:rFonts w:ascii="Arial" w:cs="Arial" w:eastAsia="Arial" w:hAnsi="Arial"/>
          <w:sz w:val="17"/>
          <w:szCs w:val="17"/>
          <w:color w:val="auto"/>
        </w:rPr>
      </w:pPr>
    </w:p>
    <w:p>
      <w:pPr>
        <w:ind w:right="440" w:firstLine="656"/>
        <w:spacing w:after="0" w:line="308" w:lineRule="auto"/>
        <w:tabs>
          <w:tab w:leader="none" w:pos="14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any interest calculation with respect to a Base Rate Loan on any date, the rate per annum equal to LIBOR, at or about 11:00 a.m., London time, determined two Business Days prior to such date for Dollar deposits with a term of one month commencing that day.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based on clause (a) of the definition of “Eurodollar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with respect to the Administrative Agent, any Lender or any other recipient of any payment to be made by or on account of any obligation of the Borrower hereunder, (a) taxes imposed on or measured by its overall net income or net profits (however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73" w:gutter="0" w:footer="0" w:header="0"/>
        </w:sectPr>
      </w:pPr>
    </w:p>
    <w:bookmarkStart w:id="11" w:name="page12"/>
    <w:bookmarkEnd w:id="11"/>
    <w:p>
      <w:pPr>
        <w:ind w:right="100"/>
        <w:spacing w:after="0" w:line="269" w:lineRule="auto"/>
        <w:rPr>
          <w:sz w:val="20"/>
          <w:szCs w:val="20"/>
          <w:color w:val="auto"/>
        </w:rPr>
      </w:pPr>
      <w:r>
        <w:rPr>
          <w:rFonts w:ascii="Arial" w:cs="Arial" w:eastAsia="Arial" w:hAnsi="Arial"/>
          <w:sz w:val="17"/>
          <w:szCs w:val="17"/>
          <w:color w:val="auto"/>
        </w:rPr>
        <w:t xml:space="preserve">denominated), and franchise taxes or capital taxes imposed on it (in lieu of or in addition to net income or net profits taxes), by the jurisdiction (or any political subdivision thereof) under the Laws of which such recipient is organized or in which its principal office is located or, in the case of any Lender, in which its applicable Lending Office is located, or otherwise as a result of a present or former connection between the legal or beneficial recipient and the jurisdiction imposing the Tax (other than a connection arising solely from such recipient having executed, received a payment under, or enforced its rights under, this Agreement or any Loan Document) (b) any branch profits taxes imposed by the United States or any similar tax imposed by any other jurisdiction in which the Borrower is located, (c) any backup withholding tax that is required by the Code to be withheld from amounts payable to a Lender, (d) in the case of a Foreign Lender (other than an assignee pursuant to a request by the Borrower under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any withholding tax that (i) is required to be imposed on amounts payable to such Foreign Lender pursuant to the Laws in force at the time such Foreign Lender becomes a party hereto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w:t>
      </w:r>
      <w:r>
        <w:rPr>
          <w:rFonts w:ascii="Arial" w:cs="Arial" w:eastAsia="Arial" w:hAnsi="Arial"/>
          <w:sz w:val="17"/>
          <w:szCs w:val="17"/>
          <w:u w:val="single" w:color="auto"/>
          <w:color w:val="auto"/>
        </w:rPr>
        <w:t>Section 3.01(a)(ii)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(ii) is attributable to such Foreign Lender’s failure or inability (other than as a result of a Change in Law)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and (e) any Taxes under FATCA.</w:t>
      </w:r>
    </w:p>
    <w:p>
      <w:pPr>
        <w:spacing w:after="0" w:line="18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(and any amended or successor versions thereof that are substantively comparable and not materially more onerous to comply with) and any current or future regulations or official interpretations thereof.</w:t>
      </w:r>
    </w:p>
    <w:p>
      <w:pPr>
        <w:spacing w:after="0" w:line="12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6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between the Borrower and the Administrative Agent executed in relation to this Agreement and the transactions contemplated thereby.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with respect to the Borrower, any Lender that is organized under the Laws of a jurisdiction other than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definition, the United States, each State thereof and the District of Columbia shall constitute a single jurisdiction.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 of its business.</w:t>
      </w:r>
    </w:p>
    <w:p>
      <w:pPr>
        <w:spacing w:after="0" w:line="170"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those generally accepted accounting principles and practices which are recognized as such by the Financial Accounting Standards Board (or any generally recognized successor) and which, in the case of the Borrower and its Subsidiaries on a consolidated basis, are applied for all periods after the date hereof in a manner consistent with the manner in which such principles and practices were applied to the Audited Financial Statements.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PAA GP LLC, a Delaware limited liability company, in its capacity as the sole general partner of the Borrower.</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LLC</w:t>
      </w:r>
      <w:r>
        <w:rPr>
          <w:rFonts w:ascii="Arial" w:cs="Arial" w:eastAsia="Arial" w:hAnsi="Arial"/>
          <w:sz w:val="18"/>
          <w:szCs w:val="18"/>
          <w:color w:val="auto"/>
        </w:rPr>
        <w:t>” means Plains All American GP LLC, a Delaware limited liability company.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Hedged Inventory Credit Agreement</w:t>
      </w:r>
      <w:r>
        <w:rPr>
          <w:rFonts w:ascii="Arial" w:cs="Arial" w:eastAsia="Arial" w:hAnsi="Arial"/>
          <w:sz w:val="16"/>
          <w:szCs w:val="16"/>
          <w:color w:val="auto"/>
        </w:rPr>
        <w:t>” means that certain Third Amended and Restated Credit Agreement dated as of August 19, 2011 among Plains Marketing, Bank of America, N.A., as administrative agent, and the lenders named therein, as from time to time amended, supplemented or restated.</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Hybrid Securities</w:t>
      </w:r>
      <w:r>
        <w:rPr>
          <w:rFonts w:ascii="Arial" w:cs="Arial" w:eastAsia="Arial" w:hAnsi="Arial"/>
          <w:sz w:val="18"/>
          <w:szCs w:val="18"/>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the Borrower, or any business trusts, limited liability companies, limited partnerships or similar entities (a) substantially all of the common equity, general partner or similar interests of which are owned (either directly or indirectly through one or more wholly owned Restricted Subsidiaries) at all times by the Borrower or any other Restricted Person, (b) that have been formed for the purpose of issuing trust preferred securities or deferrable interest subordinated debt, and (c) substantially all the assets of which consist of (i) subordinated debt of the Borrower or another Restricted Person and (ii) payments made from time to time on the subordinated debt.</w:t>
      </w:r>
    </w:p>
    <w:p>
      <w:pPr>
        <w:spacing w:after="0" w:line="18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jc w:val="right"/>
        <w:ind w:left="5620" w:right="5620" w:hanging="4315"/>
        <w:spacing w:after="0" w:line="624" w:lineRule="auto"/>
        <w:tabs>
          <w:tab w:leader="none" w:pos="19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its obligations for the repayment of borrowed money,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12" w:name="page13"/>
    <w:bookmarkEnd w:id="12"/>
    <w:p>
      <w:pPr>
        <w:ind w:left="660" w:right="140" w:firstLine="645"/>
        <w:spacing w:after="0" w:line="264"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19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 other than surety, bid, performance, statutory and other similar bonds and instruments obtained in the ordinary course of business,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225" w:lineRule="exact"/>
        <w:rPr>
          <w:rFonts w:ascii="Arial" w:cs="Arial" w:eastAsia="Arial" w:hAnsi="Arial"/>
          <w:sz w:val="18"/>
          <w:szCs w:val="18"/>
          <w:color w:val="auto"/>
        </w:rPr>
      </w:pPr>
    </w:p>
    <w:p>
      <w:pPr>
        <w:ind w:left="660" w:firstLine="645"/>
        <w:spacing w:after="0" w:line="277" w:lineRule="auto"/>
        <w:tabs>
          <w:tab w:leader="none" w:pos="19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Synthetic Lease Obligations,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its obligations under guaranties of any obligations of any other Person described in the foregoing clauses (a) through (g).</w:t>
      </w:r>
    </w:p>
    <w:p>
      <w:pPr>
        <w:spacing w:after="0" w:line="23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as to each Eurodollar Rate Loan, the period commencing on the date of such Borrowing or the date such Eurodollar Rate Loan is converted to or continued as a Eurodollar Rate Loan and ending on the date seven days, one month, two months, three months or six months thereafter, as selected by the Borrower in its Loan Notice or such other period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 twelve months or less requested by the Borrower and consented to by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5" w:lineRule="exact"/>
        <w:rPr>
          <w:sz w:val="20"/>
          <w:szCs w:val="20"/>
          <w:color w:val="auto"/>
        </w:rPr>
      </w:pPr>
    </w:p>
    <w:p>
      <w:pPr>
        <w:jc w:val="both"/>
        <w:ind w:left="660" w:firstLine="645"/>
        <w:spacing w:after="0" w:line="264" w:lineRule="auto"/>
        <w:tabs>
          <w:tab w:leader="none" w:pos="19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ind w:left="660" w:right="100" w:firstLine="645"/>
        <w:spacing w:after="0" w:line="264" w:lineRule="auto"/>
        <w:tabs>
          <w:tab w:leader="none" w:pos="19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means the Administrative Agent and all Lenders.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Lending Office</w:t>
      </w:r>
      <w:r>
        <w:rPr>
          <w:rFonts w:ascii="Arial" w:cs="Arial" w:eastAsia="Arial" w:hAnsi="Arial"/>
          <w:sz w:val="16"/>
          <w:szCs w:val="16"/>
          <w:color w:val="auto"/>
        </w:rPr>
        <w:t>” means, as to any Lender, the office or offices of such Lender described as such in such Lender’s Administrative Questionnaire, or such other office or offices as a Lender may from time to time notify the Borrower and the Administrative Agent in accordance with the terms hereof.</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ectPr>
          <w:pgSz w:w="11900" w:h="16838" w:orient="portrait"/>
          <w:cols w:equalWidth="0" w:num="1">
            <w:col w:w="11420"/>
          </w:cols>
          <w:pgMar w:left="240" w:top="584" w:right="239" w:bottom="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Note and the Fee Letter.</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Notice</w:t>
      </w:r>
      <w:r>
        <w:rPr>
          <w:rFonts w:ascii="Arial" w:cs="Arial" w:eastAsia="Arial" w:hAnsi="Arial"/>
          <w:sz w:val="17"/>
          <w:szCs w:val="17"/>
          <w:color w:val="auto"/>
        </w:rPr>
        <w:t xml:space="preserve">” means a notice of (a) a Borrowing, (b) a conversion of Loans from one Type to the other, or (c) a continuation of Eurodollar Rate Loans,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or such other form as may be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approved by the Administrative Agent and the Borrower (including any form on an electronic platform or electronic transmission system as shall be approved by the Administrative Agent), appropriately completed and signed by a Responsible Officer of the Borrower.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properties or financial condition of the Borrower and its Subsidiaries taken as a whole; (b) a material adverse effect on the ability of the Borrower to pay its obligations under any Loan Document to which it is a party; or (c) a material adverse effect on the enforceability against the Borrower of any material terms of any Loan Document to which it is a party.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Project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Project EBITDA Adjustments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date that is 364 days from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the Maturity Date shall be the next preceding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Merrill Lynch</w:t>
      </w:r>
      <w:r>
        <w:rPr>
          <w:rFonts w:ascii="Arial" w:cs="Arial" w:eastAsia="Arial" w:hAnsi="Arial"/>
          <w:sz w:val="18"/>
          <w:szCs w:val="18"/>
          <w:color w:val="auto"/>
        </w:rPr>
        <w:t>” means Merrill Lynch, Pierce, Fenner &amp; Smith Incorporated.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and any successor to the ratings agency business thereof.</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4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Multiple Employer Plan</w:t>
      </w:r>
      <w:r>
        <w:rPr>
          <w:rFonts w:ascii="Arial" w:cs="Arial" w:eastAsia="Arial" w:hAnsi="Arial"/>
          <w:sz w:val="17"/>
          <w:szCs w:val="17"/>
          <w:color w:val="auto"/>
        </w:rPr>
        <w:t>” means a Plan which has two or more contributing sponsors (including the Borrower or any ERISA Affiliate) at least two of whom are not under common control at such times and meeting the requirements of such a plan as described in Section 4064 of ERISA.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Cavern Commercial Operations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Cavern EBITDA Adjustments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or any of its Affiliates of any proceeding under any Debtor Relief Laws naming such Person as the debtor in such proceeding, regardless of whether such interest and fees are allowed claims in such proceeding.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Lease</w:t>
      </w:r>
      <w:r>
        <w:rPr>
          <w:rFonts w:ascii="Arial" w:cs="Arial" w:eastAsia="Arial" w:hAnsi="Arial"/>
          <w:sz w:val="16"/>
          <w:szCs w:val="16"/>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considered an operating lease under the provisions of GAAP in effect as of December 31, 2010.</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on any date, the aggregate outstanding principal amount of the Loans after giving effect to any borrowings and prepayments or repayments of Loans occurring on such date.</w:t>
      </w:r>
    </w:p>
    <w:p>
      <w:pPr>
        <w:spacing w:after="0" w:line="17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Rate</w:t>
      </w:r>
      <w:r>
        <w:rPr>
          <w:rFonts w:ascii="Arial" w:cs="Arial" w:eastAsia="Arial" w:hAnsi="Arial"/>
          <w:sz w:val="17"/>
          <w:szCs w:val="17"/>
          <w:color w:val="auto"/>
        </w:rPr>
        <w:t>” means, for any day, the greater of (i) the Federal Funds Rate and (ii) an overnight rate determined by the Administrative Agent in accordance with relevant banking industry rules on interbank compensation for major banks in the United States interbank market.</w:t>
      </w:r>
    </w:p>
    <w:p>
      <w:pPr>
        <w:sectPr>
          <w:pgSz w:w="11900" w:h="16838" w:orient="portrait"/>
          <w:cols w:equalWidth="0" w:num="1">
            <w:col w:w="11400"/>
          </w:cols>
          <w:pgMar w:left="240" w:top="341" w:right="259" w:bottom="0" w:gutter="0" w:footer="0" w:header="0"/>
        </w:sectPr>
      </w:pPr>
    </w:p>
    <w:bookmarkStart w:id="14" w:name="page15"/>
    <w:bookmarkEnd w:id="14"/>
    <w:p>
      <w:pPr>
        <w:spacing w:after="0" w:line="11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US/Canada Credit Agreement</w:t>
      </w:r>
      <w:r>
        <w:rPr>
          <w:rFonts w:ascii="Arial" w:cs="Arial" w:eastAsia="Arial" w:hAnsi="Arial"/>
          <w:sz w:val="18"/>
          <w:szCs w:val="18"/>
          <w:color w:val="auto"/>
        </w:rPr>
        <w:t>” means that certain Credit Agreement dated as of August 19, 2011, among the Borrower, certain Subsidiaries of the Borrower from time to time party thereto, Bank of America N.A., as administrative agent, and the lenders named therein, as from time to time amended, supplemented or restated.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Funding Rules</w:t>
      </w:r>
      <w:r>
        <w:rPr>
          <w:rFonts w:ascii="Arial" w:cs="Arial" w:eastAsia="Arial" w:hAnsi="Arial"/>
          <w:sz w:val="17"/>
          <w:szCs w:val="17"/>
          <w:color w:val="auto"/>
        </w:rPr>
        <w:t>” means the rules of the Code and ERISA regarding minimum required contributions (including any installment payment thereof) to Pension Plans and set forth in, with respect to plan years ending prior to the effective date of the Pension Act, Section 412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Code and Section 302 of ERISA, each as in effect prior to the Pension Act and, thereafter, Sections 412, 430, 431, 432 and 436 of the Code and Sections 302, 303, 304 and 305 of ERISA.</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Pine Prairie</w:t>
      </w:r>
      <w:r>
        <w:rPr>
          <w:rFonts w:ascii="Arial" w:cs="Arial" w:eastAsia="Arial" w:hAnsi="Arial"/>
          <w:sz w:val="18"/>
          <w:szCs w:val="18"/>
          <w:color w:val="auto"/>
        </w:rPr>
        <w:t>” means Pine Prairie Energy Center, LLC, a Delaware limited liability company.</w:t>
      </w:r>
    </w:p>
    <w:p>
      <w:pPr>
        <w:spacing w:after="0" w:line="225"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Pine Prairie Lease</w:t>
      </w:r>
      <w:r>
        <w:rPr>
          <w:rFonts w:ascii="Arial" w:cs="Arial" w:eastAsia="Arial" w:hAnsi="Arial"/>
          <w:sz w:val="18"/>
          <w:szCs w:val="18"/>
          <w:color w:val="auto"/>
        </w:rPr>
        <w:t>” means, collectively, that certain Agreement to Lease With Option to Purchase, dated as of May 1, 2006, and that certain Conveyance and Lease Addendum No. 1, dated as of November 12, 2007, each by and between Industrial Revenue Board No. 1 of the Parish of Louisiana, Inc. and Pine Prairie.</w:t>
      </w:r>
    </w:p>
    <w:p>
      <w:pPr>
        <w:spacing w:after="0" w:line="181"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Pine Prairie Storage Facility</w:t>
      </w:r>
      <w:r>
        <w:rPr>
          <w:rFonts w:ascii="Arial" w:cs="Arial" w:eastAsia="Arial" w:hAnsi="Arial"/>
          <w:sz w:val="17"/>
          <w:szCs w:val="17"/>
          <w:color w:val="auto"/>
        </w:rPr>
        <w:t>” means the natural gas storage facility owned by Pine Prairie and located in Evangeline Parish, Louisiana, which facility includes certain buildings, equipment, compressors, structures and pipelines located on a salt-dome storage cavern.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Marketing</w:t>
      </w:r>
      <w:r>
        <w:rPr>
          <w:rFonts w:ascii="Arial" w:cs="Arial" w:eastAsia="Arial" w:hAnsi="Arial"/>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Pipeline</w:t>
      </w:r>
      <w:r>
        <w:rPr>
          <w:rFonts w:ascii="Arial" w:cs="Arial" w:eastAsia="Arial" w:hAnsi="Arial"/>
          <w:sz w:val="18"/>
          <w:szCs w:val="18"/>
          <w:color w:val="auto"/>
        </w:rPr>
        <w:t>” means Plains Pipeline, L.P., a Texas limited partnership.</w:t>
      </w:r>
    </w:p>
    <w:p>
      <w:pPr>
        <w:spacing w:after="0" w:line="22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PMCULC</w:t>
      </w:r>
      <w:r>
        <w:rPr>
          <w:rFonts w:ascii="Arial" w:cs="Arial" w:eastAsia="Arial" w:hAnsi="Arial"/>
          <w:sz w:val="18"/>
          <w:szCs w:val="18"/>
          <w:color w:val="auto"/>
        </w:rPr>
        <w:t>” means Plains Midstream Canada ULC, a British Columbia unlimited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PNGS</w:t>
      </w:r>
      <w:r>
        <w:rPr>
          <w:rFonts w:ascii="Arial" w:cs="Arial" w:eastAsia="Arial" w:hAnsi="Arial"/>
          <w:sz w:val="18"/>
          <w:szCs w:val="18"/>
          <w:color w:val="auto"/>
        </w:rPr>
        <w:t>” means PAA Natural Gas Storage, L.P., a Delaware limited partnership.</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Acquisition</w:t>
      </w:r>
      <w:r>
        <w:rPr>
          <w:rFonts w:ascii="Arial" w:cs="Arial" w:eastAsia="Arial" w:hAnsi="Arial"/>
          <w:sz w:val="18"/>
          <w:szCs w:val="18"/>
          <w:color w:val="auto"/>
        </w:rPr>
        <w:t>” means (a) the merger of Pacific Energy Partners, L.P. (“</w:t>
      </w:r>
      <w:r>
        <w:rPr>
          <w:rFonts w:ascii="Arial" w:cs="Arial" w:eastAsia="Arial" w:hAnsi="Arial"/>
          <w:sz w:val="18"/>
          <w:szCs w:val="18"/>
          <w:u w:val="single" w:color="auto"/>
          <w:color w:val="auto"/>
        </w:rPr>
        <w:t>PPX</w:t>
      </w:r>
      <w:r>
        <w:rPr>
          <w:rFonts w:ascii="Arial" w:cs="Arial" w:eastAsia="Arial" w:hAnsi="Arial"/>
          <w:sz w:val="18"/>
          <w:szCs w:val="18"/>
          <w:color w:val="auto"/>
        </w:rPr>
        <w:t>”) with and into the Borrower pursuant to that certain Agreement and Plan of Merger dated as of June 11, 2006 by and among PPX and certain of its Affiliates and the Borrower and certain of its Affiliates, (b) the purchase by the Borrower from LB Pacific, LP of certain equity interests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PPX and in certain Affiliates of PPX, pursuant to that certain Purchase Agreement dated as of June 11, 2006 by and among LB Pacific, LP and the Borrower, and (c) the acquisition of other property and interests, in each case pursuant to the foregoing agreements and related documents.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means, whether owned or leased on the date hereof or hereafter acquired:</w:t>
      </w:r>
    </w:p>
    <w:p>
      <w:pPr>
        <w:spacing w:after="0" w:line="225" w:lineRule="exact"/>
        <w:rPr>
          <w:sz w:val="20"/>
          <w:szCs w:val="20"/>
          <w:color w:val="auto"/>
        </w:rPr>
      </w:pPr>
    </w:p>
    <w:p>
      <w:pPr>
        <w:ind w:right="480" w:firstLine="656"/>
        <w:spacing w:after="0" w:line="264" w:lineRule="auto"/>
        <w:tabs>
          <w:tab w:leader="none" w:pos="12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any Restricted Person;</w:t>
      </w:r>
    </w:p>
    <w:p>
      <w:pPr>
        <w:spacing w:after="0" w:line="225" w:lineRule="exact"/>
        <w:rPr>
          <w:rFonts w:ascii="Arial" w:cs="Arial" w:eastAsia="Arial" w:hAnsi="Arial"/>
          <w:sz w:val="18"/>
          <w:szCs w:val="18"/>
          <w:color w:val="auto"/>
        </w:rPr>
      </w:pPr>
    </w:p>
    <w:p>
      <w:pPr>
        <w:ind w:firstLine="656"/>
        <w:spacing w:after="0" w:line="312" w:lineRule="auto"/>
        <w:tabs>
          <w:tab w:leader="none" w:pos="13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storage facility of any Restricted Person, including all storage caverns and reservoirs, injection, compression and production wells, injection and withdrawal sites and facilities, transportation and gathering pipelines, treating and processing plants and facilities, compressors and compression units, and other facilities, equipment and other assets owned or leased by any Restricted Person employed in the injection, storage, withdrawal, transportation,</w:t>
      </w:r>
    </w:p>
    <w:p>
      <w:pPr>
        <w:sectPr>
          <w:pgSz w:w="11900" w:h="16952" w:orient="portrait"/>
          <w:cols w:equalWidth="0" w:num="1">
            <w:col w:w="11400"/>
          </w:cols>
          <w:pgMar w:left="240" w:top="125" w:right="259" w:bottom="0" w:gutter="0" w:footer="0" w:header="0"/>
        </w:sectPr>
      </w:pPr>
    </w:p>
    <w:bookmarkStart w:id="15" w:name="page16"/>
    <w:bookmarkEnd w:id="15"/>
    <w:p>
      <w:pPr>
        <w:spacing w:after="0" w:line="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gathering, terminalling, treating, processing, distribution, transportation and marketing of natural gas, natural gas liquids, crude oil and refined petroleum products;</w:t>
      </w:r>
    </w:p>
    <w:p>
      <w:pPr>
        <w:spacing w:after="0" w:line="170" w:lineRule="exact"/>
        <w:rPr>
          <w:sz w:val="20"/>
          <w:szCs w:val="20"/>
          <w:color w:val="auto"/>
        </w:rPr>
      </w:pPr>
    </w:p>
    <w:p>
      <w:pPr>
        <w:ind w:right="140" w:firstLine="656"/>
        <w:spacing w:after="0" w:line="277"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rights, titles, interests and estates in and to oil and gas leases, oil, gas and mineral leases, or other liquid or gaseous hydrocarbon leases, and mineral fee interests associated with the foregoing; and</w:t>
      </w:r>
    </w:p>
    <w:p>
      <w:pPr>
        <w:spacing w:after="0" w:line="170" w:lineRule="exact"/>
        <w:rPr>
          <w:rFonts w:ascii="Arial" w:cs="Arial" w:eastAsia="Arial" w:hAnsi="Arial"/>
          <w:sz w:val="18"/>
          <w:szCs w:val="18"/>
          <w:color w:val="auto"/>
        </w:rPr>
      </w:pPr>
    </w:p>
    <w:p>
      <w:pPr>
        <w:ind w:right="20" w:firstLine="656"/>
        <w:spacing w:after="0" w:line="259" w:lineRule="auto"/>
        <w:tabs>
          <w:tab w:leader="none" w:pos="1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volumes of natural gas stored at any storage facility required to remain in such storage facility (“base gas”) in order to provide necessary pressurization sufficient to extract (i) all third-party natural gas stored therein (“third-party gas”) and (ii) any other volumes of natural gas owned by the Borrower and its Subsidiaries and stored in such storage facility (“working gas”). For the avoidance of doubt, “Principal Property” shall not include third-party gas or working gas;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except, in the case of any of clauses (a) through (e):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the Borrower and its Subsidiaries, taken as a whole.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more than 50% of the Aggregate Commitments or, if the commitment of each Lender to make Loans has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Lenders holding in the aggregate more than 50% of the Total Outstandings;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Total Outstandings held by, any Defaulting Lender shall be excluded for purposes of making a determination of Required Lenders.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vice president, chief financial officer, treasurer, assistant treasurer or controller of the Borrower,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Arial" w:cs="Arial" w:eastAsia="Arial" w:hAnsi="Arial"/>
          <w:sz w:val="17"/>
          <w:szCs w:val="17"/>
          <w:u w:val="single" w:color="auto"/>
          <w:color w:val="auto"/>
        </w:rPr>
        <w:t>Sections 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the secretary or any assistant secretary of the Borrower, or any general partner thereof or any general partner of any such general partner or any sole member thereof, as the case may be, and solely for purposes of notices given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the Borrower, or any general partner thereof or any general partner of any such general partner or any sole member thereof, as the case may be, designated by any of the foregoing officers in a notice to the Administrative Agent or any other officer or employee of the Borrower, or any general partner thereof or any general partner of any such general partner or any sole member thereof, designated in or pursuant to an agreement between the Borrower and the Administrative Agent. Any document delivered hereunder that is signed by a Responsible Officer of the Borrower, or any general partner thereof or any general partner of any such general partner or any sole member thereof, as the case may be, shall be conclusively presumed to have been authorized by all necessary corporate, partnership or other equivalent action on the part of the Borrower, and such Responsible Officer shall be conclusively presumed to have acted on behalf of the Borrower.</w:t>
      </w:r>
    </w:p>
    <w:p>
      <w:pPr>
        <w:spacing w:after="0" w:line="180"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or other property, but excluding dividends or other distributions payable in Equity Interests in the Borrower) with respect to any Equity Interest of the Borrower, or any payment (whether in cash or other property, but excluding dividends or other distributions payable in Equity Interests in the Borrower), including any sinking fund or similar deposit, on account of the purchase, redemption, retirement, acquisition, cancellation or termination for value of any Equity Interest of the Borrower, or on account of any return of capital to holders of any Equity Interests of the Borrower.</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Person</w:t>
      </w:r>
      <w:r>
        <w:rPr>
          <w:rFonts w:ascii="Arial" w:cs="Arial" w:eastAsia="Arial" w:hAnsi="Arial"/>
          <w:sz w:val="18"/>
          <w:szCs w:val="18"/>
          <w:color w:val="auto"/>
        </w:rPr>
        <w:t>” means any of the Borrower and each Subsidiary of the Borrower, but excluding, for the avoidance of doubt, Unrestricted Subsidiaries. As of the Closing Date, each of Plains Marketing, Plains Pipeline, PMCULC and PNGS and each of their respective Subsidiaries are Restricted Subsidiaries.</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Restriction Exception</w:t>
      </w:r>
      <w:r>
        <w:rPr>
          <w:rFonts w:ascii="Arial" w:cs="Arial" w:eastAsia="Arial" w:hAnsi="Arial"/>
          <w:sz w:val="17"/>
          <w:szCs w:val="17"/>
          <w:color w:val="auto"/>
        </w:rPr>
        <w:t>” means (a) any applicable Law or any instrument governing Indebtedness or Equity Interests, or any applicable Law or any other agreement relating to any property, assets or operations of a Person whose Equity Interests are acquired, in whole or part,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(iii) customary provisions restricting disposition of, or encumbrances on, real property interests set forth in any reciprocal easements of any Restricted Person, (d) restrictions imposed pursuant to (i) this Agreement and the other Loan Documents, (ii) the PAA US/Canada Credit Agreement and its related loan documents and (iii) the Hedged Inventory Credit Agreement and its related loan</w:t>
      </w:r>
    </w:p>
    <w:p>
      <w:pPr>
        <w:sectPr>
          <w:pgSz w:w="11900" w:h="16930" w:orient="portrait"/>
          <w:cols w:equalWidth="0" w:num="1">
            <w:col w:w="11400"/>
          </w:cols>
          <w:pgMar w:left="240" w:top="125" w:right="259" w:bottom="0" w:gutter="0" w:footer="0" w:header="0"/>
        </w:sectPr>
      </w:pPr>
    </w:p>
    <w:bookmarkStart w:id="16" w:name="page17"/>
    <w:bookmarkEnd w:id="16"/>
    <w:p>
      <w:pPr>
        <w:ind w:right="20"/>
        <w:spacing w:after="0" w:line="270" w:lineRule="auto"/>
        <w:rPr>
          <w:sz w:val="20"/>
          <w:szCs w:val="20"/>
          <w:color w:val="auto"/>
        </w:rPr>
      </w:pPr>
      <w:r>
        <w:rPr>
          <w:rFonts w:ascii="Arial" w:cs="Arial" w:eastAsia="Arial" w:hAnsi="Arial"/>
          <w:sz w:val="17"/>
          <w:szCs w:val="17"/>
          <w:color w:val="auto"/>
        </w:rPr>
        <w:t xml:space="preserve">documents, (e) restrictions on the transfer or encumbrance of property or assets which are imposed by the holder of Liens on property or assets of a Restricted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sale is consummated in compliance with any applicable provisions of this Agreement, (g) net worth provisions in leases and other agreements entered into by any Restricted Person in the ordinary course of business, (h) an agreement governing Indebtedness incurred to refinance the Indebtedness issued, assumed or incurred pursuant to an agreement referred to in clauses (d) and (e)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relating to such encumbrance or restriction contained in any such Indebtedness are no less favorable to such Restricted Person in any material respect as determined by the Board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division of The McGraw-Hill Companies, Inc. and any successor to the ratings agency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w:t>
      </w:r>
      <w:r>
        <w:rPr>
          <w:rFonts w:ascii="Arial" w:cs="Arial" w:eastAsia="Arial" w:hAnsi="Arial"/>
          <w:sz w:val="18"/>
          <w:szCs w:val="18"/>
          <w:color w:val="auto"/>
        </w:rPr>
        <w:t>” means any economic or trade sanction administered by the United States Government (including, without limitation, any economic or trade sanction administered by OFAC), and any other economic or trade sanction administered by any other sanctions authority of any relevant jurisdiction where any Restricted Person maintains assets or engages in business (including, if applicable, any economic or trade sanction administered by the United Nations Security Council, the European Union or Her Majesty’s Treasury).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Restricted Persons</w:t>
      </w:r>
      <w:r>
        <w:rPr>
          <w:rFonts w:ascii="Arial" w:cs="Arial" w:eastAsia="Arial" w:hAnsi="Arial"/>
          <w:sz w:val="18"/>
          <w:szCs w:val="18"/>
          <w:color w:val="auto"/>
        </w:rPr>
        <w:t>” means the Borrower and, as of each relevant date of determination, each Subsidiary of the Borrower (other than Unrestricted Subsidiaries) that owns five percent (5%) or more of the Borrower’s Consolidated Net Tangible Assets.</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Southern Pines Storage Facility</w:t>
      </w:r>
      <w:r>
        <w:rPr>
          <w:rFonts w:ascii="Arial" w:cs="Arial" w:eastAsia="Arial" w:hAnsi="Arial"/>
          <w:sz w:val="18"/>
          <w:szCs w:val="18"/>
          <w:color w:val="auto"/>
        </w:rPr>
        <w:t>” means the natural gas storage facility owned by SG Resources Mississippi, L.L.C., a Delaware limited liability company, and located in Greene County, Mississippi and extending into Mobile County, Alabama, which facility includes certain buildings, equipment, compressors, structures and pipelines located on a salt-dome storage cavern.</w:t>
      </w:r>
    </w:p>
    <w:p>
      <w:pPr>
        <w:spacing w:after="0" w:line="181"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Acquisition</w:t>
      </w:r>
      <w:r>
        <w:rPr>
          <w:rFonts w:ascii="Arial" w:cs="Arial" w:eastAsia="Arial" w:hAnsi="Arial"/>
          <w:sz w:val="16"/>
          <w:szCs w:val="16"/>
          <w:color w:val="auto"/>
        </w:rPr>
        <w:t>” means one or more acquisitions of assets or entities or operating lines or divisions or Equity Interests in any rolling 12-month period, excluding any acquisitions included in a prior Specified Acquisition, for an aggregate purchase price of not less than $150,000,000.</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Offering</w:t>
      </w:r>
      <w:r>
        <w:rPr>
          <w:rFonts w:ascii="Arial" w:cs="Arial" w:eastAsia="Arial" w:hAnsi="Arial"/>
          <w:sz w:val="18"/>
          <w:szCs w:val="18"/>
          <w:color w:val="auto"/>
        </w:rPr>
        <w:t>” means one or more issuances of equity by the Borrower for aggregate net cash proceeds of not less than fifty percent (50%) of the aggregate purchase price of the Specified Acquisition.</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Unrestricted Subsidiary shall be deemed to be a Subsidiary of any Restricted Person for purposes of any Loan Document except as provided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hereof. Unless otherwise specified, all references herein to a “Subsidiary” or to “Subsidiaries” shall refer to a Subsidiary or Subsidiaries of the Borrower.</w:t>
      </w:r>
    </w:p>
    <w:p>
      <w:pPr>
        <w:spacing w:after="0" w:line="18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Supermajority Lenders</w:t>
      </w:r>
      <w:r>
        <w:rPr>
          <w:rFonts w:ascii="Arial" w:cs="Arial" w:eastAsia="Arial" w:hAnsi="Arial"/>
          <w:sz w:val="18"/>
          <w:szCs w:val="18"/>
          <w:color w:val="auto"/>
        </w:rPr>
        <w:t xml:space="preserve">” means, as of any date of determination, Lenders (or as the context may require, Lenders directly affected thereby) having more than 75% of the Aggregate Commitments (or, with respect to Lenders directly affected thereby, the aggregate Commitments of such Lenders) or, if the commitment of each Lender to make Loans has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Lenders (or Lenders directly affected thereby) holding in the aggregate more than 75% of the Total Outstandings (or, with respect to Lenders directly affected thereby, the aggregate Outstanding Amount of such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Total Outstandings held by, any Defaulting Lender shall be excluded for purposes of making a determination of Supermajority Lenders.</w:t>
      </w:r>
    </w:p>
    <w:p>
      <w:pPr>
        <w:spacing w:after="0" w:line="193"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89" w:lineRule="exact"/>
        <w:rPr>
          <w:sz w:val="20"/>
          <w:szCs w:val="20"/>
          <w:color w:val="auto"/>
        </w:rPr>
      </w:pPr>
    </w:p>
    <w:p>
      <w:pPr>
        <w:ind w:right="44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w:t>
      </w:r>
    </w:p>
    <w:p>
      <w:pPr>
        <w:ind w:right="140"/>
        <w:spacing w:after="0" w:line="290" w:lineRule="auto"/>
        <w:rPr>
          <w:sz w:val="20"/>
          <w:szCs w:val="20"/>
          <w:color w:val="auto"/>
        </w:rPr>
      </w:pPr>
      <w:r>
        <w:rPr>
          <w:rFonts w:ascii="Arial" w:cs="Arial" w:eastAsia="Arial" w:hAnsi="Arial"/>
          <w:sz w:val="17"/>
          <w:szCs w:val="17"/>
          <w:color w:val="auto"/>
        </w:rPr>
        <w:t>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ectPr>
          <w:pgSz w:w="11900" w:h="16838" w:orient="portrait"/>
          <w:cols w:equalWidth="0" w:num="1">
            <w:col w:w="11400"/>
          </w:cols>
          <w:pgMar w:left="240" w:top="125" w:right="259" w:bottom="0" w:gutter="0" w:footer="0" w:header="0"/>
        </w:sectPr>
      </w:pPr>
    </w:p>
    <w:bookmarkStart w:id="17" w:name="page18"/>
    <w:bookmarkEnd w:id="17"/>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420" w:firstLine="8"/>
        <w:spacing w:after="0" w:line="302"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included in the foregoing, Operating Leases entered into in the ordinary course of business are excluded therefrom.</w:t>
      </w:r>
    </w:p>
    <w:p>
      <w:pPr>
        <w:spacing w:after="0" w:line="15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$50,000,000.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Borrowing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1" w:lineRule="exact"/>
        <w:rPr>
          <w:sz w:val="20"/>
          <w:szCs w:val="20"/>
          <w:color w:val="auto"/>
        </w:rPr>
      </w:pPr>
    </w:p>
    <w:p>
      <w:pPr>
        <w:ind w:right="100" w:firstLine="869"/>
        <w:spacing w:after="0" w:line="282" w:lineRule="auto"/>
        <w:rPr>
          <w:sz w:val="20"/>
          <w:szCs w:val="20"/>
          <w:color w:val="auto"/>
        </w:rPr>
      </w:pPr>
      <w:r>
        <w:rPr>
          <w:rFonts w:ascii="Arial" w:cs="Arial" w:eastAsia="Arial" w:hAnsi="Arial"/>
          <w:sz w:val="18"/>
          <w:szCs w:val="18"/>
          <w:b w:val="1"/>
          <w:bCs w:val="1"/>
          <w:color w:val="auto"/>
        </w:rPr>
        <w:t>1.02 Other Interpretive Provisions</w:t>
      </w:r>
      <w:r>
        <w:rPr>
          <w:rFonts w:ascii="Arial" w:cs="Arial" w:eastAsia="Arial" w:hAnsi="Arial"/>
          <w:sz w:val="18"/>
          <w:szCs w:val="18"/>
          <w:color w:val="auto"/>
        </w:rPr>
        <w:t>. With reference to this Agreement and each other Loan Document, unless otherwise specified herein or</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other Loan Document: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firstLine="644"/>
        <w:spacing w:after="0" w:line="268" w:lineRule="auto"/>
        <w:tabs>
          <w:tab w:leader="none" w:pos="141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 “</w:t>
      </w:r>
      <w:r>
        <w:rPr>
          <w:rFonts w:ascii="Arial" w:cs="Arial" w:eastAsia="Arial" w:hAnsi="Arial"/>
          <w:sz w:val="17"/>
          <w:szCs w:val="17"/>
          <w:u w:val="single" w:color="auto"/>
          <w:color w:val="auto"/>
        </w:rPr>
        <w:t>or</w:t>
      </w:r>
      <w:r>
        <w:rPr>
          <w:rFonts w:ascii="Arial" w:cs="Arial" w:eastAsia="Arial" w:hAnsi="Arial"/>
          <w:sz w:val="17"/>
          <w:szCs w:val="17"/>
          <w:color w:val="auto"/>
        </w:rPr>
        <w:t>” is not exclusive and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t>
      </w:r>
      <w:r>
        <w:rPr>
          <w:rFonts w:ascii="Arial" w:cs="Arial" w:eastAsia="Arial" w:hAnsi="Arial"/>
          <w:sz w:val="17"/>
          <w:szCs w:val="17"/>
          <w:u w:val="single" w:color="auto"/>
          <w:color w:val="auto"/>
        </w:rPr>
        <w:t>will</w:t>
      </w:r>
      <w:r>
        <w:rPr>
          <w:rFonts w:ascii="Arial" w:cs="Arial" w:eastAsia="Arial" w:hAnsi="Arial"/>
          <w:sz w:val="17"/>
          <w:szCs w:val="17"/>
          <w:color w:val="auto"/>
        </w:rPr>
        <w:t>” shall be construed to have the same meaning and effect as the word “</w:t>
      </w:r>
      <w:r>
        <w:rPr>
          <w:rFonts w:ascii="Arial" w:cs="Arial" w:eastAsia="Arial" w:hAnsi="Arial"/>
          <w:sz w:val="17"/>
          <w:szCs w:val="17"/>
          <w:u w:val="single" w:color="auto"/>
          <w:color w:val="auto"/>
        </w:rPr>
        <w:t>shall</w:t>
      </w:r>
      <w:r>
        <w:rPr>
          <w:rFonts w:ascii="Arial" w:cs="Arial" w:eastAsia="Arial" w:hAnsi="Arial"/>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permitted assigns, (iii) the words “</w:t>
      </w:r>
      <w:r>
        <w:rPr>
          <w:rFonts w:ascii="Arial" w:cs="Arial" w:eastAsia="Arial" w:hAnsi="Arial"/>
          <w:sz w:val="17"/>
          <w:szCs w:val="17"/>
          <w:u w:val="single" w:color="auto"/>
          <w:color w:val="auto"/>
        </w:rPr>
        <w:t>hereto</w:t>
      </w:r>
      <w:r>
        <w:rPr>
          <w:rFonts w:ascii="Arial" w:cs="Arial" w:eastAsia="Arial" w:hAnsi="Arial"/>
          <w:sz w:val="17"/>
          <w:szCs w:val="17"/>
          <w:color w:val="auto"/>
        </w:rPr>
        <w:t>,”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185" w:lineRule="exact"/>
        <w:rPr>
          <w:rFonts w:ascii="Arial" w:cs="Arial" w:eastAsia="Arial" w:hAnsi="Arial"/>
          <w:sz w:val="17"/>
          <w:szCs w:val="17"/>
          <w:color w:val="auto"/>
        </w:rPr>
      </w:pPr>
    </w:p>
    <w:p>
      <w:pPr>
        <w:ind w:left="120" w:right="340" w:firstLine="644"/>
        <w:spacing w:after="0" w:line="277" w:lineRule="auto"/>
        <w:tabs>
          <w:tab w:leader="none" w:pos="1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720" w:firstLine="644"/>
        <w:spacing w:after="0" w:line="277" w:lineRule="auto"/>
        <w:tabs>
          <w:tab w:leader="none" w:pos="14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66"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Accounting Terms</w:t>
      </w:r>
      <w:r>
        <w:rPr>
          <w:rFonts w:ascii="Arial" w:cs="Arial" w:eastAsia="Arial" w:hAnsi="Arial"/>
          <w:sz w:val="15"/>
          <w:szCs w:val="15"/>
          <w:color w:val="auto"/>
        </w:rPr>
        <w:t>.</w:t>
      </w:r>
    </w:p>
    <w:p>
      <w:pPr>
        <w:spacing w:after="0" w:line="229" w:lineRule="exact"/>
        <w:rPr>
          <w:sz w:val="20"/>
          <w:szCs w:val="20"/>
          <w:color w:val="auto"/>
        </w:rPr>
      </w:pPr>
    </w:p>
    <w:p>
      <w:pPr>
        <w:jc w:val="both"/>
        <w:ind w:left="120" w:right="20" w:firstLine="644"/>
        <w:spacing w:after="0" w:line="259" w:lineRule="auto"/>
        <w:tabs>
          <w:tab w:leader="none" w:pos="141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186" w:lineRule="exact"/>
        <w:rPr>
          <w:rFonts w:ascii="Arial" w:cs="Arial" w:eastAsia="Arial" w:hAnsi="Arial"/>
          <w:sz w:val="18"/>
          <w:szCs w:val="18"/>
          <w:color w:val="auto"/>
        </w:rPr>
      </w:pPr>
    </w:p>
    <w:p>
      <w:pPr>
        <w:ind w:left="120" w:right="20" w:firstLine="644"/>
        <w:spacing w:after="0" w:line="259" w:lineRule="auto"/>
        <w:tabs>
          <w:tab w:leader="none" w:pos="14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0" w:right="60"/>
        <w:spacing w:after="0" w:line="264" w:lineRule="auto"/>
        <w:rPr>
          <w:sz w:val="20"/>
          <w:szCs w:val="20"/>
          <w:color w:val="auto"/>
        </w:rPr>
      </w:pPr>
      <w:r>
        <w:rPr>
          <w:rFonts w:ascii="Arial" w:cs="Arial" w:eastAsia="Arial" w:hAnsi="Arial"/>
          <w:sz w:val="18"/>
          <w:szCs w:val="18"/>
          <w:color w:val="auto"/>
        </w:rPr>
        <w:t>to be computed in accordance with GAAP prior to such change therein and (ii) the Borrower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7" w:lineRule="exact"/>
        <w:rPr>
          <w:sz w:val="20"/>
          <w:szCs w:val="20"/>
          <w:color w:val="auto"/>
        </w:rPr>
      </w:pPr>
    </w:p>
    <w:p>
      <w:pPr>
        <w:jc w:val="both"/>
        <w:ind w:right="200" w:firstLine="869"/>
        <w:spacing w:after="0" w:line="266"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Borrower pursuant to this Agreement shall be calculated by dividing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right="20" w:firstLine="869"/>
        <w:spacing w:after="0" w:line="282" w:lineRule="auto"/>
        <w:rPr>
          <w:sz w:val="20"/>
          <w:szCs w:val="20"/>
          <w:color w:val="auto"/>
        </w:rPr>
      </w:pPr>
      <w:r>
        <w:rPr>
          <w:rFonts w:ascii="Arial" w:cs="Arial" w:eastAsia="Arial" w:hAnsi="Arial"/>
          <w:sz w:val="18"/>
          <w:szCs w:val="18"/>
          <w:b w:val="1"/>
          <w:bCs w:val="1"/>
          <w:color w:val="auto"/>
        </w:rPr>
        <w:t>1.05 Times of Day</w:t>
      </w:r>
      <w:r>
        <w:rPr>
          <w:rFonts w:ascii="Arial" w:cs="Arial" w:eastAsia="Arial" w:hAnsi="Arial"/>
          <w:sz w:val="18"/>
          <w:szCs w:val="18"/>
          <w:color w:val="auto"/>
        </w:rPr>
        <w:t>. Unless otherwise specified, all references herein to times of day shall be references to Eastern time (daylight or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THE COMMITMENTS AND LOANS</w:t>
      </w:r>
    </w:p>
    <w:p>
      <w:pPr>
        <w:sectPr>
          <w:pgSz w:w="11900" w:h="16870" w:orient="portrait"/>
          <w:cols w:equalWidth="0" w:num="1">
            <w:col w:w="11400"/>
          </w:cols>
          <w:pgMar w:left="240" w:top="125" w:right="259" w:bottom="0" w:gutter="0" w:footer="0" w:header="0"/>
        </w:sectPr>
      </w:pPr>
    </w:p>
    <w:bookmarkStart w:id="18" w:name="page19"/>
    <w:bookmarkEnd w:id="18"/>
    <w:p>
      <w:pPr>
        <w:spacing w:after="0" w:line="32" w:lineRule="exact"/>
        <w:rPr>
          <w:sz w:val="20"/>
          <w:szCs w:val="20"/>
          <w:color w:val="auto"/>
        </w:rPr>
      </w:pPr>
    </w:p>
    <w:p>
      <w:pPr>
        <w:ind w:right="260" w:firstLine="869"/>
        <w:spacing w:after="0" w:line="255" w:lineRule="auto"/>
        <w:rPr>
          <w:sz w:val="20"/>
          <w:szCs w:val="20"/>
          <w:color w:val="auto"/>
        </w:rPr>
      </w:pPr>
      <w:r>
        <w:rPr>
          <w:rFonts w:ascii="Arial" w:cs="Arial" w:eastAsia="Arial" w:hAnsi="Arial"/>
          <w:sz w:val="18"/>
          <w:szCs w:val="18"/>
          <w:b w:val="1"/>
          <w:bCs w:val="1"/>
          <w:color w:val="auto"/>
        </w:rPr>
        <w:t>2.01 Loans</w:t>
      </w:r>
      <w:r>
        <w:rPr>
          <w:rFonts w:ascii="Arial" w:cs="Arial" w:eastAsia="Arial" w:hAnsi="Arial"/>
          <w:sz w:val="18"/>
          <w:szCs w:val="18"/>
          <w:color w:val="auto"/>
        </w:rPr>
        <w:t>. Subject to the terms and conditions set forth herein, each Lender severally agrees to make loans (each such loan, a “</w:t>
      </w:r>
      <w:r>
        <w:rPr>
          <w:rFonts w:ascii="Arial" w:cs="Arial" w:eastAsia="Arial" w:hAnsi="Arial"/>
          <w:sz w:val="18"/>
          <w:szCs w:val="18"/>
          <w:u w:val="single" w:color="auto"/>
          <w:color w:val="auto"/>
        </w:rPr>
        <w:t>Loan</w:t>
      </w:r>
      <w:r>
        <w:rPr>
          <w:rFonts w:ascii="Arial" w:cs="Arial" w:eastAsia="Arial" w:hAnsi="Arial"/>
          <w:sz w:val="18"/>
          <w:szCs w:val="18"/>
          <w:color w:val="auto"/>
        </w:rPr>
        <w: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Borrower in Dollars from time to time on a several basis, on any Business Day during the Availability Period, in an aggregate principal amount not to exceed at any time outstanding the amount of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Borrowing, (i) the Total Outstandings shall not exceed the Aggregate Commitments, and (ii) the aggregate Outstanding Amount of the Loans of any Lender shall not exceed such Lender’s Commitment. Within the limits of each Lender’s Commitment, and subject to the other terms and conditions hereof, the Borrower may 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Loans may be Base Rate Loans or Eurodollar Rate Loans, as further provided herein.</w:t>
      </w:r>
    </w:p>
    <w:p>
      <w:pPr>
        <w:spacing w:after="0" w:line="189"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Loans</w:t>
      </w:r>
      <w:r>
        <w:rPr>
          <w:rFonts w:ascii="Arial" w:cs="Arial" w:eastAsia="Arial" w:hAnsi="Arial"/>
          <w:sz w:val="16"/>
          <w:szCs w:val="16"/>
          <w:color w:val="auto"/>
        </w:rPr>
        <w:t>.</w:t>
      </w:r>
    </w:p>
    <w:p>
      <w:pPr>
        <w:spacing w:after="0" w:line="229" w:lineRule="exact"/>
        <w:rPr>
          <w:sz w:val="20"/>
          <w:szCs w:val="20"/>
          <w:color w:val="auto"/>
        </w:rPr>
      </w:pPr>
    </w:p>
    <w:p>
      <w:pPr>
        <w:ind w:left="120" w:firstLine="644"/>
        <w:spacing w:after="0" w:line="270" w:lineRule="auto"/>
        <w:tabs>
          <w:tab w:leader="none" w:pos="14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Each Borrowing, each conversion of Loans from one Type to the other, and each continuation of Eurodollar Rate Loans shall be made upon the Borrower’s irrevocable (subject to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notice to the Administrative Agent, which may be given by (A) telephone or (B) a Loan Notice; provided that any telephonic notice must be confirmed immediately by delivery to the Administrative Agent of a Loan Notice. Each such Loan Notice must be received by the Administrative Agent not later than 12:00 p.m. (i) two Business Days prior to the requested date of (A) any Borrowing of Eurodollar Rate Loans, or (B) any conversion to or continuation of Eurodollar Rate Loans to Base Rate Loans, and (ii) on the requested date of any Borrowing of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Borrower wishes to request Eurodollar Rate Loans having an Interest Period other than seven days, one month, two months, three months or six months in duration as provided in the definition of “Interest Period,” the applicable notice must be received by the Administrative Agent not later than 12:00 p.m. three Business Days prior to the requested date of such Borrowing, conversion or continuation, whereupon the Administrative Agent (x) shall give prompt notice to the Lenders of such request and determine whether the requested Interest Period is acceptable to all such Lenders and (y) not later than 12:00 p.m., two Business Days before the requested date of such Borrowing,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 xml:space="preserve">conversion or continuation, shall notify the Borrower (which notice may be by telephone) whether or not the requested Interest Period has been consented to by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if any requested Borrowing or portion thereof is to be utilized exclusively for working capital purposes (such Borrowing or such portion being called a “</w:t>
      </w:r>
      <w:r>
        <w:rPr>
          <w:rFonts w:ascii="Arial" w:cs="Arial" w:eastAsia="Arial" w:hAnsi="Arial"/>
          <w:sz w:val="17"/>
          <w:szCs w:val="17"/>
          <w:u w:val="single" w:color="auto"/>
          <w:color w:val="auto"/>
        </w:rPr>
        <w:t>Working Capital Borrowing</w:t>
      </w:r>
      <w:r>
        <w:rPr>
          <w:rFonts w:ascii="Arial" w:cs="Arial" w:eastAsia="Arial" w:hAnsi="Arial"/>
          <w:sz w:val="17"/>
          <w:szCs w:val="17"/>
          <w:color w:val="auto"/>
        </w:rPr>
        <w:t xml:space="preserve">”), the Borrower shall specify in the Loan Notice that such Borrowing or such portion is a Working Capital Borrowing. In addition, any repayment of a Loan that is intended as a repayment of all or any part of the outstanding amount of one or more Working Capital Borrowings shall be so identified to the Administrative Agent at the time of such repayment. Each telephonic notice by the Borrower pursuant to this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must be confirmed promptly by delivery to the Administrative Agent of a written Loan Notice, appropriately completed and signed by a Responsible Officer of the Borrower. Each Borrowing of, conversion to or continuation of Eurodollar Rate Loans shall be in a principal amount of $1,000,000 or a whole multiple of $100,000 in excess thereof. Except as provided in </w:t>
      </w:r>
      <w:r>
        <w:rPr>
          <w:rFonts w:ascii="Arial" w:cs="Arial" w:eastAsia="Arial" w:hAnsi="Arial"/>
          <w:sz w:val="17"/>
          <w:szCs w:val="17"/>
          <w:u w:val="single" w:color="auto"/>
          <w:color w:val="auto"/>
        </w:rPr>
        <w:t>Section 2.03(b)</w:t>
      </w:r>
      <w:r>
        <w:rPr>
          <w:rFonts w:ascii="Arial" w:cs="Arial" w:eastAsia="Arial" w:hAnsi="Arial"/>
          <w:sz w:val="17"/>
          <w:szCs w:val="17"/>
          <w:color w:val="auto"/>
        </w:rPr>
        <w:t>, each Borrowing of or conversion to Base Rate Loans shall be in a principal amount of $1,000,000 or a whole multiple of $100,000 in excess thereof. Each Loan Notice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month.</w:t>
      </w:r>
    </w:p>
    <w:p>
      <w:pPr>
        <w:spacing w:after="0" w:line="193" w:lineRule="exact"/>
        <w:rPr>
          <w:sz w:val="20"/>
          <w:szCs w:val="20"/>
          <w:color w:val="auto"/>
        </w:rPr>
      </w:pPr>
    </w:p>
    <w:p>
      <w:pPr>
        <w:ind w:left="120" w:right="20" w:firstLine="644"/>
        <w:spacing w:after="0" w:line="269" w:lineRule="auto"/>
        <w:tabs>
          <w:tab w:leader="none" w:pos="14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Borrowing consists of the initial Loans, </w:t>
      </w:r>
      <w:r>
        <w:rPr>
          <w:rFonts w:ascii="Arial" w:cs="Arial" w:eastAsia="Arial" w:hAnsi="Arial"/>
          <w:sz w:val="17"/>
          <w:szCs w:val="17"/>
          <w:u w:val="single" w:color="auto"/>
          <w:color w:val="auto"/>
        </w:rPr>
        <w:t>Sections 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the Administrative Agent shall make all funds so received available to the Borrower in like funds as received by the Administrative Agent, at the Borrower’s election, either by (i) crediting the account of the Borrower on the books of Bank of America with the amount of such funds or (ii) wire transfer of such funds, in each case in accordance with instructions provided in the corresponding Loan Notice; provided, however, if such instructions significantly differ from instructions of similar nature which customarily have been given by the Borrower to the Administrative Agent, and accepted by the Administrative Agent, then following prompt notice by the Administrative Agent to the Borrower that such differing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instructions are not reasonably acceptable to the Administrative Agent, then on instructions otherwise reasonably acceptable to the Administrative Agent and the Borrower.</w:t>
      </w:r>
    </w:p>
    <w:p>
      <w:pPr>
        <w:spacing w:after="0" w:line="170" w:lineRule="exact"/>
        <w:rPr>
          <w:sz w:val="20"/>
          <w:szCs w:val="20"/>
          <w:color w:val="auto"/>
        </w:rPr>
      </w:pPr>
    </w:p>
    <w:p>
      <w:pPr>
        <w:ind w:left="120" w:right="120" w:firstLine="644"/>
        <w:spacing w:after="0" w:line="264" w:lineRule="auto"/>
        <w:tabs>
          <w:tab w:leader="none" w:pos="14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Upon the occurrence and during the continuation of an Event of Default, no Loans may be requested as, converted to or continued as Eurodollar Rate Loans without the consent of the Required Lenders.</w:t>
      </w:r>
    </w:p>
    <w:p>
      <w:pPr>
        <w:spacing w:after="0" w:line="181" w:lineRule="exact"/>
        <w:rPr>
          <w:rFonts w:ascii="Arial" w:cs="Arial" w:eastAsia="Arial" w:hAnsi="Arial"/>
          <w:sz w:val="18"/>
          <w:szCs w:val="18"/>
          <w:color w:val="auto"/>
        </w:rPr>
      </w:pPr>
    </w:p>
    <w:p>
      <w:pPr>
        <w:ind w:left="120" w:right="20" w:firstLine="644"/>
        <w:spacing w:after="0" w:line="259" w:lineRule="auto"/>
        <w:tabs>
          <w:tab w:leader="none" w:pos="1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and the effective date thereof promptly following the public announcement of such change.</w:t>
      </w:r>
    </w:p>
    <w:p>
      <w:pPr>
        <w:spacing w:after="0" w:line="186" w:lineRule="exact"/>
        <w:rPr>
          <w:rFonts w:ascii="Arial" w:cs="Arial" w:eastAsia="Arial" w:hAnsi="Arial"/>
          <w:sz w:val="18"/>
          <w:szCs w:val="18"/>
          <w:color w:val="auto"/>
        </w:rPr>
      </w:pPr>
    </w:p>
    <w:p>
      <w:pPr>
        <w:ind w:left="120" w:right="400" w:firstLine="644"/>
        <w:spacing w:after="0" w:line="277" w:lineRule="auto"/>
        <w:tabs>
          <w:tab w:leader="none" w:pos="14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Interest Periods in effect at any one time with respect to Loans.</w:t>
      </w:r>
    </w:p>
    <w:p>
      <w:pPr>
        <w:spacing w:after="0" w:line="166"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color w:val="auto"/>
        </w:rPr>
        <w:t>Prepayments</w:t>
      </w:r>
      <w:r>
        <w:rPr>
          <w:rFonts w:ascii="Arial" w:cs="Arial" w:eastAsia="Arial" w:hAnsi="Arial"/>
          <w:sz w:val="15"/>
          <w:szCs w:val="15"/>
          <w:color w:val="auto"/>
        </w:rPr>
        <w:t>.</w:t>
      </w:r>
    </w:p>
    <w:p>
      <w:pPr>
        <w:sectPr>
          <w:pgSz w:w="11900" w:h="16870" w:orient="portrait"/>
          <w:cols w:equalWidth="0" w:num="1">
            <w:col w:w="11420"/>
          </w:cols>
          <w:pgMar w:left="240" w:top="337" w:right="239" w:bottom="0" w:gutter="0" w:footer="0" w:header="0"/>
        </w:sectPr>
      </w:pPr>
    </w:p>
    <w:bookmarkStart w:id="19" w:name="page20"/>
    <w:bookmarkEnd w:id="19"/>
    <w:p>
      <w:pPr>
        <w:spacing w:after="0" w:line="106" w:lineRule="exact"/>
        <w:rPr>
          <w:sz w:val="20"/>
          <w:szCs w:val="20"/>
          <w:color w:val="auto"/>
        </w:rPr>
      </w:pPr>
    </w:p>
    <w:p>
      <w:pPr>
        <w:ind w:left="120" w:firstLine="644"/>
        <w:spacing w:after="0" w:line="286" w:lineRule="auto"/>
        <w:tabs>
          <w:tab w:leader="none" w:pos="14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Borrower may, upon notice from the Borrower to the Administrative Agent, at any time or from time to time voluntarily prepay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Administrative Agent not later than 12:00 p.m. (A) two Business Days prior to any date of prepayment of Eurodollar Rate Loans and (B) on the date of prepayment of Base Rate Loans; (ii) any prepayment of Eurodollar Rate Loans shall be in a principal amount of $2,500,000 or a whole multiple of $250,000 in excess thereof; and (iii) any prepayment of Base Rate Loans shall be in a principal amount of $250,000 or a whole multiple of $50,000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prepayment delivered by the Borrower may state that such notice is conditioned upon the effectiveness of other credit facilities or the closing of a securities offering, and the receipt of proceeds thereunder, in which case such notice may be revoked by the Borrower (by notice to the Administrative Agent on or prior to the specified effective date) if such conditions are not satisfied.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each such prepayment shall be applied to the Loans of the Lenders in accordance with their respective Applicable Percentages.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0" w:firstLine="640"/>
        <w:spacing w:after="0" w:line="277" w:lineRule="auto"/>
        <w:tabs>
          <w:tab w:leader="none" w:pos="14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for any reason the Total Outstandings at any time exceed the Aggregate Commitments then in effect, the Borrower shall immediately upon demand prepay Loans in an aggregate amount equal to such excess.</w:t>
      </w:r>
    </w:p>
    <w:p>
      <w:pPr>
        <w:spacing w:after="0" w:line="170" w:lineRule="exact"/>
        <w:rPr>
          <w:rFonts w:ascii="Arial" w:cs="Arial" w:eastAsia="Arial" w:hAnsi="Arial"/>
          <w:sz w:val="18"/>
          <w:szCs w:val="18"/>
          <w:color w:val="auto"/>
        </w:rPr>
      </w:pPr>
    </w:p>
    <w:p>
      <w:pPr>
        <w:ind w:left="120" w:right="120" w:firstLine="640"/>
        <w:spacing w:after="0" w:line="264" w:lineRule="auto"/>
        <w:tabs>
          <w:tab w:leader="none" w:pos="14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an economically meaningful period of time in each fiscal year of the Borrower, as reasonably determined by General Partner, the aggregate outstanding principal balance of all Working Capital Borrowings shall be reduced to a relatively small amount as may be reasonably specified by General Partner.</w:t>
      </w:r>
    </w:p>
    <w:p>
      <w:pPr>
        <w:spacing w:after="0" w:line="177" w:lineRule="exact"/>
        <w:rPr>
          <w:sz w:val="20"/>
          <w:szCs w:val="20"/>
          <w:color w:val="auto"/>
        </w:rPr>
      </w:pPr>
    </w:p>
    <w:p>
      <w:pPr>
        <w:ind w:right="60" w:firstLine="869"/>
        <w:spacing w:after="0" w:line="288" w:lineRule="auto"/>
        <w:rPr>
          <w:sz w:val="20"/>
          <w:szCs w:val="20"/>
          <w:color w:val="auto"/>
        </w:rPr>
      </w:pPr>
      <w:r>
        <w:rPr>
          <w:rFonts w:ascii="Arial" w:cs="Arial" w:eastAsia="Arial" w:hAnsi="Arial"/>
          <w:sz w:val="16"/>
          <w:szCs w:val="16"/>
          <w:b w:val="1"/>
          <w:bCs w:val="1"/>
          <w:color w:val="auto"/>
        </w:rPr>
        <w:t>2.04 Termination or Reduction of Commitments</w:t>
      </w:r>
      <w:r>
        <w:rPr>
          <w:rFonts w:ascii="Arial" w:cs="Arial" w:eastAsia="Arial" w:hAnsi="Arial"/>
          <w:sz w:val="16"/>
          <w:szCs w:val="16"/>
          <w:color w:val="auto"/>
        </w:rPr>
        <w:t>. The Borrower may, upon notice to the Administrative Agent, terminate the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and (iii) the Borrower shall not terminate or reduce the Aggregate Commitments if, after giving effect thereto and to any concurrent prepayments hereunder, the Total Outstandings would exceed the Aggregate Commitments; provided, further that a notice of termination or permanent reduction of the Aggregate Commitments delivered by the Borrower may state that such notice is conditioned upon the satisfaction of one or more conditions precedent described therein, in which case, such notice may be revoked by the Borrower (by notice to the Administrative Agent on or prior to the specified effective date) if such condition is, or conditions are, not satisfied. The Administrative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64" w:lineRule="exact"/>
        <w:rPr>
          <w:sz w:val="20"/>
          <w:szCs w:val="20"/>
          <w:color w:val="auto"/>
        </w:rPr>
      </w:pPr>
    </w:p>
    <w:p>
      <w:pPr>
        <w:ind w:right="60" w:firstLine="869"/>
        <w:spacing w:after="0" w:line="282" w:lineRule="auto"/>
        <w:rPr>
          <w:sz w:val="20"/>
          <w:szCs w:val="20"/>
          <w:color w:val="auto"/>
        </w:rPr>
      </w:pPr>
      <w:r>
        <w:rPr>
          <w:rFonts w:ascii="Arial" w:cs="Arial" w:eastAsia="Arial" w:hAnsi="Arial"/>
          <w:sz w:val="18"/>
          <w:szCs w:val="18"/>
          <w:b w:val="1"/>
          <w:bCs w:val="1"/>
          <w:color w:val="auto"/>
        </w:rPr>
        <w:t>2.05 Repayment of Loans</w:t>
      </w:r>
      <w:r>
        <w:rPr>
          <w:rFonts w:ascii="Arial" w:cs="Arial" w:eastAsia="Arial" w:hAnsi="Arial"/>
          <w:sz w:val="18"/>
          <w:szCs w:val="18"/>
          <w:color w:val="auto"/>
        </w:rPr>
        <w:t>. The Borrower shall repay to the Lenders on the Maturity Date the aggregate principal amount of Loans made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outstanding on such date.</w:t>
      </w:r>
    </w:p>
    <w:p>
      <w:pPr>
        <w:spacing w:after="0" w:line="162" w:lineRule="exact"/>
        <w:rPr>
          <w:sz w:val="20"/>
          <w:szCs w:val="20"/>
          <w:color w:val="auto"/>
        </w:rPr>
      </w:pPr>
    </w:p>
    <w:p>
      <w:pPr>
        <w:ind w:left="120" w:right="360" w:firstLine="765"/>
        <w:spacing w:after="0" w:line="293" w:lineRule="auto"/>
        <w:rPr>
          <w:sz w:val="20"/>
          <w:szCs w:val="20"/>
          <w:color w:val="auto"/>
        </w:rPr>
      </w:pPr>
      <w:r>
        <w:rPr>
          <w:rFonts w:ascii="Arial" w:cs="Arial" w:eastAsia="Arial" w:hAnsi="Arial"/>
          <w:sz w:val="16"/>
          <w:szCs w:val="16"/>
          <w:b w:val="1"/>
          <w:bCs w:val="1"/>
          <w:color w:val="auto"/>
        </w:rPr>
        <w:t>2.06 Interest</w:t>
      </w:r>
      <w:r>
        <w:rPr>
          <w:rFonts w:ascii="Arial" w:cs="Arial" w:eastAsia="Arial" w:hAnsi="Arial"/>
          <w:sz w:val="16"/>
          <w:szCs w:val="16"/>
          <w:color w:val="auto"/>
        </w:rPr>
        <w:t>. (a) Subject to the provisions of subsection (b) below, (i) each Eurodollar Rate Loan shall bear interest on the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principal amount thereof for each Interest Period at a rate per annum equal to the Eurodollar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and</w:t>
      </w:r>
    </w:p>
    <w:p>
      <w:pPr>
        <w:spacing w:after="0" w:line="1" w:lineRule="exact"/>
        <w:rPr>
          <w:sz w:val="20"/>
          <w:szCs w:val="20"/>
          <w:color w:val="auto"/>
        </w:rPr>
      </w:pPr>
    </w:p>
    <w:p>
      <w:pPr>
        <w:ind w:left="120" w:right="120" w:hanging="9"/>
        <w:spacing w:after="0" w:line="261" w:lineRule="auto"/>
        <w:tabs>
          <w:tab w:leader="none" w:pos="3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83" w:lineRule="exact"/>
        <w:rPr>
          <w:rFonts w:ascii="Arial" w:cs="Arial" w:eastAsia="Arial" w:hAnsi="Arial"/>
          <w:sz w:val="18"/>
          <w:szCs w:val="18"/>
          <w:color w:val="auto"/>
        </w:rPr>
      </w:pPr>
    </w:p>
    <w:p>
      <w:pPr>
        <w:ind w:left="120" w:right="20" w:firstLine="757"/>
        <w:spacing w:after="0" w:line="264" w:lineRule="auto"/>
        <w:tabs>
          <w:tab w:leader="none" w:pos="14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1" w:lineRule="exact"/>
        <w:rPr>
          <w:sz w:val="20"/>
          <w:szCs w:val="20"/>
          <w:color w:val="auto"/>
        </w:rPr>
      </w:pPr>
    </w:p>
    <w:p>
      <w:pPr>
        <w:ind w:left="660" w:right="520" w:firstLine="645"/>
        <w:spacing w:after="0" w:line="308" w:lineRule="auto"/>
        <w:tabs>
          <w:tab w:leader="none" w:pos="2023"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any amount (other than principal of any Loan) payable by the Borrower under any Loan Document is not paid when due, whether at stated maturity, by acceleration or otherwise, then upon the request of the Required Lenders, such amount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shall thereafter bear interest at a fluctuating interest rate per annum at all times equal to the Default Rate to the fullest extent permitted by applicable Laws.</w:t>
      </w:r>
    </w:p>
    <w:p>
      <w:pPr>
        <w:spacing w:after="0" w:line="170" w:lineRule="exact"/>
        <w:rPr>
          <w:sz w:val="20"/>
          <w:szCs w:val="20"/>
          <w:color w:val="auto"/>
        </w:rPr>
      </w:pPr>
    </w:p>
    <w:p>
      <w:pPr>
        <w:ind w:left="660" w:right="80" w:firstLine="645"/>
        <w:spacing w:after="0" w:line="308" w:lineRule="auto"/>
        <w:tabs>
          <w:tab w:leader="none" w:pos="202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During any Default Rate Period, the Borrower shall pay interest on the principal amount of all outstanding Obligations hereunder at a fluctuating interest rate per annum at all times equal to the Default Rate to the fullest extent permitted by applicable Laws.</w:t>
      </w:r>
    </w:p>
    <w:p>
      <w:pPr>
        <w:spacing w:after="0" w:line="146" w:lineRule="exact"/>
        <w:rPr>
          <w:rFonts w:ascii="Arial" w:cs="Arial" w:eastAsia="Arial" w:hAnsi="Arial"/>
          <w:sz w:val="17"/>
          <w:szCs w:val="17"/>
          <w:color w:val="auto"/>
        </w:rPr>
      </w:pPr>
    </w:p>
    <w:p>
      <w:pPr>
        <w:ind w:left="2020" w:hanging="715"/>
        <w:spacing w:after="0"/>
        <w:tabs>
          <w:tab w:leader="none" w:pos="20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rFonts w:ascii="Arial" w:cs="Arial" w:eastAsia="Arial" w:hAnsi="Arial"/>
          <w:sz w:val="16"/>
          <w:szCs w:val="16"/>
          <w:color w:val="auto"/>
        </w:rPr>
      </w:pPr>
    </w:p>
    <w:p>
      <w:pPr>
        <w:ind w:left="120" w:right="40" w:firstLine="644"/>
        <w:spacing w:after="0" w:line="264" w:lineRule="auto"/>
        <w:tabs>
          <w:tab w:leader="none" w:pos="14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7"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5"/>
          <w:szCs w:val="15"/>
          <w:b w:val="1"/>
          <w:bCs w:val="1"/>
          <w:color w:val="auto"/>
        </w:rPr>
        <w:t>Fees</w:t>
      </w:r>
      <w:r>
        <w:rPr>
          <w:rFonts w:ascii="Arial" w:cs="Arial" w:eastAsia="Arial" w:hAnsi="Arial"/>
          <w:sz w:val="15"/>
          <w:szCs w:val="15"/>
          <w:color w:val="auto"/>
        </w:rPr>
        <w:t>.</w:t>
      </w:r>
    </w:p>
    <w:p>
      <w:pPr>
        <w:spacing w:after="0" w:line="229" w:lineRule="exact"/>
        <w:rPr>
          <w:sz w:val="20"/>
          <w:szCs w:val="20"/>
          <w:color w:val="auto"/>
        </w:rPr>
      </w:pPr>
    </w:p>
    <w:p>
      <w:pPr>
        <w:ind w:left="120" w:right="140" w:firstLine="644"/>
        <w:spacing w:after="0" w:line="302" w:lineRule="auto"/>
        <w:tabs>
          <w:tab w:leader="none" w:pos="146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Facility Fee</w:t>
      </w:r>
      <w:r>
        <w:rPr>
          <w:rFonts w:ascii="Arial" w:cs="Arial" w:eastAsia="Arial" w:hAnsi="Arial"/>
          <w:sz w:val="16"/>
          <w:szCs w:val="16"/>
          <w:color w:val="auto"/>
        </w:rPr>
        <w:t xml:space="preserve">. The Borrower shall pay to the Administrative Agent for the account of each Lender in accordance with its Applicable Percentage, a facility fee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actual daily amount of the Aggregate Commitments (or, if the Aggregate Commitments have terminated, on the Outstanding Amount of all Loans), regardless of usage, subject to adjustment as provided in </w:t>
      </w:r>
      <w:r>
        <w:rPr>
          <w:rFonts w:ascii="Arial" w:cs="Arial" w:eastAsia="Arial" w:hAnsi="Arial"/>
          <w:sz w:val="16"/>
          <w:szCs w:val="16"/>
          <w:u w:val="single" w:color="auto"/>
          <w:color w:val="auto"/>
        </w:rPr>
        <w:t>Section 2.12</w:t>
      </w:r>
      <w:r>
        <w:rPr>
          <w:rFonts w:ascii="Arial" w:cs="Arial" w:eastAsia="Arial" w:hAnsi="Arial"/>
          <w:sz w:val="16"/>
          <w:szCs w:val="16"/>
          <w:color w:val="auto"/>
        </w:rPr>
        <w:t>. The facility fee shall accrue at all times during the Availability Period (and thereafter so long as any Loans remain outstanding), including at any time during which one or more</w:t>
      </w:r>
    </w:p>
    <w:p>
      <w:pPr>
        <w:sectPr>
          <w:pgSz w:w="11900" w:h="16945" w:orient="portrait"/>
          <w:cols w:equalWidth="0" w:num="1">
            <w:col w:w="11420"/>
          </w:cols>
          <w:pgMar w:left="240" w:top="341" w:right="239" w:bottom="0" w:gutter="0" w:footer="0" w:header="0"/>
        </w:sectPr>
      </w:pPr>
    </w:p>
    <w:bookmarkStart w:id="20" w:name="page21"/>
    <w:bookmarkEnd w:id="20"/>
    <w:p>
      <w:pPr>
        <w:ind w:left="120" w:right="140"/>
        <w:spacing w:after="0" w:line="302" w:lineRule="auto"/>
        <w:rPr>
          <w:sz w:val="20"/>
          <w:szCs w:val="20"/>
          <w:color w:val="auto"/>
        </w:rPr>
      </w:pPr>
      <w:r>
        <w:rPr>
          <w:rFonts w:ascii="Arial" w:cs="Arial" w:eastAsia="Arial" w:hAnsi="Arial"/>
          <w:sz w:val="16"/>
          <w:szCs w:val="16"/>
          <w:color w:val="auto"/>
        </w:rPr>
        <w:t xml:space="preserve">of the conditions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54" w:lineRule="exact"/>
        <w:rPr>
          <w:sz w:val="20"/>
          <w:szCs w:val="20"/>
          <w:color w:val="auto"/>
        </w:rPr>
      </w:pPr>
    </w:p>
    <w:p>
      <w:pPr>
        <w:ind w:left="120" w:right="460" w:firstLine="644"/>
        <w:spacing w:after="0" w:line="342" w:lineRule="auto"/>
        <w:tabs>
          <w:tab w:leader="none" w:pos="147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Other Fees</w:t>
      </w:r>
      <w:r>
        <w:rPr>
          <w:rFonts w:ascii="Arial" w:cs="Arial" w:eastAsia="Arial" w:hAnsi="Arial"/>
          <w:sz w:val="16"/>
          <w:szCs w:val="16"/>
          <w:color w:val="auto"/>
        </w:rPr>
        <w:t>. (i) The Borrower shall pay to the Administrative Agent for its account an agency fee in the amount specified in the Fee Letter. Such fees shall be fully earned when paid and shall not be refundable for any reason whatsoever, except as expressly set forth therein.</w:t>
      </w:r>
    </w:p>
    <w:p>
      <w:pPr>
        <w:spacing w:after="0" w:line="123" w:lineRule="exact"/>
        <w:rPr>
          <w:rFonts w:ascii="Arial" w:cs="Arial" w:eastAsia="Arial" w:hAnsi="Arial"/>
          <w:sz w:val="16"/>
          <w:szCs w:val="16"/>
          <w:color w:val="auto"/>
        </w:rPr>
      </w:pPr>
    </w:p>
    <w:p>
      <w:pPr>
        <w:ind w:left="660" w:right="80" w:firstLine="645"/>
        <w:spacing w:after="0" w:line="312" w:lineRule="auto"/>
        <w:tabs>
          <w:tab w:leader="none" w:pos="2023"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Borrower shall pay to the Arrangers and the Lenders such fees as shall have been separately agreed upon between the Borrower and the Administrative Agent and/or Arrangers and/or Lenders, as the case may be, in writing in the amounts and at the times so specified. Such fees shall be fully earned when paid and shall not be refundable for any reason whatsoever, except as expressly agreed to in writing.</w:t>
      </w:r>
    </w:p>
    <w:p>
      <w:pPr>
        <w:spacing w:after="0" w:line="143" w:lineRule="exact"/>
        <w:rPr>
          <w:sz w:val="20"/>
          <w:szCs w:val="20"/>
          <w:color w:val="auto"/>
        </w:rPr>
      </w:pPr>
    </w:p>
    <w:p>
      <w:pPr>
        <w:ind w:right="460" w:firstLine="869"/>
        <w:spacing w:after="0" w:line="313" w:lineRule="auto"/>
        <w:rPr>
          <w:sz w:val="20"/>
          <w:szCs w:val="20"/>
          <w:color w:val="auto"/>
        </w:rPr>
      </w:pPr>
      <w:r>
        <w:rPr>
          <w:rFonts w:ascii="Arial" w:cs="Arial" w:eastAsia="Arial" w:hAnsi="Arial"/>
          <w:sz w:val="17"/>
          <w:szCs w:val="17"/>
          <w:b w:val="1"/>
          <w:bCs w:val="1"/>
          <w:color w:val="auto"/>
        </w:rPr>
        <w:t>2.08 Computation of Interest and Fees</w:t>
      </w:r>
      <w:r>
        <w:rPr>
          <w:rFonts w:ascii="Arial" w:cs="Arial" w:eastAsia="Arial" w:hAnsi="Arial"/>
          <w:sz w:val="17"/>
          <w:szCs w:val="17"/>
          <w:color w:val="auto"/>
        </w:rPr>
        <w:t>. All computations of interest for Base Rate Loans (including Base Rate Loans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to the Eurodollar Rate) shall be made on the basis of a year of 365 or 366 days, as the case may be, and actual days elapsed. All other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 xml:space="preserve">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2.10(a)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84" w:lineRule="exact"/>
        <w:rPr>
          <w:sz w:val="20"/>
          <w:szCs w:val="20"/>
          <w:color w:val="auto"/>
        </w:rPr>
      </w:pPr>
    </w:p>
    <w:p>
      <w:pPr>
        <w:ind w:right="20" w:firstLine="869"/>
        <w:spacing w:after="0" w:line="290" w:lineRule="auto"/>
        <w:rPr>
          <w:sz w:val="20"/>
          <w:szCs w:val="20"/>
          <w:color w:val="auto"/>
        </w:rPr>
      </w:pPr>
      <w:r>
        <w:rPr>
          <w:rFonts w:ascii="Arial" w:cs="Arial" w:eastAsia="Arial" w:hAnsi="Arial"/>
          <w:sz w:val="16"/>
          <w:szCs w:val="16"/>
          <w:b w:val="1"/>
          <w:bCs w:val="1"/>
          <w:color w:val="auto"/>
        </w:rPr>
        <w:t>2.09 Evidence of Debt</w:t>
      </w:r>
      <w:r>
        <w:rPr>
          <w:rFonts w:ascii="Arial" w:cs="Arial" w:eastAsia="Arial" w:hAnsi="Arial"/>
          <w:sz w:val="16"/>
          <w:szCs w:val="16"/>
          <w:color w:val="auto"/>
        </w:rPr>
        <w:t>. The Loans made by each Lender shall be evidenced by one or more accounts or records maintained by such Lender</w:t>
      </w:r>
      <w:r>
        <w:rPr>
          <w:rFonts w:ascii="Arial" w:cs="Arial" w:eastAsia="Arial" w:hAnsi="Arial"/>
          <w:sz w:val="16"/>
          <w:szCs w:val="16"/>
          <w:b w:val="1"/>
          <w:bCs w:val="1"/>
          <w:color w:val="auto"/>
        </w:rPr>
        <w:t xml:space="preserve"> </w:t>
      </w:r>
      <w:r>
        <w:rPr>
          <w:rFonts w:ascii="Arial" w:cs="Arial" w:eastAsia="Arial" w:hAnsi="Arial"/>
          <w:sz w:val="16"/>
          <w:szCs w:val="16"/>
          <w:color w:val="auto"/>
        </w:rPr>
        <w:t>and 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on its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which shall evidence such Lender’s Loans to the Borrower in addition to such accounts or records. Each Lender may attach schedules to a Note and endorse thereon the date, Type (if applicable), amount and maturity of its Loans and payments with respect thereto.</w:t>
      </w:r>
    </w:p>
    <w:p>
      <w:pPr>
        <w:spacing w:after="0" w:line="160"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Payments Generally; Administrative Agent’s Clawback</w:t>
      </w:r>
      <w:r>
        <w:rPr>
          <w:rFonts w:ascii="Arial" w:cs="Arial" w:eastAsia="Arial" w:hAnsi="Arial"/>
          <w:sz w:val="16"/>
          <w:szCs w:val="16"/>
          <w:color w:val="auto"/>
        </w:rPr>
        <w:t>.</w:t>
      </w:r>
    </w:p>
    <w:p>
      <w:pPr>
        <w:spacing w:after="0" w:line="229" w:lineRule="exact"/>
        <w:rPr>
          <w:sz w:val="20"/>
          <w:szCs w:val="20"/>
          <w:color w:val="auto"/>
        </w:rPr>
      </w:pPr>
    </w:p>
    <w:p>
      <w:pPr>
        <w:ind w:left="120" w:firstLine="644"/>
        <w:spacing w:after="0" w:line="290" w:lineRule="auto"/>
        <w:tabs>
          <w:tab w:leader="none" w:pos="146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in each case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6" w:lineRule="exact"/>
        <w:rPr>
          <w:rFonts w:ascii="Arial" w:cs="Arial" w:eastAsia="Arial" w:hAnsi="Arial"/>
          <w:sz w:val="16"/>
          <w:szCs w:val="16"/>
          <w:color w:val="auto"/>
        </w:rPr>
      </w:pPr>
    </w:p>
    <w:p>
      <w:pPr>
        <w:ind w:left="120" w:right="40" w:firstLine="644"/>
        <w:spacing w:after="0" w:line="259" w:lineRule="auto"/>
        <w:tabs>
          <w:tab w:leader="none" w:pos="14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Unless the Administrative Agent shall have received notice from a Lender prior to the proposed date of any Borrowing of Eurodollar Rate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principal or interest to the Administrative Agent for the same or an overlapping period, the Administrative Agent shall promptly remit to the Borrower the amount of such principal and interest paid by the Borrower for such period. If such Lender pays its share of the applicable Borrowing to the Administrative Agent, then the amount so paid (excluding interest and fees as aforesaid)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75" w:lineRule="exact"/>
        <w:rPr>
          <w:sz w:val="20"/>
          <w:szCs w:val="20"/>
          <w:color w:val="auto"/>
        </w:rPr>
      </w:pPr>
    </w:p>
    <w:p>
      <w:pPr>
        <w:ind w:left="660" w:right="20" w:firstLine="645"/>
        <w:spacing w:after="0" w:line="293" w:lineRule="auto"/>
        <w:tabs>
          <w:tab w:leader="none" w:pos="2023"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w:t>
      </w:r>
    </w:p>
    <w:p>
      <w:pPr>
        <w:sectPr>
          <w:pgSz w:w="11900" w:h="16838" w:orient="portrait"/>
          <w:cols w:equalWidth="0" w:num="1">
            <w:col w:w="11420"/>
          </w:cols>
          <w:pgMar w:left="240" w:top="125" w:right="239" w:bottom="0" w:gutter="0" w:footer="0" w:header="0"/>
        </w:sectPr>
      </w:pPr>
    </w:p>
    <w:bookmarkStart w:id="21" w:name="page22"/>
    <w:bookmarkEnd w:id="21"/>
    <w:p>
      <w:pPr>
        <w:spacing w:after="0" w:line="137"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excluding the date of payment to the Administrative Agent, at the greater of the applicable Overnight Rate from time to time in effect and a rate determined by the Administrative Agent in accordance with banking industry rules on interbank compensation.</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 notice of the Administrative Agent to any Lender or Borrower with respect to any amount owing under this subsection (b) shall be conclusive, absent manifest error.</w:t>
      </w:r>
    </w:p>
    <w:p>
      <w:pPr>
        <w:spacing w:after="0" w:line="170" w:lineRule="exact"/>
        <w:rPr>
          <w:sz w:val="20"/>
          <w:szCs w:val="20"/>
          <w:color w:val="auto"/>
        </w:rPr>
      </w:pPr>
    </w:p>
    <w:p>
      <w:pPr>
        <w:ind w:left="120" w:right="140" w:firstLine="644"/>
        <w:spacing w:after="0" w:line="279" w:lineRule="auto"/>
        <w:tabs>
          <w:tab w:leader="none" w:pos="146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to the Borrower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Loans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hanging="696"/>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The obligations of the Lenders hereunder to make Loans and to make payments pursuant to</w:t>
      </w:r>
    </w:p>
    <w:p>
      <w:pPr>
        <w:spacing w:after="0" w:line="2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u w:val="single" w:color="auto"/>
          <w:color w:val="auto"/>
        </w:rPr>
        <w:t>Section 10.04(d)</w:t>
      </w:r>
      <w:r>
        <w:rPr>
          <w:rFonts w:ascii="Arial" w:cs="Arial" w:eastAsia="Arial" w:hAnsi="Arial"/>
          <w:sz w:val="18"/>
          <w:szCs w:val="18"/>
          <w:color w:val="auto"/>
        </w:rPr>
        <w:t xml:space="preserve"> are several and not joint. The failure of any Lender to make any Loan or to make any payment under </w:t>
      </w:r>
      <w:r>
        <w:rPr>
          <w:rFonts w:ascii="Arial" w:cs="Arial" w:eastAsia="Arial" w:hAnsi="Arial"/>
          <w:sz w:val="18"/>
          <w:szCs w:val="18"/>
          <w:u w:val="single" w:color="auto"/>
          <w:color w:val="auto"/>
        </w:rPr>
        <w:t>Section 10.04(d)</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Arial" w:cs="Arial" w:eastAsia="Arial" w:hAnsi="Arial"/>
          <w:sz w:val="18"/>
          <w:szCs w:val="18"/>
          <w:u w:val="single" w:color="auto"/>
          <w:color w:val="auto"/>
        </w:rPr>
        <w:t>Section 10.04(d)</w:t>
      </w:r>
      <w:r>
        <w:rPr>
          <w:rFonts w:ascii="Arial" w:cs="Arial" w:eastAsia="Arial" w:hAnsi="Arial"/>
          <w:sz w:val="18"/>
          <w:szCs w:val="18"/>
          <w:color w:val="auto"/>
        </w:rPr>
        <w:t>.</w:t>
      </w:r>
    </w:p>
    <w:p>
      <w:pPr>
        <w:spacing w:after="0" w:line="190" w:lineRule="exact"/>
        <w:rPr>
          <w:sz w:val="20"/>
          <w:szCs w:val="20"/>
          <w:color w:val="auto"/>
        </w:rPr>
      </w:pPr>
    </w:p>
    <w:p>
      <w:pPr>
        <w:ind w:left="120" w:right="520" w:firstLine="644"/>
        <w:spacing w:after="0" w:line="342" w:lineRule="auto"/>
        <w:tabs>
          <w:tab w:leader="none" w:pos="146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2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2.11 Sharing of Payments by Lenders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10.08</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 Defaulting Lender, if any Lender shall, by exercising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right of setoff or counterclaim or otherwise, obtain payment in respect of any principal of or interest on any of the Loans made by it resulting in such Lender’s receiving payment of a proportion of the aggregate amount of such Loans or accrued interest thereon greater than its Applicable Percentage thereof as provided herein,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3" w:lineRule="exact"/>
        <w:rPr>
          <w:sz w:val="20"/>
          <w:szCs w:val="20"/>
          <w:color w:val="auto"/>
        </w:rPr>
      </w:pPr>
    </w:p>
    <w:p>
      <w:pPr>
        <w:ind w:left="660" w:right="40" w:firstLine="645"/>
        <w:spacing w:after="0" w:line="342" w:lineRule="auto"/>
        <w:tabs>
          <w:tab w:leader="none" w:pos="2018"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23" w:lineRule="exact"/>
        <w:rPr>
          <w:rFonts w:ascii="Arial" w:cs="Arial" w:eastAsia="Arial" w:hAnsi="Arial"/>
          <w:sz w:val="16"/>
          <w:szCs w:val="16"/>
          <w:color w:val="auto"/>
        </w:rPr>
      </w:pPr>
    </w:p>
    <w:p>
      <w:pPr>
        <w:jc w:val="both"/>
        <w:ind w:left="660" w:right="20" w:firstLine="645"/>
        <w:spacing w:after="0" w:line="291" w:lineRule="auto"/>
        <w:tabs>
          <w:tab w:leader="none" w:pos="2023"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or</w:t>
      </w:r>
    </w:p>
    <w:p>
      <w:pPr>
        <w:ind w:left="660" w:right="180" w:hanging="4"/>
        <w:spacing w:after="0" w:line="323" w:lineRule="auto"/>
        <w:tabs>
          <w:tab w:leader="none" w:pos="9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payment obtained by a Lender as consideration for the assignment of or sale of a participation in any of its Loans to any permitted assignee or participant, other than an assignment to the Borrower or any Subsidiary thereof (as to which the provisions of this Section shall apply).</w:t>
      </w:r>
    </w:p>
    <w:p>
      <w:pPr>
        <w:spacing w:after="0" w:line="13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7" w:lineRule="exact"/>
        <w:rPr>
          <w:sz w:val="20"/>
          <w:szCs w:val="20"/>
          <w:color w:val="auto"/>
        </w:rPr>
      </w:pPr>
    </w:p>
    <w:p>
      <w:pPr>
        <w:ind w:left="220" w:right="40" w:firstLine="648"/>
        <w:spacing w:after="0" w:line="313" w:lineRule="auto"/>
        <w:rPr>
          <w:sz w:val="20"/>
          <w:szCs w:val="20"/>
          <w:color w:val="auto"/>
        </w:rPr>
      </w:pPr>
      <w:r>
        <w:rPr>
          <w:rFonts w:ascii="Arial" w:cs="Arial" w:eastAsia="Arial" w:hAnsi="Arial"/>
          <w:sz w:val="17"/>
          <w:szCs w:val="17"/>
          <w:b w:val="1"/>
          <w:bCs w:val="1"/>
          <w:color w:val="auto"/>
        </w:rPr>
        <w:t>2.12 Defaulting Lenders</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in this Agreement, if any Lender becomes</w:t>
      </w:r>
      <w:r>
        <w:rPr>
          <w:rFonts w:ascii="Arial" w:cs="Arial" w:eastAsia="Arial" w:hAnsi="Arial"/>
          <w:sz w:val="17"/>
          <w:szCs w:val="17"/>
          <w:b w:val="1"/>
          <w:bCs w:val="1"/>
          <w:color w:val="auto"/>
        </w:rPr>
        <w:t xml:space="preserve"> </w:t>
      </w:r>
      <w:r>
        <w:rPr>
          <w:rFonts w:ascii="Arial" w:cs="Arial" w:eastAsia="Arial" w:hAnsi="Arial"/>
          <w:sz w:val="17"/>
          <w:szCs w:val="17"/>
          <w:color w:val="auto"/>
        </w:rPr>
        <w:t>a Defaulting Lender, then, until such time as that Lender is no longer a Defaulting Lender, to the extent not prohibited by applicable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0" w:firstLine="645"/>
        <w:spacing w:after="0" w:line="277" w:lineRule="auto"/>
        <w:tabs>
          <w:tab w:leader="none" w:pos="201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20" w:firstLine="645"/>
        <w:spacing w:after="0" w:line="285" w:lineRule="auto"/>
        <w:tabs>
          <w:tab w:leader="none" w:pos="202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following application by Administrative Agent of any such payment by or on behalf of the Borrower to the account of such Defaulting Lender with respect to such Obligation paid (and in lieu of being distributed to such Defaulting Lender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or such other provision of this Agreement applicable with respect to the distribution thereof),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and the Borrower, to be held in an interest bearing deposit account and released pro rata in order to satisfy obligations of that Defaulting Lender to fund Loans under this Agreement;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the payment of any amounts owing to the Lenders hereunder or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to the payment of any amounts owing to the Borrower hereunder or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this clause </w:t>
      </w:r>
      <w:r>
        <w:rPr>
          <w:rFonts w:ascii="Arial" w:cs="Arial" w:eastAsia="Arial" w:hAnsi="Arial"/>
          <w:sz w:val="16"/>
          <w:szCs w:val="16"/>
          <w:i w:val="1"/>
          <w:iCs w:val="1"/>
          <w:color w:val="auto"/>
        </w:rPr>
        <w:t>sixth</w:t>
      </w:r>
      <w:r>
        <w:rPr>
          <w:rFonts w:ascii="Arial" w:cs="Arial" w:eastAsia="Arial" w:hAnsi="Arial"/>
          <w:sz w:val="16"/>
          <w:szCs w:val="16"/>
          <w:color w:val="auto"/>
        </w:rPr>
        <w:t xml:space="preserve">, if (x) such payment is a payment of the principal amount of any Loans in respect of which that Defaulting Lender has not fully funded its appropriate share and (y) such Loans were made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all respective non-Defaulting Lenders on a pro rata basis prior to being applied to the payment of any Loans of that Defaulting Lender. Any payments, prepayments or other amounts paid or payable to a Defaulting Lender that are applied (or held) to pay amounts owed by a Defaulting Lender pursuant to this </w:t>
      </w:r>
      <w:r>
        <w:rPr>
          <w:rFonts w:ascii="Arial" w:cs="Arial" w:eastAsia="Arial" w:hAnsi="Arial"/>
          <w:sz w:val="16"/>
          <w:szCs w:val="16"/>
          <w:u w:val="single" w:color="auto"/>
          <w:color w:val="auto"/>
        </w:rPr>
        <w:t>Section 2.12(a)(ii)</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168" w:lineRule="exact"/>
        <w:rPr>
          <w:rFonts w:ascii="Arial" w:cs="Arial" w:eastAsia="Arial" w:hAnsi="Arial"/>
          <w:sz w:val="16"/>
          <w:szCs w:val="16"/>
          <w:color w:val="auto"/>
        </w:rPr>
      </w:pPr>
    </w:p>
    <w:p>
      <w:pPr>
        <w:jc w:val="both"/>
        <w:ind w:left="660" w:right="260" w:firstLine="645"/>
        <w:spacing w:after="0" w:line="342" w:lineRule="auto"/>
        <w:tabs>
          <w:tab w:leader="none" w:pos="202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That Defaulting Lender shall not be entitled to receive any facility fee pursuant to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for any period during which that Lender is a Defaulting Lender and the Borrower shall not be required to pay to the Administrative Agent for the account of the</w:t>
      </w:r>
    </w:p>
    <w:p>
      <w:pPr>
        <w:sectPr>
          <w:pgSz w:w="11900" w:h="16975" w:orient="portrait"/>
          <w:cols w:equalWidth="0" w:num="1">
            <w:col w:w="11420"/>
          </w:cols>
          <w:pgMar w:left="240" w:top="125" w:right="239" w:bottom="0" w:gutter="0" w:footer="0" w:header="0"/>
        </w:sectPr>
      </w:pPr>
    </w:p>
    <w:bookmarkStart w:id="22" w:name="page23"/>
    <w:bookmarkEnd w:id="22"/>
    <w:p>
      <w:pPr>
        <w:spacing w:after="0" w:line="13" w:lineRule="exact"/>
        <w:rPr>
          <w:sz w:val="20"/>
          <w:szCs w:val="20"/>
          <w:color w:val="auto"/>
        </w:rPr>
      </w:pPr>
    </w:p>
    <w:p>
      <w:pPr>
        <w:ind w:left="540" w:right="420"/>
        <w:spacing w:after="0" w:line="277" w:lineRule="auto"/>
        <w:rPr>
          <w:sz w:val="20"/>
          <w:szCs w:val="20"/>
          <w:color w:val="auto"/>
        </w:rPr>
      </w:pPr>
      <w:r>
        <w:rPr>
          <w:rFonts w:ascii="Arial" w:cs="Arial" w:eastAsia="Arial" w:hAnsi="Arial"/>
          <w:sz w:val="18"/>
          <w:szCs w:val="18"/>
          <w:color w:val="auto"/>
        </w:rPr>
        <w:t>Defaulting Lender or the Defaulting Lender any such fee, and no such fees shall accrue for the account of the Defaulting Lender, that otherwise would have been required to have been paid to that Defaulting Lender.</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4"/>
        <w:spacing w:after="0" w:line="270" w:lineRule="auto"/>
        <w:tabs>
          <w:tab w:leader="none" w:pos="135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reimbursement of costs and expenses to the Borrower), that Lender will, to the extent applicable, purchase that portion of outstanding Loans of the other Lenders or take such other actions as the Administrative Agent may determine to be necessary to cause the Loans to be held on a pro rata basis by the Lenders in accordance with their Applicable Percentages, whereupon that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1" w:lineRule="exact"/>
        <w:rPr>
          <w:rFonts w:ascii="Arial" w:cs="Arial" w:eastAsia="Arial" w:hAnsi="Arial"/>
          <w:sz w:val="17"/>
          <w:szCs w:val="17"/>
          <w:color w:val="auto"/>
        </w:rPr>
      </w:pPr>
    </w:p>
    <w:p>
      <w:pPr>
        <w:jc w:val="both"/>
        <w:ind w:right="80" w:firstLine="644"/>
        <w:spacing w:after="0" w:line="259" w:lineRule="auto"/>
        <w:tabs>
          <w:tab w:leader="none" w:pos="134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Rights and Remedies against a Defaulting Lender</w:t>
      </w:r>
      <w:r>
        <w:rPr>
          <w:rFonts w:ascii="Arial" w:cs="Arial" w:eastAsia="Arial" w:hAnsi="Arial"/>
          <w:sz w:val="18"/>
          <w:szCs w:val="18"/>
          <w:color w:val="auto"/>
        </w:rPr>
        <w:t xml:space="preserve">. The Borrower may replace any Defaulting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The rights and remedies against, and with respect to, a Defaulting Lender under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are in addition to, and cumulative and not in limitation of, all other rights and remedies that each of the Administrative Agent, the Lenders and the Borrower may, at any time, have against, or with respect to, such Defaulting Lender.</w:t>
      </w:r>
    </w:p>
    <w:p>
      <w:pPr>
        <w:spacing w:after="0" w:line="183"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8"/>
          <w:szCs w:val="18"/>
          <w:b w:val="1"/>
          <w:bCs w:val="1"/>
          <w:color w:val="auto"/>
        </w:rPr>
        <w:t>ARTICLE III.</w:t>
        <w:tab/>
        <w:t>TAXES, YIELD PROTECTION AND ILLEGALITY</w:t>
      </w:r>
    </w:p>
    <w:p>
      <w:pPr>
        <w:spacing w:after="0" w:line="225"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229" w:lineRule="exact"/>
        <w:rPr>
          <w:sz w:val="20"/>
          <w:szCs w:val="20"/>
          <w:color w:val="auto"/>
        </w:rPr>
      </w:pPr>
    </w:p>
    <w:p>
      <w:pPr>
        <w:ind w:right="80" w:firstLine="644"/>
        <w:spacing w:after="0" w:line="276" w:lineRule="auto"/>
        <w:tabs>
          <w:tab w:leader="none" w:pos="1343"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Payments Free of Taxes; Obligation to Withhold; Payments on Account of Taxes</w:t>
      </w:r>
      <w:r>
        <w:rPr>
          <w:rFonts w:ascii="Arial" w:cs="Arial" w:eastAsia="Arial" w:hAnsi="Arial"/>
          <w:sz w:val="17"/>
          <w:szCs w:val="17"/>
          <w:color w:val="auto"/>
        </w:rPr>
        <w:t>. (i) Any and all payments by or on account of any obligation of the Borrower hereunder or under any other Loan Document shall to the extent permitted by applicable Laws be made free and clear of and without reduction or withholding for any Taxes. If, however, applicable Laws require the Borrower or the Administrative Agent to withhold or deduct any Tax, such Tax shall be withheld or deducted in accordance with such Laws as determined by the Borrower or the Administrative Agent, as the case may be, upon the basis of the information and documentation to be delivered pursuant to subsection (e) below.</w:t>
      </w:r>
    </w:p>
    <w:p>
      <w:pPr>
        <w:spacing w:after="0" w:line="172" w:lineRule="exact"/>
        <w:rPr>
          <w:rFonts w:ascii="Arial" w:cs="Arial" w:eastAsia="Arial" w:hAnsi="Arial"/>
          <w:sz w:val="17"/>
          <w:szCs w:val="17"/>
          <w:color w:val="auto"/>
        </w:rPr>
      </w:pPr>
    </w:p>
    <w:p>
      <w:pPr>
        <w:ind w:left="540" w:firstLine="645"/>
        <w:spacing w:after="0" w:line="272" w:lineRule="auto"/>
        <w:tabs>
          <w:tab w:leader="none" w:pos="1903"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the Borrower or the Administrative Agent shall be required by the Code to withhold or deduct any Taxes, including both United States Federal backup withholding and withholding taxes, from any payment by or on account of any obligation of the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Code, and (C) to the extent that the withholding or deduction is made on account of Indemnified Taxes or Other Taxes, the sum payable by the Borrower shall be increased as necessary so that after any required withholding or the making of all</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80"/>
        <w:spacing w:after="0" w:line="308" w:lineRule="auto"/>
        <w:rPr>
          <w:sz w:val="20"/>
          <w:szCs w:val="20"/>
          <w:color w:val="auto"/>
        </w:rPr>
      </w:pPr>
      <w:r>
        <w:rPr>
          <w:rFonts w:ascii="Arial" w:cs="Arial" w:eastAsia="Arial" w:hAnsi="Arial"/>
          <w:sz w:val="17"/>
          <w:szCs w:val="17"/>
          <w:color w:val="auto"/>
        </w:rPr>
        <w:t>required deductions (including deductions applicable to additional sums payable under this Section) the Administrative Agent or Lender, as the case may be, receives an amount equal to the sum it would have received had no such withholding or deduction been made.</w:t>
      </w:r>
    </w:p>
    <w:p>
      <w:pPr>
        <w:spacing w:after="0" w:line="147" w:lineRule="exact"/>
        <w:rPr>
          <w:sz w:val="20"/>
          <w:szCs w:val="20"/>
          <w:color w:val="auto"/>
        </w:rPr>
      </w:pPr>
    </w:p>
    <w:p>
      <w:pPr>
        <w:ind w:left="540" w:right="80" w:firstLine="645"/>
        <w:spacing w:after="0" w:line="253" w:lineRule="auto"/>
        <w:tabs>
          <w:tab w:leader="none" w:pos="19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the Borrower or the Administrative Agent shall be required by any applicable Laws other than the Code to withhold or deduct any Taxes from any payment by or on account of any obligation of the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such Laws, and (C) to the extent that the withholding or deduction is made on account of Indemnified Taxes or Other Taxes, the sum payable by the Borrower shall be increased as necessary so that after any required withholding or the making of all required deductions (including deductions applicable to additional sums payable under this Section) the Administrative Agent or Lender, as the case may be, receives an amount equal to the sum it would have received had no such withholding or deduction been made.</w:t>
      </w:r>
    </w:p>
    <w:p>
      <w:pPr>
        <w:spacing w:after="0" w:line="197" w:lineRule="exact"/>
        <w:rPr>
          <w:rFonts w:ascii="Arial" w:cs="Arial" w:eastAsia="Arial" w:hAnsi="Arial"/>
          <w:sz w:val="18"/>
          <w:szCs w:val="18"/>
          <w:color w:val="auto"/>
        </w:rPr>
      </w:pPr>
    </w:p>
    <w:p>
      <w:pPr>
        <w:jc w:val="both"/>
        <w:ind w:right="300" w:firstLine="644"/>
        <w:spacing w:after="0" w:line="259"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arising from payments required to be made by it hereunder or from its execution and delivery of, or performance by it of, or otherwise with respect to its obligations under, any Loan Document to which it is a party and imposed thereon under applicable Law to the relevant Governmental Authority in accordance with applicable Laws.</w:t>
      </w:r>
    </w:p>
    <w:p>
      <w:pPr>
        <w:spacing w:after="0" w:line="186" w:lineRule="exact"/>
        <w:rPr>
          <w:rFonts w:ascii="Arial" w:cs="Arial" w:eastAsia="Arial" w:hAnsi="Arial"/>
          <w:sz w:val="18"/>
          <w:szCs w:val="18"/>
          <w:color w:val="auto"/>
        </w:rPr>
      </w:pPr>
    </w:p>
    <w:p>
      <w:pPr>
        <w:ind w:firstLine="644"/>
        <w:spacing w:after="0" w:line="269" w:lineRule="auto"/>
        <w:tabs>
          <w:tab w:leader="none" w:pos="134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Tax Indemnifications</w:t>
      </w:r>
      <w:r>
        <w:rPr>
          <w:rFonts w:ascii="Arial" w:cs="Arial" w:eastAsia="Arial" w:hAnsi="Arial"/>
          <w:sz w:val="17"/>
          <w:szCs w:val="17"/>
          <w:color w:val="auto"/>
        </w:rPr>
        <w:t>. (i) Without limiting the provisions of subsection (a) or (b) above, the Borrower shall, and does hereby, indemnify the Administrative Agent and each Lender, and shall make payment in respect thereof within 10 Business Days after demand therefor, for the full amount of any Indemnified Taxes or Other Taxes (including Indemnified Taxes or Other Taxes imposed or asserted on or attributable to amounts payable under this Section) paid by the Administrative Agent or such Lender, as the case may be, and any penalties, interest and reasonable expenses arising therefrom or with respect thereto, whether or not such Indemnified Taxes or Other Taxes were correctly or legally imposed or asserted by the relevant Governmental Authority. The Borrower shall also, and does hereby, indemnify the Administrative Agent, and shall make payment in respect thereof within 10 days after demand therefor, for any amount which a Lender (other than a Lender that is an affiliate of the Administrative Agent) for any reason fails to pay indefeasibly to the Administrative Agent as required by clause (ii) of this subsection. A certificate as to the amount of any such payment or liability delivered to the Borrower by a Lender (with a copy to the Administrative Agent), or by the Administrative Agent on its own behalf or on behalf of a Lender, shall be conclusive absent manifest error. However, neither the Administrative Agent nor any Lender shall be entitled to receive any payment with respect to Indemnified Taxes or Other Taxes that are incurred or accrued more than 180 days prior to the date the Administrative Agent or such Lender gives notice and demand thereof to the Borrower.</w:t>
      </w:r>
    </w:p>
    <w:p>
      <w:pPr>
        <w:sectPr>
          <w:pgSz w:w="11900" w:h="16851" w:orient="portrait"/>
          <w:cols w:equalWidth="0" w:num="1">
            <w:col w:w="11280"/>
          </w:cols>
          <w:pgMar w:left="360" w:top="125" w:right="259" w:bottom="0" w:gutter="0" w:footer="0" w:header="0"/>
        </w:sectPr>
      </w:pP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34</w:t>
      </w:r>
    </w:p>
    <w:p>
      <w:pPr>
        <w:sectPr>
          <w:pgSz w:w="11900" w:h="16851" w:orient="portrait"/>
          <w:cols w:equalWidth="0" w:num="1">
            <w:col w:w="11280"/>
          </w:cols>
          <w:pgMar w:left="360" w:top="125" w:right="259" w:bottom="0" w:gutter="0" w:footer="0" w:header="0"/>
          <w:type w:val="continuous"/>
        </w:sectPr>
      </w:pPr>
    </w:p>
    <w:bookmarkStart w:id="23" w:name="page24"/>
    <w:bookmarkEnd w:id="23"/>
    <w:p>
      <w:pPr>
        <w:ind w:left="540" w:firstLine="645"/>
        <w:spacing w:after="0" w:line="270" w:lineRule="auto"/>
        <w:tabs>
          <w:tab w:leader="none" w:pos="1903" w:val="left"/>
        </w:tabs>
        <w:numPr>
          <w:ilvl w:val="1"/>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limiting the provisions of subsection (a) or (b) above, each Lender shall, and does hereby, indemnify the Borrower and the Administrative Agent, and shall make payment in respect thereof within 10 days after demand therefor, against any and all Taxes and any and all related losses, claims, liabilities, penalties, interest and expenses (including the reasonable fees, charges and disbursements of any counsel for the Borrower or the Administrative Agent) incurred by or asserted against the Borrower or the Administrative Agent by any Governmental Authority as a result of the failure by such Lender to deliver, or as a result of the inaccuracy, inadequacy or deficiency of, any documentation required to be delivered by such Lender to the Borrower or the Administrative Agent pursuant to subsection (e). Each Lender hereby authorizes the Administrative Agent to set off and apply any and all amounts at any time owing to such Lender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the termination of the Aggregate Commitments and the repayment, satisfaction or discharge of all other payment Obligations.</w:t>
      </w:r>
    </w:p>
    <w:p>
      <w:pPr>
        <w:spacing w:after="0" w:line="177" w:lineRule="exact"/>
        <w:rPr>
          <w:rFonts w:ascii="Arial" w:cs="Arial" w:eastAsia="Arial" w:hAnsi="Arial"/>
          <w:sz w:val="17"/>
          <w:szCs w:val="17"/>
          <w:color w:val="auto"/>
        </w:rPr>
      </w:pPr>
    </w:p>
    <w:p>
      <w:pPr>
        <w:ind w:right="40" w:firstLine="644"/>
        <w:spacing w:after="0" w:line="297" w:lineRule="auto"/>
        <w:tabs>
          <w:tab w:leader="none" w:pos="1353"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As soon as reasonably practicable after request by the Borrower or the Administrative Agent, as the case may be, and after any payment of Indemnified Taxes or Other Taxes by the Borrower or by the Administrative Agent to a Governmental Authority as provided in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58" w:lineRule="exact"/>
        <w:rPr>
          <w:rFonts w:ascii="Arial" w:cs="Arial" w:eastAsia="Arial" w:hAnsi="Arial"/>
          <w:sz w:val="16"/>
          <w:szCs w:val="16"/>
          <w:color w:val="auto"/>
        </w:rPr>
      </w:pPr>
    </w:p>
    <w:p>
      <w:pPr>
        <w:ind w:right="40" w:firstLine="644"/>
        <w:spacing w:after="0" w:line="271" w:lineRule="auto"/>
        <w:tabs>
          <w:tab w:leader="none" w:pos="134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Status of Lenders; Tax Documentation</w:t>
      </w:r>
      <w:r>
        <w:rPr>
          <w:rFonts w:ascii="Arial" w:cs="Arial" w:eastAsia="Arial" w:hAnsi="Arial"/>
          <w:sz w:val="17"/>
          <w:szCs w:val="17"/>
          <w:color w:val="auto"/>
        </w:rPr>
        <w:t>. (i) Each Lender shall deliver to the Borrower and to the Administrative Agent, at the time or times prescribed by applicable Laws or when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(A) to determine (1) whether or not payments made by the Borrower to such Lender hereunder or under any other Loan Document are subject to Taxes or information reporting, (2) if applicable, the required rate of withholding or deduction with respect to such payments, and (3) such Lender’s entitlement to any available exemption from, or reduction of, applicable Taxes in respect of all payments to be made to such Lender by the Borrower pursuant to this Agreement or any other Loan Document or (B) to establish such Lender’s status for withholding tax purposes in the applicable jurisdictions.</w:t>
      </w:r>
    </w:p>
    <w:p>
      <w:pPr>
        <w:spacing w:after="0" w:line="178" w:lineRule="exact"/>
        <w:rPr>
          <w:rFonts w:ascii="Arial" w:cs="Arial" w:eastAsia="Arial" w:hAnsi="Arial"/>
          <w:sz w:val="17"/>
          <w:szCs w:val="17"/>
          <w:color w:val="auto"/>
        </w:rPr>
      </w:pPr>
    </w:p>
    <w:p>
      <w:pPr>
        <w:ind w:left="1900" w:hanging="715"/>
        <w:spacing w:after="0"/>
        <w:tabs>
          <w:tab w:leader="none" w:pos="1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Without limiting the generality of clause (i) above, if the Borrower is resident for tax purposes in the United States,</w:t>
      </w:r>
    </w:p>
    <w:p>
      <w:pPr>
        <w:spacing w:after="0" w:line="225" w:lineRule="exact"/>
        <w:rPr>
          <w:rFonts w:ascii="Arial" w:cs="Arial" w:eastAsia="Arial" w:hAnsi="Arial"/>
          <w:sz w:val="18"/>
          <w:szCs w:val="18"/>
          <w:color w:val="auto"/>
        </w:rPr>
      </w:pPr>
    </w:p>
    <w:p>
      <w:pPr>
        <w:ind w:left="2540" w:hanging="707"/>
        <w:spacing w:after="0"/>
        <w:tabs>
          <w:tab w:leader="none" w:pos="2540" w:val="left"/>
        </w:tabs>
        <w:numPr>
          <w:ilvl w:val="2"/>
          <w:numId w:val="45"/>
        </w:numPr>
        <w:rPr>
          <w:rFonts w:ascii="Arial" w:cs="Arial" w:eastAsia="Arial" w:hAnsi="Arial"/>
          <w:sz w:val="16"/>
          <w:szCs w:val="16"/>
          <w:color w:val="auto"/>
        </w:rPr>
      </w:pPr>
      <w:r>
        <w:rPr>
          <w:rFonts w:ascii="Arial" w:cs="Arial" w:eastAsia="Arial" w:hAnsi="Arial"/>
          <w:sz w:val="16"/>
          <w:szCs w:val="16"/>
          <w:color w:val="auto"/>
        </w:rPr>
        <w:t>any Lender that is a “United States person” within the meaning of Section 7701(a)(30) of the Code shall deliver to the</w:t>
      </w:r>
    </w:p>
    <w:p>
      <w:pPr>
        <w:spacing w:after="0" w:line="46"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8"/>
          <w:szCs w:val="18"/>
          <w:color w:val="auto"/>
        </w:rPr>
        <w:t>Borrower and the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80" w:right="40"/>
        <w:spacing w:after="0" w:line="259" w:lineRule="auto"/>
        <w:rPr>
          <w:sz w:val="20"/>
          <w:szCs w:val="20"/>
          <w:color w:val="auto"/>
        </w:rPr>
      </w:pPr>
      <w:r>
        <w:rPr>
          <w:rFonts w:ascii="Arial" w:cs="Arial" w:eastAsia="Arial" w:hAnsi="Arial"/>
          <w:sz w:val="18"/>
          <w:szCs w:val="18"/>
          <w:color w:val="auto"/>
        </w:rPr>
        <w:t>Administrative Agent (in such number of copies as shall be requested by the recipient) executed originals of Internal Revenue Service Form W-9 or such other documentation or information prescribed by applicable Laws or reasonably requested by the Borrower on behalf of the Borrower or the Administrative Agent as will enable the Borrower or the Administrative Agent, as the case may be, to determine whether or not such Lender is subject to backup withholding or information reporting requirements;</w:t>
      </w:r>
    </w:p>
    <w:p>
      <w:pPr>
        <w:spacing w:after="0" w:line="187" w:lineRule="exact"/>
        <w:rPr>
          <w:sz w:val="20"/>
          <w:szCs w:val="20"/>
          <w:color w:val="auto"/>
        </w:rPr>
      </w:pPr>
    </w:p>
    <w:p>
      <w:pPr>
        <w:ind w:left="1180" w:firstLine="653"/>
        <w:spacing w:after="0" w:line="255" w:lineRule="auto"/>
        <w:tabs>
          <w:tab w:leader="none" w:pos="25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Foreign Lender that is entitled under the Code or any applicable treaty to an exemption from or reduction of withholding tax with respect to payments hereunder or under any other Loan Document shall deliver to the Borrower and the Administrative Agent (in such number of copies as shall be requested by the recipient) on or prior to the date on which such Foreign Lender becomes a Lender (and from time to time thereafter upon the request of the Borrower on behalf of the Borrower or the Administrative Agent, but only if such Foreign Lender is legally entitled to do so, or at such times prescribed by applicable Law), whichever of the following is applicable:</w:t>
      </w:r>
    </w:p>
    <w:p>
      <w:pPr>
        <w:spacing w:after="0" w:line="193" w:lineRule="exact"/>
        <w:rPr>
          <w:rFonts w:ascii="Arial" w:cs="Arial" w:eastAsia="Arial" w:hAnsi="Arial"/>
          <w:sz w:val="18"/>
          <w:szCs w:val="18"/>
          <w:color w:val="auto"/>
        </w:rPr>
      </w:pPr>
    </w:p>
    <w:p>
      <w:pPr>
        <w:ind w:left="1840" w:right="680" w:firstLine="641"/>
        <w:spacing w:after="0" w:line="277" w:lineRule="auto"/>
        <w:tabs>
          <w:tab w:leader="none" w:pos="32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W-8BEN, or successor applicable form, claiming eligibility for benefits of an income tax treaty to which the United States is a party,</w:t>
      </w:r>
    </w:p>
    <w:p>
      <w:pPr>
        <w:spacing w:after="0" w:line="170" w:lineRule="exact"/>
        <w:rPr>
          <w:sz w:val="20"/>
          <w:szCs w:val="20"/>
          <w:color w:val="auto"/>
        </w:rPr>
      </w:pPr>
    </w:p>
    <w:p>
      <w:pPr>
        <w:ind w:left="3180" w:hanging="699"/>
        <w:spacing w:after="0"/>
        <w:tabs>
          <w:tab w:leader="none" w:pos="3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W-8ECI, or successor applicable form,</w:t>
      </w:r>
    </w:p>
    <w:p>
      <w:pPr>
        <w:spacing w:after="0" w:line="225" w:lineRule="exact"/>
        <w:rPr>
          <w:sz w:val="20"/>
          <w:szCs w:val="20"/>
          <w:color w:val="auto"/>
        </w:rPr>
      </w:pPr>
    </w:p>
    <w:p>
      <w:pPr>
        <w:ind w:left="1840" w:right="280" w:firstLine="641"/>
        <w:spacing w:after="0" w:line="277" w:lineRule="auto"/>
        <w:tabs>
          <w:tab w:leader="none" w:pos="31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W-8IMY, or successor applicable form, and all required supporting documentation,</w:t>
      </w:r>
    </w:p>
    <w:p>
      <w:pPr>
        <w:spacing w:after="0" w:line="170" w:lineRule="exact"/>
        <w:rPr>
          <w:sz w:val="20"/>
          <w:szCs w:val="20"/>
          <w:color w:val="auto"/>
        </w:rPr>
      </w:pPr>
    </w:p>
    <w:p>
      <w:pPr>
        <w:ind w:left="1840" w:right="180" w:firstLine="648"/>
        <w:spacing w:after="0" w:line="257" w:lineRule="auto"/>
        <w:rPr>
          <w:sz w:val="20"/>
          <w:szCs w:val="20"/>
          <w:color w:val="auto"/>
        </w:rPr>
      </w:pPr>
      <w:r>
        <w:rPr>
          <w:rFonts w:ascii="Arial" w:cs="Arial" w:eastAsia="Arial" w:hAnsi="Arial"/>
          <w:sz w:val="18"/>
          <w:szCs w:val="18"/>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executed originals of Internal Revenue Service Form W-8BEN, or successor applicable form, or</w:t>
      </w:r>
    </w:p>
    <w:p>
      <w:pPr>
        <w:spacing w:after="0" w:line="188" w:lineRule="exact"/>
        <w:rPr>
          <w:sz w:val="20"/>
          <w:szCs w:val="20"/>
          <w:color w:val="auto"/>
        </w:rPr>
      </w:pPr>
    </w:p>
    <w:p>
      <w:pPr>
        <w:ind w:left="1840" w:right="60" w:firstLine="641"/>
        <w:spacing w:after="0" w:line="259" w:lineRule="auto"/>
        <w:tabs>
          <w:tab w:leader="none" w:pos="31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 and</w:t>
      </w:r>
    </w:p>
    <w:p>
      <w:pPr>
        <w:spacing w:after="0" w:line="186" w:lineRule="exact"/>
        <w:rPr>
          <w:rFonts w:ascii="Arial" w:cs="Arial" w:eastAsia="Arial" w:hAnsi="Arial"/>
          <w:sz w:val="18"/>
          <w:szCs w:val="18"/>
          <w:color w:val="auto"/>
        </w:rPr>
      </w:pPr>
    </w:p>
    <w:p>
      <w:pPr>
        <w:ind w:left="1180" w:right="120" w:firstLine="653"/>
        <w:spacing w:after="0" w:line="277" w:lineRule="auto"/>
        <w:tabs>
          <w:tab w:leader="none" w:pos="25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or</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60" w:top="733" w:right="259" w:bottom="356" w:gutter="0" w:footer="0" w:header="0"/>
        </w:sectPr>
      </w:pPr>
    </w:p>
    <w:bookmarkStart w:id="24" w:name="page25"/>
    <w:bookmarkEnd w:id="24"/>
    <w:p>
      <w:pPr>
        <w:spacing w:after="0" w:line="103" w:lineRule="exact"/>
        <w:rPr>
          <w:sz w:val="20"/>
          <w:szCs w:val="20"/>
          <w:color w:val="auto"/>
        </w:rPr>
      </w:pPr>
    </w:p>
    <w:p>
      <w:pPr>
        <w:ind w:left="1300" w:right="20"/>
        <w:spacing w:after="0" w:line="253" w:lineRule="auto"/>
        <w:rPr>
          <w:sz w:val="20"/>
          <w:szCs w:val="20"/>
          <w:color w:val="auto"/>
        </w:rPr>
      </w:pPr>
      <w:r>
        <w:rPr>
          <w:rFonts w:ascii="Arial" w:cs="Arial" w:eastAsia="Arial" w:hAnsi="Arial"/>
          <w:sz w:val="18"/>
          <w:szCs w:val="18"/>
          <w:color w:val="auto"/>
        </w:rPr>
        <w:t>Administrative Agent were to fail to comply with the applicable reporting requirements of FATCA (including those contained in Section 1471(b) or 1472(b) of the Code, as applicable), such Lender or Administrative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or Administrative Agent has complied with such Lender’s or Administrative Agent’s obligations under FATCA or to determine the amount to deduct and withhold from such payment. Solely for purposes of this clause (C), “FATCA” shall include any amendments made to FATCA after the date of this Agreement.</w:t>
      </w:r>
    </w:p>
    <w:p>
      <w:pPr>
        <w:spacing w:after="0" w:line="197" w:lineRule="exact"/>
        <w:rPr>
          <w:sz w:val="20"/>
          <w:szCs w:val="20"/>
          <w:color w:val="auto"/>
        </w:rPr>
      </w:pPr>
    </w:p>
    <w:p>
      <w:pPr>
        <w:ind w:left="660" w:right="60" w:firstLine="645"/>
        <w:spacing w:after="0" w:line="270" w:lineRule="auto"/>
        <w:tabs>
          <w:tab w:leader="none" w:pos="2028" w:val="left"/>
        </w:tabs>
        <w:numPr>
          <w:ilvl w:val="1"/>
          <w:numId w:val="51"/>
        </w:numPr>
        <w:rPr>
          <w:rFonts w:ascii="Arial" w:cs="Arial" w:eastAsia="Arial" w:hAnsi="Arial"/>
          <w:sz w:val="17"/>
          <w:szCs w:val="17"/>
          <w:color w:val="auto"/>
        </w:rPr>
      </w:pPr>
      <w:r>
        <w:rPr>
          <w:rFonts w:ascii="Arial" w:cs="Arial" w:eastAsia="Arial" w:hAnsi="Arial"/>
          <w:sz w:val="17"/>
          <w:szCs w:val="17"/>
          <w:color w:val="auto"/>
        </w:rPr>
        <w:t>Each Lender shall promptly (A) notify the Borrower and the Administrative Agent of any change in circumstances which would modify or render invalid any claimed exemption or reduction in withholding taxes,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 and (C) deliver to the Borrower and the Administrative Agent (1) such other documentation or information prescribed by applicable Law following the occurrence of any event requiring a change in the most recent documentation previously delivered pursuant to this subsection (e) so as to maintain compliance with such Lender’s obligations thereunder, and (2) prior to the date on which any documentation delivered pursuant to this subsection (e) expires or becomes obsolete, such documentation as may be necessary to maintain compliance with such Lender’s obligations thereunder.</w:t>
      </w:r>
    </w:p>
    <w:p>
      <w:pPr>
        <w:spacing w:after="0" w:line="181" w:lineRule="exact"/>
        <w:rPr>
          <w:rFonts w:ascii="Arial" w:cs="Arial" w:eastAsia="Arial" w:hAnsi="Arial"/>
          <w:sz w:val="17"/>
          <w:szCs w:val="17"/>
          <w:color w:val="auto"/>
        </w:rPr>
      </w:pPr>
    </w:p>
    <w:p>
      <w:pPr>
        <w:ind w:left="660" w:right="20" w:firstLine="645"/>
        <w:spacing w:after="0" w:line="257" w:lineRule="auto"/>
        <w:tabs>
          <w:tab w:leader="none" w:pos="20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Borrower shall promptly deliver to the Administrative Agent or any Lender, as the Administrative Agent or such Lender shall reasonably request, such documents and forms reasonably requested as are required by any relevant taxing authorities under the Laws of any jurisdiction, duly executed and completed by the Borrower, to be furnished by such Lender or the Administrative Agent under such Laws in connection with any payment by the Administrative Agent or any Lender of Taxes or Other Taxes, or otherwise in connection with the Loan Documents, with respect to such jurisdiction.</w:t>
      </w:r>
    </w:p>
    <w:p>
      <w:pPr>
        <w:spacing w:after="0" w:line="188" w:lineRule="exact"/>
        <w:rPr>
          <w:rFonts w:ascii="Arial" w:cs="Arial" w:eastAsia="Arial" w:hAnsi="Arial"/>
          <w:sz w:val="18"/>
          <w:szCs w:val="18"/>
          <w:color w:val="auto"/>
        </w:rPr>
      </w:pPr>
    </w:p>
    <w:p>
      <w:pPr>
        <w:ind w:left="120" w:firstLine="644"/>
        <w:spacing w:after="0" w:line="257" w:lineRule="auto"/>
        <w:tabs>
          <w:tab w:leader="none" w:pos="148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the Administrative Agent or any Lender determines, in its sole discretion, that it has received a refund of any Taxes or Other Taxes as to which it has been indemnified by the Borrower or with respect to which the Borrower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it shall pay to the Borrower an amount equal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 xml:space="preserve">to such refund (but only to the extent of indemnity payments made, or additional amounts paid, by the Borrower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with respect to the Taxes or Other Taxes giving rise to such refund), net of all out-of-pocket expenses and net of any loss or gain realized in the conversion of such funds from or to another currency incurred by the Administrative Agent or such Lender, as the case may be,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This subsection shall not be construed to require the Administrative Agent or any Lender to make available its tax returns (or any other information relating to its taxes that it deems confidential) to the Borrower or any other Person.</w:t>
      </w:r>
    </w:p>
    <w:p>
      <w:pPr>
        <w:spacing w:after="0" w:line="175" w:lineRule="exact"/>
        <w:rPr>
          <w:sz w:val="20"/>
          <w:szCs w:val="20"/>
          <w:color w:val="auto"/>
        </w:rPr>
      </w:pPr>
    </w:p>
    <w:p>
      <w:pPr>
        <w:ind w:right="20" w:firstLine="869"/>
        <w:spacing w:after="0" w:line="285" w:lineRule="auto"/>
        <w:rPr>
          <w:sz w:val="20"/>
          <w:szCs w:val="20"/>
          <w:color w:val="auto"/>
        </w:rPr>
      </w:pPr>
      <w:r>
        <w:rPr>
          <w:rFonts w:ascii="Arial" w:cs="Arial" w:eastAsia="Arial" w:hAnsi="Arial"/>
          <w:sz w:val="16"/>
          <w:szCs w:val="16"/>
          <w:b w:val="1"/>
          <w:bCs w:val="1"/>
          <w:color w:val="auto"/>
        </w:rPr>
        <w:t>3.02 Illegality</w:t>
      </w:r>
      <w:r>
        <w:rPr>
          <w:rFonts w:ascii="Arial" w:cs="Arial" w:eastAsia="Arial" w:hAnsi="Arial"/>
          <w:sz w:val="16"/>
          <w:szCs w:val="16"/>
          <w:color w:val="auto"/>
        </w:rPr>
        <w:t>. If any Lender determines that any Change in Law has made it unlawful, or that any Governmental Authority has asserted that</w:t>
      </w:r>
      <w:r>
        <w:rPr>
          <w:rFonts w:ascii="Arial" w:cs="Arial" w:eastAsia="Arial" w:hAnsi="Arial"/>
          <w:sz w:val="16"/>
          <w:szCs w:val="16"/>
          <w:b w:val="1"/>
          <w:bCs w:val="1"/>
          <w:color w:val="auto"/>
        </w:rPr>
        <w:t xml:space="preserve"> </w:t>
      </w:r>
      <w:r>
        <w:rPr>
          <w:rFonts w:ascii="Arial" w:cs="Arial" w:eastAsia="Arial" w:hAnsi="Arial"/>
          <w:sz w:val="16"/>
          <w:szCs w:val="16"/>
          <w:color w:val="auto"/>
        </w:rPr>
        <w:t>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391" w:lineRule="exact"/>
        <w:rPr>
          <w:sz w:val="20"/>
          <w:szCs w:val="20"/>
          <w:color w:val="auto"/>
        </w:rPr>
      </w:pPr>
    </w:p>
    <w:p>
      <w:pPr>
        <w:ind w:right="240" w:firstLine="869"/>
        <w:spacing w:after="0" w:line="282" w:lineRule="auto"/>
        <w:rPr>
          <w:sz w:val="20"/>
          <w:szCs w:val="20"/>
          <w:color w:val="auto"/>
        </w:rPr>
      </w:pPr>
      <w:r>
        <w:rPr>
          <w:rFonts w:ascii="Arial" w:cs="Arial" w:eastAsia="Arial" w:hAnsi="Arial"/>
          <w:sz w:val="18"/>
          <w:szCs w:val="18"/>
          <w:b w:val="1"/>
          <w:bCs w:val="1"/>
          <w:color w:val="auto"/>
        </w:rPr>
        <w:t>3.03 Inability to Determine Rates</w:t>
      </w:r>
      <w:r>
        <w:rPr>
          <w:rFonts w:ascii="Arial" w:cs="Arial" w:eastAsia="Arial" w:hAnsi="Arial"/>
          <w:sz w:val="18"/>
          <w:szCs w:val="18"/>
          <w:color w:val="auto"/>
        </w:rPr>
        <w:t>. If the Required Lenders determine that for any reason in connection with any request for a Eurodollar</w:t>
      </w:r>
      <w:r>
        <w:rPr>
          <w:rFonts w:ascii="Arial" w:cs="Arial" w:eastAsia="Arial" w:hAnsi="Arial"/>
          <w:sz w:val="18"/>
          <w:szCs w:val="18"/>
          <w:b w:val="1"/>
          <w:bCs w:val="1"/>
          <w:color w:val="auto"/>
        </w:rPr>
        <w:t xml:space="preserve"> </w:t>
      </w:r>
      <w:r>
        <w:rPr>
          <w:rFonts w:ascii="Arial" w:cs="Arial" w:eastAsia="Arial" w:hAnsi="Arial"/>
          <w:sz w:val="18"/>
          <w:szCs w:val="18"/>
          <w:color w:val="auto"/>
        </w:rPr>
        <w:t>Rate Loan or a conversion to or continuation thereof that (i) deposits are not being offered to banks in the London interbank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Eurodollar market for the applicable amount and Interest Period of such Eurodollar Rate Loan, (ii) adequate and reasonable means do not exist for determining the Eurodollar Rate for any requested Interest Period with respect to a proposed Eurodollar Rate Loan or in connection with an existing or proposed Base Rate Loan, or (iii) the Eurodollar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shall be suspended (i) in respect to the applicable amount and Interest Period</w:t>
      </w:r>
    </w:p>
    <w:p>
      <w:pPr>
        <w:sectPr>
          <w:pgSz w:w="11900" w:h="16941" w:orient="portrait"/>
          <w:cols w:equalWidth="0" w:num="1">
            <w:col w:w="11420"/>
          </w:cols>
          <w:pgMar w:left="240" w:top="125" w:right="239" w:bottom="0" w:gutter="0" w:footer="0" w:header="0"/>
        </w:sectPr>
      </w:pPr>
    </w:p>
    <w:bookmarkStart w:id="25" w:name="page26"/>
    <w:bookmarkEnd w:id="25"/>
    <w:p>
      <w:pPr>
        <w:ind w:right="60"/>
        <w:spacing w:after="0" w:line="255" w:lineRule="auto"/>
        <w:rPr>
          <w:sz w:val="20"/>
          <w:szCs w:val="20"/>
          <w:color w:val="auto"/>
        </w:rPr>
      </w:pPr>
      <w:r>
        <w:rPr>
          <w:rFonts w:ascii="Arial" w:cs="Arial" w:eastAsia="Arial" w:hAnsi="Arial"/>
          <w:sz w:val="18"/>
          <w:szCs w:val="18"/>
          <w:color w:val="auto"/>
        </w:rPr>
        <w:t>referred to in clause (i) of the preceding sentence, or (ii) in the circumstances referred to in clauses (ii) and (iii) of the preceding sentence, shall be suspended,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or, failing that, will be deemed to have converted such request into a request for a Borrowing of Base Rate Loans in the amount specified therein.</w:t>
      </w:r>
    </w:p>
    <w:p>
      <w:pPr>
        <w:spacing w:after="0" w:line="189"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b w:val="1"/>
          <w:bCs w:val="1"/>
          <w:color w:val="auto"/>
        </w:rPr>
        <w:t>Increased Costs; Reserves on Eurodollar Rate Loans</w:t>
      </w:r>
      <w:r>
        <w:rPr>
          <w:rFonts w:ascii="Arial" w:cs="Arial" w:eastAsia="Arial" w:hAnsi="Arial"/>
          <w:sz w:val="16"/>
          <w:szCs w:val="16"/>
          <w:color w:val="auto"/>
        </w:rPr>
        <w:t>.</w:t>
      </w:r>
    </w:p>
    <w:p>
      <w:pPr>
        <w:spacing w:after="0" w:line="229" w:lineRule="exact"/>
        <w:rPr>
          <w:sz w:val="20"/>
          <w:szCs w:val="20"/>
          <w:color w:val="auto"/>
        </w:rPr>
      </w:pPr>
    </w:p>
    <w:p>
      <w:pPr>
        <w:ind w:left="1460" w:hanging="696"/>
        <w:spacing w:after="0"/>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20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firstLine="645"/>
        <w:spacing w:after="0" w:line="264" w:lineRule="auto"/>
        <w:tabs>
          <w:tab w:leader="none" w:pos="2023"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subject any Lender to any tax of any kind whatsoever with respect to this Agreement or any Eurodollar Rate Loan made by it, or change the basis of taxation of payments to such Lender in respect thereof (except for Indemnified Taxes 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w:t>
      </w:r>
    </w:p>
    <w:p>
      <w:pPr>
        <w:spacing w:after="0" w:line="181" w:lineRule="exact"/>
        <w:rPr>
          <w:rFonts w:ascii="Arial" w:cs="Arial" w:eastAsia="Arial" w:hAnsi="Arial"/>
          <w:sz w:val="18"/>
          <w:szCs w:val="18"/>
          <w:color w:val="auto"/>
        </w:rPr>
      </w:pPr>
    </w:p>
    <w:p>
      <w:pPr>
        <w:ind w:left="660" w:right="780" w:firstLine="645"/>
        <w:spacing w:after="0" w:line="277" w:lineRule="auto"/>
        <w:tabs>
          <w:tab w:leader="none" w:pos="2028" w:val="left"/>
        </w:tabs>
        <w:numPr>
          <w:ilvl w:val="1"/>
          <w:numId w:val="53"/>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affecting this Agreement or Eurodollar Rate Loans made by such Lender;</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and the result of any of the foregoing shall be to increase the cost to such Lender of making, converting to, continuing or maintaining any Loan the interest on which is determined by reference to the Eurodollar Rate (or of maintaining its obligation to make any such Eurodollar Rate Loan), or to reduce the amount of any sum received or receivable by such Lender hereunder (whether of principal, interest or any other amount), in each case, by an amount deemed in good faith by such Lender to be material, then, within five Business Days after written demand therefor by such Lender, the Borrower will pay to such Lender such additional amount or amounts as will compensate such Lender such additional costs incurred or reduction suffered.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100" w:firstLine="644"/>
        <w:spacing w:after="0" w:line="291" w:lineRule="auto"/>
        <w:tabs>
          <w:tab w:leader="none" w:pos="147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by an amount deemed in good faith by such Lender to be material based on that which such Lender or such Lender’s holding company could have achieved but for such Change in Law (taking into consideration such Lender’s policies and the policies of such Lender’s holding company with respect to capital adequacy), then from time to time within five Business Days after written demand therefor, the Borrower will pay to such Lender such additional amount or amounts as will compensate such Lender or such Lender’s holding company, if any, for any such reduction suffered.</w:t>
      </w:r>
    </w:p>
    <w:p>
      <w:pPr>
        <w:spacing w:after="0" w:line="167" w:lineRule="exact"/>
        <w:rPr>
          <w:rFonts w:ascii="Arial" w:cs="Arial" w:eastAsia="Arial" w:hAnsi="Arial"/>
          <w:sz w:val="16"/>
          <w:szCs w:val="16"/>
          <w:color w:val="auto"/>
        </w:rPr>
      </w:pPr>
    </w:p>
    <w:p>
      <w:pPr>
        <w:ind w:left="120" w:firstLine="644"/>
        <w:spacing w:after="0" w:line="302" w:lineRule="auto"/>
        <w:tabs>
          <w:tab w:leader="none" w:pos="146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a Lender setting forth the amount or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10 days after receipt thereof. Upon request by the Borrower, a Lender shall also provide a certificate that such Lender is generally requesting such compensation from its other borrowers.</w:t>
      </w:r>
    </w:p>
    <w:p>
      <w:pPr>
        <w:spacing w:after="0" w:line="154" w:lineRule="exact"/>
        <w:rPr>
          <w:rFonts w:ascii="Arial" w:cs="Arial" w:eastAsia="Arial" w:hAnsi="Arial"/>
          <w:sz w:val="16"/>
          <w:szCs w:val="16"/>
          <w:color w:val="auto"/>
        </w:rPr>
      </w:pPr>
    </w:p>
    <w:p>
      <w:pPr>
        <w:ind w:left="120" w:right="80" w:firstLine="644"/>
        <w:spacing w:after="0" w:line="273" w:lineRule="auto"/>
        <w:tabs>
          <w:tab w:leader="none" w:pos="147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to demand compensation pursuant to the foregoing provisions of this Section shall not constitute a waiver of such Lender’s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pursuant to the foregoing provisions of this Section for any increased costs incurred or reductions suffered more than 180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78" w:lineRule="exact"/>
        <w:rPr>
          <w:rFonts w:ascii="Arial" w:cs="Arial" w:eastAsia="Arial" w:hAnsi="Arial"/>
          <w:sz w:val="17"/>
          <w:szCs w:val="17"/>
          <w:color w:val="auto"/>
        </w:rPr>
      </w:pPr>
    </w:p>
    <w:p>
      <w:pPr>
        <w:ind w:left="120" w:firstLine="644"/>
        <w:spacing w:after="0" w:line="288" w:lineRule="auto"/>
        <w:tabs>
          <w:tab w:leader="none" w:pos="146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Reserves on Eurodollar Rate Loans</w:t>
      </w:r>
      <w:r>
        <w:rPr>
          <w:rFonts w:ascii="Arial" w:cs="Arial" w:eastAsia="Arial" w:hAnsi="Arial"/>
          <w:sz w:val="16"/>
          <w:szCs w:val="16"/>
          <w:color w:val="auto"/>
        </w:rPr>
        <w:t xml:space="preserve">. The Borrower shall pay to each Lender, (i) as long as such Lender shall be required to maintain reserves with respect to liabilities or assets consisting of or including Eurodollar funds or deposits (currently known as “Eurodollar liabilities”), additional interest on the unpaid principal amount of each Eurodollar Rate Loan equal to the actual costs of such reserves allocated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Eurodollar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Borrower shall have received at least 10 days’ prior notice (with a copy to the Administrative Agent) of such additional interest or costs from such Lender. If a Lender fails to give notice 10 days prior to the relevant Interest Payment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such additional interest or costs shall be due and payable 10 days from receipt of such notice.</w:t>
      </w:r>
    </w:p>
    <w:p>
      <w:pPr>
        <w:spacing w:after="0" w:line="221" w:lineRule="exact"/>
        <w:rPr>
          <w:sz w:val="20"/>
          <w:szCs w:val="20"/>
          <w:color w:val="auto"/>
        </w:rPr>
      </w:pPr>
    </w:p>
    <w:p>
      <w:pPr>
        <w:ind w:right="320" w:firstLine="869"/>
        <w:spacing w:after="0" w:line="313" w:lineRule="auto"/>
        <w:rPr>
          <w:sz w:val="20"/>
          <w:szCs w:val="20"/>
          <w:color w:val="auto"/>
        </w:rPr>
      </w:pPr>
      <w:r>
        <w:rPr>
          <w:rFonts w:ascii="Arial" w:cs="Arial" w:eastAsia="Arial" w:hAnsi="Arial"/>
          <w:sz w:val="17"/>
          <w:szCs w:val="17"/>
          <w:b w:val="1"/>
          <w:bCs w:val="1"/>
          <w:color w:val="auto"/>
        </w:rPr>
        <w:t>3.05 Compensation for Losses</w:t>
      </w:r>
      <w:r>
        <w:rPr>
          <w:rFonts w:ascii="Arial" w:cs="Arial" w:eastAsia="Arial" w:hAnsi="Arial"/>
          <w:sz w:val="17"/>
          <w:szCs w:val="17"/>
          <w:color w:val="auto"/>
        </w:rPr>
        <w:t>. Upon demand of any Lender (with a copy to the Administrative Agent) from time to time, the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promptly compensate such Lender for and hold such Lender harmless from any loss, cost or expense incurred by it as a result of:</w:t>
      </w:r>
    </w:p>
    <w:p>
      <w:pPr>
        <w:spacing w:after="0" w:line="142" w:lineRule="exact"/>
        <w:rPr>
          <w:sz w:val="20"/>
          <w:szCs w:val="20"/>
          <w:color w:val="auto"/>
        </w:rPr>
      </w:pPr>
    </w:p>
    <w:p>
      <w:pPr>
        <w:ind w:left="120" w:right="340" w:firstLine="644"/>
        <w:spacing w:after="0" w:line="277" w:lineRule="auto"/>
        <w:tabs>
          <w:tab w:leader="none" w:pos="146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ectPr>
          <w:pgSz w:w="11900" w:h="16838" w:orient="portrait"/>
          <w:cols w:equalWidth="0" w:num="1">
            <w:col w:w="11420"/>
          </w:cols>
          <w:pgMar w:left="240" w:top="125" w:right="239" w:bottom="0" w:gutter="0" w:footer="0" w:header="0"/>
        </w:sectPr>
      </w:pPr>
    </w:p>
    <w:bookmarkStart w:id="26" w:name="page27"/>
    <w:bookmarkEnd w:id="26"/>
    <w:p>
      <w:pPr>
        <w:ind w:left="120" w:firstLine="644"/>
        <w:spacing w:after="0" w:line="277" w:lineRule="auto"/>
        <w:tabs>
          <w:tab w:leader="none" w:pos="14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70" w:lineRule="exact"/>
        <w:rPr>
          <w:rFonts w:ascii="Arial" w:cs="Arial" w:eastAsia="Arial" w:hAnsi="Arial"/>
          <w:sz w:val="18"/>
          <w:szCs w:val="18"/>
          <w:color w:val="auto"/>
        </w:rPr>
      </w:pPr>
    </w:p>
    <w:p>
      <w:pPr>
        <w:ind w:left="120" w:right="320" w:firstLine="644"/>
        <w:spacing w:after="0" w:line="277" w:lineRule="auto"/>
        <w:tabs>
          <w:tab w:leader="none" w:pos="14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 certificate of such Lender setting forth the amount of any such loss, cost or expense, including reasonably detailed calculations thereof, shall be delivered to the Borrower and the Administrative Agent and be conclusive absent manifest error. 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84"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r>
        <w:rPr>
          <w:rFonts w:ascii="Arial" w:cs="Arial" w:eastAsia="Arial" w:hAnsi="Arial"/>
          <w:sz w:val="16"/>
          <w:szCs w:val="16"/>
          <w:color w:val="auto"/>
        </w:rPr>
        <w:t>.</w:t>
      </w:r>
    </w:p>
    <w:p>
      <w:pPr>
        <w:spacing w:after="0" w:line="229" w:lineRule="exact"/>
        <w:rPr>
          <w:sz w:val="20"/>
          <w:szCs w:val="20"/>
          <w:color w:val="auto"/>
        </w:rPr>
      </w:pPr>
    </w:p>
    <w:p>
      <w:pPr>
        <w:ind w:left="120" w:right="60" w:firstLine="644"/>
        <w:spacing w:after="0" w:line="271" w:lineRule="auto"/>
        <w:tabs>
          <w:tab w:leader="none" w:pos="146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 w:firstLine="644"/>
        <w:spacing w:after="0" w:line="271" w:lineRule="auto"/>
        <w:tabs>
          <w:tab w:leader="none" w:pos="147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Replacement of Lenders</w:t>
      </w:r>
      <w:r>
        <w:rPr>
          <w:rFonts w:ascii="Arial" w:cs="Arial" w:eastAsia="Arial" w:hAnsi="Arial"/>
          <w:sz w:val="17"/>
          <w:szCs w:val="17"/>
          <w:color w:val="auto"/>
        </w:rPr>
        <w:t xml:space="preserve">. If (i)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and does not subsequently designate a different Lending Office or assign its rights and obligations hereunder to another of its offices, branches or affiliates as provided above, (ii)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(iii) any Lender becomes a Defaulting Lender, or (iv)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then in each case, the Borrower may replace such Lender in accordance with </w:t>
      </w:r>
      <w:r>
        <w:rPr>
          <w:rFonts w:ascii="Arial" w:cs="Arial" w:eastAsia="Arial" w:hAnsi="Arial"/>
          <w:sz w:val="17"/>
          <w:szCs w:val="17"/>
          <w:u w:val="single" w:color="auto"/>
          <w:color w:val="auto"/>
        </w:rPr>
        <w:t>Section 10.13</w:t>
      </w:r>
      <w:r>
        <w:rPr>
          <w:rFonts w:ascii="Arial" w:cs="Arial" w:eastAsia="Arial" w:hAnsi="Arial"/>
          <w:sz w:val="17"/>
          <w:szCs w:val="17"/>
          <w:color w:val="auto"/>
        </w:rPr>
        <w:t>.</w:t>
      </w:r>
    </w:p>
    <w:p>
      <w:pPr>
        <w:spacing w:after="0" w:line="175" w:lineRule="exact"/>
        <w:rPr>
          <w:sz w:val="20"/>
          <w:szCs w:val="20"/>
          <w:color w:val="auto"/>
        </w:rPr>
      </w:pPr>
    </w:p>
    <w:p>
      <w:pPr>
        <w:ind w:right="160" w:firstLine="869"/>
        <w:spacing w:after="0" w:line="282" w:lineRule="auto"/>
        <w:rPr>
          <w:sz w:val="20"/>
          <w:szCs w:val="20"/>
          <w:color w:val="auto"/>
        </w:rPr>
      </w:pPr>
      <w:r>
        <w:rPr>
          <w:rFonts w:ascii="Arial" w:cs="Arial" w:eastAsia="Arial" w:hAnsi="Arial"/>
          <w:sz w:val="18"/>
          <w:szCs w:val="18"/>
          <w:b w:val="1"/>
          <w:bCs w:val="1"/>
          <w:color w:val="auto"/>
        </w:rPr>
        <w:t>3.07 Survival</w:t>
      </w:r>
      <w:r>
        <w:rPr>
          <w:rFonts w:ascii="Arial" w:cs="Arial" w:eastAsia="Arial" w:hAnsi="Arial"/>
          <w:sz w:val="18"/>
          <w:szCs w:val="18"/>
          <w:color w:val="auto"/>
        </w:rPr>
        <w:t>. 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all other Obligations hereunder, and resignation of the Administrative Agent.</w:t>
      </w:r>
    </w:p>
    <w:p>
      <w:pPr>
        <w:spacing w:after="0" w:line="162"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8"/>
          <w:szCs w:val="18"/>
          <w:b w:val="1"/>
          <w:bCs w:val="1"/>
          <w:color w:val="auto"/>
        </w:rPr>
        <w:t>ARTICLE IV.</w:t>
        <w:tab/>
        <w:t>CONDITIONS PRECEDENT TO LOANS</w:t>
      </w:r>
    </w:p>
    <w:p>
      <w:pPr>
        <w:spacing w:after="0" w:line="225" w:lineRule="exact"/>
        <w:rPr>
          <w:sz w:val="20"/>
          <w:szCs w:val="20"/>
          <w:color w:val="auto"/>
        </w:rPr>
      </w:pPr>
    </w:p>
    <w:p>
      <w:pPr>
        <w:ind w:right="160" w:firstLine="869"/>
        <w:spacing w:after="0" w:line="282" w:lineRule="auto"/>
        <w:rPr>
          <w:sz w:val="20"/>
          <w:szCs w:val="20"/>
          <w:color w:val="auto"/>
        </w:rPr>
      </w:pPr>
      <w:r>
        <w:rPr>
          <w:rFonts w:ascii="Arial" w:cs="Arial" w:eastAsia="Arial" w:hAnsi="Arial"/>
          <w:sz w:val="18"/>
          <w:szCs w:val="18"/>
          <w:b w:val="1"/>
          <w:bCs w:val="1"/>
          <w:color w:val="auto"/>
        </w:rPr>
        <w:t>4.01 Conditions Precedent to Initial Loans</w:t>
      </w:r>
      <w:r>
        <w:rPr>
          <w:rFonts w:ascii="Arial" w:cs="Arial" w:eastAsia="Arial" w:hAnsi="Arial"/>
          <w:sz w:val="18"/>
          <w:szCs w:val="18"/>
          <w:color w:val="auto"/>
        </w:rPr>
        <w:t>. The obligation of each Lender to make its initial Loan hereunder is subject to the satisfaction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 conditions precedent:</w:t>
      </w:r>
    </w:p>
    <w:p>
      <w:pPr>
        <w:spacing w:after="0" w:line="166" w:lineRule="exact"/>
        <w:rPr>
          <w:sz w:val="20"/>
          <w:szCs w:val="20"/>
          <w:color w:val="auto"/>
        </w:rPr>
      </w:pPr>
    </w:p>
    <w:p>
      <w:pPr>
        <w:ind w:left="120" w:right="80" w:firstLine="644"/>
        <w:spacing w:after="0" w:line="279" w:lineRule="auto"/>
        <w:tabs>
          <w:tab w:leader="none" w:pos="1463"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Administrative Agent’s receipt of the following, each of which shall be originals, telecopies or other electronic copies (followed promptly by originals) unless otherwise specified, each properly executed by a Responsible Officer of the Borrower, if applicable, each dated the Closing Date (or, in the case of certificates of governmental officials, a recent date before the Closing Date and in the case of financial statements, the date or period of such financial statements) and each in form and substance reasonably satisfactory to the Administrative Agent:</w:t>
      </w:r>
    </w:p>
    <w:p>
      <w:pPr>
        <w:spacing w:after="0" w:line="171" w:lineRule="exact"/>
        <w:rPr>
          <w:rFonts w:ascii="Arial" w:cs="Arial" w:eastAsia="Arial" w:hAnsi="Arial"/>
          <w:sz w:val="17"/>
          <w:szCs w:val="17"/>
          <w:color w:val="auto"/>
        </w:rPr>
      </w:pPr>
    </w:p>
    <w:p>
      <w:pPr>
        <w:ind w:left="2020" w:hanging="715"/>
        <w:spacing w:after="0"/>
        <w:tabs>
          <w:tab w:leader="none" w:pos="20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executed counterparts of this Agreement, sufficient in number for distribution to the Administrative Agent, each Lender and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so requested within three Business Days of the Closing Date, a Note executed by the Borrower in favor of each requesting</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Lender;</w:t>
      </w:r>
    </w:p>
    <w:p>
      <w:pPr>
        <w:spacing w:after="0" w:line="210" w:lineRule="exact"/>
        <w:rPr>
          <w:rFonts w:ascii="Arial" w:cs="Arial" w:eastAsia="Arial" w:hAnsi="Arial"/>
          <w:sz w:val="17"/>
          <w:szCs w:val="17"/>
          <w:color w:val="auto"/>
        </w:rPr>
      </w:pPr>
    </w:p>
    <w:p>
      <w:pPr>
        <w:jc w:val="both"/>
        <w:ind w:left="660" w:right="280" w:firstLine="645"/>
        <w:spacing w:after="0" w:line="312" w:lineRule="auto"/>
        <w:tabs>
          <w:tab w:leader="none" w:pos="2028" w:val="left"/>
        </w:tabs>
        <w:numPr>
          <w:ilvl w:val="1"/>
          <w:numId w:val="59"/>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to which the Borrower is a party;</w:t>
      </w:r>
    </w:p>
    <w:p>
      <w:pPr>
        <w:spacing w:after="0" w:line="146" w:lineRule="exact"/>
        <w:rPr>
          <w:rFonts w:ascii="Arial" w:cs="Arial" w:eastAsia="Arial" w:hAnsi="Arial"/>
          <w:sz w:val="16"/>
          <w:szCs w:val="16"/>
          <w:color w:val="auto"/>
        </w:rPr>
      </w:pPr>
    </w:p>
    <w:p>
      <w:pPr>
        <w:jc w:val="both"/>
        <w:ind w:left="660" w:right="100" w:firstLine="645"/>
        <w:spacing w:after="0" w:line="264" w:lineRule="auto"/>
        <w:tabs>
          <w:tab w:leader="none" w:pos="2018" w:val="left"/>
        </w:tabs>
        <w:numPr>
          <w:ilvl w:val="1"/>
          <w:numId w:val="59"/>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of the Borrower and General Partner is duly organized or formed, and that the Borrower is validly existing and in good standing in its jurisdiction of organization, issued by the appropriate authorities of such jurisdiction;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firstLine="645"/>
        <w:spacing w:after="0" w:line="277" w:lineRule="auto"/>
        <w:tabs>
          <w:tab w:leader="none" w:pos="20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favorable opinions of Richard McGee, Esq., General Counsel for the Borrower, and Fulbright &amp; Jaworski LLP, special Texas and New York counsel to the Borrower, addressed to the Administrative Agent and each Lender;</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Audited Financial Statements;</w:t>
      </w:r>
    </w:p>
    <w:p>
      <w:pPr>
        <w:sectPr>
          <w:pgSz w:w="11900" w:h="16838" w:orient="portrait"/>
          <w:cols w:equalWidth="0" w:num="1">
            <w:col w:w="11420"/>
          </w:cols>
          <w:pgMar w:left="240" w:top="125" w:right="239" w:bottom="0" w:gutter="0" w:footer="0" w:header="0"/>
        </w:sectPr>
      </w:pPr>
    </w:p>
    <w:bookmarkStart w:id="27" w:name="page28"/>
    <w:bookmarkEnd w:id="27"/>
    <w:p>
      <w:pPr>
        <w:spacing w:after="0" w:line="115" w:lineRule="exact"/>
        <w:rPr>
          <w:sz w:val="20"/>
          <w:szCs w:val="20"/>
          <w:color w:val="auto"/>
        </w:rPr>
      </w:pPr>
    </w:p>
    <w:p>
      <w:pPr>
        <w:ind w:left="2020" w:hanging="715"/>
        <w:spacing w:after="0"/>
        <w:tabs>
          <w:tab w:leader="none" w:pos="2020" w:val="left"/>
        </w:tabs>
        <w:numPr>
          <w:ilvl w:val="2"/>
          <w:numId w:val="61"/>
        </w:numPr>
        <w:rPr>
          <w:rFonts w:ascii="Arial" w:cs="Arial" w:eastAsia="Arial" w:hAnsi="Arial"/>
          <w:sz w:val="17"/>
          <w:szCs w:val="17"/>
          <w:color w:val="auto"/>
        </w:rPr>
      </w:pPr>
      <w:r>
        <w:rPr>
          <w:rFonts w:ascii="Arial" w:cs="Arial" w:eastAsia="Arial" w:hAnsi="Arial"/>
          <w:sz w:val="17"/>
          <w:szCs w:val="17"/>
          <w:color w:val="auto"/>
        </w:rPr>
        <w:t xml:space="preserve">a certificate signed by a Responsible Officer of the Borrower certifying (A) that the conditions specified in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jc w:val="both"/>
        <w:ind w:left="660" w:right="80" w:hanging="4"/>
        <w:spacing w:after="0" w:line="255" w:lineRule="auto"/>
        <w:tabs>
          <w:tab w:leader="none" w:pos="915" w:val="left"/>
        </w:tabs>
        <w:numPr>
          <w:ilvl w:val="0"/>
          <w:numId w:val="62"/>
        </w:numPr>
        <w:rPr>
          <w:rFonts w:ascii="Arial" w:cs="Arial" w:eastAsia="Arial" w:hAnsi="Arial"/>
          <w:sz w:val="18"/>
          <w:szCs w:val="18"/>
          <w:u w:val="single" w:color="auto"/>
          <w:color w:val="auto"/>
        </w:rPr>
      </w:pPr>
      <w:r>
        <w:rPr>
          <w:rFonts w:ascii="Arial" w:cs="Arial" w:eastAsia="Arial" w:hAnsi="Arial"/>
          <w:sz w:val="18"/>
          <w:szCs w:val="18"/>
          <w:color w:val="auto"/>
        </w:rPr>
        <w:t>have been satisfied, (B) that there has been no event or circumstance since the date of the most recent Audited Financial Statements that has had or could be reasonably expected to have, either individually or in the aggregate, a Material Adverse Effect, (C) the current Debt Ratings, and (D) the Borrower’s true and correct U.S. taxpayer identification number; and</w:t>
      </w:r>
    </w:p>
    <w:p>
      <w:pPr>
        <w:spacing w:after="0" w:line="190" w:lineRule="exact"/>
        <w:rPr>
          <w:rFonts w:ascii="Arial" w:cs="Arial" w:eastAsia="Arial" w:hAnsi="Arial"/>
          <w:sz w:val="18"/>
          <w:szCs w:val="18"/>
          <w:u w:val="single" w:color="auto"/>
          <w:color w:val="auto"/>
        </w:rPr>
      </w:pPr>
    </w:p>
    <w:p>
      <w:pPr>
        <w:ind w:left="2020" w:hanging="715"/>
        <w:spacing w:after="0"/>
        <w:tabs>
          <w:tab w:leader="none" w:pos="2020" w:val="left"/>
        </w:tabs>
        <w:numPr>
          <w:ilvl w:val="2"/>
          <w:numId w:val="62"/>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may reasonably require.</w:t>
      </w:r>
    </w:p>
    <w:p>
      <w:pPr>
        <w:spacing w:after="0" w:line="236" w:lineRule="exact"/>
        <w:rPr>
          <w:rFonts w:ascii="Arial" w:cs="Arial" w:eastAsia="Arial" w:hAnsi="Arial"/>
          <w:sz w:val="17"/>
          <w:szCs w:val="17"/>
          <w:color w:val="auto"/>
        </w:rPr>
      </w:pPr>
    </w:p>
    <w:p>
      <w:pPr>
        <w:ind w:left="120" w:right="580" w:firstLine="644"/>
        <w:spacing w:after="0" w:line="308" w:lineRule="auto"/>
        <w:tabs>
          <w:tab w:leader="none" w:pos="1473"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consents, licenses and approvals required in connection with the execution, delivery and performance by the Borrower and the validity against the Borrower of the Loan Documents to which it is a party shall have been obtained and shall be in full force and effect.</w:t>
      </w:r>
    </w:p>
    <w:p>
      <w:pPr>
        <w:spacing w:after="0" w:line="146" w:lineRule="exact"/>
        <w:rPr>
          <w:rFonts w:ascii="Arial" w:cs="Arial" w:eastAsia="Arial" w:hAnsi="Arial"/>
          <w:sz w:val="17"/>
          <w:szCs w:val="17"/>
          <w:color w:val="auto"/>
        </w:rPr>
      </w:pPr>
    </w:p>
    <w:p>
      <w:pPr>
        <w:ind w:left="120" w:firstLine="644"/>
        <w:spacing w:after="0" w:line="276" w:lineRule="auto"/>
        <w:tabs>
          <w:tab w:leader="none" w:pos="1463"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There shall not have occurred during the period from the date of the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Borrower, threatened in writing, at law, in equity, in arbitration or before any Governmental Authority, by or against the Borrower or any of its Subsidiaries or against any of their properties or revenues that either individually or in the aggregate could reasonably be expected to have a Material Adverse Effect.</w:t>
      </w:r>
    </w:p>
    <w:p>
      <w:pPr>
        <w:spacing w:after="0" w:line="172" w:lineRule="exact"/>
        <w:rPr>
          <w:rFonts w:ascii="Arial" w:cs="Arial" w:eastAsia="Arial" w:hAnsi="Arial"/>
          <w:sz w:val="17"/>
          <w:szCs w:val="17"/>
          <w:color w:val="auto"/>
        </w:rPr>
      </w:pPr>
    </w:p>
    <w:p>
      <w:pPr>
        <w:ind w:left="120" w:right="80" w:firstLine="644"/>
        <w:spacing w:after="0" w:line="308" w:lineRule="auto"/>
        <w:tabs>
          <w:tab w:leader="none" w:pos="1473" w:val="left"/>
        </w:tabs>
        <w:numPr>
          <w:ilvl w:val="1"/>
          <w:numId w:val="62"/>
        </w:numPr>
        <w:rPr>
          <w:rFonts w:ascii="Arial" w:cs="Arial" w:eastAsia="Arial" w:hAnsi="Arial"/>
          <w:sz w:val="17"/>
          <w:szCs w:val="17"/>
          <w:color w:val="auto"/>
        </w:rPr>
      </w:pPr>
      <w:r>
        <w:rPr>
          <w:rFonts w:ascii="Arial" w:cs="Arial" w:eastAsia="Arial" w:hAnsi="Arial"/>
          <w:sz w:val="17"/>
          <w:szCs w:val="17"/>
          <w:color w:val="auto"/>
        </w:rPr>
        <w:t>Any fees, including any arrangement fees, agency fees and upfront fees, and any expenses of the Arrangers and Administrative Agent, in each case, as agreed in writing by the Borrower, required to be paid on or before the Closing Date shall have been paid.</w:t>
      </w:r>
    </w:p>
    <w:p>
      <w:pPr>
        <w:spacing w:after="0" w:line="146" w:lineRule="exact"/>
        <w:rPr>
          <w:rFonts w:ascii="Arial" w:cs="Arial" w:eastAsia="Arial" w:hAnsi="Arial"/>
          <w:sz w:val="17"/>
          <w:szCs w:val="17"/>
          <w:color w:val="auto"/>
        </w:rPr>
      </w:pPr>
    </w:p>
    <w:p>
      <w:pPr>
        <w:ind w:left="120" w:right="640" w:firstLine="644"/>
        <w:spacing w:after="0" w:line="277" w:lineRule="auto"/>
        <w:tabs>
          <w:tab w:leader="none" w:pos="146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Borrower shall have paid all reasonable fees, charges and disbursements of counsel to the Administrative Agent to the extent invoiced prior to or on the Closing Date.</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Borrower with a copy of any such notice received by the Administrative Agent.</w:t>
      </w:r>
    </w:p>
    <w:p>
      <w:pPr>
        <w:spacing w:after="0" w:line="169" w:lineRule="exact"/>
        <w:rPr>
          <w:sz w:val="20"/>
          <w:szCs w:val="20"/>
          <w:color w:val="auto"/>
        </w:rPr>
      </w:pPr>
    </w:p>
    <w:p>
      <w:pPr>
        <w:ind w:right="700" w:firstLine="869"/>
        <w:spacing w:after="0" w:line="313" w:lineRule="auto"/>
        <w:rPr>
          <w:sz w:val="20"/>
          <w:szCs w:val="20"/>
          <w:color w:val="auto"/>
        </w:rPr>
      </w:pPr>
      <w:r>
        <w:rPr>
          <w:rFonts w:ascii="Arial" w:cs="Arial" w:eastAsia="Arial" w:hAnsi="Arial"/>
          <w:sz w:val="17"/>
          <w:szCs w:val="17"/>
          <w:b w:val="1"/>
          <w:bCs w:val="1"/>
          <w:color w:val="auto"/>
        </w:rPr>
        <w:t>4.02 Conditions to all Loans</w:t>
      </w:r>
      <w:r>
        <w:rPr>
          <w:rFonts w:ascii="Arial" w:cs="Arial" w:eastAsia="Arial" w:hAnsi="Arial"/>
          <w:sz w:val="17"/>
          <w:szCs w:val="17"/>
          <w:color w:val="auto"/>
        </w:rPr>
        <w:t>. The obligation of each Lender to honor any Loan Notice (other than a Loan Notice requesting only a</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of Loans to the other Type, or a continuation of Eurodollar Rate Loans) is subject to the following conditions precedent: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60" w:firstLine="644"/>
        <w:spacing w:after="0" w:line="276" w:lineRule="auto"/>
        <w:tabs>
          <w:tab w:leader="none" w:pos="1463"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(i) the Borrower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(ii) the Borrower in any other Loan Document shall be true and correct in all material respects on and as of the date of such Loans,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representations and warranties contained in subsections (a) and (b)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clauses (a) and (b),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1460" w:hanging="696"/>
        <w:spacing w:after="0"/>
        <w:tabs>
          <w:tab w:leader="none" w:pos="1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Default shall have occurred and be continuing, or would immediately result from such proposed Loans or from the application of the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proceeds thereof.</w:t>
      </w:r>
    </w:p>
    <w:p>
      <w:pPr>
        <w:spacing w:after="0" w:line="210" w:lineRule="exact"/>
        <w:rPr>
          <w:rFonts w:ascii="Arial" w:cs="Arial" w:eastAsia="Arial" w:hAnsi="Arial"/>
          <w:sz w:val="16"/>
          <w:szCs w:val="16"/>
          <w:color w:val="auto"/>
        </w:rPr>
      </w:pPr>
    </w:p>
    <w:p>
      <w:pPr>
        <w:ind w:left="1460" w:hanging="696"/>
        <w:spacing w:after="0"/>
        <w:tabs>
          <w:tab w:leader="none" w:pos="1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Administrative Agent shall have received a Loan Notice in accordance with the requirements hereof.</w:t>
      </w:r>
    </w:p>
    <w:p>
      <w:pPr>
        <w:spacing w:after="0" w:line="221" w:lineRule="exact"/>
        <w:rPr>
          <w:sz w:val="20"/>
          <w:szCs w:val="20"/>
          <w:color w:val="auto"/>
        </w:rPr>
      </w:pPr>
    </w:p>
    <w:p>
      <w:pPr>
        <w:ind w:left="3340"/>
        <w:spacing w:after="0"/>
        <w:tabs>
          <w:tab w:leader="none" w:pos="4640" w:val="left"/>
        </w:tabs>
        <w:rPr>
          <w:sz w:val="20"/>
          <w:szCs w:val="20"/>
          <w:color w:val="auto"/>
        </w:rPr>
      </w:pPr>
      <w:r>
        <w:rPr>
          <w:rFonts w:ascii="Arial" w:cs="Arial" w:eastAsia="Arial" w:hAnsi="Arial"/>
          <w:sz w:val="18"/>
          <w:szCs w:val="18"/>
          <w:b w:val="1"/>
          <w:bCs w:val="1"/>
          <w:color w:val="auto"/>
        </w:rPr>
        <w:t>ARTICLE V.</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represents and warrants to the Administrative Agent and the Lenders that:</w:t>
      </w:r>
    </w:p>
    <w:p>
      <w:pPr>
        <w:spacing w:after="0" w:line="221" w:lineRule="exact"/>
        <w:rPr>
          <w:sz w:val="20"/>
          <w:szCs w:val="20"/>
          <w:color w:val="auto"/>
        </w:rPr>
      </w:pPr>
    </w:p>
    <w:p>
      <w:pPr>
        <w:ind w:right="120" w:firstLine="869"/>
        <w:spacing w:after="0" w:line="256" w:lineRule="auto"/>
        <w:rPr>
          <w:sz w:val="20"/>
          <w:szCs w:val="20"/>
          <w:color w:val="auto"/>
        </w:rPr>
      </w:pPr>
      <w:r>
        <w:rPr>
          <w:rFonts w:ascii="Arial" w:cs="Arial" w:eastAsia="Arial" w:hAnsi="Arial"/>
          <w:sz w:val="18"/>
          <w:szCs w:val="18"/>
          <w:b w:val="1"/>
          <w:bCs w:val="1"/>
          <w:color w:val="auto"/>
        </w:rPr>
        <w:t>5.01 Existence, Qualification and Power</w:t>
      </w:r>
      <w:r>
        <w:rPr>
          <w:rFonts w:ascii="Arial" w:cs="Arial" w:eastAsia="Arial" w:hAnsi="Arial"/>
          <w:sz w:val="18"/>
          <w:szCs w:val="18"/>
          <w:color w:val="auto"/>
        </w:rPr>
        <w:t>. The Borrower and each Significant Restricted Person (a) is duly organized or formed,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and, as applicable, in good 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188" w:lineRule="exact"/>
        <w:rPr>
          <w:sz w:val="20"/>
          <w:szCs w:val="20"/>
          <w:color w:val="auto"/>
        </w:rPr>
      </w:pPr>
    </w:p>
    <w:p>
      <w:pPr>
        <w:ind w:right="120" w:firstLine="869"/>
        <w:spacing w:after="0" w:line="274" w:lineRule="auto"/>
        <w:rPr>
          <w:sz w:val="20"/>
          <w:szCs w:val="20"/>
          <w:color w:val="auto"/>
        </w:rPr>
      </w:pPr>
      <w:r>
        <w:rPr>
          <w:rFonts w:ascii="Arial" w:cs="Arial" w:eastAsia="Arial" w:hAnsi="Arial"/>
          <w:sz w:val="17"/>
          <w:szCs w:val="17"/>
          <w:b w:val="1"/>
          <w:bCs w:val="1"/>
          <w:color w:val="auto"/>
        </w:rPr>
        <w:t>5.02 Authorization; No Contravention</w:t>
      </w:r>
      <w:r>
        <w:rPr>
          <w:rFonts w:ascii="Arial" w:cs="Arial" w:eastAsia="Arial" w:hAnsi="Arial"/>
          <w:sz w:val="17"/>
          <w:szCs w:val="17"/>
          <w:color w:val="auto"/>
        </w:rPr>
        <w:t>. The execution, delivery and performance by the Borrower of each Loan Document to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is 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174" w:lineRule="exact"/>
        <w:rPr>
          <w:sz w:val="20"/>
          <w:szCs w:val="20"/>
          <w:color w:val="auto"/>
        </w:rPr>
      </w:pPr>
    </w:p>
    <w:p>
      <w:pPr>
        <w:ind w:right="40" w:firstLine="869"/>
        <w:spacing w:after="0" w:line="281" w:lineRule="auto"/>
        <w:rPr>
          <w:sz w:val="20"/>
          <w:szCs w:val="20"/>
          <w:color w:val="auto"/>
        </w:rPr>
      </w:pPr>
      <w:r>
        <w:rPr>
          <w:rFonts w:ascii="Arial" w:cs="Arial" w:eastAsia="Arial" w:hAnsi="Arial"/>
          <w:sz w:val="17"/>
          <w:szCs w:val="17"/>
          <w:b w:val="1"/>
          <w:bCs w:val="1"/>
          <w:color w:val="auto"/>
        </w:rPr>
        <w:t>5.03 Governmental Authorization; Other Consents</w:t>
      </w:r>
      <w:r>
        <w:rPr>
          <w:rFonts w:ascii="Arial" w:cs="Arial" w:eastAsia="Arial" w:hAnsi="Arial"/>
          <w:sz w:val="17"/>
          <w:szCs w:val="17"/>
          <w:color w:val="auto"/>
        </w:rPr>
        <w:t>. Except as expressly contemplated in or permitted by the Loan Documents, disclosed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t>
      </w:r>
      <w:r>
        <w:rPr>
          <w:rFonts w:ascii="Arial" w:cs="Arial" w:eastAsia="Arial" w:hAnsi="Arial"/>
          <w:sz w:val="17"/>
          <w:szCs w:val="17"/>
          <w:u w:val="single" w:color="auto"/>
          <w:color w:val="auto"/>
        </w:rPr>
        <w:t>Schedule 5.03</w:t>
      </w:r>
      <w:r>
        <w:rPr>
          <w:rFonts w:ascii="Arial" w:cs="Arial" w:eastAsia="Arial" w:hAnsi="Arial"/>
          <w:sz w:val="17"/>
          <w:szCs w:val="17"/>
          <w:color w:val="auto"/>
        </w:rPr>
        <w:t xml:space="preserve"> or disclosed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no approval, consent, exemption or authorization of, or other action by, or notice to, or filing with, any Governmental Authority or any other Person is required to be made or obtained by any Restricted Person a party thereto pursuant to the provisions of any material Law applicable to it as a condition to its execution, delivery or performance of this Agreement or any other Loan Document.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869"/>
        <w:spacing w:after="0" w:line="314" w:lineRule="auto"/>
        <w:rPr>
          <w:sz w:val="20"/>
          <w:szCs w:val="20"/>
          <w:color w:val="auto"/>
        </w:rPr>
      </w:pPr>
      <w:r>
        <w:rPr>
          <w:rFonts w:ascii="Arial" w:cs="Arial" w:eastAsia="Arial" w:hAnsi="Arial"/>
          <w:sz w:val="16"/>
          <w:szCs w:val="16"/>
          <w:b w:val="1"/>
          <w:bCs w:val="1"/>
          <w:color w:val="auto"/>
        </w:rPr>
        <w:t>5.04 Binding Effect</w:t>
      </w:r>
      <w:r>
        <w:rPr>
          <w:rFonts w:ascii="Arial" w:cs="Arial" w:eastAsia="Arial" w:hAnsi="Arial"/>
          <w:sz w:val="16"/>
          <w:szCs w:val="16"/>
          <w:color w:val="auto"/>
        </w:rPr>
        <w:t>. This Agreement has been, and each other Loan Document to which the Borrower is a party, when delivered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will have been, duly executed and delivered by the Borrower. This Agreement constitutes, and each other such Loan Document when so executed and delivered will constitute, a legal, valid and binding obligation of the Borrower to the extent a party hereto or thereto, as the case may be, enforceable against</w:t>
      </w:r>
    </w:p>
    <w:p>
      <w:pPr>
        <w:sectPr>
          <w:pgSz w:w="11900" w:h="16953" w:orient="portrait"/>
          <w:cols w:equalWidth="0" w:num="1">
            <w:col w:w="11420"/>
          </w:cols>
          <w:pgMar w:left="240" w:top="125" w:right="239" w:bottom="0" w:gutter="0" w:footer="0" w:header="0"/>
        </w:sectPr>
      </w:pPr>
    </w:p>
    <w:bookmarkStart w:id="28" w:name="page29"/>
    <w:bookmarkEnd w:id="28"/>
    <w:p>
      <w:pPr>
        <w:ind w:right="60"/>
        <w:spacing w:after="0" w:line="279" w:lineRule="auto"/>
        <w:rPr>
          <w:sz w:val="20"/>
          <w:szCs w:val="20"/>
          <w:color w:val="auto"/>
        </w:rPr>
      </w:pPr>
      <w:r>
        <w:rPr>
          <w:rFonts w:ascii="Arial" w:cs="Arial" w:eastAsia="Arial" w:hAnsi="Arial"/>
          <w:sz w:val="17"/>
          <w:szCs w:val="17"/>
          <w:color w:val="auto"/>
        </w:rPr>
        <w:t>the Borrower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67"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color w:val="auto"/>
        </w:rPr>
        <w:t>Financial Statements; No Material Adverse Effect</w:t>
      </w:r>
      <w:r>
        <w:rPr>
          <w:rFonts w:ascii="Arial" w:cs="Arial" w:eastAsia="Arial" w:hAnsi="Arial"/>
          <w:sz w:val="16"/>
          <w:szCs w:val="16"/>
          <w:color w:val="auto"/>
        </w:rPr>
        <w:t>.</w:t>
      </w:r>
    </w:p>
    <w:p>
      <w:pPr>
        <w:spacing w:after="0" w:line="229" w:lineRule="exact"/>
        <w:rPr>
          <w:sz w:val="20"/>
          <w:szCs w:val="20"/>
          <w:color w:val="auto"/>
        </w:rPr>
      </w:pPr>
    </w:p>
    <w:p>
      <w:pPr>
        <w:ind w:left="120" w:right="380" w:firstLine="644"/>
        <w:spacing w:after="0" w:line="259" w:lineRule="auto"/>
        <w:tabs>
          <w:tab w:leader="none" w:pos="14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the financial condition of the Borrower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186" w:lineRule="exact"/>
        <w:rPr>
          <w:rFonts w:ascii="Arial" w:cs="Arial" w:eastAsia="Arial" w:hAnsi="Arial"/>
          <w:sz w:val="18"/>
          <w:szCs w:val="18"/>
          <w:color w:val="auto"/>
        </w:rPr>
      </w:pPr>
    </w:p>
    <w:p>
      <w:pPr>
        <w:ind w:left="120" w:right="20" w:firstLine="644"/>
        <w:spacing w:after="0" w:line="276" w:lineRule="auto"/>
        <w:tabs>
          <w:tab w:leader="none" w:pos="147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unaudited consolidated balance sheets of the Borrower and its Subsidiaries dated September 30, 2014,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on a consolidated basis as of the date thereof and their results of operations for the period covered thereby, subject, in the case of clauses (i) and (ii), to the absence of footnotes and to normal year-end audit adjustments.</w:t>
      </w:r>
    </w:p>
    <w:p>
      <w:pPr>
        <w:spacing w:after="0" w:line="172" w:lineRule="exact"/>
        <w:rPr>
          <w:rFonts w:ascii="Arial" w:cs="Arial" w:eastAsia="Arial" w:hAnsi="Arial"/>
          <w:sz w:val="17"/>
          <w:szCs w:val="17"/>
          <w:color w:val="auto"/>
        </w:rPr>
      </w:pPr>
    </w:p>
    <w:p>
      <w:pPr>
        <w:jc w:val="both"/>
        <w:ind w:left="120" w:right="380" w:firstLine="644"/>
        <w:spacing w:after="0" w:line="342" w:lineRule="auto"/>
        <w:tabs>
          <w:tab w:leader="none" w:pos="14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of the Closing Date, for the period from December 31, 2013 through the Closing Date, there exists no event or circumstance with respect to the Borrower and its Subsidiaries taken as a whole, either individually or in the aggregate, that has then resulted in a Material Adverse Effect.</w:t>
      </w:r>
    </w:p>
    <w:p>
      <w:pPr>
        <w:spacing w:after="0" w:line="120" w:lineRule="exact"/>
        <w:rPr>
          <w:sz w:val="20"/>
          <w:szCs w:val="20"/>
          <w:color w:val="auto"/>
        </w:rPr>
      </w:pPr>
    </w:p>
    <w:p>
      <w:pPr>
        <w:ind w:firstLine="869"/>
        <w:spacing w:after="0" w:line="261" w:lineRule="auto"/>
        <w:rPr>
          <w:sz w:val="20"/>
          <w:szCs w:val="20"/>
          <w:color w:val="auto"/>
        </w:rPr>
      </w:pPr>
      <w:r>
        <w:rPr>
          <w:rFonts w:ascii="Arial" w:cs="Arial" w:eastAsia="Arial" w:hAnsi="Arial"/>
          <w:sz w:val="18"/>
          <w:szCs w:val="18"/>
          <w:b w:val="1"/>
          <w:bCs w:val="1"/>
          <w:color w:val="auto"/>
        </w:rPr>
        <w:t>5.06 Litigation</w:t>
      </w:r>
      <w:r>
        <w:rPr>
          <w:rFonts w:ascii="Arial" w:cs="Arial" w:eastAsia="Arial" w:hAnsi="Arial"/>
          <w:sz w:val="18"/>
          <w:szCs w:val="18"/>
          <w:color w:val="auto"/>
        </w:rPr>
        <w:t>. Except as disclosed in the Audited Financial Statements,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5.06</w:t>
      </w:r>
      <w:r>
        <w:rPr>
          <w:rFonts w:ascii="Arial" w:cs="Arial" w:eastAsia="Arial" w:hAnsi="Arial"/>
          <w:sz w:val="18"/>
          <w:szCs w:val="18"/>
          <w:b w:val="1"/>
          <w:bCs w:val="1"/>
          <w:color w:val="auto"/>
        </w:rPr>
        <w:t xml:space="preserve"> </w:t>
      </w:r>
      <w:r>
        <w:rPr>
          <w:rFonts w:ascii="Arial" w:cs="Arial" w:eastAsia="Arial" w:hAnsi="Arial"/>
          <w:sz w:val="18"/>
          <w:szCs w:val="18"/>
          <w:color w:val="auto"/>
        </w:rPr>
        <w:t>or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there are no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suits, proceedings, claims or disputes pending or, to the knowledge of the Borrower, overtly threatened in writing, at law, in equity, in arbitration or before any Governmental Authority, by or against the Borrower or any of its Subsidiaries or against any of their properties or revenues that either individually or in the aggregate could reasonably be expected to have a Material Adverse Effect.</w:t>
      </w:r>
    </w:p>
    <w:p>
      <w:pPr>
        <w:spacing w:after="0" w:line="180" w:lineRule="exact"/>
        <w:rPr>
          <w:sz w:val="20"/>
          <w:szCs w:val="20"/>
          <w:color w:val="auto"/>
        </w:rPr>
      </w:pPr>
    </w:p>
    <w:p>
      <w:pPr>
        <w:ind w:right="180" w:firstLine="869"/>
        <w:spacing w:after="0" w:line="266" w:lineRule="auto"/>
        <w:rPr>
          <w:sz w:val="20"/>
          <w:szCs w:val="20"/>
          <w:color w:val="auto"/>
        </w:rPr>
      </w:pPr>
      <w:r>
        <w:rPr>
          <w:rFonts w:ascii="Arial" w:cs="Arial" w:eastAsia="Arial" w:hAnsi="Arial"/>
          <w:sz w:val="18"/>
          <w:szCs w:val="18"/>
          <w:b w:val="1"/>
          <w:bCs w:val="1"/>
          <w:color w:val="auto"/>
        </w:rPr>
        <w:t>5.07 Environmental Compliance</w:t>
      </w:r>
      <w:r>
        <w:rPr>
          <w:rFonts w:ascii="Arial" w:cs="Arial" w:eastAsia="Arial" w:hAnsi="Arial"/>
          <w:sz w:val="18"/>
          <w:szCs w:val="18"/>
          <w:color w:val="auto"/>
        </w:rPr>
        <w:t>. Except as disclosed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5.07</w:t>
      </w:r>
      <w:r>
        <w:rPr>
          <w:rFonts w:ascii="Arial" w:cs="Arial" w:eastAsia="Arial" w:hAnsi="Arial"/>
          <w:sz w:val="18"/>
          <w:szCs w:val="18"/>
          <w:b w:val="1"/>
          <w:bCs w:val="1"/>
          <w:color w:val="auto"/>
        </w:rPr>
        <w:t xml:space="preserve"> </w:t>
      </w:r>
      <w:r>
        <w:rPr>
          <w:rFonts w:ascii="Arial" w:cs="Arial" w:eastAsia="Arial" w:hAnsi="Arial"/>
          <w:sz w:val="18"/>
          <w:szCs w:val="18"/>
          <w:color w:val="auto"/>
        </w:rPr>
        <w:t>or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the Borrower and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their businesses in material compliance with applicable Environmental Laws and in the ordinary course of business, review claims received by, and made against, them which overtly allege liability or responsibility on 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166"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b w:val="1"/>
          <w:bCs w:val="1"/>
          <w:color w:val="auto"/>
        </w:rPr>
        <w:t>5.08</w:t>
      </w:r>
      <w:r>
        <w:rPr>
          <w:sz w:val="20"/>
          <w:szCs w:val="20"/>
          <w:color w:val="auto"/>
        </w:rPr>
        <w:tab/>
      </w:r>
      <w:r>
        <w:rPr>
          <w:rFonts w:ascii="Arial" w:cs="Arial" w:eastAsia="Arial" w:hAnsi="Arial"/>
          <w:sz w:val="16"/>
          <w:szCs w:val="16"/>
          <w:b w:val="1"/>
          <w:bCs w:val="1"/>
          <w:color w:val="auto"/>
        </w:rPr>
        <w:t>ERISA Compliance</w:t>
      </w:r>
      <w:r>
        <w:rPr>
          <w:rFonts w:ascii="Arial" w:cs="Arial" w:eastAsia="Arial" w:hAnsi="Arial"/>
          <w:sz w:val="16"/>
          <w:szCs w:val="16"/>
          <w:color w:val="auto"/>
        </w:rPr>
        <w:t>.</w:t>
      </w:r>
    </w:p>
    <w:p>
      <w:pPr>
        <w:spacing w:after="0" w:line="229" w:lineRule="exact"/>
        <w:rPr>
          <w:sz w:val="20"/>
          <w:szCs w:val="20"/>
          <w:color w:val="auto"/>
        </w:rPr>
      </w:pPr>
    </w:p>
    <w:p>
      <w:pPr>
        <w:ind w:left="120" w:right="220" w:firstLine="644"/>
        <w:spacing w:after="0" w:line="288" w:lineRule="auto"/>
        <w:tabs>
          <w:tab w:leader="none" w:pos="1463"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Except as disclosed in the Audited Financial Statements, in </w:t>
      </w:r>
      <w:r>
        <w:rPr>
          <w:rFonts w:ascii="Arial" w:cs="Arial" w:eastAsia="Arial" w:hAnsi="Arial"/>
          <w:sz w:val="16"/>
          <w:szCs w:val="16"/>
          <w:u w:val="single" w:color="auto"/>
          <w:color w:val="auto"/>
        </w:rPr>
        <w:t>Schedule 5.08</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each Plan is in compliance in all material respects with the applicable provisions of ERISA, the Code and other applicable Federal or state laws, to the extent that any non-compliance therewith could reasonably be expected to result in a Material Adverse Effect. Each Pension Plan that is intended to be a qualified plan under</w:t>
      </w:r>
    </w:p>
    <w:p>
      <w:pPr>
        <w:ind w:left="120" w:right="220"/>
        <w:spacing w:after="0" w:line="254" w:lineRule="auto"/>
        <w:rPr>
          <w:rFonts w:ascii="Arial" w:cs="Arial" w:eastAsia="Arial" w:hAnsi="Arial"/>
          <w:sz w:val="16"/>
          <w:szCs w:val="16"/>
          <w:color w:val="auto"/>
        </w:rPr>
      </w:pPr>
      <w:r>
        <w:rPr>
          <w:rFonts w:ascii="Arial" w:cs="Arial" w:eastAsia="Arial" w:hAnsi="Arial"/>
          <w:sz w:val="18"/>
          <w:szCs w:val="18"/>
          <w:color w:val="auto"/>
        </w:rPr>
        <w:t>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has been submitted to the IRS. To the knowledge of the Borrower, nothing has occurred with respect to the Borrower or any ERISA Affiliate that would prevent or cause the loss of such tax-qualified status.</w:t>
      </w:r>
    </w:p>
    <w:p>
      <w:pPr>
        <w:spacing w:after="0" w:line="189" w:lineRule="exact"/>
        <w:rPr>
          <w:rFonts w:ascii="Arial" w:cs="Arial" w:eastAsia="Arial" w:hAnsi="Arial"/>
          <w:sz w:val="16"/>
          <w:szCs w:val="16"/>
          <w:color w:val="auto"/>
        </w:rPr>
      </w:pPr>
    </w:p>
    <w:p>
      <w:pPr>
        <w:ind w:left="120" w:right="60" w:firstLine="644"/>
        <w:spacing w:after="0" w:line="276" w:lineRule="auto"/>
        <w:tabs>
          <w:tab w:leader="none" w:pos="1473"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there are no pending or, to the knowledge of the Borrower, overtly threatened in writing, claims, actions or lawsuits, or action by any Governmental Authority, with respect to any Plan that could reasonably be expected to have a Material Adverse Effect. Except as disclosed in the Audited Financial Statements, in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there has been no prohibited transaction or violation of the fiduciary responsibility rules with respect to any Plan that has resulted or, actually known to the Borrower, could reasonably be expected to result in a Material Adverse Effect.</w:t>
      </w:r>
    </w:p>
    <w:p>
      <w:pPr>
        <w:spacing w:after="0" w:line="172" w:lineRule="exact"/>
        <w:rPr>
          <w:rFonts w:ascii="Arial" w:cs="Arial" w:eastAsia="Arial" w:hAnsi="Arial"/>
          <w:sz w:val="17"/>
          <w:szCs w:val="17"/>
          <w:color w:val="auto"/>
        </w:rPr>
      </w:pPr>
    </w:p>
    <w:p>
      <w:pPr>
        <w:ind w:left="120" w:firstLine="644"/>
        <w:spacing w:after="0" w:line="284" w:lineRule="auto"/>
        <w:tabs>
          <w:tab w:leader="none" w:pos="1463"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Except as disclosed in the Audited Financial Statements, in </w:t>
      </w:r>
      <w:r>
        <w:rPr>
          <w:rFonts w:ascii="Arial" w:cs="Arial" w:eastAsia="Arial" w:hAnsi="Arial"/>
          <w:sz w:val="16"/>
          <w:szCs w:val="16"/>
          <w:u w:val="single" w:color="auto"/>
          <w:color w:val="auto"/>
        </w:rPr>
        <w:t>Schedule 5.08</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(i) no ERISA Event has occurred, and neither the Borrower nor any ERISA Affiliate has actual knowledge of any fact, event or circumstance that could reasonably be expected to constitute or result in an ERISA Event with respect to any Pension Plan, (ii) the Borrower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has actual knowledge of any facts or circumstances that could reasonably be expected to cause the funding target attainment percentage for any such plan to drop below 60% as of the most recent valuation date,</w:t>
      </w:r>
    </w:p>
    <w:p>
      <w:pPr>
        <w:spacing w:after="0" w:line="2" w:lineRule="exact"/>
        <w:rPr>
          <w:rFonts w:ascii="Arial" w:cs="Arial" w:eastAsia="Arial" w:hAnsi="Arial"/>
          <w:sz w:val="16"/>
          <w:szCs w:val="16"/>
          <w:color w:val="auto"/>
        </w:rPr>
      </w:pPr>
    </w:p>
    <w:p>
      <w:pPr>
        <w:ind w:left="120" w:right="40" w:hanging="4"/>
        <w:spacing w:after="0" w:line="292" w:lineRule="auto"/>
        <w:tabs>
          <w:tab w:leader="none" w:pos="425" w:val="left"/>
        </w:tabs>
        <w:numPr>
          <w:ilvl w:val="0"/>
          <w:numId w:val="66"/>
        </w:numPr>
        <w:rPr>
          <w:rFonts w:ascii="Arial" w:cs="Arial" w:eastAsia="Arial" w:hAnsi="Arial"/>
          <w:sz w:val="16"/>
          <w:szCs w:val="16"/>
          <w:color w:val="auto"/>
        </w:rPr>
      </w:pPr>
      <w:r>
        <w:rPr>
          <w:rFonts w:ascii="Arial" w:cs="Arial" w:eastAsia="Arial" w:hAnsi="Arial"/>
          <w:sz w:val="16"/>
          <w:szCs w:val="16"/>
          <w:color w:val="auto"/>
        </w:rPr>
        <w:t>neither the Borrower nor any ERISA Affiliate has incurred any liability to the PBGC other than for the payment of premiums or obligations of immaterial amounts, and there are no premium payments which have become due that are delinquent or are being contested in good faith, (v) neither the Borrower nor any ERISA Affiliate has, to its actual knowledge, engaged in a transaction that could be subject to Section 4069 or Section 4212(c) of ERISA, and (vi) to the Borrower’s actual knowledge, no Pension Plan has been terminated by the plan administrator thereof nor by the PBGC, and no event or circumstance has occurred or exists that could reasonably be expected to cause the PBGC to institute proceedings under Title IV of ERISA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 xml:space="preserve">terminate any Pension Plan, in each case with respect to each of the foregoing clauses (i) through (vi) of this </w:t>
      </w:r>
      <w:r>
        <w:rPr>
          <w:rFonts w:ascii="Arial" w:cs="Arial" w:eastAsia="Arial" w:hAnsi="Arial"/>
          <w:sz w:val="18"/>
          <w:szCs w:val="18"/>
          <w:u w:val="single" w:color="auto"/>
          <w:color w:val="auto"/>
        </w:rPr>
        <w:t>Section 5.08(c)</w:t>
      </w:r>
      <w:r>
        <w:rPr>
          <w:rFonts w:ascii="Arial" w:cs="Arial" w:eastAsia="Arial" w:hAnsi="Arial"/>
          <w:sz w:val="18"/>
          <w:szCs w:val="18"/>
          <w:color w:val="auto"/>
        </w:rPr>
        <w:t xml:space="preserve">, except as disclosed in the Audited Financial Statements, in </w:t>
      </w:r>
      <w:r>
        <w:rPr>
          <w:rFonts w:ascii="Arial" w:cs="Arial" w:eastAsia="Arial" w:hAnsi="Arial"/>
          <w:sz w:val="18"/>
          <w:szCs w:val="18"/>
          <w:u w:val="single" w:color="auto"/>
          <w:color w:val="auto"/>
        </w:rPr>
        <w:t>Schedule 5.08</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66"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b w:val="1"/>
          <w:bCs w:val="1"/>
          <w:color w:val="auto"/>
        </w:rPr>
        <w:t>5.09</w:t>
      </w:r>
      <w:r>
        <w:rPr>
          <w:sz w:val="20"/>
          <w:szCs w:val="20"/>
          <w:color w:val="auto"/>
        </w:rPr>
        <w:tab/>
      </w:r>
      <w:r>
        <w:rPr>
          <w:rFonts w:ascii="Arial" w:cs="Arial" w:eastAsia="Arial" w:hAnsi="Arial"/>
          <w:sz w:val="16"/>
          <w:szCs w:val="16"/>
          <w:b w:val="1"/>
          <w:bCs w:val="1"/>
          <w:color w:val="auto"/>
        </w:rPr>
        <w:t>Margin Regulations; Investment Company Act</w:t>
      </w:r>
      <w:r>
        <w:rPr>
          <w:rFonts w:ascii="Arial" w:cs="Arial" w:eastAsia="Arial" w:hAnsi="Arial"/>
          <w:sz w:val="16"/>
          <w:szCs w:val="16"/>
          <w:color w:val="auto"/>
        </w:rPr>
        <w:t>.</w:t>
      </w:r>
    </w:p>
    <w:p>
      <w:pPr>
        <w:sectPr>
          <w:pgSz w:w="11900" w:h="16838" w:orient="portrait"/>
          <w:cols w:equalWidth="0" w:num="1">
            <w:col w:w="11420"/>
          </w:cols>
          <w:pgMar w:left="240" w:top="125" w:right="239" w:bottom="36" w:gutter="0" w:footer="0" w:header="0"/>
        </w:sectPr>
      </w:pPr>
    </w:p>
    <w:bookmarkStart w:id="29" w:name="page30"/>
    <w:bookmarkEnd w:id="29"/>
    <w:p>
      <w:pPr>
        <w:spacing w:after="0" w:line="137" w:lineRule="exact"/>
        <w:rPr>
          <w:sz w:val="20"/>
          <w:szCs w:val="20"/>
          <w:color w:val="auto"/>
        </w:rPr>
      </w:pPr>
    </w:p>
    <w:p>
      <w:pPr>
        <w:ind w:left="120" w:right="320" w:firstLine="644"/>
        <w:spacing w:after="0" w:line="342" w:lineRule="auto"/>
        <w:tabs>
          <w:tab w:leader="none" w:pos="1463"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Borrower is not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23" w:lineRule="exact"/>
        <w:rPr>
          <w:rFonts w:ascii="Arial" w:cs="Arial" w:eastAsia="Arial" w:hAnsi="Arial"/>
          <w:sz w:val="16"/>
          <w:szCs w:val="16"/>
          <w:color w:val="auto"/>
        </w:rPr>
      </w:pPr>
    </w:p>
    <w:p>
      <w:pPr>
        <w:ind w:left="1460" w:hanging="700"/>
        <w:spacing w:after="0"/>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Borrower is not regulated under the Investment Company Act of 1940.</w:t>
      </w:r>
    </w:p>
    <w:p>
      <w:pPr>
        <w:spacing w:after="0" w:line="221" w:lineRule="exact"/>
        <w:rPr>
          <w:sz w:val="20"/>
          <w:szCs w:val="20"/>
          <w:color w:val="auto"/>
        </w:rPr>
      </w:pPr>
    </w:p>
    <w:p>
      <w:pPr>
        <w:ind w:right="40" w:firstLine="869"/>
        <w:spacing w:after="0" w:line="271" w:lineRule="auto"/>
        <w:rPr>
          <w:sz w:val="20"/>
          <w:szCs w:val="20"/>
          <w:color w:val="auto"/>
        </w:rPr>
      </w:pPr>
      <w:r>
        <w:rPr>
          <w:rFonts w:ascii="Arial" w:cs="Arial" w:eastAsia="Arial" w:hAnsi="Arial"/>
          <w:sz w:val="17"/>
          <w:szCs w:val="17"/>
          <w:b w:val="1"/>
          <w:bCs w:val="1"/>
          <w:color w:val="auto"/>
        </w:rPr>
        <w:t>5.10 Disclosure</w:t>
      </w:r>
      <w:r>
        <w:rPr>
          <w:rFonts w:ascii="Arial" w:cs="Arial" w:eastAsia="Arial" w:hAnsi="Arial"/>
          <w:sz w:val="17"/>
          <w:szCs w:val="17"/>
          <w:color w:val="auto"/>
        </w:rPr>
        <w:t>. There is no fact known to any Restricted Person that has not been disclosed to the Administrative Agent and the Lenders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writing which, individually or in the aggregate, would reasonably be expected to result in a Material Adverse Effect. No report, financial statement, certificate or other information furnished by or on behalf of the Borrower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contains any untrue statement of a material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and forecast financial information, the Borrower represents only that such projections and forecasts were prepared in good faith based upon assumptions deemed reasonable by it at the time.</w:t>
      </w:r>
    </w:p>
    <w:p>
      <w:pPr>
        <w:spacing w:after="0" w:line="174" w:lineRule="exact"/>
        <w:rPr>
          <w:sz w:val="20"/>
          <w:szCs w:val="20"/>
          <w:color w:val="auto"/>
        </w:rPr>
      </w:pPr>
    </w:p>
    <w:p>
      <w:pPr>
        <w:ind w:firstLine="869"/>
        <w:spacing w:after="0" w:line="258" w:lineRule="auto"/>
        <w:rPr>
          <w:sz w:val="20"/>
          <w:szCs w:val="20"/>
          <w:color w:val="auto"/>
        </w:rPr>
      </w:pPr>
      <w:r>
        <w:rPr>
          <w:rFonts w:ascii="Arial" w:cs="Arial" w:eastAsia="Arial" w:hAnsi="Arial"/>
          <w:sz w:val="18"/>
          <w:szCs w:val="18"/>
          <w:b w:val="1"/>
          <w:bCs w:val="1"/>
          <w:color w:val="auto"/>
        </w:rPr>
        <w:t>5.11 Compliance with Laws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5.11</w:t>
      </w:r>
      <w:r>
        <w:rPr>
          <w:rFonts w:ascii="Arial" w:cs="Arial" w:eastAsia="Arial" w:hAnsi="Arial"/>
          <w:sz w:val="18"/>
          <w:szCs w:val="18"/>
          <w:b w:val="1"/>
          <w:bCs w:val="1"/>
          <w:color w:val="auto"/>
        </w:rPr>
        <w:t xml:space="preserve"> </w:t>
      </w:r>
      <w:r>
        <w:rPr>
          <w:rFonts w:ascii="Arial" w:cs="Arial" w:eastAsia="Arial" w:hAnsi="Arial"/>
          <w:sz w:val="18"/>
          <w:szCs w:val="18"/>
          <w:color w:val="auto"/>
        </w:rPr>
        <w:t>or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the Borrower and each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184" w:lineRule="exact"/>
        <w:rPr>
          <w:sz w:val="20"/>
          <w:szCs w:val="20"/>
          <w:color w:val="auto"/>
        </w:rPr>
      </w:pPr>
    </w:p>
    <w:p>
      <w:pPr>
        <w:ind w:right="40" w:firstLine="869"/>
        <w:spacing w:after="0" w:line="256" w:lineRule="auto"/>
        <w:rPr>
          <w:sz w:val="20"/>
          <w:szCs w:val="20"/>
          <w:color w:val="auto"/>
        </w:rPr>
      </w:pPr>
      <w:r>
        <w:rPr>
          <w:rFonts w:ascii="Arial" w:cs="Arial" w:eastAsia="Arial" w:hAnsi="Arial"/>
          <w:sz w:val="18"/>
          <w:szCs w:val="18"/>
          <w:b w:val="1"/>
          <w:bCs w:val="1"/>
          <w:color w:val="auto"/>
        </w:rPr>
        <w:t>5.12 OFAC</w:t>
      </w:r>
      <w:r>
        <w:rPr>
          <w:rFonts w:ascii="Arial" w:cs="Arial" w:eastAsia="Arial" w:hAnsi="Arial"/>
          <w:sz w:val="18"/>
          <w:szCs w:val="18"/>
          <w:color w:val="auto"/>
        </w:rPr>
        <w:t>. Neither the Borrower, nor any of its Subsidiaries, nor, to the knowledge of the Borrower and its Subsidiaries, any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directors or officers, or any of their respective agents or representatives acting or benefiting in any such capacity in connection with this Agreement, is a Person (i) currently the subject of any Sanction, (ii) listed in the most current annex to, or otherwise currently the subject of the provisions of, any executive order administered by OFAC or the U.S. Department of State, or (iii) named as a “Specially Designated National” in the most current list published by OFAC at its official website or any replacement website or other replacement official publication of such list (each Person referred to in any of the preceding clauses (i) - (iii), a “</w:t>
      </w:r>
      <w:r>
        <w:rPr>
          <w:rFonts w:ascii="Arial" w:cs="Arial" w:eastAsia="Arial" w:hAnsi="Arial"/>
          <w:sz w:val="18"/>
          <w:szCs w:val="18"/>
          <w:u w:val="single" w:color="auto"/>
          <w:color w:val="auto"/>
        </w:rPr>
        <w:t>Designated Person</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firstLine="869"/>
        <w:spacing w:after="0" w:line="285" w:lineRule="auto"/>
        <w:rPr>
          <w:sz w:val="20"/>
          <w:szCs w:val="20"/>
          <w:color w:val="auto"/>
        </w:rPr>
      </w:pPr>
      <w:r>
        <w:rPr>
          <w:rFonts w:ascii="Arial" w:cs="Arial" w:eastAsia="Arial" w:hAnsi="Arial"/>
          <w:sz w:val="16"/>
          <w:szCs w:val="16"/>
          <w:b w:val="1"/>
          <w:bCs w:val="1"/>
          <w:color w:val="auto"/>
        </w:rPr>
        <w:t>5.13 Anti-Corruption Laws</w:t>
      </w:r>
      <w:r>
        <w:rPr>
          <w:rFonts w:ascii="Arial" w:cs="Arial" w:eastAsia="Arial" w:hAnsi="Arial"/>
          <w:sz w:val="16"/>
          <w:szCs w:val="16"/>
          <w:color w:val="auto"/>
        </w:rPr>
        <w:t>. The Borrower and its Subsidiaries (a) are in compliance with (i) the United States Foreign Corrupt Practices</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1977, as applicable to them, and (ii) other similar anti-corruption legislation in other relevant jurisdictions in which they maintain assets or engage in business, which otherwise are applicable to them (collectively, the Laws referred to in the preceding clauses (i) and (ii),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other than any failure or failures to comply with Anti-Corruption Laws (A) that are isolated and do not evidence a pervasive or systemic pattern of violations of such laws and regulations or a significant deficiency in the implementation of the hereinafter referenced policies and procedures to promote and achieve compliance by the Borrower and its Subsidiaries with Anti-Corruption Laws and are immaterial to the Borrower and its Subsidiaries taken as a whole, or</w:t>
      </w:r>
    </w:p>
    <w:p>
      <w:pPr>
        <w:spacing w:after="0" w:line="4" w:lineRule="exact"/>
        <w:rPr>
          <w:sz w:val="20"/>
          <w:szCs w:val="20"/>
          <w:color w:val="auto"/>
        </w:rPr>
      </w:pPr>
    </w:p>
    <w:p>
      <w:pPr>
        <w:ind w:right="120" w:firstLine="8"/>
        <w:spacing w:after="0" w:line="277" w:lineRule="auto"/>
        <w:tabs>
          <w:tab w:leader="none" w:pos="28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that arise from actions or incidents that have been publicly disclosed by the Borrower or disclosed in writing to the Administrative Agent (with a copy to Lenders), in each case, at least twenty (20) days prior to the Closing Date, and (b) have instituted and maintain commercially reasonable policies and procedures which they reasonably believe are designed to promote and achieve their respective compliance with such laws.</w:t>
      </w:r>
    </w:p>
    <w:p>
      <w:pPr>
        <w:spacing w:after="0" w:line="169"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b w:val="1"/>
          <w:bCs w:val="1"/>
          <w:color w:val="auto"/>
        </w:rPr>
        <w:t>ARTICLE VI.</w:t>
        <w:tab/>
        <w:t>AFFIRMATIVE COVENANTS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 xml:space="preserve">So long as any Lender shall have any Commitment hereunder, any Loan or other Obligation hereunder shall remain unpaid or unsatisfied, the Borrower shall, and shall (except in the case of the covenants set forth in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6.03</w:t>
      </w:r>
      <w:r>
        <w:rPr>
          <w:rFonts w:ascii="Arial" w:cs="Arial" w:eastAsia="Arial" w:hAnsi="Arial"/>
          <w:sz w:val="17"/>
          <w:szCs w:val="17"/>
          <w:color w:val="auto"/>
        </w:rPr>
        <w:t xml:space="preserve">, and except in the case of the covenants set forth in </w:t>
      </w:r>
      <w:r>
        <w:rPr>
          <w:rFonts w:ascii="Arial" w:cs="Arial" w:eastAsia="Arial" w:hAnsi="Arial"/>
          <w:sz w:val="17"/>
          <w:szCs w:val="17"/>
          <w:u w:val="single" w:color="auto"/>
          <w:color w:val="auto"/>
        </w:rPr>
        <w:t>Sections 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6</w:t>
      </w:r>
      <w:r>
        <w:rPr>
          <w:rFonts w:ascii="Arial" w:cs="Arial" w:eastAsia="Arial" w:hAnsi="Arial"/>
          <w:sz w:val="17"/>
          <w:szCs w:val="17"/>
          <w:u w:val="single" w:color="auto"/>
          <w:color w:val="auto"/>
        </w:rPr>
        <w:t>.07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6.08</w:t>
      </w:r>
      <w:r>
        <w:rPr>
          <w:rFonts w:ascii="Arial" w:cs="Arial" w:eastAsia="Arial" w:hAnsi="Arial"/>
          <w:sz w:val="17"/>
          <w:szCs w:val="17"/>
          <w:color w:val="auto"/>
        </w:rPr>
        <w:t>, which shall be limited to Significant Restricted Persons) cause each Subsidiary to:</w:t>
      </w:r>
    </w:p>
    <w:p>
      <w:pPr>
        <w:spacing w:after="0" w:line="162" w:lineRule="exact"/>
        <w:rPr>
          <w:sz w:val="20"/>
          <w:szCs w:val="20"/>
          <w:color w:val="auto"/>
        </w:rPr>
      </w:pPr>
    </w:p>
    <w:p>
      <w:pPr>
        <w:jc w:val="center"/>
        <w:ind w:right="-39"/>
        <w:spacing w:after="0"/>
        <w:tabs>
          <w:tab w:leader="none" w:pos="34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6"/>
          <w:szCs w:val="16"/>
          <w:b w:val="1"/>
          <w:bCs w:val="1"/>
          <w:color w:val="auto"/>
        </w:rPr>
        <w:t>Financial Statements</w:t>
      </w:r>
      <w:r>
        <w:rPr>
          <w:rFonts w:ascii="Arial" w:cs="Arial" w:eastAsia="Arial" w:hAnsi="Arial"/>
          <w:sz w:val="16"/>
          <w:szCs w:val="16"/>
          <w:color w:val="auto"/>
        </w:rPr>
        <w:t>. Deliver to the Administrative Agent the following statements and reports, at the Borrower’s expense:</w:t>
      </w:r>
    </w:p>
    <w:p>
      <w:pPr>
        <w:spacing w:after="0" w:line="229" w:lineRule="exact"/>
        <w:rPr>
          <w:sz w:val="20"/>
          <w:szCs w:val="20"/>
          <w:color w:val="auto"/>
        </w:rPr>
      </w:pPr>
    </w:p>
    <w:p>
      <w:pPr>
        <w:ind w:left="120" w:right="20" w:firstLine="644"/>
        <w:spacing w:after="0" w:line="255" w:lineRule="auto"/>
        <w:tabs>
          <w:tab w:leader="none" w:pos="14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promptly upon the filing thereof, and in any event within ninety (90) days after the end of each fiscal year, a copy of the Borrower’s Form 10-K, which report shall include the Borrower’s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w:t>
      </w:r>
    </w:p>
    <w:p>
      <w:pPr>
        <w:spacing w:after="0" w:line="189" w:lineRule="exact"/>
        <w:rPr>
          <w:rFonts w:ascii="Arial" w:cs="Arial" w:eastAsia="Arial" w:hAnsi="Arial"/>
          <w:sz w:val="18"/>
          <w:szCs w:val="18"/>
          <w:color w:val="auto"/>
        </w:rPr>
      </w:pPr>
    </w:p>
    <w:p>
      <w:pPr>
        <w:ind w:left="120" w:right="60" w:firstLine="644"/>
        <w:spacing w:after="0" w:line="259" w:lineRule="auto"/>
        <w:tabs>
          <w:tab w:leader="none" w:pos="14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promptly upon the filing thereof, and in any event within sixty (60) days after the end of each of the first three fiscal quarters of each fiscal year, a copy of the Borrower’s Form 10-Q, which report shall include the Borrower’s unaudited consolidated balance sheet as of the end of such fiscal quarter and consolidated statements of the Borrower’s earnings and cash flows for such fiscal quarter and for the period from the beginning of the then current fiscal year to the end of such fiscal quarter.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w:t>
      </w:r>
    </w:p>
    <w:p>
      <w:pPr>
        <w:spacing w:after="0" w:line="177"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6"/>
          <w:szCs w:val="16"/>
          <w:b w:val="1"/>
          <w:bCs w:val="1"/>
          <w:color w:val="auto"/>
        </w:rPr>
        <w:t>Certificates; Other Information</w:t>
      </w:r>
      <w:r>
        <w:rPr>
          <w:rFonts w:ascii="Arial" w:cs="Arial" w:eastAsia="Arial" w:hAnsi="Arial"/>
          <w:sz w:val="16"/>
          <w:szCs w:val="16"/>
          <w:color w:val="auto"/>
        </w:rPr>
        <w:t>. Deliver to the Administrative Agent and each Lender (except as otherwise provided in subsection</w:t>
      </w:r>
    </w:p>
    <w:p>
      <w:pPr>
        <w:spacing w:after="0" w:line="27"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below), in form and detail reasonably satisfactory to the Administrative Agent:</w:t>
      </w:r>
    </w:p>
    <w:p>
      <w:pPr>
        <w:spacing w:after="0" w:line="210" w:lineRule="exact"/>
        <w:rPr>
          <w:rFonts w:ascii="Arial" w:cs="Arial" w:eastAsia="Arial" w:hAnsi="Arial"/>
          <w:sz w:val="18"/>
          <w:szCs w:val="18"/>
          <w:color w:val="auto"/>
        </w:rPr>
      </w:pPr>
    </w:p>
    <w:p>
      <w:pPr>
        <w:ind w:left="120" w:right="40" w:firstLine="644"/>
        <w:spacing w:after="0" w:line="342" w:lineRule="auto"/>
        <w:tabs>
          <w:tab w:leader="none" w:pos="1463"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 duly completed Compliance Certificate signed by the chief financial officer, principal accounting officer or treasurer of General Partner (i) stating that such consolidated financial statements are</w:t>
      </w:r>
    </w:p>
    <w:p>
      <w:pPr>
        <w:sectPr>
          <w:pgSz w:w="11900" w:h="16975" w:orient="portrait"/>
          <w:cols w:equalWidth="0" w:num="1">
            <w:col w:w="11420"/>
          </w:cols>
          <w:pgMar w:left="240" w:top="125" w:right="239" w:bottom="0" w:gutter="0" w:footer="0" w:header="0"/>
        </w:sectPr>
      </w:pPr>
    </w:p>
    <w:bookmarkStart w:id="30" w:name="page31"/>
    <w:bookmarkEnd w:id="30"/>
    <w:p>
      <w:pPr>
        <w:spacing w:after="0" w:line="14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accurate and complete in all material respects (subject to normal year-end adjustments), (ii) stating that such Person has reviewed the Loan Documents,</w:t>
      </w:r>
    </w:p>
    <w:p>
      <w:pPr>
        <w:spacing w:after="0" w:line="46" w:lineRule="exact"/>
        <w:rPr>
          <w:sz w:val="20"/>
          <w:szCs w:val="20"/>
          <w:color w:val="auto"/>
        </w:rPr>
      </w:pPr>
    </w:p>
    <w:p>
      <w:pPr>
        <w:ind w:left="120" w:right="140" w:hanging="4"/>
        <w:spacing w:after="0" w:line="292" w:lineRule="auto"/>
        <w:tabs>
          <w:tab w:leader="none" w:pos="4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containing calculations showing compliance (or non compliance) at the end of such fiscal quarter with the requirements of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(iv) stating that, to the best of such Person’s knowledge, no Default exists at the end of such fiscal quarter or at the time of such certificate or specifying the nature and period of existence of any such Default, and (v) identifying any Subsidiary designated as an Unrestricted Subsidiary since the date of the most-recently delivered prior certificate under this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(which delivery may, unless the Administrative Agent requests executed originals, be by electronic communication including fax or email and shall be deemed to be an original authentic counterpart thereof for all purposes);</w:t>
      </w:r>
    </w:p>
    <w:p>
      <w:pPr>
        <w:spacing w:after="0" w:line="162" w:lineRule="exact"/>
        <w:rPr>
          <w:rFonts w:ascii="Arial" w:cs="Arial" w:eastAsia="Arial" w:hAnsi="Arial"/>
          <w:sz w:val="16"/>
          <w:szCs w:val="16"/>
          <w:color w:val="auto"/>
        </w:rPr>
      </w:pPr>
    </w:p>
    <w:p>
      <w:pPr>
        <w:ind w:left="120" w:right="120" w:firstLine="644"/>
        <w:spacing w:after="0" w:line="259" w:lineRule="auto"/>
        <w:tabs>
          <w:tab w:leader="none" w:pos="1473" w:val="left"/>
        </w:tabs>
        <w:numPr>
          <w:ilvl w:val="1"/>
          <w:numId w:val="71"/>
        </w:numPr>
        <w:rPr>
          <w:rFonts w:ascii="Arial" w:cs="Arial" w:eastAsia="Arial" w:hAnsi="Arial"/>
          <w:sz w:val="18"/>
          <w:szCs w:val="18"/>
          <w:color w:val="auto"/>
        </w:rPr>
      </w:pPr>
      <w:r>
        <w:rPr>
          <w:rFonts w:ascii="Arial" w:cs="Arial" w:eastAsia="Arial" w:hAnsi="Arial"/>
          <w:sz w:val="18"/>
          <w:szCs w:val="18"/>
          <w:color w:val="auto"/>
        </w:rPr>
        <w:t>promptly after the same are publicly available, copies of each annual report, proxy or financial statement or other report or communication sent to the unit holders of the Borrower, and copies of all annual, regular, periodic and special reports and registration statements which the Borrower filed with the SEC under Section 13 or 15(d) of the Securities Exchange Act of 1934, and not otherwise required to be delivered to the Administrative Agent pursuant hereto;</w:t>
      </w:r>
    </w:p>
    <w:p>
      <w:pPr>
        <w:spacing w:after="0" w:line="186" w:lineRule="exact"/>
        <w:rPr>
          <w:rFonts w:ascii="Arial" w:cs="Arial" w:eastAsia="Arial" w:hAnsi="Arial"/>
          <w:sz w:val="18"/>
          <w:szCs w:val="18"/>
          <w:color w:val="auto"/>
        </w:rPr>
      </w:pPr>
    </w:p>
    <w:p>
      <w:pPr>
        <w:ind w:left="120" w:right="260" w:firstLine="644"/>
        <w:spacing w:after="0" w:line="286" w:lineRule="auto"/>
        <w:tabs>
          <w:tab w:leader="none" w:pos="1463" w:val="left"/>
        </w:tabs>
        <w:numPr>
          <w:ilvl w:val="1"/>
          <w:numId w:val="71"/>
        </w:numPr>
        <w:rPr>
          <w:rFonts w:ascii="Arial" w:cs="Arial" w:eastAsia="Arial" w:hAnsi="Arial"/>
          <w:sz w:val="17"/>
          <w:szCs w:val="17"/>
          <w:color w:val="auto"/>
        </w:rPr>
      </w:pPr>
      <w:r>
        <w:rPr>
          <w:rFonts w:ascii="Arial" w:cs="Arial" w:eastAsia="Arial" w:hAnsi="Arial"/>
          <w:sz w:val="17"/>
          <w:szCs w:val="17"/>
          <w:color w:val="auto"/>
        </w:rPr>
        <w:t>promptly, to the Administrative Agent, upon written request, such additional information regarding the business, financial or corporate affairs of the Borrower or any Subsidiary, or compliance with the terms of the Loan Documents, in each case which are reasonably requested by the Administrative Agent or any Lender and not subject to confidentiality restrictions or attorney-client privilege; and</w:t>
      </w:r>
    </w:p>
    <w:p>
      <w:pPr>
        <w:spacing w:after="0" w:line="165" w:lineRule="exact"/>
        <w:rPr>
          <w:rFonts w:ascii="Arial" w:cs="Arial" w:eastAsia="Arial" w:hAnsi="Arial"/>
          <w:sz w:val="17"/>
          <w:szCs w:val="17"/>
          <w:color w:val="auto"/>
        </w:rPr>
      </w:pPr>
    </w:p>
    <w:p>
      <w:pPr>
        <w:ind w:left="1460" w:hanging="696"/>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notice of any public announcement by Moody’s or S&amp;P of any downgrade in a Debt Rating.</w:t>
      </w:r>
    </w:p>
    <w:p>
      <w:pPr>
        <w:spacing w:after="0" w:line="225"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w:t>
      </w:r>
    </w:p>
    <w:p>
      <w:pPr>
        <w:ind w:right="600" w:firstLine="8"/>
        <w:spacing w:after="0" w:line="261"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 which such documents are delivered to the Administrative Agent for posting to the Platform or (iii) on which such documents are posted on the Borrower’s behalf on any other Internet or intranet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website, if any, to which each Lender and the Administrative Agent have access (whether a commercial, third-party website or whether sponsored by the Administrative Agent), and in either case, the Borrower notifies the Administrative Agent of such posting or link.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Borrower hereby acknowledges that (a) the Administrative Agent or its authorized Affiliates will make available to the Lenders materials and/or information provided by or on behalf of the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it instructs to be made available to Public Lenders shall be clearly and conspicuously marked “PUBLIC” prominently on the first page thereof, (x) by marking Borrower Materials “PUBLIC,” the Borrower shall be deemed to have authorized the Administrative Agent or its authorized Affiliates and the Lenders to treat the Borrower Materials as not containing any material non-public information with respect to the Borrower or their respective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the Borrower Materials constitute Information, they shall be treated as set forth in </w:t>
      </w:r>
      <w:r>
        <w:rPr>
          <w:rFonts w:ascii="Arial" w:cs="Arial" w:eastAsia="Arial" w:hAnsi="Arial"/>
          <w:sz w:val="17"/>
          <w:szCs w:val="17"/>
          <w:u w:val="single" w:color="auto"/>
          <w:color w:val="auto"/>
        </w:rPr>
        <w:t>Section 10.07</w:t>
      </w:r>
      <w:r>
        <w:rPr>
          <w:rFonts w:ascii="Arial" w:cs="Arial" w:eastAsia="Arial" w:hAnsi="Arial"/>
          <w:sz w:val="17"/>
          <w:szCs w:val="17"/>
          <w:color w:val="auto"/>
        </w:rPr>
        <w:t>), (y) all Borrower Materials so marked “PUBLIC” are permitted to be made available through a portion of the Platform designated “Public Side Information” and (z) the Administrative Agent or its authorized Affiliates shall be entitled to treat the Borrower Materials that are not marked “PUBLIC” as being suitable only for posting on a portion of the Platform not designated “Public Side Information.”</w:t>
      </w:r>
    </w:p>
    <w:p>
      <w:pPr>
        <w:spacing w:after="0" w:line="176"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6"/>
          <w:szCs w:val="16"/>
          <w:b w:val="1"/>
          <w:bCs w:val="1"/>
          <w:color w:val="auto"/>
        </w:rPr>
        <w:t>Notices</w:t>
      </w:r>
      <w:r>
        <w:rPr>
          <w:rFonts w:ascii="Arial" w:cs="Arial" w:eastAsia="Arial" w:hAnsi="Arial"/>
          <w:sz w:val="16"/>
          <w:szCs w:val="16"/>
          <w:color w:val="auto"/>
        </w:rPr>
        <w:t>. Promptly notify the Administrative Agent and each Lender not later than five Business Days after any executive officer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Borrower has knowledge:</w:t>
      </w:r>
    </w:p>
    <w:p>
      <w:pPr>
        <w:spacing w:after="0" w:line="211" w:lineRule="exact"/>
        <w:rPr>
          <w:sz w:val="20"/>
          <w:szCs w:val="20"/>
          <w:color w:val="auto"/>
        </w:rPr>
      </w:pPr>
    </w:p>
    <w:p>
      <w:pPr>
        <w:ind w:left="1460" w:hanging="696"/>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of the occurrence of any Default; and</w:t>
      </w:r>
    </w:p>
    <w:p>
      <w:pPr>
        <w:spacing w:after="0" w:line="225" w:lineRule="exact"/>
        <w:rPr>
          <w:rFonts w:ascii="Arial" w:cs="Arial" w:eastAsia="Arial" w:hAnsi="Arial"/>
          <w:sz w:val="18"/>
          <w:szCs w:val="18"/>
          <w:color w:val="auto"/>
        </w:rPr>
      </w:pPr>
    </w:p>
    <w:p>
      <w:pPr>
        <w:ind w:left="1460" w:hanging="696"/>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 xml:space="preserve">Each notice pursuant to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62" w:lineRule="exact"/>
        <w:rPr>
          <w:sz w:val="20"/>
          <w:szCs w:val="20"/>
          <w:color w:val="auto"/>
        </w:rPr>
      </w:pPr>
    </w:p>
    <w:p>
      <w:pPr>
        <w:ind w:right="300" w:firstLine="869"/>
        <w:spacing w:after="0" w:line="313" w:lineRule="auto"/>
        <w:rPr>
          <w:sz w:val="20"/>
          <w:szCs w:val="20"/>
          <w:color w:val="auto"/>
        </w:rPr>
      </w:pPr>
      <w:r>
        <w:rPr>
          <w:rFonts w:ascii="Arial" w:cs="Arial" w:eastAsia="Arial" w:hAnsi="Arial"/>
          <w:sz w:val="17"/>
          <w:szCs w:val="17"/>
          <w:b w:val="1"/>
          <w:bCs w:val="1"/>
          <w:color w:val="auto"/>
        </w:rPr>
        <w:t>6.04 Payment of Taxes, Etc</w:t>
      </w:r>
      <w:r>
        <w:rPr>
          <w:rFonts w:ascii="Arial" w:cs="Arial" w:eastAsia="Arial" w:hAnsi="Arial"/>
          <w:sz w:val="17"/>
          <w:szCs w:val="17"/>
          <w:color w:val="auto"/>
        </w:rPr>
        <w:t>. (a) Timely file all required tax returns (including any extensions), (b) timely pay all taxes, assessments,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governmental charges or levies imposed upon it or upon its income, profits or property, and (c) maintain appropriate accruals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and reserves for all of the foregoing as required by GAAP, except to the extent that (i) it is in good faith contesting the validity thereof by appropriate proceedings, if necessary, diligently conducted and has set aside on its books adequate reserves therefor which are required by GAAP or (ii) such non-filing, non-payment or non-maintenance would not reasonably be expected to result in a Material Adverse Effect.</w:t>
      </w:r>
    </w:p>
    <w:p>
      <w:pPr>
        <w:spacing w:after="0" w:line="177" w:lineRule="exact"/>
        <w:rPr>
          <w:sz w:val="20"/>
          <w:szCs w:val="20"/>
          <w:color w:val="auto"/>
        </w:rPr>
      </w:pPr>
    </w:p>
    <w:p>
      <w:pPr>
        <w:ind w:right="20" w:firstLine="869"/>
        <w:spacing w:after="0" w:line="261" w:lineRule="auto"/>
        <w:rPr>
          <w:sz w:val="20"/>
          <w:szCs w:val="20"/>
          <w:color w:val="auto"/>
        </w:rPr>
      </w:pPr>
      <w:r>
        <w:rPr>
          <w:rFonts w:ascii="Arial" w:cs="Arial" w:eastAsia="Arial" w:hAnsi="Arial"/>
          <w:sz w:val="18"/>
          <w:szCs w:val="18"/>
          <w:b w:val="1"/>
          <w:bCs w:val="1"/>
          <w:color w:val="auto"/>
        </w:rPr>
        <w:t>6.05 Preservation of Existence, Etc</w:t>
      </w:r>
      <w:r>
        <w:rPr>
          <w:rFonts w:ascii="Arial" w:cs="Arial" w:eastAsia="Arial" w:hAnsi="Arial"/>
          <w:sz w:val="18"/>
          <w:szCs w:val="18"/>
          <w:color w:val="auto"/>
        </w:rPr>
        <w:t>. (a) Preserve and maintain its legal existence and good standing under the Laws of the jurisdiction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organization and (b)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as a result of statutory conversions.</w:t>
      </w:r>
    </w:p>
    <w:p>
      <w:pPr>
        <w:spacing w:after="0" w:line="180" w:lineRule="exact"/>
        <w:rPr>
          <w:sz w:val="20"/>
          <w:szCs w:val="20"/>
          <w:color w:val="auto"/>
        </w:rPr>
      </w:pPr>
    </w:p>
    <w:p>
      <w:pPr>
        <w:ind w:right="160" w:firstLine="869"/>
        <w:spacing w:after="0" w:line="347" w:lineRule="auto"/>
        <w:rPr>
          <w:sz w:val="20"/>
          <w:szCs w:val="20"/>
          <w:color w:val="auto"/>
        </w:rPr>
      </w:pPr>
      <w:r>
        <w:rPr>
          <w:rFonts w:ascii="Arial" w:cs="Arial" w:eastAsia="Arial" w:hAnsi="Arial"/>
          <w:sz w:val="16"/>
          <w:szCs w:val="16"/>
          <w:b w:val="1"/>
          <w:bCs w:val="1"/>
          <w:color w:val="auto"/>
        </w:rPr>
        <w:t>6.06 Maintenance of Properties</w:t>
      </w:r>
      <w:r>
        <w:rPr>
          <w:rFonts w:ascii="Arial" w:cs="Arial" w:eastAsia="Arial" w:hAnsi="Arial"/>
          <w:sz w:val="16"/>
          <w:szCs w:val="16"/>
          <w:color w:val="auto"/>
        </w:rPr>
        <w:t>. Maintain all of its material properties and equipment that are necessary in the operation of its business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working order and condition, ordinary wear and tear and obsoleteness excepted, except where the failure to do so could not reasonably be expected to</w:t>
      </w:r>
    </w:p>
    <w:p>
      <w:pPr>
        <w:sectPr>
          <w:pgSz w:w="11900" w:h="16979" w:orient="portrait"/>
          <w:cols w:equalWidth="0" w:num="1">
            <w:col w:w="11420"/>
          </w:cols>
          <w:pgMar w:left="240" w:top="125"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have a Material Adverse Effect.</w:t>
      </w:r>
    </w:p>
    <w:p>
      <w:pPr>
        <w:spacing w:after="0" w:line="221" w:lineRule="exact"/>
        <w:rPr>
          <w:sz w:val="20"/>
          <w:szCs w:val="20"/>
          <w:color w:val="auto"/>
        </w:rPr>
      </w:pPr>
    </w:p>
    <w:p>
      <w:pPr>
        <w:ind w:right="20" w:firstLine="869"/>
        <w:spacing w:after="0" w:line="292" w:lineRule="auto"/>
        <w:rPr>
          <w:sz w:val="20"/>
          <w:szCs w:val="20"/>
          <w:color w:val="auto"/>
        </w:rPr>
      </w:pPr>
      <w:r>
        <w:rPr>
          <w:rFonts w:ascii="Arial" w:cs="Arial" w:eastAsia="Arial" w:hAnsi="Arial"/>
          <w:sz w:val="16"/>
          <w:szCs w:val="16"/>
          <w:b w:val="1"/>
          <w:bCs w:val="1"/>
          <w:color w:val="auto"/>
        </w:rPr>
        <w:t>6.07 Maintenance of Insurance</w:t>
      </w:r>
      <w:r>
        <w:rPr>
          <w:rFonts w:ascii="Arial" w:cs="Arial" w:eastAsia="Arial" w:hAnsi="Arial"/>
          <w:sz w:val="16"/>
          <w:szCs w:val="16"/>
          <w:color w:val="auto"/>
        </w:rPr>
        <w:t>. Maintain, with financially sound and reputable insurance companies, insurance or, at its option, self-insure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such amounts (after giving effect to any self-insurance compatible with the following standards) and against such risks as are customarily insured by other Persons engaged in the same or similar businesses and owning similar properties;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provisions of this </w:t>
      </w:r>
      <w:r>
        <w:rPr>
          <w:rFonts w:ascii="Arial" w:cs="Arial" w:eastAsia="Arial" w:hAnsi="Arial"/>
          <w:sz w:val="16"/>
          <w:szCs w:val="16"/>
          <w:u w:val="single" w:color="auto"/>
          <w:color w:val="auto"/>
        </w:rPr>
        <w:t>Section 6.07</w:t>
      </w:r>
      <w:r>
        <w:rPr>
          <w:rFonts w:ascii="Arial" w:cs="Arial" w:eastAsia="Arial" w:hAnsi="Arial"/>
          <w:sz w:val="16"/>
          <w:szCs w:val="16"/>
          <w:color w:val="auto"/>
        </w:rPr>
        <w:t>, the Borrower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Borrower, based on coverages carried by prudent owners of similar property, and with respect to each other Significant Restricted Person, may be maintained by the Borrower.</w:t>
      </w:r>
    </w:p>
    <w:p>
      <w:pPr>
        <w:spacing w:after="0" w:line="162" w:lineRule="exact"/>
        <w:rPr>
          <w:sz w:val="20"/>
          <w:szCs w:val="20"/>
          <w:color w:val="auto"/>
        </w:rPr>
      </w:pPr>
    </w:p>
    <w:p>
      <w:pPr>
        <w:ind w:firstLine="869"/>
        <w:spacing w:after="0" w:line="298" w:lineRule="auto"/>
        <w:rPr>
          <w:sz w:val="20"/>
          <w:szCs w:val="20"/>
          <w:color w:val="auto"/>
        </w:rPr>
      </w:pPr>
      <w:r>
        <w:rPr>
          <w:rFonts w:ascii="Arial" w:cs="Arial" w:eastAsia="Arial" w:hAnsi="Arial"/>
          <w:sz w:val="16"/>
          <w:szCs w:val="16"/>
          <w:b w:val="1"/>
          <w:bCs w:val="1"/>
          <w:color w:val="auto"/>
        </w:rPr>
        <w:t>6.08 Compliance with Laws</w:t>
      </w:r>
      <w:r>
        <w:rPr>
          <w:rFonts w:ascii="Arial" w:cs="Arial" w:eastAsia="Arial" w:hAnsi="Arial"/>
          <w:sz w:val="16"/>
          <w:szCs w:val="16"/>
          <w:color w:val="auto"/>
        </w:rPr>
        <w:t>. Comply in all material respects with the requirements of all Laws (including Anti-Corruption Laws)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orders, writs, injunctions and decrees applicable to it or to its business or property, except in such instances in which (a) such requirement of Law or order, writ, injunction or decree is being contested in good faith by appropriate proceedings, if necessary, diligently conducted, or (b) the failure to comply therewith could not reasonably be expected to have a Material Adverse Effect. The Borrower and its Subsidiaries will institute and maintain commercially reasonably policies and procedures which they reasonably believe are designed to promote and achieve their respective compliance with Anti-Corruption Laws.</w:t>
      </w:r>
    </w:p>
    <w:p>
      <w:pPr>
        <w:spacing w:after="0" w:line="154"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6"/>
          <w:szCs w:val="16"/>
          <w:b w:val="1"/>
          <w:bCs w:val="1"/>
          <w:color w:val="auto"/>
        </w:rPr>
        <w:t>Books and Records</w:t>
      </w:r>
      <w:r>
        <w:rPr>
          <w:rFonts w:ascii="Arial" w:cs="Arial" w:eastAsia="Arial" w:hAnsi="Arial"/>
          <w:sz w:val="16"/>
          <w:szCs w:val="16"/>
          <w:color w:val="auto"/>
        </w:rPr>
        <w:t>. Maintain full and accurate books of record and account in conformity with GAAP consistently applied.</w:t>
      </w:r>
    </w:p>
    <w:p>
      <w:pPr>
        <w:spacing w:after="0" w:line="225" w:lineRule="exact"/>
        <w:rPr>
          <w:sz w:val="20"/>
          <w:szCs w:val="20"/>
          <w:color w:val="auto"/>
        </w:rPr>
      </w:pPr>
    </w:p>
    <w:p>
      <w:pPr>
        <w:ind w:right="500" w:firstLine="869"/>
        <w:spacing w:after="0" w:line="313" w:lineRule="auto"/>
        <w:rPr>
          <w:sz w:val="20"/>
          <w:szCs w:val="20"/>
          <w:color w:val="auto"/>
        </w:rPr>
      </w:pPr>
      <w:r>
        <w:rPr>
          <w:rFonts w:ascii="Arial" w:cs="Arial" w:eastAsia="Arial" w:hAnsi="Arial"/>
          <w:sz w:val="17"/>
          <w:szCs w:val="17"/>
          <w:b w:val="1"/>
          <w:bCs w:val="1"/>
          <w:color w:val="auto"/>
        </w:rPr>
        <w:t>6.10 Inspection Rights</w:t>
      </w:r>
      <w:r>
        <w:rPr>
          <w:rFonts w:ascii="Arial" w:cs="Arial" w:eastAsia="Arial" w:hAnsi="Arial"/>
          <w:sz w:val="17"/>
          <w:szCs w:val="17"/>
          <w:color w:val="auto"/>
        </w:rPr>
        <w:t>. Permit representatives and independent contractors of the Administrative Agent to visit and inspect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properties, to examine its corporate, financial and operating records, and to make copies thereof or abstracts therefrom, and to discuss its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affairs, finances and accounts with its officers and independent public accountants, all at such reasonable times during normal business hours, upon reasonable advance notice to the Borrower.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all copies and abstracts of all information, books and records and all discussion conducted with any officer, employee or representative of any Restricted Person, in each case, shall be subject to any applicable attorney-client privilege exceptions which the Borrower or such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of this Agreement.</w:t>
      </w:r>
    </w:p>
    <w:p>
      <w:pPr>
        <w:spacing w:after="0" w:line="163" w:lineRule="exact"/>
        <w:rPr>
          <w:sz w:val="20"/>
          <w:szCs w:val="20"/>
          <w:color w:val="auto"/>
        </w:rPr>
      </w:pPr>
    </w:p>
    <w:p>
      <w:pPr>
        <w:ind w:firstLine="869"/>
        <w:spacing w:after="0" w:line="282" w:lineRule="auto"/>
        <w:rPr>
          <w:sz w:val="20"/>
          <w:szCs w:val="20"/>
          <w:color w:val="auto"/>
        </w:rPr>
      </w:pPr>
      <w:r>
        <w:rPr>
          <w:rFonts w:ascii="Arial" w:cs="Arial" w:eastAsia="Arial" w:hAnsi="Arial"/>
          <w:sz w:val="18"/>
          <w:szCs w:val="18"/>
          <w:b w:val="1"/>
          <w:bCs w:val="1"/>
          <w:color w:val="auto"/>
        </w:rPr>
        <w:t>6.11 Use of Proceeds</w:t>
      </w:r>
      <w:r>
        <w:rPr>
          <w:rFonts w:ascii="Arial" w:cs="Arial" w:eastAsia="Arial" w:hAnsi="Arial"/>
          <w:sz w:val="18"/>
          <w:szCs w:val="18"/>
          <w:color w:val="auto"/>
        </w:rPr>
        <w:t>. Use the proceeds of the Loans for working capital, capital expenditures, repayment of intercompany debt,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general corporate purposes not in violation of any Law applicable to it and not resulting in a Default or Event of Default.</w:t>
      </w:r>
    </w:p>
    <w:p>
      <w:pPr>
        <w:spacing w:after="0" w:line="162"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ARTICLE VII.</w:t>
        <w:tab/>
        <w:t>NEGATIVE COVENANTS</w:t>
      </w:r>
    </w:p>
    <w:p>
      <w:pPr>
        <w:spacing w:after="0" w:line="22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the Borrower shall not (except in the case of the covenant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which shall be limited to Subsidiaries), nor shall it permit any Subsidiary (except in the case of the covenants set forth in </w:t>
      </w:r>
      <w:r>
        <w:rPr>
          <w:rFonts w:ascii="Arial" w:cs="Arial" w:eastAsia="Arial" w:hAnsi="Arial"/>
          <w:sz w:val="18"/>
          <w:szCs w:val="18"/>
          <w:u w:val="single" w:color="auto"/>
          <w:color w:val="auto"/>
        </w:rPr>
        <w:t>Sections 7.03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which shall be limited to Significant Restricted Persons, and in the case of the covenant in </w:t>
      </w:r>
      <w:r>
        <w:rPr>
          <w:rFonts w:ascii="Arial" w:cs="Arial" w:eastAsia="Arial" w:hAnsi="Arial"/>
          <w:sz w:val="18"/>
          <w:szCs w:val="18"/>
          <w:u w:val="single" w:color="auto"/>
          <w:color w:val="auto"/>
        </w:rPr>
        <w:t>Section 7.04</w:t>
      </w:r>
      <w:r>
        <w:rPr>
          <w:rFonts w:ascii="Arial" w:cs="Arial" w:eastAsia="Arial" w:hAnsi="Arial"/>
          <w:sz w:val="18"/>
          <w:szCs w:val="18"/>
          <w:color w:val="auto"/>
        </w:rPr>
        <w:t>, which shall be limited to the Borrower) to:</w:t>
      </w:r>
    </w:p>
    <w:p>
      <w:pPr>
        <w:spacing w:after="0" w:line="183" w:lineRule="exact"/>
        <w:rPr>
          <w:sz w:val="20"/>
          <w:szCs w:val="20"/>
          <w:color w:val="auto"/>
        </w:rPr>
      </w:pPr>
    </w:p>
    <w:p>
      <w:pPr>
        <w:ind w:firstLine="869"/>
        <w:spacing w:after="0" w:line="266" w:lineRule="auto"/>
        <w:rPr>
          <w:sz w:val="20"/>
          <w:szCs w:val="20"/>
          <w:color w:val="auto"/>
        </w:rPr>
      </w:pPr>
      <w:r>
        <w:rPr>
          <w:rFonts w:ascii="Arial" w:cs="Arial" w:eastAsia="Arial" w:hAnsi="Arial"/>
          <w:sz w:val="18"/>
          <w:szCs w:val="18"/>
          <w:b w:val="1"/>
          <w:bCs w:val="1"/>
          <w:color w:val="auto"/>
        </w:rPr>
        <w:t>7.01 Liens</w:t>
      </w:r>
      <w:r>
        <w:rPr>
          <w:rFonts w:ascii="Arial" w:cs="Arial" w:eastAsia="Arial" w:hAnsi="Arial"/>
          <w:sz w:val="18"/>
          <w:szCs w:val="18"/>
          <w:color w:val="auto"/>
        </w:rPr>
        <w:t>. Create, incur, assume or permit to exist any Lien upon any of its Principal Property or upon the Equity Interests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secure Indebtedness (other than, for the avoidance of doubt, Unrestricted Subsidiaries), whether now owned or hereafter acquired, other than the following:</w:t>
      </w:r>
    </w:p>
    <w:p>
      <w:pPr>
        <w:spacing w:after="0" w:line="180" w:lineRule="exact"/>
        <w:rPr>
          <w:sz w:val="20"/>
          <w:szCs w:val="20"/>
          <w:color w:val="auto"/>
        </w:rPr>
      </w:pPr>
    </w:p>
    <w:p>
      <w:pPr>
        <w:ind w:left="120" w:right="160" w:firstLine="644"/>
        <w:spacing w:after="0" w:line="277" w:lineRule="auto"/>
        <w:tabs>
          <w:tab w:leader="none" w:pos="14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Liens pursuant to any Loan Document or securing any of the Obligations (which Liens may, if required as a condition to the granting or acceptance thereof, also secure, on a </w:t>
      </w:r>
      <w:r>
        <w:rPr>
          <w:rFonts w:ascii="Arial" w:cs="Arial" w:eastAsia="Arial" w:hAnsi="Arial"/>
          <w:sz w:val="18"/>
          <w:szCs w:val="18"/>
          <w:i w:val="1"/>
          <w:iCs w:val="1"/>
          <w:color w:val="auto"/>
        </w:rPr>
        <w:t>pari-passu</w:t>
      </w:r>
      <w:r>
        <w:rPr>
          <w:rFonts w:ascii="Arial" w:cs="Arial" w:eastAsia="Arial" w:hAnsi="Arial"/>
          <w:sz w:val="18"/>
          <w:szCs w:val="18"/>
          <w:color w:val="auto"/>
        </w:rPr>
        <w:t xml:space="preserve"> basis, any Swap Contracts with Lenders or their Affiliates);</w:t>
      </w:r>
    </w:p>
    <w:p>
      <w:pPr>
        <w:spacing w:after="0" w:line="170" w:lineRule="exact"/>
        <w:rPr>
          <w:rFonts w:ascii="Arial" w:cs="Arial" w:eastAsia="Arial" w:hAnsi="Arial"/>
          <w:sz w:val="18"/>
          <w:szCs w:val="18"/>
          <w:color w:val="auto"/>
        </w:rPr>
      </w:pPr>
    </w:p>
    <w:p>
      <w:pPr>
        <w:ind w:left="120" w:right="60" w:firstLine="644"/>
        <w:spacing w:after="0" w:line="342" w:lineRule="auto"/>
        <w:tabs>
          <w:tab w:leader="none" w:pos="1473" w:val="left"/>
        </w:tabs>
        <w:numPr>
          <w:ilvl w:val="0"/>
          <w:numId w:val="74"/>
        </w:numPr>
        <w:rPr>
          <w:rFonts w:ascii="Arial" w:cs="Arial" w:eastAsia="Arial" w:hAnsi="Arial"/>
          <w:sz w:val="16"/>
          <w:szCs w:val="16"/>
          <w:color w:val="auto"/>
        </w:rPr>
      </w:pPr>
      <w:r>
        <w:rPr>
          <w:rFonts w:ascii="Arial" w:cs="Arial" w:eastAsia="Arial" w:hAnsi="Arial"/>
          <w:sz w:val="16"/>
          <w:szCs w:val="16"/>
          <w:color w:val="auto"/>
        </w:rPr>
        <w:t>Liens for taxes, assessments, charges and levies not yet delinquent or which are being contested in good faith and by appropriate proceedings diligently conducted, if adequate reserves with respect thereto are maintained on the books of the applicable Person in accordance with GAAP;</w:t>
      </w:r>
    </w:p>
    <w:p>
      <w:pPr>
        <w:spacing w:after="0" w:line="123" w:lineRule="exact"/>
        <w:rPr>
          <w:rFonts w:ascii="Arial" w:cs="Arial" w:eastAsia="Arial" w:hAnsi="Arial"/>
          <w:sz w:val="16"/>
          <w:szCs w:val="16"/>
          <w:color w:val="auto"/>
        </w:rPr>
      </w:pPr>
    </w:p>
    <w:p>
      <w:pPr>
        <w:ind w:left="120" w:right="140" w:firstLine="644"/>
        <w:spacing w:after="0" w:line="264" w:lineRule="auto"/>
        <w:tabs>
          <w:tab w:leader="none" w:pos="14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(including Liens on property of any Restricted Person in the possession of storage facilities, pipelines or barges) arising in the ordinary course of business for amounts which are not overdue for a period of more than 60 days or which are being contested in good faith and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appropriate proceedings, if necessary, diligently conducted, if adequate reserves with respect thereto are maintained on the books of the applicable Person in accordance with GAAP;</w:t>
      </w:r>
    </w:p>
    <w:p>
      <w:pPr>
        <w:spacing w:after="0" w:line="170" w:lineRule="exact"/>
        <w:rPr>
          <w:sz w:val="20"/>
          <w:szCs w:val="20"/>
          <w:color w:val="auto"/>
        </w:rPr>
      </w:pPr>
    </w:p>
    <w:p>
      <w:pPr>
        <w:ind w:left="120" w:right="340" w:firstLine="644"/>
        <w:spacing w:after="0" w:line="342" w:lineRule="auto"/>
        <w:tabs>
          <w:tab w:leader="none" w:pos="1473" w:val="left"/>
        </w:tabs>
        <w:numPr>
          <w:ilvl w:val="0"/>
          <w:numId w:val="75"/>
        </w:numPr>
        <w:rPr>
          <w:rFonts w:ascii="Arial" w:cs="Arial" w:eastAsia="Arial" w:hAnsi="Arial"/>
          <w:sz w:val="16"/>
          <w:szCs w:val="16"/>
          <w:color w:val="auto"/>
        </w:rPr>
      </w:pPr>
      <w:r>
        <w:rPr>
          <w:rFonts w:ascii="Arial" w:cs="Arial" w:eastAsia="Arial" w:hAnsi="Arial"/>
          <w:sz w:val="16"/>
          <w:szCs w:val="16"/>
          <w:color w:val="auto"/>
        </w:rPr>
        <w:t>Liens on cash and cash equivalents under or with respect to accounts with brokers or counterparties with respect to hedging contracts consisting of cash, commodities or futures contracts, options, securities, instruments and other like assets securing only hedging contracts;</w:t>
      </w:r>
    </w:p>
    <w:p>
      <w:pPr>
        <w:spacing w:after="0" w:line="123" w:lineRule="exact"/>
        <w:rPr>
          <w:rFonts w:ascii="Arial" w:cs="Arial" w:eastAsia="Arial" w:hAnsi="Arial"/>
          <w:sz w:val="16"/>
          <w:szCs w:val="16"/>
          <w:color w:val="auto"/>
        </w:rPr>
      </w:pPr>
    </w:p>
    <w:p>
      <w:pPr>
        <w:ind w:left="120" w:right="360" w:firstLine="644"/>
        <w:spacing w:after="0" w:line="308" w:lineRule="auto"/>
        <w:tabs>
          <w:tab w:leader="none" w:pos="1463" w:val="left"/>
        </w:tabs>
        <w:numPr>
          <w:ilvl w:val="0"/>
          <w:numId w:val="75"/>
        </w:numPr>
        <w:rPr>
          <w:rFonts w:ascii="Arial" w:cs="Arial" w:eastAsia="Arial" w:hAnsi="Arial"/>
          <w:sz w:val="17"/>
          <w:szCs w:val="17"/>
          <w:color w:val="auto"/>
        </w:rPr>
      </w:pPr>
      <w:r>
        <w:rPr>
          <w:rFonts w:ascii="Arial" w:cs="Arial" w:eastAsia="Arial" w:hAnsi="Arial"/>
          <w:sz w:val="17"/>
          <w:szCs w:val="17"/>
          <w:color w:val="auto"/>
        </w:rPr>
        <w:t>pledges or deposits in the ordinary course of business in connection with workers’ compensation, unemployment insurance and other social security legislation (other than any Lien imposed by ERISA), or to secure letters of credit issued with respect thereto;</w:t>
      </w:r>
    </w:p>
    <w:p>
      <w:pPr>
        <w:spacing w:after="0" w:line="146" w:lineRule="exact"/>
        <w:rPr>
          <w:rFonts w:ascii="Arial" w:cs="Arial" w:eastAsia="Arial" w:hAnsi="Arial"/>
          <w:sz w:val="17"/>
          <w:szCs w:val="17"/>
          <w:color w:val="auto"/>
        </w:rPr>
      </w:pPr>
    </w:p>
    <w:p>
      <w:pPr>
        <w:ind w:left="120" w:right="300" w:firstLine="644"/>
        <w:spacing w:after="0" w:line="264" w:lineRule="auto"/>
        <w:tabs>
          <w:tab w:leader="none" w:pos="1488"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(other than for borrowed money), statutory obligations, surety and appeal bonds, performance bonds and other obligations of a like nature incurred in the ordinary course of business (or to secure letters of credit issued in connection therewith);</w:t>
      </w:r>
    </w:p>
    <w:p>
      <w:pPr>
        <w:sectPr>
          <w:pgSz w:w="11900" w:h="16838" w:orient="portrait"/>
          <w:cols w:equalWidth="0" w:num="1">
            <w:col w:w="11400"/>
          </w:cols>
          <w:pgMar w:left="240" w:top="125" w:right="259" w:bottom="0" w:gutter="0" w:footer="0" w:header="0"/>
        </w:sectPr>
      </w:pPr>
    </w:p>
    <w:bookmarkStart w:id="32" w:name="page33"/>
    <w:bookmarkEnd w:id="32"/>
    <w:p>
      <w:pPr>
        <w:spacing w:after="0" w:line="77" w:lineRule="exact"/>
        <w:rPr>
          <w:sz w:val="20"/>
          <w:szCs w:val="20"/>
          <w:color w:val="auto"/>
        </w:rPr>
      </w:pPr>
    </w:p>
    <w:p>
      <w:pPr>
        <w:ind w:left="120" w:right="460" w:firstLine="644"/>
        <w:spacing w:after="0" w:line="264" w:lineRule="auto"/>
        <w:tabs>
          <w:tab w:leader="none" w:pos="14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or minor imperfections in title thereto which, in the aggregate, are not material in amount, and which do not in any case materially detract from the value of the property subject thereto or materially interfere with the ordinary conduct of the business of the applicable Person;</w:t>
      </w:r>
    </w:p>
    <w:p>
      <w:pPr>
        <w:spacing w:after="0" w:line="181" w:lineRule="exact"/>
        <w:rPr>
          <w:rFonts w:ascii="Arial" w:cs="Arial" w:eastAsia="Arial" w:hAnsi="Arial"/>
          <w:sz w:val="18"/>
          <w:szCs w:val="18"/>
          <w:color w:val="auto"/>
        </w:rPr>
      </w:pPr>
    </w:p>
    <w:p>
      <w:pPr>
        <w:ind w:left="120" w:right="440" w:firstLine="644"/>
        <w:spacing w:after="0" w:line="277" w:lineRule="auto"/>
        <w:tabs>
          <w:tab w:leader="none" w:pos="14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inchoate Liens in respect of pending litigation, or Liens securing judgments for the payment of money (or securing letters of credit, appeal or other surety bonds related to such judgments)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120" w:firstLine="644"/>
        <w:spacing w:after="0" w:line="257" w:lineRule="auto"/>
        <w:tabs>
          <w:tab w:leader="none" w:pos="14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the Borrower or any Subsidiary in excess of those set forth by regulations promulgated by the Board of Governors of the Federal Reserve System, and (ii) such deposit account is not intended by the Borrower or any Subsidiary to provide collateral to the depository institution;</w:t>
      </w:r>
    </w:p>
    <w:p>
      <w:pPr>
        <w:spacing w:after="0" w:line="188" w:lineRule="exact"/>
        <w:rPr>
          <w:rFonts w:ascii="Arial" w:cs="Arial" w:eastAsia="Arial" w:hAnsi="Arial"/>
          <w:sz w:val="18"/>
          <w:szCs w:val="18"/>
          <w:color w:val="auto"/>
        </w:rPr>
      </w:pPr>
    </w:p>
    <w:p>
      <w:pPr>
        <w:ind w:left="120" w:right="40" w:firstLine="644"/>
        <w:spacing w:after="0" w:line="291" w:lineRule="auto"/>
        <w:tabs>
          <w:tab w:leader="none" w:pos="1478" w:val="left"/>
        </w:tabs>
        <w:numPr>
          <w:ilvl w:val="0"/>
          <w:numId w:val="76"/>
        </w:numPr>
        <w:rPr>
          <w:rFonts w:ascii="Arial" w:cs="Arial" w:eastAsia="Arial" w:hAnsi="Arial"/>
          <w:sz w:val="16"/>
          <w:szCs w:val="16"/>
          <w:color w:val="auto"/>
        </w:rPr>
      </w:pPr>
      <w:r>
        <w:rPr>
          <w:rFonts w:ascii="Arial" w:cs="Arial" w:eastAsia="Arial" w:hAnsi="Arial"/>
          <w:sz w:val="16"/>
          <w:szCs w:val="16"/>
          <w:color w:val="auto"/>
        </w:rPr>
        <w:t>Liens arising out of all presently existing and future division and transfer orders, advance payment agreements, processing contracts, gas processing plant agreements, operating agreements, gas balancing or deferred production agreements, pooling, unitization or communitization agreements, pipeline, gathering or transportation agreements, platform agreements, drilling contracts, injection or repressuring agreements, cycling agreements, construction agreements, salt water or other disposal agreements, leases or rental agreements, farm-out and farm-in agreements, exploration and development agreements, and any and all other contracts or agreements covering, arising out, used or useful in connection with or pertaining to the exploration, development, operation, production, sale, use, purchase, exchange, storage, separation, dehydration, treatment, compression, gathering, transportation, processing, improvement, marketing, disposal, or handling of any oil and gas property of the Borrower;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hanging="696"/>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Liens in respect of Operating Leases;</w:t>
      </w:r>
    </w:p>
    <w:p>
      <w:pPr>
        <w:spacing w:after="0" w:line="225" w:lineRule="exact"/>
        <w:rPr>
          <w:rFonts w:ascii="Arial" w:cs="Arial" w:eastAsia="Arial" w:hAnsi="Arial"/>
          <w:sz w:val="18"/>
          <w:szCs w:val="18"/>
          <w:color w:val="auto"/>
        </w:rPr>
      </w:pPr>
    </w:p>
    <w:p>
      <w:pPr>
        <w:ind w:left="120" w:right="100" w:firstLine="644"/>
        <w:spacing w:after="0" w:line="255" w:lineRule="auto"/>
        <w:tabs>
          <w:tab w:leader="none" w:pos="14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Liens securing Acquired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such Lien (A) existed at the time of its acquisition and was not created in anticipation thereof, or (B) was created solely for the purpose of securing Indebtedness representing, or incurred to finance, refinance or refund, the cost (including the cost of construction) of such property or asset, (ii)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and (iii) such Lien shall not secure any additional Indebtedness and obligations;</w:t>
      </w:r>
    </w:p>
    <w:p>
      <w:pPr>
        <w:spacing w:after="0" w:line="193" w:lineRule="exact"/>
        <w:rPr>
          <w:rFonts w:ascii="Arial" w:cs="Arial" w:eastAsia="Arial" w:hAnsi="Arial"/>
          <w:sz w:val="18"/>
          <w:szCs w:val="18"/>
          <w:color w:val="auto"/>
        </w:rPr>
      </w:pPr>
    </w:p>
    <w:p>
      <w:pPr>
        <w:ind w:left="120" w:firstLine="644"/>
        <w:spacing w:after="0" w:line="264" w:lineRule="auto"/>
        <w:tabs>
          <w:tab w:leader="none" w:pos="14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81" w:lineRule="exact"/>
        <w:rPr>
          <w:rFonts w:ascii="Arial" w:cs="Arial" w:eastAsia="Arial" w:hAnsi="Arial"/>
          <w:sz w:val="18"/>
          <w:szCs w:val="18"/>
          <w:color w:val="auto"/>
        </w:rPr>
      </w:pPr>
    </w:p>
    <w:p>
      <w:pPr>
        <w:ind w:left="120" w:right="300" w:firstLine="644"/>
        <w:spacing w:after="0" w:line="342" w:lineRule="auto"/>
        <w:tabs>
          <w:tab w:leader="none" w:pos="1473" w:val="left"/>
        </w:tabs>
        <w:numPr>
          <w:ilvl w:val="0"/>
          <w:numId w:val="77"/>
        </w:numPr>
        <w:rPr>
          <w:rFonts w:ascii="Arial" w:cs="Arial" w:eastAsia="Arial" w:hAnsi="Arial"/>
          <w:sz w:val="16"/>
          <w:szCs w:val="16"/>
          <w:color w:val="auto"/>
        </w:rPr>
      </w:pPr>
      <w:r>
        <w:rPr>
          <w:rFonts w:ascii="Arial" w:cs="Arial" w:eastAsia="Arial" w:hAnsi="Arial"/>
          <w:sz w:val="16"/>
          <w:szCs w:val="16"/>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123" w:lineRule="exact"/>
        <w:rPr>
          <w:rFonts w:ascii="Arial" w:cs="Arial" w:eastAsia="Arial" w:hAnsi="Arial"/>
          <w:sz w:val="16"/>
          <w:szCs w:val="16"/>
          <w:color w:val="auto"/>
        </w:rPr>
      </w:pPr>
    </w:p>
    <w:p>
      <w:pPr>
        <w:ind w:left="120" w:right="220" w:firstLine="644"/>
        <w:spacing w:after="0" w:line="342" w:lineRule="auto"/>
        <w:tabs>
          <w:tab w:leader="none" w:pos="1473" w:val="left"/>
        </w:tabs>
        <w:numPr>
          <w:ilvl w:val="0"/>
          <w:numId w:val="77"/>
        </w:numPr>
        <w:rPr>
          <w:rFonts w:ascii="Arial" w:cs="Arial" w:eastAsia="Arial" w:hAnsi="Arial"/>
          <w:sz w:val="16"/>
          <w:szCs w:val="16"/>
          <w:color w:val="auto"/>
        </w:rPr>
      </w:pPr>
      <w:r>
        <w:rPr>
          <w:rFonts w:ascii="Arial" w:cs="Arial" w:eastAsia="Arial" w:hAnsi="Arial"/>
          <w:sz w:val="16"/>
          <w:szCs w:val="16"/>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w:t>
      </w:r>
    </w:p>
    <w:p>
      <w:pPr>
        <w:spacing w:after="0" w:line="123" w:lineRule="exact"/>
        <w:rPr>
          <w:rFonts w:ascii="Arial" w:cs="Arial" w:eastAsia="Arial" w:hAnsi="Arial"/>
          <w:sz w:val="16"/>
          <w:szCs w:val="16"/>
          <w:color w:val="auto"/>
        </w:rPr>
      </w:pPr>
    </w:p>
    <w:p>
      <w:pPr>
        <w:ind w:left="1460" w:hanging="696"/>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Liens pursuant to the Pine Prairie Lease and extensions, renewals and replacement thereof; and</w:t>
      </w:r>
    </w:p>
    <w:p>
      <w:pPr>
        <w:spacing w:after="0" w:line="225" w:lineRule="exact"/>
        <w:rPr>
          <w:rFonts w:ascii="Arial" w:cs="Arial" w:eastAsia="Arial" w:hAnsi="Arial"/>
          <w:sz w:val="18"/>
          <w:szCs w:val="18"/>
          <w:color w:val="auto"/>
        </w:rPr>
      </w:pPr>
    </w:p>
    <w:p>
      <w:pPr>
        <w:ind w:left="120" w:right="260" w:firstLine="644"/>
        <w:spacing w:after="0" w:line="277" w:lineRule="auto"/>
        <w:tabs>
          <w:tab w:leader="none" w:pos="14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Liens otherwise not permitted herein which secure obligations in an aggregate principal amount not to exceed at any time outstanding 10% of the Borrower’s Consolidated Net Tangible Assets.</w:t>
      </w:r>
    </w:p>
    <w:p>
      <w:pPr>
        <w:spacing w:after="0" w:line="166"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Create, incur, assume or permit to exist any Indebtedness, except:</w:t>
      </w:r>
    </w:p>
    <w:p>
      <w:pPr>
        <w:spacing w:after="0" w:line="229" w:lineRule="exact"/>
        <w:rPr>
          <w:sz w:val="20"/>
          <w:szCs w:val="20"/>
          <w:color w:val="auto"/>
        </w:rPr>
      </w:pPr>
    </w:p>
    <w:p>
      <w:pPr>
        <w:ind w:left="1460" w:hanging="696"/>
        <w:spacing w:after="0"/>
        <w:tabs>
          <w:tab w:leader="none" w:pos="14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ind w:left="1460" w:hanging="696"/>
        <w:spacing w:after="0"/>
        <w:tabs>
          <w:tab w:leader="none" w:pos="14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Indebtedness of any Restricted Person owing to another Restricted Person;</w:t>
      </w:r>
    </w:p>
    <w:p>
      <w:pPr>
        <w:spacing w:after="0" w:line="225" w:lineRule="exact"/>
        <w:rPr>
          <w:rFonts w:ascii="Arial" w:cs="Arial" w:eastAsia="Arial" w:hAnsi="Arial"/>
          <w:sz w:val="18"/>
          <w:szCs w:val="18"/>
          <w:color w:val="auto"/>
        </w:rPr>
      </w:pPr>
    </w:p>
    <w:p>
      <w:pPr>
        <w:ind w:left="1460" w:hanging="696"/>
        <w:spacing w:after="0"/>
        <w:tabs>
          <w:tab w:leader="none" w:pos="14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Acquired Indebtedness;</w:t>
      </w:r>
    </w:p>
    <w:p>
      <w:pPr>
        <w:spacing w:after="0" w:line="225" w:lineRule="exact"/>
        <w:rPr>
          <w:rFonts w:ascii="Arial" w:cs="Arial" w:eastAsia="Arial" w:hAnsi="Arial"/>
          <w:sz w:val="18"/>
          <w:szCs w:val="18"/>
          <w:color w:val="auto"/>
        </w:rPr>
      </w:pPr>
    </w:p>
    <w:p>
      <w:pPr>
        <w:ind w:left="1460" w:hanging="696"/>
        <w:spacing w:after="0"/>
        <w:tabs>
          <w:tab w:leader="none" w:pos="14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Indebtedness of (i) any of its Subsidiaries (and guarantees thereof by its Subsidiaries) under the PAA US/Canada Credit Agreement, and</w:t>
      </w:r>
    </w:p>
    <w:p>
      <w:pPr>
        <w:spacing w:after="0" w:line="46" w:lineRule="exact"/>
        <w:rPr>
          <w:rFonts w:ascii="Arial" w:cs="Arial" w:eastAsia="Arial" w:hAnsi="Arial"/>
          <w:sz w:val="16"/>
          <w:szCs w:val="16"/>
          <w:color w:val="auto"/>
        </w:rPr>
      </w:pPr>
    </w:p>
    <w:p>
      <w:pPr>
        <w:ind w:left="120" w:right="260" w:hanging="4"/>
        <w:spacing w:after="0" w:line="261" w:lineRule="auto"/>
        <w:tabs>
          <w:tab w:leader="none" w:pos="3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Plains Marketing (and guarantees thereof by its Subsidiaries) and PMCULC (and guarantees thereof by its Subsidiaries) under the Hedged Inventory Credit Agreement;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20" w:firstLine="644"/>
        <w:spacing w:after="0" w:line="264" w:lineRule="auto"/>
        <w:tabs>
          <w:tab w:leader="none" w:pos="142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under the Pine Prairie Lease and extensions, renewals and replacements of any such Indebtedness that do not increase the outstanding principal amount thereof except by an amount equal to a reasonable premium or other reasonable amount paid, and fees and expenses reasonably incurred, in connection with such extensions, renewals and replacements; and</w:t>
      </w:r>
    </w:p>
    <w:p>
      <w:pPr>
        <w:spacing w:after="0" w:line="181" w:lineRule="exact"/>
        <w:rPr>
          <w:rFonts w:ascii="Arial" w:cs="Arial" w:eastAsia="Arial" w:hAnsi="Arial"/>
          <w:sz w:val="18"/>
          <w:szCs w:val="18"/>
          <w:color w:val="auto"/>
        </w:rPr>
      </w:pPr>
    </w:p>
    <w:p>
      <w:pPr>
        <w:ind w:left="120" w:right="140" w:firstLine="644"/>
        <w:spacing w:after="0" w:line="277" w:lineRule="auto"/>
        <w:tabs>
          <w:tab w:leader="none" w:pos="1421"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Indebtedness not otherwise permitted pursuant to the foregoing clauses (a), (b), (c), (d) and (e) in an aggregate principal amount at any time outstanding not to exceed 15% of the Borrower’s Consolidated Net Tangible Assets.</w:t>
      </w:r>
    </w:p>
    <w:p>
      <w:pPr>
        <w:spacing w:after="0" w:line="166" w:lineRule="exact"/>
        <w:rPr>
          <w:sz w:val="20"/>
          <w:szCs w:val="20"/>
          <w:color w:val="auto"/>
        </w:rPr>
      </w:pPr>
    </w:p>
    <w:p>
      <w:pPr>
        <w:ind w:right="60" w:firstLine="765"/>
        <w:spacing w:after="0" w:line="261" w:lineRule="auto"/>
        <w:rPr>
          <w:sz w:val="20"/>
          <w:szCs w:val="20"/>
          <w:color w:val="auto"/>
        </w:rPr>
      </w:pPr>
      <w:r>
        <w:rPr>
          <w:rFonts w:ascii="Arial" w:cs="Arial" w:eastAsia="Arial" w:hAnsi="Arial"/>
          <w:sz w:val="18"/>
          <w:szCs w:val="18"/>
          <w:b w:val="1"/>
          <w:bCs w:val="1"/>
          <w:color w:val="auto"/>
        </w:rPr>
        <w:t>7.03 Fundamental Changes; Dispositions</w:t>
      </w:r>
      <w:r>
        <w:rPr>
          <w:rFonts w:ascii="Arial" w:cs="Arial" w:eastAsia="Arial" w:hAnsi="Arial"/>
          <w:sz w:val="18"/>
          <w:szCs w:val="18"/>
          <w:color w:val="auto"/>
        </w:rPr>
        <w:t>. Merge, dissolve, liquidate, consolidate with or into another Person, or sell, transfer, lease,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or otherwise dispose of (whether in one transaction or in a series of related transactions) all or substantially all of its assets (whether now owned or hereafter acquired) to or in favor of any Person, except that, so long as no Default exists or, upon giving pro forma effect thereto, would immediately result therefrom:</w:t>
      </w:r>
    </w:p>
    <w:p>
      <w:pPr>
        <w:sectPr>
          <w:pgSz w:w="11900" w:h="16915" w:orient="portrait"/>
          <w:cols w:equalWidth="0" w:num="1">
            <w:col w:w="11360"/>
          </w:cols>
          <w:pgMar w:left="240" w:top="125" w:right="299" w:bottom="0" w:gutter="0" w:footer="0" w:header="0"/>
        </w:sectPr>
      </w:pPr>
    </w:p>
    <w:bookmarkStart w:id="33" w:name="page34"/>
    <w:bookmarkEnd w:id="33"/>
    <w:p>
      <w:pPr>
        <w:ind w:left="120" w:right="160" w:firstLine="644"/>
        <w:spacing w:after="0" w:line="291" w:lineRule="auto"/>
        <w:tabs>
          <w:tab w:leader="none" w:pos="1414"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any Significant Restricted Person may merge, consolidate or amalgamate with another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such Significant Restricted Person is the Borrower, the Borrower shall be the acquiring, surviving or continuing entity, and (ii) as to any other Significant Restricted Person,</w:t>
      </w:r>
    </w:p>
    <w:p>
      <w:pPr>
        <w:ind w:left="120" w:right="80" w:hanging="4"/>
        <w:spacing w:after="0" w:line="281" w:lineRule="auto"/>
        <w:tabs>
          <w:tab w:leader="none" w:pos="37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Borrower or such Significant Restricted Person is the acquiring, surviving or continuing entity (or, with respect to any merger, consolidation or amalgamation involving such Significant Restricted Person, the surviving or continuing entity becomes a Significant Restricted Person in the transaction) or</w:t>
      </w:r>
    </w:p>
    <w:p>
      <w:pPr>
        <w:spacing w:after="0" w:line="1" w:lineRule="exact"/>
        <w:rPr>
          <w:rFonts w:ascii="Arial" w:cs="Arial" w:eastAsia="Arial" w:hAnsi="Arial"/>
          <w:sz w:val="16"/>
          <w:szCs w:val="16"/>
          <w:color w:val="auto"/>
        </w:rPr>
      </w:pPr>
    </w:p>
    <w:p>
      <w:pPr>
        <w:ind w:left="120" w:right="100" w:hanging="4"/>
        <w:spacing w:after="0" w:line="261" w:lineRule="auto"/>
        <w:tabs>
          <w:tab w:leader="none" w:pos="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merger, consolidation or amalgamation is in connection with the sale, transfer, lease, exchange or other disposition of all or substantially all of such Significant Restricted Person’s Equity Interests;</w:t>
      </w:r>
    </w:p>
    <w:p>
      <w:pPr>
        <w:spacing w:after="0" w:line="183" w:lineRule="exact"/>
        <w:rPr>
          <w:rFonts w:ascii="Arial" w:cs="Arial" w:eastAsia="Arial" w:hAnsi="Arial"/>
          <w:sz w:val="18"/>
          <w:szCs w:val="18"/>
          <w:color w:val="auto"/>
        </w:rPr>
      </w:pPr>
    </w:p>
    <w:p>
      <w:pPr>
        <w:ind w:left="120" w:right="100" w:firstLine="644"/>
        <w:spacing w:after="0" w:line="277" w:lineRule="auto"/>
        <w:tabs>
          <w:tab w:leader="none" w:pos="1424"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Significant Restricted Person other than the Borrower may sell, transfer, lease exchange or otherwise dispose of all or substantially all of its assets (upon voluntary liquidation or otherwise); and</w:t>
      </w:r>
    </w:p>
    <w:p>
      <w:pPr>
        <w:spacing w:after="0" w:line="170" w:lineRule="exact"/>
        <w:rPr>
          <w:rFonts w:ascii="Arial" w:cs="Arial" w:eastAsia="Arial" w:hAnsi="Arial"/>
          <w:sz w:val="18"/>
          <w:szCs w:val="18"/>
          <w:color w:val="auto"/>
        </w:rPr>
      </w:pPr>
    </w:p>
    <w:p>
      <w:pPr>
        <w:ind w:left="120" w:right="700" w:firstLine="644"/>
        <w:spacing w:after="0" w:line="277" w:lineRule="auto"/>
        <w:tabs>
          <w:tab w:leader="none" w:pos="142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Significant Restricted Person other than the Borrower may dissolve or liquidate if such dissolution or liquidation results from dispositions not prohibited by this Agreement.</w:t>
      </w:r>
    </w:p>
    <w:p>
      <w:pPr>
        <w:spacing w:after="0" w:line="166" w:lineRule="exact"/>
        <w:rPr>
          <w:sz w:val="20"/>
          <w:szCs w:val="20"/>
          <w:color w:val="auto"/>
        </w:rPr>
      </w:pPr>
    </w:p>
    <w:p>
      <w:pPr>
        <w:ind w:right="60" w:firstLine="765"/>
        <w:spacing w:after="0" w:line="282" w:lineRule="auto"/>
        <w:rPr>
          <w:sz w:val="20"/>
          <w:szCs w:val="20"/>
          <w:color w:val="auto"/>
        </w:rPr>
      </w:pPr>
      <w:r>
        <w:rPr>
          <w:rFonts w:ascii="Arial" w:cs="Arial" w:eastAsia="Arial" w:hAnsi="Arial"/>
          <w:sz w:val="18"/>
          <w:szCs w:val="18"/>
          <w:b w:val="1"/>
          <w:bCs w:val="1"/>
          <w:color w:val="auto"/>
        </w:rPr>
        <w:t>7.04 Restricted Payments</w:t>
      </w:r>
      <w:r>
        <w:rPr>
          <w:rFonts w:ascii="Arial" w:cs="Arial" w:eastAsia="Arial" w:hAnsi="Arial"/>
          <w:sz w:val="18"/>
          <w:szCs w:val="18"/>
          <w:color w:val="auto"/>
        </w:rPr>
        <w:t>. Declare or make any Restricted Payment unless no Default or Event of Default has occurred and is continuing or,</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after giving effect thereto, would result therefrom.</w:t>
      </w:r>
    </w:p>
    <w:p>
      <w:pPr>
        <w:spacing w:after="0" w:line="162" w:lineRule="exact"/>
        <w:rPr>
          <w:sz w:val="20"/>
          <w:szCs w:val="20"/>
          <w:color w:val="auto"/>
        </w:rPr>
      </w:pPr>
    </w:p>
    <w:p>
      <w:pPr>
        <w:ind w:right="40" w:firstLine="765"/>
        <w:spacing w:after="0" w:line="287" w:lineRule="auto"/>
        <w:rPr>
          <w:sz w:val="20"/>
          <w:szCs w:val="20"/>
          <w:color w:val="auto"/>
        </w:rPr>
      </w:pPr>
      <w:r>
        <w:rPr>
          <w:rFonts w:ascii="Arial" w:cs="Arial" w:eastAsia="Arial" w:hAnsi="Arial"/>
          <w:sz w:val="16"/>
          <w:szCs w:val="16"/>
          <w:b w:val="1"/>
          <w:bCs w:val="1"/>
          <w:color w:val="auto"/>
        </w:rPr>
        <w:t>7.05 Transactions with Affiliates</w:t>
      </w:r>
      <w:r>
        <w:rPr>
          <w:rFonts w:ascii="Arial" w:cs="Arial" w:eastAsia="Arial" w:hAnsi="Arial"/>
          <w:sz w:val="16"/>
          <w:szCs w:val="16"/>
          <w:color w:val="auto"/>
        </w:rPr>
        <w:t>. Enter into any material transaction of any kind with any Affiliate of the Borrower, whether or not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ordinary course of business, other than on terms that are no less favorable to the Borrower or such Restricted Person as would be obtainable by the Borrower or such Restricted Person at the time in an arm’s length transaction with a Person other than an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apply to any of the following transactions: (a) transactions between or among the Borrower and any of its Subsidiaries or between and among any Subsidiaries;</w:t>
      </w:r>
    </w:p>
    <w:p>
      <w:pPr>
        <w:spacing w:after="0" w:line="3" w:lineRule="exact"/>
        <w:rPr>
          <w:sz w:val="20"/>
          <w:szCs w:val="20"/>
          <w:color w:val="auto"/>
        </w:rPr>
      </w:pPr>
    </w:p>
    <w:p>
      <w:pPr>
        <w:ind w:right="140" w:firstLine="8"/>
        <w:spacing w:after="0" w:line="261"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and to the extent any of them constitute transactions with Affiliates, transactions governed by the Amended and Restated Omnibus Agreement between Plains Resources Inc., the Borrower, Plains Marketing, GP LLC,</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Plains Marketing GP, Inc. and Plains Pipeline (and successors of each) dated July 23, 2004, as amended and in effect; or the Amended and Restated Crude Oil Marketing Agreement among Plains Resources Inc., Calumet Florida, LLC and Plains Marketing dated as of July 23, 2004, as amended and in effect, (c) any employment, equity award, equity option or equity appreciation agreement or plan entered into by the Borrower or any of its Subsidiaries in the ordinary course of business of the Borrower or such Subsidiary; (d) transactions effected in accordance with the terms of agreements as in effect on the Closing Date;</w:t>
      </w:r>
    </w:p>
    <w:p>
      <w:pPr>
        <w:spacing w:after="0" w:line="2" w:lineRule="exact"/>
        <w:rPr>
          <w:sz w:val="20"/>
          <w:szCs w:val="20"/>
          <w:color w:val="auto"/>
        </w:rPr>
      </w:pPr>
    </w:p>
    <w:p>
      <w:pPr>
        <w:ind w:right="140" w:firstLine="8"/>
        <w:spacing w:after="0" w:line="281" w:lineRule="auto"/>
        <w:tabs>
          <w:tab w:leader="none" w:pos="245" w:val="left"/>
        </w:tabs>
        <w:numPr>
          <w:ilvl w:val="0"/>
          <w:numId w:val="84"/>
        </w:numPr>
        <w:rPr>
          <w:rFonts w:ascii="Arial" w:cs="Arial" w:eastAsia="Arial" w:hAnsi="Arial"/>
          <w:sz w:val="16"/>
          <w:szCs w:val="16"/>
          <w:color w:val="auto"/>
        </w:rPr>
      </w:pPr>
      <w:r>
        <w:rPr>
          <w:rFonts w:ascii="Arial" w:cs="Arial" w:eastAsia="Arial" w:hAnsi="Arial"/>
          <w:sz w:val="16"/>
          <w:szCs w:val="16"/>
          <w:color w:val="auto"/>
        </w:rPr>
        <w:t>customary compensation, indemnification and other benefits made available to officers, directors or employees of the Borrower, any of its Subsidiaries or the General Partner, including reimbursement or advancement of out-of-pocket expenses and provisions of officers’ and directors’ liability insurance; and</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transactions as contemplated by the Borrower’s agreement of limited partnership.</w:t>
      </w:r>
    </w:p>
    <w:p>
      <w:pPr>
        <w:spacing w:after="0" w:line="20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7.06 Burdensome Agreements</w:t>
      </w:r>
      <w:r>
        <w:rPr>
          <w:rFonts w:ascii="Arial" w:cs="Arial" w:eastAsia="Arial" w:hAnsi="Arial"/>
          <w:sz w:val="18"/>
          <w:szCs w:val="18"/>
          <w:color w:val="auto"/>
        </w:rPr>
        <w:t>. Except as expressly provided for in the Loan Documents, as described in any Schedule hereto or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 Restriction Exception, the substance of which, in detail reasonably satisfactory to the Administrative Agent, is promptly reported to Administrative Agent, enter into any Contractual Obligation that limits the ability (a) of any Significant Restricted Person to make Restricted Payments to the Borrower or otherwise to transfer property to the Borrower, (b) of any Significant Restricted Person to redeem Equity Interests held in it by the Borrower, (c) of any Significant Restricted Person to repay loans and other Indebtedness owing by it to the Borrower, or (d) of any Significant Restricted Person to guarantee the payment of Indebtedness of the Borrower (excluding any restrictions with respect to PNGS and its Subsidiaries contained in the organizational and governance documents of PNGS as in effect on the Closing Date).</w:t>
      </w:r>
    </w:p>
    <w:p>
      <w:pPr>
        <w:spacing w:after="0" w:line="18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7.07</w:t>
      </w:r>
      <w:r>
        <w:rPr>
          <w:sz w:val="20"/>
          <w:szCs w:val="20"/>
          <w:color w:val="auto"/>
        </w:rPr>
        <w:tab/>
      </w:r>
      <w:r>
        <w:rPr>
          <w:rFonts w:ascii="Arial" w:cs="Arial" w:eastAsia="Arial" w:hAnsi="Arial"/>
          <w:sz w:val="16"/>
          <w:szCs w:val="16"/>
          <w:b w:val="1"/>
          <w:bCs w:val="1"/>
          <w:color w:val="auto"/>
        </w:rPr>
        <w:t>Use of Proceeds</w:t>
      </w:r>
      <w:r>
        <w:rPr>
          <w:rFonts w:ascii="Arial" w:cs="Arial" w:eastAsia="Arial" w:hAnsi="Arial"/>
          <w:sz w:val="16"/>
          <w:szCs w:val="16"/>
          <w:color w:val="auto"/>
        </w:rPr>
        <w:t>. Use the proceeds of any Loans, whether directly or indirectly, and whether immediately, incidentally or ultimately,</w:t>
      </w:r>
    </w:p>
    <w:p>
      <w:pPr>
        <w:spacing w:after="0" w:line="27" w:lineRule="exact"/>
        <w:rPr>
          <w:sz w:val="20"/>
          <w:szCs w:val="20"/>
          <w:color w:val="auto"/>
        </w:rPr>
      </w:pPr>
    </w:p>
    <w:p>
      <w:pPr>
        <w:ind w:right="60" w:firstLine="8"/>
        <w:spacing w:after="0" w:line="253" w:lineRule="auto"/>
        <w:tabs>
          <w:tab w:leader="none" w:pos="2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Borrower or its Subsidiaries, or (d) in furtherance of an offer, payment, promise to pay, or authorization of the payment or giving of money, or anything else of value, to any Person in violation of any Anti-Corruption Laws.</w:t>
      </w:r>
    </w:p>
    <w:p>
      <w:pPr>
        <w:spacing w:after="0" w:line="18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7.08 Consolidated Leverage Ratio</w:t>
      </w:r>
      <w:r>
        <w:rPr>
          <w:rFonts w:ascii="Arial" w:cs="Arial" w:eastAsia="Arial" w:hAnsi="Arial"/>
          <w:sz w:val="18"/>
          <w:szCs w:val="18"/>
          <w:color w:val="auto"/>
        </w:rPr>
        <w:t>. Permit the Consolidated Leverage Ratio as of the end of any fiscal quarter of the Borrower to be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ratio set forth below opposite such period, calculated, with respect to Consolidated EBITDA, on a trailing four-quarter basis: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Maximum</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Applicable Period</w:t>
            </w: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Leverage Ratio</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 During an Acquisition Period</w:t>
            </w:r>
          </w:p>
        </w:tc>
        <w:tc>
          <w:tcPr>
            <w:tcW w:w="2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5.50:1.0</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(ii) Other than during an Acquisition Period</w:t>
            </w:r>
          </w:p>
        </w:tc>
        <w:tc>
          <w:tcPr>
            <w:tcW w:w="4520" w:type="dxa"/>
            <w:vAlign w:val="bottom"/>
            <w:gridSpan w:val="3"/>
          </w:tcPr>
          <w:p>
            <w:pPr>
              <w:jc w:val="center"/>
              <w:ind w:left="2730"/>
              <w:spacing w:after="0"/>
              <w:rPr>
                <w:sz w:val="20"/>
                <w:szCs w:val="20"/>
                <w:color w:val="auto"/>
              </w:rPr>
            </w:pPr>
            <w:r>
              <w:rPr>
                <w:rFonts w:ascii="Arial" w:cs="Arial" w:eastAsia="Arial" w:hAnsi="Arial"/>
                <w:sz w:val="18"/>
                <w:szCs w:val="18"/>
                <w:color w:val="auto"/>
                <w:w w:val="89"/>
              </w:rPr>
              <w:t>5.00:1.0</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20" w:type="dxa"/>
            <w:vAlign w:val="bottom"/>
          </w:tcPr>
          <w:p>
            <w:pPr>
              <w:jc w:val="right"/>
              <w:ind w:right="167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74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Consolidated EBITDA may include, at the Borrower’s option, any Material Project EBITDA Adjustments or New Cavern EBITDA Adjustments as provided below, limited in each case with respect to any non-wholly-owned Subsidiaries to a proportional amount of such adjustments equal to the Borrower’s direct or indirect ownership interest therein.</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Material Project EBITDA Adjustments</w:t>
      </w:r>
      <w:r>
        <w:rPr>
          <w:rFonts w:ascii="Arial" w:cs="Arial" w:eastAsia="Arial" w:hAnsi="Arial"/>
          <w:sz w:val="16"/>
          <w:szCs w:val="16"/>
          <w:color w:val="auto"/>
        </w:rPr>
        <w:t>” means, with respect to the construction or expansion of any capital project of the Borrower or any of its Subsidiaries (excluding, for the avoidance of doubt, Unrestricted Subsidiaries), the aggregate capital cost of which (inclusive of capital costs expended prior to the acquisition thereof) is reasonably expected by the Borrower to exceed, or exceeds, $50,000,000 (a “</w:t>
      </w:r>
      <w:r>
        <w:rPr>
          <w:rFonts w:ascii="Arial" w:cs="Arial" w:eastAsia="Arial" w:hAnsi="Arial"/>
          <w:sz w:val="16"/>
          <w:szCs w:val="16"/>
          <w:u w:val="single" w:color="auto"/>
          <w:color w:val="auto"/>
        </w:rPr>
        <w:t>Material Project</w:t>
      </w:r>
      <w:r>
        <w:rPr>
          <w:rFonts w:ascii="Arial" w:cs="Arial" w:eastAsia="Arial" w:hAnsi="Arial"/>
          <w:sz w:val="16"/>
          <w:szCs w:val="16"/>
          <w:color w:val="auto"/>
        </w:rPr>
        <w:t>”):</w:t>
      </w:r>
    </w:p>
    <w:p>
      <w:pPr>
        <w:spacing w:after="0" w:line="147" w:lineRule="exact"/>
        <w:rPr>
          <w:sz w:val="20"/>
          <w:szCs w:val="20"/>
          <w:color w:val="auto"/>
        </w:rPr>
      </w:pPr>
    </w:p>
    <w:p>
      <w:pPr>
        <w:ind w:left="660" w:right="40" w:firstLine="645"/>
        <w:spacing w:after="0" w:line="302" w:lineRule="auto"/>
        <w:tabs>
          <w:tab w:leader="none" w:pos="1977"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prior to the date on which a Material Project has achieved commercial operation (the “</w:t>
      </w:r>
      <w:r>
        <w:rPr>
          <w:rFonts w:ascii="Arial" w:cs="Arial" w:eastAsia="Arial" w:hAnsi="Arial"/>
          <w:sz w:val="16"/>
          <w:szCs w:val="16"/>
          <w:u w:val="single" w:color="auto"/>
          <w:color w:val="auto"/>
        </w:rPr>
        <w:t>Commercial Operation Date</w:t>
      </w:r>
      <w:r>
        <w:rPr>
          <w:rFonts w:ascii="Arial" w:cs="Arial" w:eastAsia="Arial" w:hAnsi="Arial"/>
          <w:sz w:val="16"/>
          <w:szCs w:val="16"/>
          <w:color w:val="auto"/>
        </w:rPr>
        <w:t>”) (but including the fiscal quarter in which such Commercial Operation Date occurs), a percentage (based on the then-current completion percentage of such Material Project) of an amount to be approved by the Administrative Agent as the projected Consolidated EBITDA attributable to such Material Project for the first 12-month period following the scheduled Commercial Operation Date of such Material Project, such amount based only on</w:t>
      </w:r>
    </w:p>
    <w:p>
      <w:pPr>
        <w:sectPr>
          <w:pgSz w:w="11900" w:h="16838" w:orient="portrait"/>
          <w:cols w:equalWidth="0" w:num="1">
            <w:col w:w="11460"/>
          </w:cols>
          <w:pgMar w:left="240" w:top="341" w:right="199" w:bottom="0" w:gutter="0" w:footer="0" w:header="0"/>
        </w:sectPr>
      </w:pPr>
    </w:p>
    <w:bookmarkStart w:id="34" w:name="page35"/>
    <w:bookmarkEnd w:id="34"/>
    <w:p>
      <w:pPr>
        <w:ind w:left="660" w:hanging="4"/>
        <w:spacing w:after="0" w:line="287" w:lineRule="auto"/>
        <w:tabs>
          <w:tab w:leader="none" w:pos="87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projected revenues from firm fixed-fee contracts (subject to adjustments for customer creditworthiness) and tariffs relating to such Material Project, less expenses, (ii) projected Commercial Operations Date (to be no more than 18 months from the fiscal quarter in which such Material Project EBITDA Adjustment is initially proposed), and (iii) other factors reasonably deemed appropriate by the Administrative Agent, which may, at the Borrower’s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Arial" w:cs="Arial" w:eastAsia="Arial" w:hAnsi="Arial"/>
          <w:sz w:val="16"/>
          <w:szCs w:val="16"/>
          <w:b w:val="1"/>
          <w:bCs w:val="1"/>
          <w:color w:val="auto"/>
        </w:rPr>
        <w:t>,</w:t>
      </w:r>
      <w:r>
        <w:rPr>
          <w:rFonts w:ascii="Arial" w:cs="Arial" w:eastAsia="Arial" w:hAnsi="Arial"/>
          <w:sz w:val="16"/>
          <w:szCs w:val="16"/>
          <w:color w:val="auto"/>
        </w:rPr>
        <w:t xml:space="preserve"> (iii) longer than 180 days but not more than 270 days, 50%, (iv) longer than 270 days but not more than 365 days, 75%, and (v) longer than 365 days, 100%;</w:t>
      </w:r>
    </w:p>
    <w:p>
      <w:pPr>
        <w:spacing w:after="0" w:line="172" w:lineRule="exact"/>
        <w:rPr>
          <w:rFonts w:ascii="Arial" w:cs="Arial" w:eastAsia="Arial" w:hAnsi="Arial"/>
          <w:sz w:val="16"/>
          <w:szCs w:val="16"/>
          <w:color w:val="auto"/>
        </w:rPr>
      </w:pPr>
    </w:p>
    <w:p>
      <w:pPr>
        <w:ind w:left="660" w:right="140" w:firstLine="645"/>
        <w:spacing w:after="0" w:line="259" w:lineRule="auto"/>
        <w:tabs>
          <w:tab w:leader="none" w:pos="1967" w:val="left"/>
        </w:tabs>
        <w:numPr>
          <w:ilvl w:val="1"/>
          <w:numId w:val="87"/>
        </w:numPr>
        <w:rPr>
          <w:rFonts w:ascii="Arial" w:cs="Arial" w:eastAsia="Arial" w:hAnsi="Arial"/>
          <w:sz w:val="18"/>
          <w:szCs w:val="18"/>
          <w:color w:val="auto"/>
        </w:rPr>
      </w:pPr>
      <w:r>
        <w:rPr>
          <w:rFonts w:ascii="Arial" w:cs="Arial" w:eastAsia="Arial" w:hAnsi="Arial"/>
          <w:sz w:val="18"/>
          <w:szCs w:val="18"/>
          <w:color w:val="auto"/>
        </w:rPr>
        <w:t>beginning with the first full fiscal quarter following the Commercial Operation Date of a Material Project and for the two immediately succeeding fiscal quarters, an amount to be approved by the Administrative Agent as the projected Consolidated EBITDA attributable to such Material Project for the balance of the four full fiscal quarter period following such Commercial Operation Date, which may, at the Borrower’s option, be added to actual Consolidated EBITDA for such fiscal quarters;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360" w:firstLine="645"/>
        <w:spacing w:after="0" w:line="264" w:lineRule="auto"/>
        <w:tabs>
          <w:tab w:leader="none" w:pos="19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aggregate amount of all Material Project EBITDA Adjustments and New Cavern EBITDA Adjustments during any period shall be limited to 15% of the total actual Consolidated EBITDA for such period (which total actual Consolidated EBITDA shall be determined without including any Material Project EBITDA Adjustments or New Cavern EBITDA Adjustments).</w:t>
      </w:r>
    </w:p>
    <w:p>
      <w:pPr>
        <w:spacing w:after="0" w:line="181"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New Cavern EBITDA Adjustments</w:t>
      </w:r>
      <w:r>
        <w:rPr>
          <w:rFonts w:ascii="Arial" w:cs="Arial" w:eastAsia="Arial" w:hAnsi="Arial"/>
          <w:sz w:val="16"/>
          <w:szCs w:val="16"/>
          <w:color w:val="auto"/>
        </w:rPr>
        <w:t>” means, with respect to each new gas storage cavern at the Pine Prairie Storage Facility or the Southern Pines Storage Facility which achieves commercial operation (the date on which such commercial operation is achieved, the “</w:t>
      </w:r>
      <w:r>
        <w:rPr>
          <w:rFonts w:ascii="Arial" w:cs="Arial" w:eastAsia="Arial" w:hAnsi="Arial"/>
          <w:sz w:val="16"/>
          <w:szCs w:val="16"/>
          <w:u w:val="single" w:color="auto"/>
          <w:color w:val="auto"/>
        </w:rPr>
        <w:t>New Cavern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Commercial Operations Date</w:t>
      </w:r>
      <w:r>
        <w:rPr>
          <w:rFonts w:ascii="Arial" w:cs="Arial" w:eastAsia="Arial" w:hAnsi="Arial"/>
          <w:sz w:val="16"/>
          <w:szCs w:val="16"/>
          <w:color w:val="auto"/>
        </w:rPr>
        <w:t>”) after the Closing Date, an amount submitted by the Borrower and approved by Administrative Agent as the projected Consolidated EBITDA attributable to the additional storage capacity attributable to such new gas storage cavern (initially giving pro forma effect as if such New Cavern Commercial Operations Date occurred on the first day of the fiscal quarter in which it occurred, and thereafter such pro forma quarterly adjustments rolling off and being replaced by actual performance on a quarterly basis). New Cavern EBITDA Adjustments shall be based only on</w:t>
      </w:r>
    </w:p>
    <w:p>
      <w:pPr>
        <w:spacing w:after="0" w:line="5" w:lineRule="exact"/>
        <w:rPr>
          <w:sz w:val="20"/>
          <w:szCs w:val="20"/>
          <w:color w:val="auto"/>
        </w:rPr>
      </w:pPr>
    </w:p>
    <w:p>
      <w:pPr>
        <w:ind w:firstLine="8"/>
        <w:spacing w:after="0" w:line="255" w:lineRule="auto"/>
        <w:tabs>
          <w:tab w:leader="none" w:pos="2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projected revenues from firm fixed-fee storage contracts (subject to adjustments for customer creditworthiness) and tariffs relating to such new cavern, less expenses, (ii) the New Cavern Commercial Operations Date with respect to each such new cavern, and (iii) other factors reasonably deemed appropriate by Administrative Agent.</w:t>
      </w:r>
    </w:p>
    <w:p>
      <w:pPr>
        <w:spacing w:after="0" w:line="19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In addition, for purposes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Hybrid Securities up to an aggregate principal amount of 15% of Consolidated Total Capitalization shall be excluded from Consolidated Funded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Deliverables for Material Project EBITDA Adjustments and New Cavern EBITDA Adjustments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Borrower shall, no later than three Business Days prior to its delivery of a Compliance Certificate for any fiscal quarter for which the Borrower desires to include Material Project EBITDA Adjustments or New Cavern EBITDA Adjustments, deliver to Administrative Agent, in form and substance reasonably satisfactory to Administrative Agent and certified by a financial officer of the Borrower, written pro forma projections of Consolidated EBITDA attributable to such Material Project EBITDA Adjustments or New Cavern EBITDA Adjustments, and such other related information and documentation reasonably requested by and reasonably satisfactory to Administrative Agent in all respects, including with respect to Material Project EBITDA Adjustments, certification as to Material Project completion percentage, expected Commercial Operations Date and no material delays with respect thereto.</w:t>
      </w:r>
    </w:p>
    <w:p>
      <w:pPr>
        <w:spacing w:after="0" w:line="161"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7.09 Unrestricted Subsidiaries</w:t>
      </w:r>
      <w:r>
        <w:rPr>
          <w:rFonts w:ascii="Arial" w:cs="Arial" w:eastAsia="Arial" w:hAnsi="Arial"/>
          <w:sz w:val="18"/>
          <w:szCs w:val="18"/>
          <w:color w:val="auto"/>
        </w:rPr>
        <w:t>. So long as no Default or Event of Default has occurred and is continuing, and immediately after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such designation on a pro forma basis, no Default or Event of Default would result therefrom, the Borrower or any wholly-owned Subsidiary of the Borrower may designate one or more Subsidiaries as Unrestricted Subsidiaries (each such Subsidiary, and each of its Subsidiaries, an “</w:t>
      </w:r>
      <w:r>
        <w:rPr>
          <w:rFonts w:ascii="Arial" w:cs="Arial" w:eastAsia="Arial" w:hAnsi="Arial"/>
          <w:sz w:val="18"/>
          <w:szCs w:val="18"/>
          <w:u w:val="single" w:color="auto"/>
          <w:color w:val="auto"/>
        </w:rPr>
        <w:t>Unrestricted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w:t>
      </w:r>
      <w:r>
        <w:rPr>
          <w:rFonts w:ascii="Arial" w:cs="Arial" w:eastAsia="Arial" w:hAnsi="Arial"/>
          <w:sz w:val="18"/>
          <w:szCs w:val="18"/>
          <w:color w:val="auto"/>
        </w:rPr>
        <w:t>”), which Unrestricted Subsidiaries shall be subject to the following: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59" w:lineRule="auto"/>
        <w:tabs>
          <w:tab w:leader="none" w:pos="1294"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No Unrestricted Subsidiary shall be deemed to be a “Restricted Person” or a “Subsidiary” of the Borrower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60" w:firstLine="656"/>
        <w:spacing w:after="0" w:line="273" w:lineRule="auto"/>
        <w:tabs>
          <w:tab w:leader="none" w:pos="1304"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No Restricted Person shall guarantee or otherwise become liable in respect of any Indebtedness of, grant any Lien on any of its property (other than its Equity Interests in an Unrestricted Subsidiary)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Arial" w:cs="Arial" w:eastAsia="Arial" w:hAnsi="Arial"/>
          <w:sz w:val="17"/>
          <w:szCs w:val="17"/>
          <w:u w:val="single" w:color="auto"/>
          <w:color w:val="auto"/>
        </w:rPr>
        <w:t>provided</w:t>
      </w:r>
      <w:r>
        <w:rPr>
          <w:rFonts w:ascii="Arial" w:cs="Arial" w:eastAsia="Arial" w:hAnsi="Arial"/>
          <w:sz w:val="17"/>
          <w:szCs w:val="17"/>
          <w:color w:val="auto"/>
        </w:rPr>
        <w:t>, Restricted Persons may guarantee trade accounts payable of Unrestricted Subsidiaries that arise in the ordinary course of business in an amount not to exceed five percent (5%) of the Borrower’s Consolidated Net Tangible Assets.</w:t>
      </w:r>
    </w:p>
    <w:p>
      <w:pPr>
        <w:spacing w:after="0" w:line="178" w:lineRule="exact"/>
        <w:rPr>
          <w:rFonts w:ascii="Arial" w:cs="Arial" w:eastAsia="Arial" w:hAnsi="Arial"/>
          <w:sz w:val="17"/>
          <w:szCs w:val="17"/>
          <w:color w:val="auto"/>
        </w:rPr>
      </w:pPr>
    </w:p>
    <w:p>
      <w:pPr>
        <w:ind w:right="520" w:firstLine="656"/>
        <w:spacing w:after="0" w:line="277" w:lineRule="auto"/>
        <w:tabs>
          <w:tab w:leader="none" w:pos="130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Borrower shall at all times maintain, as between Restricted Persons and Unrestricted Subsidiaries, the separate existence of each Unrestricted Subsidiary.</w:t>
      </w:r>
    </w:p>
    <w:p>
      <w:pPr>
        <w:spacing w:after="0" w:line="170" w:lineRule="exact"/>
        <w:rPr>
          <w:rFonts w:ascii="Arial" w:cs="Arial" w:eastAsia="Arial" w:hAnsi="Arial"/>
          <w:sz w:val="18"/>
          <w:szCs w:val="18"/>
          <w:color w:val="auto"/>
        </w:rPr>
      </w:pPr>
    </w:p>
    <w:p>
      <w:pPr>
        <w:ind w:right="40" w:firstLine="656"/>
        <w:spacing w:after="0" w:line="259" w:lineRule="auto"/>
        <w:tabs>
          <w:tab w:leader="none" w:pos="1304"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Restricted Persons shall notify each Lender Party, not later than five (5) Business Days after any executive officer of Restricted Persons has 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Effect, stating that such notice is being given pursuant to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35" w:name="page36"/>
    <w:bookmarkEnd w:id="35"/>
    <w:p>
      <w:pPr>
        <w:spacing w:after="0" w:line="7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The Borrower may designate any Unrestricted Subsidiary to become a Restricted Person if a Default or Event of Default is not continuing, such designation would not, immediately after giving effect thereto, result in a Default or an Event of Default, and immediately thereafter such Subsidiary has no outstanding Indebtedness. Immediately thereafter, the Borrower shall promptly notify Administrative Agent of such designation and provide to it an officer’s certificate that such designation was made in compliance with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18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ARTICLE VIII. EVENTS OF DEFAULT AND REMEDIES</w:t>
      </w:r>
    </w:p>
    <w:p>
      <w:pPr>
        <w:spacing w:after="0" w:line="225"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Any of the following shall constitute an Event of Default:</w:t>
      </w:r>
    </w:p>
    <w:p>
      <w:pPr>
        <w:spacing w:after="0" w:line="229" w:lineRule="exact"/>
        <w:rPr>
          <w:sz w:val="20"/>
          <w:szCs w:val="20"/>
          <w:color w:val="auto"/>
        </w:rPr>
      </w:pPr>
    </w:p>
    <w:p>
      <w:pPr>
        <w:jc w:val="both"/>
        <w:ind w:left="120" w:right="320" w:firstLine="644"/>
        <w:spacing w:after="0" w:line="286" w:lineRule="auto"/>
        <w:tabs>
          <w:tab w:leader="none" w:pos="1414"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Non-Payment</w:t>
      </w:r>
      <w:r>
        <w:rPr>
          <w:rFonts w:ascii="Arial" w:cs="Arial" w:eastAsia="Arial" w:hAnsi="Arial"/>
          <w:sz w:val="17"/>
          <w:szCs w:val="17"/>
          <w:color w:val="auto"/>
        </w:rPr>
        <w:t xml:space="preserve">. The Borrower fails to pay (i) when due and payable, any amount of principal of any Loan, or (ii) within three Business Days after the same becomes due and payable, any interest on any Loan, or any fee due hereunder pursuant to </w:t>
      </w:r>
      <w:r>
        <w:rPr>
          <w:rFonts w:ascii="Arial" w:cs="Arial" w:eastAsia="Arial" w:hAnsi="Arial"/>
          <w:sz w:val="17"/>
          <w:szCs w:val="17"/>
          <w:u w:val="single" w:color="auto"/>
          <w:color w:val="auto"/>
        </w:rPr>
        <w:t>Section 2.07</w:t>
      </w:r>
      <w:r>
        <w:rPr>
          <w:rFonts w:ascii="Arial" w:cs="Arial" w:eastAsia="Arial" w:hAnsi="Arial"/>
          <w:sz w:val="17"/>
          <w:szCs w:val="17"/>
          <w:color w:val="auto"/>
        </w:rPr>
        <w:t>, or (iii) within five Business Days after the same becomes due, any other amount payable hereunder or under any other Loan Document; or</w:t>
      </w:r>
    </w:p>
    <w:p>
      <w:pPr>
        <w:spacing w:after="0" w:line="165" w:lineRule="exact"/>
        <w:rPr>
          <w:rFonts w:ascii="Arial" w:cs="Arial" w:eastAsia="Arial" w:hAnsi="Arial"/>
          <w:sz w:val="17"/>
          <w:szCs w:val="17"/>
          <w:color w:val="auto"/>
        </w:rPr>
      </w:pPr>
    </w:p>
    <w:p>
      <w:pPr>
        <w:ind w:left="1420" w:hanging="656"/>
        <w:spacing w:after="0"/>
        <w:tabs>
          <w:tab w:leader="none" w:pos="142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Specific Covenants</w:t>
      </w:r>
      <w:r>
        <w:rPr>
          <w:rFonts w:ascii="Arial" w:cs="Arial" w:eastAsia="Arial" w:hAnsi="Arial"/>
          <w:sz w:val="17"/>
          <w:szCs w:val="17"/>
          <w:color w:val="auto"/>
        </w:rPr>
        <w:t xml:space="preserve">. The Borrower fails to perform or observe any term, covenant or agreement contained in any of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0" w:firstLine="644"/>
        <w:spacing w:after="0" w:line="264" w:lineRule="auto"/>
        <w:tabs>
          <w:tab w:leader="none" w:pos="1427"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The Borrower fails to perform or comply with any of its obligations under any other covenant or agreement (not specified in subsection (a) or (b) above) contained in any Loan Document to which it is a party on its part to be performed or complied with and such failure continues for 30 days after notice of such failure is given by the Administrative Agent to the Borrower; or</w:t>
      </w:r>
    </w:p>
    <w:p>
      <w:pPr>
        <w:spacing w:after="0" w:line="181" w:lineRule="exact"/>
        <w:rPr>
          <w:rFonts w:ascii="Arial" w:cs="Arial" w:eastAsia="Arial" w:hAnsi="Arial"/>
          <w:sz w:val="18"/>
          <w:szCs w:val="18"/>
          <w:color w:val="auto"/>
        </w:rPr>
      </w:pPr>
    </w:p>
    <w:p>
      <w:pPr>
        <w:ind w:left="120" w:right="160" w:firstLine="644"/>
        <w:spacing w:after="0" w:line="277" w:lineRule="auto"/>
        <w:tabs>
          <w:tab w:leader="none" w:pos="1424"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made or deemed made by or on behalf of the Borrower herein or in any other Loan Document shall be incorrect when made or deemed made in any material respect; or</w:t>
      </w:r>
    </w:p>
    <w:p>
      <w:pPr>
        <w:spacing w:after="0" w:line="170" w:lineRule="exact"/>
        <w:rPr>
          <w:rFonts w:ascii="Arial" w:cs="Arial" w:eastAsia="Arial" w:hAnsi="Arial"/>
          <w:sz w:val="18"/>
          <w:szCs w:val="18"/>
          <w:color w:val="auto"/>
        </w:rPr>
      </w:pPr>
    </w:p>
    <w:p>
      <w:pPr>
        <w:ind w:left="120" w:right="80" w:firstLine="644"/>
        <w:spacing w:after="0" w:line="283" w:lineRule="auto"/>
        <w:tabs>
          <w:tab w:leader="none" w:pos="1427"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Borrower or any Restricted Person (A) fails to make any payment when due and payable (whether by scheduled maturity, required prepayment, acceleration, demand, or otherwise) of any principal of or interest on any Indebtedness (other than Indebtedness hereunder and Indebtedness under Swap Contracts) in an aggregate principal amount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such Restricted Person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w:t>
      </w:r>
    </w:p>
    <w:p>
      <w:pPr>
        <w:spacing w:after="0" w:line="5" w:lineRule="exact"/>
        <w:rPr>
          <w:rFonts w:ascii="Arial" w:cs="Arial" w:eastAsia="Arial" w:hAnsi="Arial"/>
          <w:sz w:val="16"/>
          <w:szCs w:val="16"/>
          <w:color w:val="auto"/>
        </w:rPr>
      </w:pPr>
    </w:p>
    <w:p>
      <w:pPr>
        <w:ind w:left="120" w:right="100" w:hanging="4"/>
        <w:spacing w:after="0" w:line="268" w:lineRule="auto"/>
        <w:tabs>
          <w:tab w:leader="none" w:pos="38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(1) the Swap Termination Value owed by the Borrower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such Restricted Person as required by GAAP), (2) after giving effect to any applicable grace, cure, extension, forbearance or similar period, the effect of such Early Termination Date is to cause such Swap Termination Value to become due, and (3) such Swap Termination Value has not been paid when due; or</w:t>
      </w:r>
    </w:p>
    <w:p>
      <w:pPr>
        <w:spacing w:after="0" w:line="184" w:lineRule="exact"/>
        <w:rPr>
          <w:rFonts w:ascii="Arial" w:cs="Arial" w:eastAsia="Arial" w:hAnsi="Arial"/>
          <w:sz w:val="17"/>
          <w:szCs w:val="17"/>
          <w:color w:val="auto"/>
        </w:rPr>
      </w:pPr>
    </w:p>
    <w:p>
      <w:pPr>
        <w:ind w:left="120" w:right="40" w:firstLine="644"/>
        <w:spacing w:after="0" w:line="257" w:lineRule="auto"/>
        <w:tabs>
          <w:tab w:leader="none" w:pos="1421"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The Borrower, any other Significant Restricted Person, GP LLC, Plains AAP or the General Partner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0"/>
        <w:spacing w:after="0" w:line="264" w:lineRule="auto"/>
        <w:rPr>
          <w:sz w:val="20"/>
          <w:szCs w:val="20"/>
          <w:color w:val="auto"/>
        </w:rPr>
      </w:pPr>
      <w:r>
        <w:rPr>
          <w:rFonts w:ascii="Arial" w:cs="Arial" w:eastAsia="Arial" w:hAnsi="Arial"/>
          <w:sz w:val="18"/>
          <w:szCs w:val="18"/>
          <w:color w:val="auto"/>
        </w:rPr>
        <w:t>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1" w:lineRule="exact"/>
        <w:rPr>
          <w:sz w:val="20"/>
          <w:szCs w:val="20"/>
          <w:color w:val="auto"/>
        </w:rPr>
      </w:pPr>
    </w:p>
    <w:p>
      <w:pPr>
        <w:ind w:left="120" w:right="120" w:firstLine="644"/>
        <w:spacing w:after="0" w:line="259" w:lineRule="auto"/>
        <w:tabs>
          <w:tab w:leader="none" w:pos="1437"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The Borrower or any other Significant Restricted Person becomes unable or admits in writing its 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186" w:lineRule="exact"/>
        <w:rPr>
          <w:rFonts w:ascii="Arial" w:cs="Arial" w:eastAsia="Arial" w:hAnsi="Arial"/>
          <w:sz w:val="18"/>
          <w:szCs w:val="18"/>
          <w:color w:val="auto"/>
        </w:rPr>
      </w:pPr>
    </w:p>
    <w:p>
      <w:pPr>
        <w:jc w:val="both"/>
        <w:ind w:left="120" w:right="60" w:firstLine="644"/>
        <w:spacing w:after="0" w:line="288" w:lineRule="auto"/>
        <w:tabs>
          <w:tab w:leader="none" w:pos="1424"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any Significant Restricted Person a final judgment for the payment of money in an aggregate amount (as to all such judgments or orders) which exceeds $50,000,000 (to the extent not covered by independent third-party insurance as to which such insurer has not disputed coverage, or self-insurance reasonably acceptable to the Administrative Agent) at any one time outstanding and prior to the discharge thereof,</w:t>
      </w:r>
    </w:p>
    <w:p>
      <w:pPr>
        <w:ind w:left="120" w:right="160" w:hanging="4"/>
        <w:spacing w:after="0" w:line="323"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enforcement proceedings are lawfully commenced by any creditor upon such judgment, or (ii) there is a period of 30 consecutive days after the entry of such judgment during which a discharge, stay of enforcement of such judgment, by reason of a pending appeal or otherwise, is not in effect; or</w:t>
      </w:r>
    </w:p>
    <w:p>
      <w:pPr>
        <w:spacing w:after="0" w:line="138" w:lineRule="exact"/>
        <w:rPr>
          <w:rFonts w:ascii="Arial" w:cs="Arial" w:eastAsia="Arial" w:hAnsi="Arial"/>
          <w:sz w:val="16"/>
          <w:szCs w:val="16"/>
          <w:color w:val="auto"/>
        </w:rPr>
      </w:pPr>
    </w:p>
    <w:p>
      <w:pPr>
        <w:ind w:left="120" w:right="120" w:firstLine="644"/>
        <w:spacing w:after="0" w:line="257" w:lineRule="auto"/>
        <w:tabs>
          <w:tab w:leader="none" w:pos="1438"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ectPr>
          <w:pgSz w:w="11900" w:h="16911" w:orient="portrait"/>
          <w:cols w:equalWidth="0" w:num="1">
            <w:col w:w="11420"/>
          </w:cols>
          <w:pgMar w:left="240" w:top="125" w:right="239" w:bottom="0" w:gutter="0" w:footer="0" w:header="0"/>
        </w:sectPr>
      </w:pPr>
    </w:p>
    <w:bookmarkStart w:id="36" w:name="page37"/>
    <w:bookmarkEnd w:id="36"/>
    <w:p>
      <w:pPr>
        <w:ind w:right="40" w:firstLine="656"/>
        <w:spacing w:after="0" w:line="259" w:lineRule="auto"/>
        <w:tabs>
          <w:tab w:leader="none" w:pos="130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thereunder or satisfaction in full of all the payment Obligations, ceases to be in full force and effect; or the Borrower contests in any manner the validity or enforceability of any Loan Document; or the Borrower denies that it has any or further liability or obligation under any Loan Document, or purports to revoke, terminate or rescind any Loan Document; or</w:t>
      </w:r>
    </w:p>
    <w:p>
      <w:pPr>
        <w:spacing w:after="0" w:line="186" w:lineRule="exact"/>
        <w:rPr>
          <w:rFonts w:ascii="Arial" w:cs="Arial" w:eastAsia="Arial" w:hAnsi="Arial"/>
          <w:sz w:val="18"/>
          <w:szCs w:val="18"/>
          <w:color w:val="auto"/>
        </w:rPr>
      </w:pPr>
    </w:p>
    <w:p>
      <w:pPr>
        <w:ind w:left="1420" w:hanging="656"/>
        <w:spacing w:after="0"/>
        <w:tabs>
          <w:tab w:leader="none" w:pos="142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221" w:lineRule="exact"/>
        <w:rPr>
          <w:sz w:val="20"/>
          <w:szCs w:val="20"/>
          <w:color w:val="auto"/>
        </w:rPr>
      </w:pPr>
    </w:p>
    <w:p>
      <w:pPr>
        <w:ind w:firstLine="869"/>
        <w:spacing w:after="0" w:line="282" w:lineRule="auto"/>
        <w:rPr>
          <w:sz w:val="20"/>
          <w:szCs w:val="20"/>
          <w:color w:val="auto"/>
        </w:rPr>
      </w:pPr>
      <w:r>
        <w:rPr>
          <w:rFonts w:ascii="Arial" w:cs="Arial" w:eastAsia="Arial" w:hAnsi="Arial"/>
          <w:sz w:val="18"/>
          <w:szCs w:val="18"/>
          <w:b w:val="1"/>
          <w:bCs w:val="1"/>
          <w:color w:val="auto"/>
        </w:rPr>
        <w:t>8.02 Remedies Upon Event of Default</w:t>
      </w:r>
      <w:r>
        <w:rPr>
          <w:rFonts w:ascii="Arial" w:cs="Arial" w:eastAsia="Arial" w:hAnsi="Arial"/>
          <w:sz w:val="18"/>
          <w:szCs w:val="18"/>
          <w:color w:val="auto"/>
        </w:rPr>
        <w:t>. If any Event of Default occurs and is continuing, the Administrative Agent shall, at the request of, or</w:t>
      </w:r>
      <w:r>
        <w:rPr>
          <w:rFonts w:ascii="Arial" w:cs="Arial" w:eastAsia="Arial" w:hAnsi="Arial"/>
          <w:sz w:val="18"/>
          <w:szCs w:val="18"/>
          <w:b w:val="1"/>
          <w:bCs w:val="1"/>
          <w:color w:val="auto"/>
        </w:rPr>
        <w:t xml:space="preserve"> </w:t>
      </w:r>
      <w:r>
        <w:rPr>
          <w:rFonts w:ascii="Arial" w:cs="Arial" w:eastAsia="Arial" w:hAnsi="Arial"/>
          <w:sz w:val="18"/>
          <w:szCs w:val="18"/>
          <w:color w:val="auto"/>
        </w:rPr>
        <w:t>may, with the consent of, the Required Lenders, take any or all of the following actions:</w:t>
      </w:r>
    </w:p>
    <w:p>
      <w:pPr>
        <w:spacing w:after="0" w:line="166" w:lineRule="exact"/>
        <w:rPr>
          <w:sz w:val="20"/>
          <w:szCs w:val="20"/>
          <w:color w:val="auto"/>
        </w:rPr>
      </w:pPr>
    </w:p>
    <w:p>
      <w:pPr>
        <w:ind w:left="120" w:right="40" w:firstLine="644"/>
        <w:spacing w:after="0" w:line="277" w:lineRule="auto"/>
        <w:tabs>
          <w:tab w:leader="none" w:pos="1414"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to be terminated or suspended (as the case may be), whereupon such commitments and obligation shall be terminated or suspended (as the case may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 w:firstLine="644"/>
        <w:spacing w:after="0" w:line="264" w:lineRule="auto"/>
        <w:tabs>
          <w:tab w:leader="none" w:pos="1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81" w:lineRule="exact"/>
        <w:rPr>
          <w:rFonts w:ascii="Arial" w:cs="Arial" w:eastAsia="Arial" w:hAnsi="Arial"/>
          <w:sz w:val="18"/>
          <w:szCs w:val="18"/>
          <w:color w:val="auto"/>
        </w:rPr>
      </w:pPr>
    </w:p>
    <w:p>
      <w:pPr>
        <w:ind w:left="1420" w:hanging="656"/>
        <w:spacing w:after="0"/>
        <w:tabs>
          <w:tab w:leader="none" w:pos="1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exercise on behalf of itself and the Lenders all rights and remedies available to it and the Lenders under the Loan Documents;</w:t>
      </w:r>
    </w:p>
    <w:p>
      <w:pPr>
        <w:spacing w:after="0" w:line="23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that have accrued and are owing as aforesaid shall automatically become due and payable, in each case without further act of the Administrative Agent or any Lender.</w:t>
      </w:r>
    </w:p>
    <w:p>
      <w:pPr>
        <w:spacing w:after="0" w:line="183" w:lineRule="exact"/>
        <w:rPr>
          <w:sz w:val="20"/>
          <w:szCs w:val="20"/>
          <w:color w:val="auto"/>
        </w:rPr>
      </w:pPr>
    </w:p>
    <w:p>
      <w:pPr>
        <w:ind w:right="180" w:firstLine="869"/>
        <w:spacing w:after="0" w:line="266" w:lineRule="auto"/>
        <w:rPr>
          <w:sz w:val="20"/>
          <w:szCs w:val="20"/>
          <w:color w:val="auto"/>
        </w:rPr>
      </w:pPr>
      <w:r>
        <w:rPr>
          <w:rFonts w:ascii="Arial" w:cs="Arial" w:eastAsia="Arial" w:hAnsi="Arial"/>
          <w:sz w:val="18"/>
          <w:szCs w:val="18"/>
          <w:b w:val="1"/>
          <w:bCs w:val="1"/>
          <w:color w:val="auto"/>
        </w:rPr>
        <w:t>8.03 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due and payable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 2.12</w:t>
      </w:r>
      <w:r>
        <w:rPr>
          <w:rFonts w:ascii="Arial" w:cs="Arial" w:eastAsia="Arial" w:hAnsi="Arial"/>
          <w:sz w:val="18"/>
          <w:szCs w:val="18"/>
          <w:color w:val="auto"/>
        </w:rPr>
        <w:t>, be applied by the Administrative Agent in the following order:</w:t>
      </w:r>
    </w:p>
    <w:p>
      <w:pPr>
        <w:spacing w:after="0" w:line="180"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(including fees and time charges for attorneys who may be employees of any Lender)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interest on the Loans and other Obligations, ratably among the Lenders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ratably among the Lenders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payment Obligations have been indefeasibly paid in full, to the Borrower or as otherwise required by Law.</w:t>
      </w:r>
    </w:p>
    <w:p>
      <w:pPr>
        <w:spacing w:after="0" w:line="244"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8"/>
          <w:szCs w:val="18"/>
          <w:b w:val="1"/>
          <w:bCs w:val="1"/>
          <w:color w:val="auto"/>
        </w:rPr>
        <w:t>ARTICLE IX.</w:t>
        <w:tab/>
        <w:t>ADMINISTRATIVE AGENT</w:t>
      </w:r>
    </w:p>
    <w:p>
      <w:pPr>
        <w:spacing w:after="0" w:line="225" w:lineRule="exact"/>
        <w:rPr>
          <w:sz w:val="20"/>
          <w:szCs w:val="20"/>
          <w:color w:val="auto"/>
        </w:rPr>
      </w:pPr>
    </w:p>
    <w:p>
      <w:pPr>
        <w:ind w:right="1000" w:firstLine="869"/>
        <w:spacing w:after="0" w:line="347" w:lineRule="auto"/>
        <w:rPr>
          <w:sz w:val="20"/>
          <w:szCs w:val="20"/>
          <w:color w:val="auto"/>
        </w:rPr>
      </w:pPr>
      <w:r>
        <w:rPr>
          <w:rFonts w:ascii="Arial" w:cs="Arial" w:eastAsia="Arial" w:hAnsi="Arial"/>
          <w:sz w:val="16"/>
          <w:szCs w:val="16"/>
          <w:b w:val="1"/>
          <w:bCs w:val="1"/>
          <w:color w:val="auto"/>
        </w:rPr>
        <w:t>9.01 Appointment and Authority</w:t>
      </w:r>
      <w:r>
        <w:rPr>
          <w:rFonts w:ascii="Arial" w:cs="Arial" w:eastAsia="Arial" w:hAnsi="Arial"/>
          <w:sz w:val="16"/>
          <w:szCs w:val="16"/>
          <w:color w:val="auto"/>
        </w:rPr>
        <w:t>. Each of the Lenders hereby irrevocably appoints Bank of America to act on its behalf as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hereunder and under the other Loan Documents and authorizes the Administrative Agent to take such actions on its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rights as a third party beneficiary of any of such provisions (other than the right to reasonably approve a successor Administrative Agent pursuant to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183" w:lineRule="exact"/>
        <w:rPr>
          <w:sz w:val="20"/>
          <w:szCs w:val="20"/>
          <w:color w:val="auto"/>
        </w:rPr>
      </w:pPr>
    </w:p>
    <w:p>
      <w:pPr>
        <w:ind w:right="80" w:firstLine="869"/>
        <w:spacing w:after="0" w:line="256" w:lineRule="auto"/>
        <w:rPr>
          <w:sz w:val="20"/>
          <w:szCs w:val="20"/>
          <w:color w:val="auto"/>
        </w:rPr>
      </w:pPr>
      <w:r>
        <w:rPr>
          <w:rFonts w:ascii="Arial" w:cs="Arial" w:eastAsia="Arial" w:hAnsi="Arial"/>
          <w:sz w:val="18"/>
          <w:szCs w:val="18"/>
          <w:b w:val="1"/>
          <w:bCs w:val="1"/>
          <w:color w:val="auto"/>
        </w:rPr>
        <w:t>9.02 Rights as a Lender</w:t>
      </w:r>
      <w:r>
        <w:rPr>
          <w:rFonts w:ascii="Arial" w:cs="Arial" w:eastAsia="Arial" w:hAnsi="Arial"/>
          <w:sz w:val="18"/>
          <w:szCs w:val="18"/>
          <w:color w:val="auto"/>
        </w:rPr>
        <w:t>. The Person serving as the Administrative Agent hereunder shall have the same rights and powers in its capacity as</w:t>
      </w:r>
      <w:r>
        <w:rPr>
          <w:rFonts w:ascii="Arial" w:cs="Arial" w:eastAsia="Arial" w:hAnsi="Arial"/>
          <w:sz w:val="18"/>
          <w:szCs w:val="18"/>
          <w:b w:val="1"/>
          <w:bCs w:val="1"/>
          <w:color w:val="auto"/>
        </w:rPr>
        <w:t xml:space="preserve"> </w:t>
      </w:r>
      <w:r>
        <w:rPr>
          <w:rFonts w:ascii="Arial" w:cs="Arial" w:eastAsia="Arial" w:hAnsi="Arial"/>
          <w:sz w:val="18"/>
          <w:szCs w:val="18"/>
          <w:color w:val="auto"/>
        </w:rPr>
        <w:t>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8" w:lineRule="exact"/>
        <w:rPr>
          <w:sz w:val="20"/>
          <w:szCs w:val="20"/>
          <w:color w:val="auto"/>
        </w:rPr>
      </w:pPr>
    </w:p>
    <w:p>
      <w:pPr>
        <w:ind w:right="120" w:firstLine="869"/>
        <w:spacing w:after="0" w:line="282" w:lineRule="auto"/>
        <w:rPr>
          <w:sz w:val="20"/>
          <w:szCs w:val="20"/>
          <w:color w:val="auto"/>
        </w:rPr>
      </w:pPr>
      <w:r>
        <w:rPr>
          <w:rFonts w:ascii="Arial" w:cs="Arial" w:eastAsia="Arial" w:hAnsi="Arial"/>
          <w:sz w:val="18"/>
          <w:szCs w:val="18"/>
          <w:b w:val="1"/>
          <w:bCs w:val="1"/>
          <w:color w:val="auto"/>
        </w:rPr>
        <w:t>9.03 Exculpatory Provisions</w:t>
      </w:r>
      <w:r>
        <w:rPr>
          <w:rFonts w:ascii="Arial" w:cs="Arial" w:eastAsia="Arial" w:hAnsi="Arial"/>
          <w:sz w:val="18"/>
          <w:szCs w:val="18"/>
          <w:color w:val="auto"/>
        </w:rPr>
        <w:t>. The Administrative Agent shall not have any duties or obligations except those expressly set forth 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other Loan Documents. Without limiting the generality of the foregoing, the Administrative Agent:</w:t>
      </w:r>
    </w:p>
    <w:p>
      <w:pPr>
        <w:spacing w:after="0" w:line="166" w:lineRule="exact"/>
        <w:rPr>
          <w:sz w:val="20"/>
          <w:szCs w:val="20"/>
          <w:color w:val="auto"/>
        </w:rPr>
      </w:pPr>
    </w:p>
    <w:p>
      <w:pPr>
        <w:ind w:left="1940" w:hanging="635"/>
        <w:spacing w:after="0"/>
        <w:tabs>
          <w:tab w:leader="none" w:pos="19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ectPr>
          <w:pgSz w:w="11900" w:h="16838" w:orient="portrait"/>
          <w:cols w:equalWidth="0" w:num="1">
            <w:col w:w="11420"/>
          </w:cols>
          <w:pgMar w:left="240" w:top="341" w:right="239" w:bottom="44" w:gutter="0" w:footer="0" w:header="0"/>
        </w:sectPr>
      </w:pPr>
    </w:p>
    <w:bookmarkStart w:id="37" w:name="page38"/>
    <w:bookmarkEnd w:id="37"/>
    <w:p>
      <w:pPr>
        <w:spacing w:after="0" w:line="141" w:lineRule="exact"/>
        <w:rPr>
          <w:sz w:val="20"/>
          <w:szCs w:val="20"/>
          <w:color w:val="auto"/>
        </w:rPr>
      </w:pPr>
    </w:p>
    <w:p>
      <w:pPr>
        <w:ind w:left="660" w:right="200" w:firstLine="645"/>
        <w:spacing w:after="0" w:line="276" w:lineRule="auto"/>
        <w:tabs>
          <w:tab w:leader="none" w:pos="196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72" w:lineRule="exact"/>
        <w:rPr>
          <w:rFonts w:ascii="Arial" w:cs="Arial" w:eastAsia="Arial" w:hAnsi="Arial"/>
          <w:sz w:val="17"/>
          <w:szCs w:val="17"/>
          <w:color w:val="auto"/>
        </w:rPr>
      </w:pPr>
    </w:p>
    <w:p>
      <w:pPr>
        <w:ind w:left="660" w:right="80" w:firstLine="645"/>
        <w:spacing w:after="0" w:line="264" w:lineRule="auto"/>
        <w:tabs>
          <w:tab w:leader="none" w:pos="196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Borrower or a Lender.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4" w:lineRule="exact"/>
        <w:rPr>
          <w:sz w:val="20"/>
          <w:szCs w:val="20"/>
          <w:color w:val="auto"/>
        </w:rPr>
      </w:pPr>
    </w:p>
    <w:p>
      <w:pPr>
        <w:ind w:right="20" w:firstLine="869"/>
        <w:spacing w:after="0" w:line="271" w:lineRule="auto"/>
        <w:rPr>
          <w:sz w:val="20"/>
          <w:szCs w:val="20"/>
          <w:color w:val="auto"/>
        </w:rPr>
      </w:pPr>
      <w:r>
        <w:rPr>
          <w:rFonts w:ascii="Arial" w:cs="Arial" w:eastAsia="Arial" w:hAnsi="Arial"/>
          <w:sz w:val="17"/>
          <w:szCs w:val="17"/>
          <w:b w:val="1"/>
          <w:bCs w:val="1"/>
          <w:color w:val="auto"/>
        </w:rPr>
        <w:t>9.04 Reliance by Administrative Agent</w:t>
      </w:r>
      <w:r>
        <w:rPr>
          <w:rFonts w:ascii="Arial" w:cs="Arial" w:eastAsia="Arial" w:hAnsi="Arial"/>
          <w:sz w:val="17"/>
          <w:szCs w:val="17"/>
          <w:color w:val="auto"/>
        </w:rPr>
        <w:t>. The Administrative Agent shall be entitled to rely upon, and shall not incur any liability for relying</w:t>
      </w:r>
      <w:r>
        <w:rPr>
          <w:rFonts w:ascii="Arial" w:cs="Arial" w:eastAsia="Arial" w:hAnsi="Arial"/>
          <w:sz w:val="17"/>
          <w:szCs w:val="17"/>
          <w:b w:val="1"/>
          <w:bCs w:val="1"/>
          <w:color w:val="auto"/>
        </w:rPr>
        <w:t xml:space="preserve"> </w:t>
      </w:r>
      <w:r>
        <w:rPr>
          <w:rFonts w:ascii="Arial" w:cs="Arial" w:eastAsia="Arial" w:hAnsi="Arial"/>
          <w:sz w:val="17"/>
          <w:szCs w:val="17"/>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4" w:lineRule="exact"/>
        <w:rPr>
          <w:sz w:val="20"/>
          <w:szCs w:val="20"/>
          <w:color w:val="auto"/>
        </w:rPr>
      </w:pPr>
    </w:p>
    <w:p>
      <w:pPr>
        <w:ind w:right="120" w:firstLine="869"/>
        <w:spacing w:after="0" w:line="298" w:lineRule="auto"/>
        <w:rPr>
          <w:sz w:val="20"/>
          <w:szCs w:val="20"/>
          <w:color w:val="auto"/>
        </w:rPr>
      </w:pPr>
      <w:r>
        <w:rPr>
          <w:rFonts w:ascii="Arial" w:cs="Arial" w:eastAsia="Arial" w:hAnsi="Arial"/>
          <w:sz w:val="16"/>
          <w:szCs w:val="16"/>
          <w:b w:val="1"/>
          <w:bCs w:val="1"/>
          <w:color w:val="auto"/>
        </w:rPr>
        <w:t>9.05 Delegation of Duties</w:t>
      </w:r>
      <w:r>
        <w:rPr>
          <w:rFonts w:ascii="Arial" w:cs="Arial" w:eastAsia="Arial" w:hAnsi="Arial"/>
          <w:sz w:val="16"/>
          <w:szCs w:val="16"/>
          <w:color w:val="auto"/>
        </w:rPr>
        <w:t>. The Administrative Agent may perform any and all of its duties and exercise its rights and powers 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54" w:lineRule="exact"/>
        <w:rPr>
          <w:sz w:val="20"/>
          <w:szCs w:val="20"/>
          <w:color w:val="auto"/>
        </w:rPr>
      </w:pPr>
    </w:p>
    <w:p>
      <w:pPr>
        <w:ind w:right="60" w:firstLine="869"/>
        <w:spacing w:after="0" w:line="273" w:lineRule="auto"/>
        <w:rPr>
          <w:sz w:val="20"/>
          <w:szCs w:val="20"/>
          <w:color w:val="auto"/>
        </w:rPr>
      </w:pPr>
      <w:r>
        <w:rPr>
          <w:rFonts w:ascii="Arial" w:cs="Arial" w:eastAsia="Arial" w:hAnsi="Arial"/>
          <w:sz w:val="17"/>
          <w:szCs w:val="17"/>
          <w:b w:val="1"/>
          <w:bCs w:val="1"/>
          <w:color w:val="auto"/>
        </w:rPr>
        <w:t>9.06 Resignation or Removal of Administrative Agent</w:t>
      </w:r>
      <w:r>
        <w:rPr>
          <w:rFonts w:ascii="Arial" w:cs="Arial" w:eastAsia="Arial" w:hAnsi="Arial"/>
          <w:sz w:val="17"/>
          <w:szCs w:val="17"/>
          <w:color w:val="auto"/>
        </w:rPr>
        <w:t>. The Administrative Agent may at any time give notice of its resignation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and the Borrower, which notice 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Borrower and such Person, remove such Person as Administrative Agent. Upon receipt of any such notice of resignation or issuance of notice of removal, the Required Lenders shall have the right to appoint a successor (subject to consultation with the Borrower, unless an Event of Default has occurred and is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the Required Lenders issue such notice of removal, then the retiring or removed Administrative Agent may on behalf of the Lenders, appoint a successor Administrative Agent meeting the qualifications set forth above (subject to consultation with the Borrower, unless an Event of Default has occurred and is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or removal hereunder and under the other Loan Documents, the provisions of this Article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69" w:lineRule="exact"/>
        <w:rPr>
          <w:sz w:val="20"/>
          <w:szCs w:val="20"/>
          <w:color w:val="auto"/>
        </w:rPr>
      </w:pPr>
    </w:p>
    <w:p>
      <w:pPr>
        <w:ind w:right="280" w:firstLine="869"/>
        <w:spacing w:after="0" w:line="347" w:lineRule="auto"/>
        <w:rPr>
          <w:sz w:val="20"/>
          <w:szCs w:val="20"/>
          <w:color w:val="auto"/>
        </w:rPr>
      </w:pPr>
      <w:r>
        <w:rPr>
          <w:rFonts w:ascii="Arial" w:cs="Arial" w:eastAsia="Arial" w:hAnsi="Arial"/>
          <w:sz w:val="16"/>
          <w:szCs w:val="16"/>
          <w:b w:val="1"/>
          <w:bCs w:val="1"/>
          <w:color w:val="auto"/>
        </w:rPr>
        <w:t>9.07 Non-Reliance on Administrative Agent and Other Lenders</w:t>
      </w:r>
      <w:r>
        <w:rPr>
          <w:rFonts w:ascii="Arial" w:cs="Arial" w:eastAsia="Arial" w:hAnsi="Arial"/>
          <w:sz w:val="16"/>
          <w:szCs w:val="16"/>
          <w:color w:val="auto"/>
        </w:rPr>
        <w:t>. Each Lender acknowledges that it has, independently and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reliance upon the Administrative Agent or any other Lender or any of their Related Parties and based on such documents and information as it has deemed</w:t>
      </w:r>
    </w:p>
    <w:p>
      <w:pPr>
        <w:sectPr>
          <w:pgSz w:w="11900" w:h="16979" w:orient="portrait"/>
          <w:cols w:equalWidth="0" w:num="1">
            <w:col w:w="11420"/>
          </w:cols>
          <w:pgMar w:left="240" w:top="125" w:right="239" w:bottom="0" w:gutter="0" w:footer="0" w:header="0"/>
        </w:sectPr>
      </w:pPr>
    </w:p>
    <w:bookmarkStart w:id="38" w:name="page39"/>
    <w:bookmarkEnd w:id="38"/>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3" w:lineRule="exact"/>
        <w:rPr>
          <w:sz w:val="20"/>
          <w:szCs w:val="20"/>
          <w:color w:val="auto"/>
        </w:rPr>
      </w:pPr>
    </w:p>
    <w:p>
      <w:pPr>
        <w:ind w:right="40" w:firstLine="869"/>
        <w:spacing w:after="0" w:line="266" w:lineRule="auto"/>
        <w:rPr>
          <w:sz w:val="20"/>
          <w:szCs w:val="20"/>
          <w:color w:val="auto"/>
        </w:rPr>
      </w:pPr>
      <w:r>
        <w:rPr>
          <w:rFonts w:ascii="Arial" w:cs="Arial" w:eastAsia="Arial" w:hAnsi="Arial"/>
          <w:sz w:val="18"/>
          <w:szCs w:val="18"/>
          <w:b w:val="1"/>
          <w:bCs w:val="1"/>
          <w:color w:val="auto"/>
        </w:rPr>
        <w:t>9.08 No Other Duties, Etc</w:t>
      </w:r>
      <w:r>
        <w:rPr>
          <w:rFonts w:ascii="Arial" w:cs="Arial" w:eastAsia="Arial" w:hAnsi="Arial"/>
          <w:sz w:val="18"/>
          <w:szCs w:val="18"/>
          <w:color w:val="auto"/>
        </w:rPr>
        <w:t>. Anything herein to the contrary notwithstanding, none of the Bookrunners, Arrangers, Co-Syndication Agents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Co-Documentation Agents listed on the cover page hereof shall have any powers, duties or responsibilities under this Agreement or any of the other Loan Documents, except in its capacity, as applicable, as the Administrative Agent or a Lender hereunder.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869"/>
        <w:spacing w:after="0" w:line="261" w:lineRule="auto"/>
        <w:rPr>
          <w:sz w:val="20"/>
          <w:szCs w:val="20"/>
          <w:color w:val="auto"/>
        </w:rPr>
      </w:pPr>
      <w:r>
        <w:rPr>
          <w:rFonts w:ascii="Arial" w:cs="Arial" w:eastAsia="Arial" w:hAnsi="Arial"/>
          <w:sz w:val="18"/>
          <w:szCs w:val="18"/>
          <w:b w:val="1"/>
          <w:bCs w:val="1"/>
          <w:color w:val="auto"/>
        </w:rPr>
        <w:t>9.09 Administrative Agent May File Proofs of Claim</w:t>
      </w:r>
      <w:r>
        <w:rPr>
          <w:rFonts w:ascii="Arial" w:cs="Arial" w:eastAsia="Arial" w:hAnsi="Arial"/>
          <w:sz w:val="18"/>
          <w:szCs w:val="18"/>
          <w:color w:val="auto"/>
        </w:rPr>
        <w:t>. In case of the pendency of any proceeding under any Debtor Relief Law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4" w:lineRule="exact"/>
        <w:rPr>
          <w:sz w:val="20"/>
          <w:szCs w:val="20"/>
          <w:color w:val="auto"/>
        </w:rPr>
      </w:pPr>
    </w:p>
    <w:p>
      <w:pPr>
        <w:ind w:left="660" w:right="140" w:firstLine="645"/>
        <w:spacing w:after="0" w:line="257" w:lineRule="auto"/>
        <w:tabs>
          <w:tab w:leader="none" w:pos="195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allowed in such judicial proceeding; and</w:t>
      </w:r>
    </w:p>
    <w:p>
      <w:pPr>
        <w:spacing w:after="0" w:line="188" w:lineRule="exact"/>
        <w:rPr>
          <w:rFonts w:ascii="Arial" w:cs="Arial" w:eastAsia="Arial" w:hAnsi="Arial"/>
          <w:sz w:val="18"/>
          <w:szCs w:val="18"/>
          <w:color w:val="auto"/>
        </w:rPr>
      </w:pPr>
    </w:p>
    <w:p>
      <w:pPr>
        <w:ind w:left="660" w:right="640" w:firstLine="645"/>
        <w:spacing w:after="0" w:line="277" w:lineRule="auto"/>
        <w:tabs>
          <w:tab w:leader="none" w:pos="19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to collect and receive any monies or other property payable or deliverable on any such claims and to distribute the same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7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in each case,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88"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77" w:lineRule="exact"/>
        <w:rPr>
          <w:sz w:val="20"/>
          <w:szCs w:val="20"/>
          <w:color w:val="auto"/>
        </w:rPr>
      </w:pPr>
    </w:p>
    <w:p>
      <w:pPr>
        <w:ind w:firstLine="869"/>
        <w:spacing w:after="0" w:line="274" w:lineRule="auto"/>
        <w:rPr>
          <w:sz w:val="20"/>
          <w:szCs w:val="20"/>
          <w:color w:val="auto"/>
        </w:rPr>
      </w:pPr>
      <w:r>
        <w:rPr>
          <w:rFonts w:ascii="Arial" w:cs="Arial" w:eastAsia="Arial" w:hAnsi="Arial"/>
          <w:sz w:val="17"/>
          <w:szCs w:val="17"/>
          <w:b w:val="1"/>
          <w:bCs w:val="1"/>
          <w:color w:val="auto"/>
        </w:rPr>
        <w:t>9.10 Collateral Matters</w:t>
      </w:r>
      <w:r>
        <w:rPr>
          <w:rFonts w:ascii="Arial" w:cs="Arial" w:eastAsia="Arial" w:hAnsi="Arial"/>
          <w:sz w:val="17"/>
          <w:szCs w:val="17"/>
          <w:color w:val="auto"/>
        </w:rPr>
        <w:t>. The Lenders irrevocably authorize the Administrative Agent, at its option and in its discretion, to release any Lien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any property granted to or held by the Administrative Agent under any Loan Document (i) upon termination of the Aggregate Commitments and payment in full of all payment Obligations (other than contingent indemnification obligations), (ii) that is sold or to be sold as part of or in connection with any sale not prohibited hereunder or under any other Loan Document, or (iii) subject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MISCELLANEOUS</w:t>
      </w:r>
    </w:p>
    <w:p>
      <w:pPr>
        <w:spacing w:after="0" w:line="225" w:lineRule="exact"/>
        <w:rPr>
          <w:sz w:val="20"/>
          <w:szCs w:val="20"/>
          <w:color w:val="auto"/>
        </w:rPr>
      </w:pPr>
    </w:p>
    <w:p>
      <w:pPr>
        <w:ind w:right="80" w:firstLine="869"/>
        <w:spacing w:after="0" w:line="261" w:lineRule="auto"/>
        <w:rPr>
          <w:sz w:val="20"/>
          <w:szCs w:val="20"/>
          <w:color w:val="auto"/>
        </w:rPr>
      </w:pPr>
      <w:r>
        <w:rPr>
          <w:rFonts w:ascii="Arial" w:cs="Arial" w:eastAsia="Arial" w:hAnsi="Arial"/>
          <w:sz w:val="18"/>
          <w:szCs w:val="18"/>
          <w:b w:val="1"/>
          <w:bCs w:val="1"/>
          <w:color w:val="auto"/>
        </w:rPr>
        <w:t>10.01 Amendments, Etc</w:t>
      </w:r>
      <w:r>
        <w:rPr>
          <w:rFonts w:ascii="Arial" w:cs="Arial" w:eastAsia="Arial" w:hAnsi="Arial"/>
          <w:sz w:val="18"/>
          <w:szCs w:val="18"/>
          <w:color w:val="auto"/>
        </w:rPr>
        <w:t>. No amendment or waiver of any provision of this Agreement or any other Loan Document, and no consent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184" w:lineRule="exact"/>
        <w:rPr>
          <w:sz w:val="20"/>
          <w:szCs w:val="20"/>
          <w:color w:val="auto"/>
        </w:rPr>
      </w:pPr>
    </w:p>
    <w:p>
      <w:pPr>
        <w:ind w:left="1400" w:hanging="636"/>
        <w:spacing w:after="0"/>
        <w:tabs>
          <w:tab w:leader="none" w:pos="1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225" w:lineRule="exact"/>
        <w:rPr>
          <w:rFonts w:ascii="Arial" w:cs="Arial" w:eastAsia="Arial" w:hAnsi="Arial"/>
          <w:sz w:val="18"/>
          <w:szCs w:val="18"/>
          <w:color w:val="auto"/>
        </w:rPr>
      </w:pPr>
    </w:p>
    <w:p>
      <w:pPr>
        <w:ind w:left="120" w:right="80" w:firstLine="644"/>
        <w:spacing w:after="0" w:line="277" w:lineRule="auto"/>
        <w:tabs>
          <w:tab w:leader="none" w:pos="1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left="120" w:right="260" w:firstLine="644"/>
        <w:spacing w:after="0" w:line="264" w:lineRule="auto"/>
        <w:tabs>
          <w:tab w:leader="none" w:pos="142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81" w:lineRule="exact"/>
        <w:rPr>
          <w:rFonts w:ascii="Arial" w:cs="Arial" w:eastAsia="Arial" w:hAnsi="Arial"/>
          <w:sz w:val="18"/>
          <w:szCs w:val="18"/>
          <w:color w:val="auto"/>
        </w:rPr>
      </w:pPr>
    </w:p>
    <w:p>
      <w:pPr>
        <w:ind w:left="1420" w:hanging="656"/>
        <w:spacing w:after="0"/>
        <w:tabs>
          <w:tab w:leader="none" w:pos="14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reduce the principal of, or the rate of interest specified herein on, any Loan, or (subject to clause (ii) of the second proviso to this</w:t>
      </w:r>
    </w:p>
    <w:p>
      <w:pPr>
        <w:spacing w:after="0" w:line="35"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any fees or other amounts payable hereunder or under any other Loan Document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(i) to amend the definition of “Default Rate” or to waive any obligation of the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to reduce any fee payable hereunder;</w:t>
      </w:r>
    </w:p>
    <w:p>
      <w:pPr>
        <w:spacing w:after="0" w:line="179" w:lineRule="exact"/>
        <w:rPr>
          <w:sz w:val="20"/>
          <w:szCs w:val="20"/>
          <w:color w:val="auto"/>
        </w:rPr>
      </w:pPr>
    </w:p>
    <w:p>
      <w:pPr>
        <w:ind w:left="120" w:right="320" w:firstLine="644"/>
        <w:spacing w:after="0" w:line="277" w:lineRule="auto"/>
        <w:tabs>
          <w:tab w:leader="none" w:pos="14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 or</w:t>
      </w:r>
    </w:p>
    <w:p>
      <w:pPr>
        <w:spacing w:after="0" w:line="170" w:lineRule="exact"/>
        <w:rPr>
          <w:rFonts w:ascii="Arial" w:cs="Arial" w:eastAsia="Arial" w:hAnsi="Arial"/>
          <w:sz w:val="18"/>
          <w:szCs w:val="18"/>
          <w:color w:val="auto"/>
        </w:rPr>
      </w:pPr>
    </w:p>
    <w:p>
      <w:pPr>
        <w:jc w:val="both"/>
        <w:ind w:left="120" w:right="500" w:firstLine="644"/>
        <w:spacing w:after="0" w:line="342" w:lineRule="auto"/>
        <w:tabs>
          <w:tab w:leader="none" w:pos="142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w:t>
      </w:r>
    </w:p>
    <w:p>
      <w:pPr>
        <w:sectPr>
          <w:pgSz w:w="11900" w:h="16975" w:orient="portrait"/>
          <w:cols w:equalWidth="0" w:num="1">
            <w:col w:w="11420"/>
          </w:cols>
          <w:pgMar w:left="240" w:top="125" w:right="239" w:bottom="0" w:gutter="0" w:footer="0" w:header="0"/>
        </w:sectPr>
      </w:pPr>
    </w:p>
    <w:bookmarkStart w:id="39" w:name="page40"/>
    <w:bookmarkEnd w:id="39"/>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without the written consent of each Lender.</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77"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6"/>
          <w:szCs w:val="16"/>
          <w:b w:val="1"/>
          <w:bCs w:val="1"/>
          <w:color w:val="auto"/>
        </w:rPr>
        <w:t>Notices; Effectiveness; Electronic Communication</w:t>
      </w:r>
      <w:r>
        <w:rPr>
          <w:rFonts w:ascii="Arial" w:cs="Arial" w:eastAsia="Arial" w:hAnsi="Arial"/>
          <w:sz w:val="16"/>
          <w:szCs w:val="16"/>
          <w:color w:val="auto"/>
        </w:rPr>
        <w:t>.</w:t>
      </w:r>
    </w:p>
    <w:p>
      <w:pPr>
        <w:spacing w:after="0" w:line="229" w:lineRule="exact"/>
        <w:rPr>
          <w:sz w:val="20"/>
          <w:szCs w:val="20"/>
          <w:color w:val="auto"/>
        </w:rPr>
      </w:pPr>
    </w:p>
    <w:p>
      <w:pPr>
        <w:ind w:left="120" w:right="120" w:firstLine="644"/>
        <w:spacing w:after="0" w:line="302" w:lineRule="auto"/>
        <w:tabs>
          <w:tab w:leader="none" w:pos="1414"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w:t>
      </w:r>
    </w:p>
    <w:p>
      <w:pPr>
        <w:spacing w:after="0" w:line="154" w:lineRule="exact"/>
        <w:rPr>
          <w:rFonts w:ascii="Arial" w:cs="Arial" w:eastAsia="Arial" w:hAnsi="Arial"/>
          <w:sz w:val="16"/>
          <w:szCs w:val="16"/>
          <w:color w:val="auto"/>
        </w:rPr>
      </w:pPr>
    </w:p>
    <w:p>
      <w:pPr>
        <w:ind w:left="660" w:right="320" w:firstLine="645"/>
        <w:spacing w:after="0" w:line="277" w:lineRule="auto"/>
        <w:tabs>
          <w:tab w:leader="none" w:pos="197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if to the Borrower or the Administrative Agent, to the address, telecopier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right="80" w:firstLine="645"/>
        <w:spacing w:after="0" w:line="276" w:lineRule="auto"/>
        <w:tabs>
          <w:tab w:leader="none" w:pos="1987"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left="120" w:right="180" w:firstLine="644"/>
        <w:spacing w:after="0" w:line="255" w:lineRule="auto"/>
        <w:tabs>
          <w:tab w:leader="none" w:pos="142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has notified the Administrative Agent and the Borrower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5" w:lineRule="exact"/>
        <w:rPr>
          <w:sz w:val="20"/>
          <w:szCs w:val="20"/>
          <w:color w:val="auto"/>
        </w:rPr>
      </w:pPr>
    </w:p>
    <w:p>
      <w:pPr>
        <w:ind w:left="120" w:firstLine="644"/>
        <w:spacing w:after="0" w:line="269" w:lineRule="auto"/>
        <w:tabs>
          <w:tab w:leader="none" w:pos="1427"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have resulted from such Agent Party’s gross negligence, willful misconduct or material breach of any of its obligations under any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179" w:lineRule="exact"/>
        <w:rPr>
          <w:rFonts w:ascii="Arial" w:cs="Arial" w:eastAsia="Arial" w:hAnsi="Arial"/>
          <w:sz w:val="17"/>
          <w:szCs w:val="17"/>
          <w:color w:val="auto"/>
        </w:rPr>
      </w:pPr>
    </w:p>
    <w:p>
      <w:pPr>
        <w:ind w:left="120" w:right="80" w:firstLine="644"/>
        <w:spacing w:after="0" w:line="293" w:lineRule="auto"/>
        <w:tabs>
          <w:tab w:leader="none" w:pos="1424"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The Borrower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w:t>
      </w:r>
    </w:p>
    <w:p>
      <w:pPr>
        <w:sectPr>
          <w:pgSz w:w="11900" w:h="16934" w:orient="portrait"/>
          <w:cols w:equalWidth="0" w:num="1">
            <w:col w:w="11400"/>
          </w:cols>
          <w:pgMar w:left="240" w:top="125" w:right="259" w:bottom="0" w:gutter="0" w:footer="0" w:header="0"/>
        </w:sectPr>
      </w:pPr>
    </w:p>
    <w:bookmarkStart w:id="40" w:name="page41"/>
    <w:bookmarkEnd w:id="40"/>
    <w:p>
      <w:pPr>
        <w:ind w:left="120" w:right="320"/>
        <w:spacing w:after="0" w:line="259" w:lineRule="auto"/>
        <w:rPr>
          <w:sz w:val="20"/>
          <w:szCs w:val="20"/>
          <w:color w:val="auto"/>
        </w:rPr>
      </w:pPr>
      <w:r>
        <w:rPr>
          <w:rFonts w:ascii="Arial" w:cs="Arial" w:eastAsia="Arial" w:hAnsi="Arial"/>
          <w:sz w:val="18"/>
          <w:szCs w:val="18"/>
          <w:color w:val="auto"/>
        </w:rPr>
        <w:t>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 to the Borrower or its Subsidiaries or their respective securities for purposes of United States Federal or state securities laws.</w:t>
      </w:r>
    </w:p>
    <w:p>
      <w:pPr>
        <w:spacing w:after="0" w:line="225" w:lineRule="exact"/>
        <w:rPr>
          <w:sz w:val="20"/>
          <w:szCs w:val="20"/>
          <w:color w:val="auto"/>
        </w:rPr>
      </w:pPr>
    </w:p>
    <w:p>
      <w:pPr>
        <w:ind w:left="120" w:right="100" w:firstLine="644"/>
        <w:spacing w:after="0" w:line="272" w:lineRule="auto"/>
        <w:tabs>
          <w:tab w:leader="none" w:pos="1427"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xml:space="preserve">. The Administrative Agent and the Lenders shall be entitled to rely and act upon any notices (including telephonic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as provided in </w:t>
      </w:r>
      <w:r>
        <w:rPr>
          <w:rFonts w:ascii="Arial" w:cs="Arial" w:eastAsia="Arial" w:hAnsi="Arial"/>
          <w:sz w:val="17"/>
          <w:szCs w:val="17"/>
          <w:u w:val="single" w:color="auto"/>
          <w:color w:val="auto"/>
        </w:rPr>
        <w:t>Section 10.04(b)</w:t>
      </w:r>
      <w:r>
        <w:rPr>
          <w:rFonts w:ascii="Arial" w:cs="Arial" w:eastAsia="Arial" w:hAnsi="Arial"/>
          <w:sz w:val="17"/>
          <w:szCs w:val="17"/>
          <w:color w:val="auto"/>
        </w:rPr>
        <w:t>. All telephone notices to and other telephonic communications with the Administrative Agent may be recorded by any person a party thereto, and each of the parties hereto consent to such recording.</w:t>
      </w:r>
    </w:p>
    <w:p>
      <w:pPr>
        <w:spacing w:after="0" w:line="174" w:lineRule="exact"/>
        <w:rPr>
          <w:sz w:val="20"/>
          <w:szCs w:val="20"/>
          <w:color w:val="auto"/>
        </w:rPr>
      </w:pPr>
    </w:p>
    <w:p>
      <w:pPr>
        <w:ind w:right="220" w:firstLine="869"/>
        <w:spacing w:after="0" w:line="258" w:lineRule="auto"/>
        <w:rPr>
          <w:sz w:val="20"/>
          <w:szCs w:val="20"/>
          <w:color w:val="auto"/>
        </w:rPr>
      </w:pPr>
      <w:r>
        <w:rPr>
          <w:rFonts w:ascii="Arial" w:cs="Arial" w:eastAsia="Arial" w:hAnsi="Arial"/>
          <w:sz w:val="18"/>
          <w:szCs w:val="18"/>
          <w:b w:val="1"/>
          <w:bCs w:val="1"/>
          <w:color w:val="auto"/>
        </w:rPr>
        <w:t>10.03 No Waiver; Cumulative Remedies; Enforcement; Nature of Obligations</w:t>
      </w:r>
      <w:r>
        <w:rPr>
          <w:rFonts w:ascii="Arial" w:cs="Arial" w:eastAsia="Arial" w:hAnsi="Arial"/>
          <w:sz w:val="18"/>
          <w:szCs w:val="18"/>
          <w:color w:val="auto"/>
        </w:rPr>
        <w:t>. No failure by any Lender or the Administrative Agent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(c) any Lender from filing proofs of claim or appearing and filing pleadings on its own behalf during the pendency of a proceeding relative to the Borrower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clauses (b) and (c) of the preceding proviso and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79"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10.04</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spacing w:after="0" w:line="229" w:lineRule="exact"/>
        <w:rPr>
          <w:sz w:val="20"/>
          <w:szCs w:val="20"/>
          <w:color w:val="auto"/>
        </w:rPr>
      </w:pPr>
    </w:p>
    <w:p>
      <w:pPr>
        <w:ind w:left="120" w:right="500" w:firstLine="644"/>
        <w:spacing w:after="0" w:line="264" w:lineRule="auto"/>
        <w:tabs>
          <w:tab w:leader="none" w:pos="141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out-of-pocket expenses incurred by the Administrative Agent and its Affiliates (including the reasonable fees, charges and disbursements of counsel for the Administrative Agent), in connection with the preparation, negotiation, execution, delivery and administration of this Agreement and the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 xml:space="preserve">Loan Documents or any amendments, modifications or waivers of the provisions hereof or thereof (whether or not the transactions contemplated hereby or thereby shall be consummated), and (ii) all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hereunder, including all such out-of-pocket expenses incurred during any workout, restructuring or negotiations in respect of such Loans, other than expenses of a Defaulting Lender proximately caused by conduct, acts or omissions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definition of “Defaulting Lender”.</w:t>
      </w:r>
    </w:p>
    <w:p>
      <w:pPr>
        <w:spacing w:after="0" w:line="165" w:lineRule="exact"/>
        <w:rPr>
          <w:sz w:val="20"/>
          <w:szCs w:val="20"/>
          <w:color w:val="auto"/>
        </w:rPr>
      </w:pPr>
    </w:p>
    <w:p>
      <w:pPr>
        <w:ind w:left="120" w:firstLine="644"/>
        <w:spacing w:after="0" w:line="269" w:lineRule="auto"/>
        <w:tabs>
          <w:tab w:leader="none" w:pos="1424"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(and any sub-agent thereof), each Lender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 the enforcement or defense thereof) at any time associated therewith or contemplated therein and the Borrower’s use of Loan proceeds (whether arising in contract or in tort or otherwise and including any violation or noncompliance with any Environmental Laws by any Indemnitee or any other Person or any liabilities or duties of any Indemnitee or any other Person with respect to Hazardous Materials found in or released into the environment). In the case of an investigation, litigation or proceeding to which the indemnity in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applies, such indemnity shall be effective whether or not such investigation, litigation or proceeding is brought by the Borrower, any of its equity holders, Affiliates or creditors or an Indemnitee or any third party and whether or not an Indemnitee is otherwise a party thereto.</w:t>
      </w:r>
    </w:p>
    <w:p>
      <w:pPr>
        <w:spacing w:after="0" w:line="178" w:lineRule="exact"/>
        <w:rPr>
          <w:rFonts w:ascii="Arial" w:cs="Arial" w:eastAsia="Arial" w:hAnsi="Arial"/>
          <w:sz w:val="17"/>
          <w:szCs w:val="17"/>
          <w:color w:val="auto"/>
        </w:rPr>
      </w:pPr>
    </w:p>
    <w:p>
      <w:pPr>
        <w:ind w:left="120" w:right="20" w:firstLine="644"/>
        <w:spacing w:after="0" w:line="269" w:lineRule="auto"/>
        <w:tabs>
          <w:tab w:leader="none" w:pos="1427" w:val="left"/>
        </w:tabs>
        <w:numPr>
          <w:ilvl w:val="1"/>
          <w:numId w:val="109"/>
        </w:numPr>
        <w:rPr>
          <w:rFonts w:ascii="Arial" w:cs="Arial" w:eastAsia="Arial" w:hAnsi="Arial"/>
          <w:sz w:val="17"/>
          <w:szCs w:val="17"/>
          <w:color w:val="auto"/>
        </w:rPr>
      </w:pPr>
      <w:r>
        <w:rPr>
          <w:rFonts w:ascii="Arial" w:cs="Arial" w:eastAsia="Arial" w:hAnsi="Arial"/>
          <w:sz w:val="17"/>
          <w:szCs w:val="17"/>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INDEMNITEE</w:t>
      </w:r>
      <w:r>
        <w:rPr>
          <w:rFonts w:ascii="Arial" w:cs="Arial" w:eastAsia="Arial" w:hAnsi="Arial"/>
          <w:sz w:val="17"/>
          <w:szCs w:val="17"/>
          <w:color w:val="auto"/>
        </w:rPr>
        <w:t>, provided only that no</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shall be entitled under this section to receive indemnification for that portion, if any, of any liabilities and costs which (i) is proximately caused by its own (A) individual gross negligence or willful misconduct, as determined by a court of competent jurisdiction in a final judgment, or (B) material breach of any of its obligations hereunder or under any other Loan Documents, as determined by a court of competent jurisdiction in a final judgment,</w:t>
      </w:r>
    </w:p>
    <w:p>
      <w:pPr>
        <w:ind w:left="120" w:right="300" w:hanging="4"/>
        <w:spacing w:after="0" w:line="302" w:lineRule="auto"/>
        <w:tabs>
          <w:tab w:leader="none" w:pos="3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arises by reason of a claim (A) by any one or more Indemnitees against any one or more other Indemnitees or (B) by an equity-interest owner of any Indemnitee against any one or more Indemnitees, so long as in either such case, such claim is not proximately caused solely by the breach hereunder or under any other Loan Document by the Borrower or its Affiliates or (iii) are incurred by an Indemnitee that is a Defaulting Lender, and such liabilities or</w:t>
      </w:r>
    </w:p>
    <w:p>
      <w:pPr>
        <w:sectPr>
          <w:pgSz w:w="11900" w:h="16838" w:orient="portrait"/>
          <w:cols w:equalWidth="0" w:num="1">
            <w:col w:w="11420"/>
          </w:cols>
          <w:pgMar w:left="240" w:top="125" w:right="239" w:bottom="0" w:gutter="0" w:footer="0" w:header="0"/>
        </w:sectPr>
      </w:pPr>
    </w:p>
    <w:bookmarkStart w:id="41" w:name="page42"/>
    <w:bookmarkEnd w:id="41"/>
    <w:p>
      <w:pPr>
        <w:spacing w:after="0" w:line="9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 xml:space="preserve">costs are proximately caused by conduct, acts or omissions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definition of “Defaulting Lender”. If any Person (including the Borrower or any of its Affiliates) ever alleges gross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 xml:space="preserve">negligence or willful misconduct pursuant to the preceding clause (i)(A) (but, for the avoidance of doubt, not with respect to an allegation of a material breach pursuant to the preceding clause (i)(B)) by any Indemnitee,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“Indemnitee” shall refer not only to each Person designated as a Lender Party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but also to each director, officer, trustee, agent, attorney, employee, representative and Affiliate of such Persons. So long as no Default has occurred and is continuing and the Borrower is financially solvent, no Indemnitee may settle any claim to be indemnified without the consent of the Borrower, such consent not to be unreasonably withheld; provided that the Borrower may not reasonably withhold consent to any settlement that an Indemnitee proposes, if the Borrower does not have the financial ability to pay all its obligations outstanding and asserted against the Borrower at that time, including the maximum potential claims against the Indemnitee to be indemnified pursuant to this </w:t>
      </w:r>
      <w:r>
        <w:rPr>
          <w:rFonts w:ascii="Arial" w:cs="Arial" w:eastAsia="Arial" w:hAnsi="Arial"/>
          <w:sz w:val="16"/>
          <w:szCs w:val="16"/>
          <w:u w:val="single" w:color="auto"/>
          <w:color w:val="auto"/>
        </w:rPr>
        <w:t>Section 10.04</w:t>
      </w:r>
      <w:r>
        <w:rPr>
          <w:rFonts w:ascii="Arial" w:cs="Arial" w:eastAsia="Arial" w:hAnsi="Arial"/>
          <w:sz w:val="16"/>
          <w:szCs w:val="16"/>
          <w:color w:val="auto"/>
        </w:rPr>
        <w:t>.</w:t>
      </w:r>
    </w:p>
    <w:p>
      <w:pPr>
        <w:spacing w:after="0" w:line="167" w:lineRule="exact"/>
        <w:rPr>
          <w:sz w:val="20"/>
          <w:szCs w:val="20"/>
          <w:color w:val="auto"/>
        </w:rPr>
      </w:pPr>
    </w:p>
    <w:p>
      <w:pPr>
        <w:ind w:left="120" w:firstLine="644"/>
        <w:spacing w:after="0" w:line="271" w:lineRule="auto"/>
        <w:tabs>
          <w:tab w:leader="none" w:pos="1424"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for any reason fails to indefeasibly pay any amount required under subsection (a) or (b) of this Section to be paid by it to the Administrative Agent (or any sub-agent thereof), or any applicable Related Party of any of the foregoing, without affecting the Borrower’s payment obligations with respect thereto, each Lender severally agrees to pay to the Administrative Agent (or any such sub-agent) or such Related Party, as the case may be,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in connection with such capacity. The obligations of the Lenders under this subsection (d) are subject to the provisions of </w:t>
      </w:r>
      <w:r>
        <w:rPr>
          <w:rFonts w:ascii="Arial" w:cs="Arial" w:eastAsia="Arial" w:hAnsi="Arial"/>
          <w:sz w:val="17"/>
          <w:szCs w:val="17"/>
          <w:u w:val="single" w:color="auto"/>
          <w:color w:val="auto"/>
        </w:rPr>
        <w:t>Section 2.10(d)</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0" w:right="20" w:firstLine="644"/>
        <w:spacing w:after="0" w:line="290" w:lineRule="auto"/>
        <w:tabs>
          <w:tab w:leader="none" w:pos="142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party hereto or Related Party of any party hereto shall assert, and hereby waives, any claim against each other party hereto and its Related Parties (including, as applicable, each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any of its obligations under any Loan Document.</w:t>
      </w:r>
    </w:p>
    <w:p>
      <w:pPr>
        <w:spacing w:after="0" w:line="166" w:lineRule="exact"/>
        <w:rPr>
          <w:rFonts w:ascii="Arial" w:cs="Arial" w:eastAsia="Arial" w:hAnsi="Arial"/>
          <w:sz w:val="16"/>
          <w:szCs w:val="16"/>
          <w:color w:val="auto"/>
        </w:rPr>
      </w:pPr>
    </w:p>
    <w:p>
      <w:pPr>
        <w:ind w:left="120" w:right="20" w:firstLine="644"/>
        <w:spacing w:after="0" w:line="277" w:lineRule="auto"/>
        <w:tabs>
          <w:tab w:leader="none" w:pos="142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 and the Borrower’s receipt of reasonably detailed invoices or statements related thereto.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80" w:firstLine="644"/>
        <w:spacing w:after="0" w:line="277" w:lineRule="auto"/>
        <w:tabs>
          <w:tab w:leader="none" w:pos="143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Administrative Agent, the replacement of any Lender, the termination of the Aggregate Commitments and the repayment, satisfaction or discharge of all the other Obligations.</w:t>
      </w:r>
    </w:p>
    <w:p>
      <w:pPr>
        <w:spacing w:after="0" w:line="166" w:lineRule="exact"/>
        <w:rPr>
          <w:sz w:val="20"/>
          <w:szCs w:val="20"/>
          <w:color w:val="auto"/>
        </w:rPr>
      </w:pPr>
    </w:p>
    <w:p>
      <w:pPr>
        <w:ind w:right="20" w:firstLine="869"/>
        <w:spacing w:after="0" w:line="254" w:lineRule="auto"/>
        <w:rPr>
          <w:sz w:val="20"/>
          <w:szCs w:val="20"/>
          <w:color w:val="auto"/>
        </w:rPr>
      </w:pPr>
      <w:r>
        <w:rPr>
          <w:rFonts w:ascii="Arial" w:cs="Arial" w:eastAsia="Arial" w:hAnsi="Arial"/>
          <w:sz w:val="18"/>
          <w:szCs w:val="18"/>
          <w:b w:val="1"/>
          <w:bCs w:val="1"/>
          <w:color w:val="auto"/>
        </w:rPr>
        <w:t>10.05 Payments Set Aside</w:t>
      </w:r>
      <w:r>
        <w:rPr>
          <w:rFonts w:ascii="Arial" w:cs="Arial" w:eastAsia="Arial" w:hAnsi="Arial"/>
          <w:sz w:val="18"/>
          <w:szCs w:val="18"/>
          <w:color w:val="auto"/>
        </w:rPr>
        <w:t>. To the extent that any payment by or on behalf of the Borrower is made to the Administrative Agent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The obligations of the Lenders under clause (b) of the preceding sentence shall survive the payment in full of the Obligations and the termination of this Agreement.</w:t>
      </w:r>
    </w:p>
    <w:p>
      <w:pPr>
        <w:spacing w:after="0" w:line="186"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10.06</w:t>
      </w:r>
      <w:r>
        <w:rPr>
          <w:sz w:val="20"/>
          <w:szCs w:val="20"/>
          <w:color w:val="auto"/>
        </w:rPr>
        <w:tab/>
      </w:r>
      <w:r>
        <w:rPr>
          <w:rFonts w:ascii="Arial" w:cs="Arial" w:eastAsia="Arial" w:hAnsi="Arial"/>
          <w:sz w:val="15"/>
          <w:szCs w:val="15"/>
          <w:b w:val="1"/>
          <w:bCs w:val="1"/>
          <w:color w:val="auto"/>
        </w:rPr>
        <w:t>Successors and Assigns</w:t>
      </w:r>
      <w:r>
        <w:rPr>
          <w:rFonts w:ascii="Arial" w:cs="Arial" w:eastAsia="Arial" w:hAnsi="Arial"/>
          <w:sz w:val="15"/>
          <w:szCs w:val="15"/>
          <w:color w:val="auto"/>
        </w:rPr>
        <w:t>.</w:t>
      </w:r>
    </w:p>
    <w:p>
      <w:pPr>
        <w:spacing w:after="0" w:line="229" w:lineRule="exact"/>
        <w:rPr>
          <w:sz w:val="20"/>
          <w:szCs w:val="20"/>
          <w:color w:val="auto"/>
        </w:rPr>
      </w:pPr>
    </w:p>
    <w:p>
      <w:pPr>
        <w:ind w:left="120" w:right="20" w:firstLine="644"/>
        <w:spacing w:after="0" w:line="285" w:lineRule="auto"/>
        <w:tabs>
          <w:tab w:leader="none" w:pos="1414"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w:t>
      </w:r>
    </w:p>
    <w:p>
      <w:pPr>
        <w:spacing w:after="0" w:line="2" w:lineRule="exact"/>
        <w:rPr>
          <w:rFonts w:ascii="Arial" w:cs="Arial" w:eastAsia="Arial" w:hAnsi="Arial"/>
          <w:sz w:val="16"/>
          <w:szCs w:val="16"/>
          <w:color w:val="auto"/>
        </w:rPr>
      </w:pPr>
    </w:p>
    <w:p>
      <w:pPr>
        <w:ind w:left="120" w:right="40" w:hanging="4"/>
        <w:spacing w:after="0" w:line="273" w:lineRule="auto"/>
        <w:tabs>
          <w:tab w:leader="none" w:pos="34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76" w:lineRule="exact"/>
        <w:rPr>
          <w:rFonts w:ascii="Arial" w:cs="Arial" w:eastAsia="Arial" w:hAnsi="Arial"/>
          <w:sz w:val="17"/>
          <w:szCs w:val="17"/>
          <w:color w:val="auto"/>
        </w:rPr>
      </w:pPr>
    </w:p>
    <w:p>
      <w:pPr>
        <w:ind w:left="120" w:right="260" w:firstLine="644"/>
        <w:spacing w:after="0" w:line="264" w:lineRule="auto"/>
        <w:tabs>
          <w:tab w:leader="none" w:pos="1424"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2"/>
          <w:numId w:val="114"/>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120" w:firstLine="653"/>
        <w:spacing w:after="0" w:line="277" w:lineRule="auto"/>
        <w:tabs>
          <w:tab w:leader="none" w:pos="2617" w:val="left"/>
        </w:tabs>
        <w:numPr>
          <w:ilvl w:val="3"/>
          <w:numId w:val="114"/>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or in the</w:t>
      </w:r>
    </w:p>
    <w:p>
      <w:pPr>
        <w:sectPr>
          <w:pgSz w:w="11900" w:h="16929" w:orient="portrait"/>
          <w:cols w:equalWidth="0" w:num="1">
            <w:col w:w="11400"/>
          </w:cols>
          <w:pgMar w:left="240" w:top="125" w:right="259" w:bottom="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case of an assignment to a Lender, an Affiliate of a Lender or an Approved Fund, no minimum amount need be assigned; and</w:t>
      </w:r>
    </w:p>
    <w:p>
      <w:pPr>
        <w:spacing w:after="0" w:line="225" w:lineRule="exact"/>
        <w:rPr>
          <w:sz w:val="20"/>
          <w:szCs w:val="20"/>
          <w:color w:val="auto"/>
        </w:rPr>
      </w:pPr>
    </w:p>
    <w:p>
      <w:pPr>
        <w:ind w:left="1300" w:right="40" w:firstLine="653"/>
        <w:spacing w:after="0" w:line="270" w:lineRule="auto"/>
        <w:tabs>
          <w:tab w:leader="none" w:pos="2607"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1" w:lineRule="exact"/>
        <w:rPr>
          <w:rFonts w:ascii="Arial" w:cs="Arial" w:eastAsia="Arial" w:hAnsi="Arial"/>
          <w:sz w:val="17"/>
          <w:szCs w:val="17"/>
          <w:color w:val="auto"/>
        </w:rPr>
      </w:pPr>
    </w:p>
    <w:p>
      <w:pPr>
        <w:ind w:left="660" w:right="500" w:firstLine="645"/>
        <w:spacing w:after="0" w:line="277" w:lineRule="auto"/>
        <w:tabs>
          <w:tab w:leader="none" w:pos="1987"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97"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such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170" w:lineRule="exact"/>
        <w:rPr>
          <w:rFonts w:ascii="Arial" w:cs="Arial" w:eastAsia="Arial" w:hAnsi="Arial"/>
          <w:sz w:val="18"/>
          <w:szCs w:val="18"/>
          <w:color w:val="auto"/>
        </w:rPr>
      </w:pPr>
    </w:p>
    <w:p>
      <w:pPr>
        <w:ind w:left="1300" w:firstLine="653"/>
        <w:spacing w:after="0" w:line="259" w:lineRule="auto"/>
        <w:tabs>
          <w:tab w:leader="none" w:pos="261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shall be required unless (1) an Event of Default has occurred and is continuing at the time of such assignment or (2) such assignment is to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186" w:lineRule="exact"/>
        <w:rPr>
          <w:rFonts w:ascii="Arial" w:cs="Arial" w:eastAsia="Arial" w:hAnsi="Arial"/>
          <w:sz w:val="18"/>
          <w:szCs w:val="18"/>
          <w:color w:val="auto"/>
        </w:rPr>
      </w:pPr>
    </w:p>
    <w:p>
      <w:pPr>
        <w:ind w:left="1300" w:right="260" w:firstLine="653"/>
        <w:spacing w:after="0" w:line="342" w:lineRule="auto"/>
        <w:tabs>
          <w:tab w:leader="none" w:pos="260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23" w:lineRule="exact"/>
        <w:rPr>
          <w:rFonts w:ascii="Arial" w:cs="Arial" w:eastAsia="Arial" w:hAnsi="Arial"/>
          <w:sz w:val="16"/>
          <w:szCs w:val="16"/>
          <w:color w:val="auto"/>
        </w:rPr>
      </w:pPr>
    </w:p>
    <w:p>
      <w:pPr>
        <w:ind w:left="660" w:right="160" w:firstLine="645"/>
        <w:spacing w:after="0" w:line="279" w:lineRule="auto"/>
        <w:tabs>
          <w:tab w:leader="none" w:pos="1973"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The parties to each assignment permitted by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shall execute and deliver to the Administrative Agent an Assignment and Assumption, together with a processing and recordation fee in the amount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64" w:lineRule="auto"/>
        <w:tabs>
          <w:tab w:leader="none" w:pos="196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(A) to the Borrower or any of the Borrower’s Affiliates or Subsidiaries, or (B) to any Defaulting Lender or any of its Subsidiaries, or any Person who, upon becoming a Lender hereunder, would constitute any of the foregoing Persons described in this clause (B), or (C) to a natural person.</w:t>
      </w:r>
    </w:p>
    <w:p>
      <w:pPr>
        <w:spacing w:after="0" w:line="181" w:lineRule="exact"/>
        <w:rPr>
          <w:rFonts w:ascii="Arial" w:cs="Arial" w:eastAsia="Arial" w:hAnsi="Arial"/>
          <w:sz w:val="18"/>
          <w:szCs w:val="18"/>
          <w:color w:val="auto"/>
        </w:rPr>
      </w:pPr>
    </w:p>
    <w:p>
      <w:pPr>
        <w:ind w:left="660" w:firstLine="645"/>
        <w:spacing w:after="0" w:line="269" w:lineRule="auto"/>
        <w:tabs>
          <w:tab w:leader="none" w:pos="1973"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Upon request, the Borrower (at its expense) shall execute and deliver a Note to the assignee Lender against receipt by the Borrower of the cancelled original Note of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69" w:lineRule="exact"/>
        <w:rPr>
          <w:sz w:val="20"/>
          <w:szCs w:val="20"/>
          <w:color w:val="auto"/>
        </w:rPr>
      </w:pPr>
    </w:p>
    <w:p>
      <w:pPr>
        <w:ind w:left="120" w:right="160" w:firstLine="644"/>
        <w:spacing w:after="0" w:line="264" w:lineRule="auto"/>
        <w:tabs>
          <w:tab w:leader="none" w:pos="142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 (and such agency being solely for tax purposes), shall maintain at the Administrative Agent’s Office a copy of each Assignment and Assumption delivered to it and a register for the recordation of the names and addresses of the Lenders, and the Commitments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464" w:gutter="0" w:footer="0" w:header="0"/>
        </w:sectPr>
      </w:pPr>
    </w:p>
    <w:bookmarkStart w:id="43" w:name="page44"/>
    <w:bookmarkEnd w:id="43"/>
    <w:p>
      <w:pPr>
        <w:ind w:left="120" w:right="100"/>
        <w:spacing w:after="0" w:line="272" w:lineRule="auto"/>
        <w:rPr>
          <w:sz w:val="20"/>
          <w:szCs w:val="20"/>
          <w:color w:val="auto"/>
        </w:rPr>
      </w:pPr>
      <w:r>
        <w:rPr>
          <w:rFonts w:ascii="Arial" w:cs="Arial" w:eastAsia="Arial" w:hAnsi="Arial"/>
          <w:sz w:val="17"/>
          <w:szCs w:val="17"/>
          <w:color w:val="auto"/>
        </w:rPr>
        <w:t>of, and principal amounts (and stated interest) of the Loans owing to, each Lender pursuant to the terms hereof from time to time and recordation of Assignments and Assumptions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w:t>
      </w:r>
      <w:r>
        <w:rPr>
          <w:rFonts w:ascii="Arial" w:cs="Arial" w:eastAsia="Arial" w:hAnsi="Arial"/>
          <w:sz w:val="17"/>
          <w:szCs w:val="17"/>
          <w:b w:val="1"/>
          <w:bCs w:val="1"/>
          <w:color w:val="auto"/>
        </w:rPr>
        <w:t>.</w:t>
      </w:r>
      <w:r>
        <w:rPr>
          <w:rFonts w:ascii="Arial" w:cs="Arial" w:eastAsia="Arial" w:hAnsi="Arial"/>
          <w:sz w:val="17"/>
          <w:szCs w:val="17"/>
          <w:color w:val="auto"/>
        </w:rPr>
        <w:t xml:space="preserve"> The Register shall be available for inspection by the Borrower and any Lender, at any reasonable time and from time to time upon reasonable prior notice, and the Administrative Agent shall provide any information therein as the Borrower shall reasonably request from time to time.</w:t>
      </w:r>
    </w:p>
    <w:p>
      <w:pPr>
        <w:spacing w:after="0" w:line="178" w:lineRule="exact"/>
        <w:rPr>
          <w:sz w:val="20"/>
          <w:szCs w:val="20"/>
          <w:color w:val="auto"/>
        </w:rPr>
      </w:pPr>
    </w:p>
    <w:p>
      <w:pPr>
        <w:ind w:left="120" w:right="120" w:firstLine="644"/>
        <w:spacing w:after="0" w:line="293" w:lineRule="auto"/>
        <w:tabs>
          <w:tab w:leader="none" w:pos="1424"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any other Lender or the Administrative Agent, sell participations to any Person (other than a natural person, a Defaulting Lender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w:t>
      </w:r>
    </w:p>
    <w:p>
      <w:pPr>
        <w:spacing w:after="0" w:line="16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Subject to subsection (e)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shall be delivered to the participating Lender) and the obligations imposed by such Sections) and shall be subject to replacement pursuant to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to the same extent as if it were a Lender and had acquired its interest by assignment pursuant to subsection (b) of this Section. Each Lender that sells a participation agrees, at such Lender’s request and expense, to use reasonable efforts to cooperate with the Borrower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as though it were a Lender. Each Lender that sells a participation shall, solely for tax purposes, maintain a register on which it enters the name and address of each Participant in such Lender’s Loans and the principal amounts (and stated interest) of each such Participant’s interest in such Lender’s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its Participant Register to any Person (including the identity of any Participant or any information relating to a Participant’s interest in such Lender’s commitments, loans or its other obligations under any Loan Document) except to the extent that such disclosure is necessary to establish that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such commitment, loan or other obligation is in registered form under Section 5f.103-1(c) of the Treasury regulations. The entries in the Participant Register shall be conclusive absent manifest error, and such Lender shall treat each Person whose name is recorded in such Lender’s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1" w:lineRule="exact"/>
        <w:rPr>
          <w:sz w:val="20"/>
          <w:szCs w:val="20"/>
          <w:color w:val="auto"/>
        </w:rPr>
      </w:pPr>
    </w:p>
    <w:p>
      <w:pPr>
        <w:ind w:left="120" w:firstLine="644"/>
        <w:spacing w:after="0" w:line="276" w:lineRule="auto"/>
        <w:tabs>
          <w:tab w:leader="none" w:pos="1427"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Limitations upon Participant Rights</w:t>
      </w:r>
      <w:r>
        <w:rPr>
          <w:rFonts w:ascii="Arial" w:cs="Arial" w:eastAsia="Arial" w:hAnsi="Arial"/>
          <w:sz w:val="17"/>
          <w:szCs w:val="17"/>
          <w:color w:val="auto"/>
        </w:rPr>
        <w:t xml:space="preserve">. A Participant shall not be entitled to receive any greater payment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unless the Borrower is notified of the participation sold to such Participant and such Participant agrees, for the benefit of the Borrower, to comply and complies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as though it were a Lender.</w:t>
      </w:r>
    </w:p>
    <w:p>
      <w:pPr>
        <w:spacing w:after="0" w:line="172" w:lineRule="exact"/>
        <w:rPr>
          <w:rFonts w:ascii="Arial" w:cs="Arial" w:eastAsia="Arial" w:hAnsi="Arial"/>
          <w:sz w:val="17"/>
          <w:szCs w:val="17"/>
          <w:color w:val="auto"/>
        </w:rPr>
      </w:pPr>
    </w:p>
    <w:p>
      <w:pPr>
        <w:ind w:left="120" w:right="200" w:firstLine="644"/>
        <w:spacing w:after="0" w:line="279" w:lineRule="auto"/>
        <w:tabs>
          <w:tab w:leader="none" w:pos="1421"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Certain Pledges</w:t>
      </w:r>
      <w:r>
        <w:rPr>
          <w:rFonts w:ascii="Arial" w:cs="Arial" w:eastAsia="Arial" w:hAnsi="Arial"/>
          <w:sz w:val="17"/>
          <w:szCs w:val="17"/>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central bank having jurisdiction over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71" w:lineRule="exact"/>
        <w:rPr>
          <w:rFonts w:ascii="Arial" w:cs="Arial" w:eastAsia="Arial" w:hAnsi="Arial"/>
          <w:sz w:val="17"/>
          <w:szCs w:val="17"/>
          <w:color w:val="auto"/>
        </w:rPr>
      </w:pPr>
    </w:p>
    <w:p>
      <w:pPr>
        <w:ind w:left="120" w:right="280" w:firstLine="644"/>
        <w:spacing w:after="0" w:line="279" w:lineRule="auto"/>
        <w:tabs>
          <w:tab w:leader="none" w:pos="1437"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Lost Notes</w:t>
      </w:r>
      <w:r>
        <w:rPr>
          <w:rFonts w:ascii="Arial" w:cs="Arial" w:eastAsia="Arial" w:hAnsi="Arial"/>
          <w:sz w:val="17"/>
          <w:szCs w:val="17"/>
          <w:color w:val="auto"/>
        </w:rPr>
        <w:t>. Upon receipt of an affidavit reasonably satisfactory to the Borrower of an officer of any Lender as to the loss, theft, destruction or mutilation of its Note which is not of public record, and, in the case of any such loss, theft, destruction or mutilation, upon cancellation of such Note, the Borrower will execute and deliver, in lieu thereof, a replacement Note in the principal amount of such Lender’s then Commitment or if no Commitment is in effect, the outstanding principal amount owed to such Lender and otherwise of like tenor.</w:t>
      </w:r>
    </w:p>
    <w:p>
      <w:pPr>
        <w:spacing w:after="0" w:line="167" w:lineRule="exact"/>
        <w:rPr>
          <w:sz w:val="20"/>
          <w:szCs w:val="20"/>
          <w:color w:val="auto"/>
        </w:rPr>
      </w:pPr>
    </w:p>
    <w:p>
      <w:pPr>
        <w:ind w:firstLine="869"/>
        <w:spacing w:after="0" w:line="271" w:lineRule="auto"/>
        <w:rPr>
          <w:sz w:val="20"/>
          <w:szCs w:val="20"/>
          <w:color w:val="auto"/>
        </w:rPr>
      </w:pPr>
      <w:r>
        <w:rPr>
          <w:rFonts w:ascii="Arial" w:cs="Arial" w:eastAsia="Arial" w:hAnsi="Arial"/>
          <w:sz w:val="17"/>
          <w:szCs w:val="17"/>
          <w:b w:val="1"/>
          <w:bCs w:val="1"/>
          <w:color w:val="auto"/>
        </w:rPr>
        <w:t>10.07 Treatment of Certain Information; Confidentiality</w:t>
      </w:r>
      <w:r>
        <w:rPr>
          <w:rFonts w:ascii="Arial" w:cs="Arial" w:eastAsia="Arial" w:hAnsi="Arial"/>
          <w:sz w:val="17"/>
          <w:szCs w:val="17"/>
          <w:color w:val="auto"/>
        </w:rPr>
        <w:t>. Each of the Administrative Agent and the Lenders (for itself and each of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Related Parties)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will maintain such confidences), (b) to the extent requested or required by applicable laws or regulations or by any subpoena or similar legal process, including in connection with any pledge or assignment made pursuant to </w:t>
      </w:r>
      <w:r>
        <w:rPr>
          <w:rFonts w:ascii="Arial" w:cs="Arial" w:eastAsia="Arial" w:hAnsi="Arial"/>
          <w:sz w:val="17"/>
          <w:szCs w:val="17"/>
          <w:u w:val="single" w:color="auto"/>
          <w:color w:val="auto"/>
        </w:rPr>
        <w:t>Section 10.06(f)</w:t>
      </w:r>
      <w:r>
        <w:rPr>
          <w:rFonts w:ascii="Arial" w:cs="Arial" w:eastAsia="Arial" w:hAnsi="Arial"/>
          <w:sz w:val="17"/>
          <w:szCs w:val="17"/>
          <w:color w:val="auto"/>
        </w:rPr>
        <w:t xml:space="preserve">, (c) subject to this </w:t>
      </w:r>
      <w:r>
        <w:rPr>
          <w:rFonts w:ascii="Arial" w:cs="Arial" w:eastAsia="Arial" w:hAnsi="Arial"/>
          <w:sz w:val="17"/>
          <w:szCs w:val="17"/>
          <w:u w:val="single" w:color="auto"/>
          <w:color w:val="auto"/>
        </w:rPr>
        <w:t>Section 10.07</w:t>
      </w:r>
      <w:r>
        <w:rPr>
          <w:rFonts w:ascii="Arial" w:cs="Arial" w:eastAsia="Arial" w:hAnsi="Arial"/>
          <w:sz w:val="17"/>
          <w:szCs w:val="17"/>
          <w:color w:val="auto"/>
        </w:rPr>
        <w:t>,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or any prospective assignee of or Participant in, any of its rights or obligations under this Agreement or (ii) any actual or prospective counterparty (or its advisors) to any swap or derivative transaction relating to, and requested by, the Borrower and its obligations, (f) with the consent of the Borrower or (g) to the extent such Information (x) becomes publicly available other than as a result of a breach of this Section or (y) becomes available to the Administrative Agent, any Lender or any of their respective Affiliates on a nonconfidential basis from a source other than the Borrower.</w:t>
      </w:r>
    </w:p>
    <w:p>
      <w:pPr>
        <w:sectPr>
          <w:pgSz w:w="11900" w:h="16838" w:orient="portrait"/>
          <w:cols w:equalWidth="0" w:num="1">
            <w:col w:w="11420"/>
          </w:cols>
          <w:pgMar w:left="240" w:top="125" w:right="239" w:bottom="0" w:gutter="0" w:footer="0" w:header="0"/>
        </w:sectPr>
      </w:pPr>
    </w:p>
    <w:bookmarkStart w:id="44" w:name="page45"/>
    <w:bookmarkEnd w:id="44"/>
    <w:p>
      <w:pPr>
        <w:ind w:right="60" w:firstLine="648"/>
        <w:spacing w:after="0" w:line="293" w:lineRule="auto"/>
        <w:rPr>
          <w:sz w:val="20"/>
          <w:szCs w:val="20"/>
          <w:color w:val="auto"/>
        </w:rPr>
      </w:pPr>
      <w:r>
        <w:rPr>
          <w:rFonts w:ascii="Arial" w:cs="Arial" w:eastAsia="Arial" w:hAnsi="Arial"/>
          <w:sz w:val="16"/>
          <w:szCs w:val="16"/>
          <w:color w:val="auto"/>
        </w:rPr>
        <w:t>For purposes of this Section, “Information” means all information received from the Borrower or any Subsidiary relating to the Borrower or any Subsidiary or any Affiliate of any of them, or any of their respective businesses, other than any such information that is available to the Administrative Agent or any Lender on a nonconfidential basis prior to disclosure by the Borrower or any Subsidiary, provided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5"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3" w:lineRule="exact"/>
        <w:rPr>
          <w:sz w:val="20"/>
          <w:szCs w:val="20"/>
          <w:color w:val="auto"/>
        </w:rPr>
      </w:pPr>
    </w:p>
    <w:p>
      <w:pPr>
        <w:ind w:right="20" w:firstLine="869"/>
        <w:spacing w:after="0" w:line="288" w:lineRule="auto"/>
        <w:rPr>
          <w:sz w:val="20"/>
          <w:szCs w:val="20"/>
          <w:color w:val="auto"/>
        </w:rPr>
      </w:pPr>
      <w:r>
        <w:rPr>
          <w:rFonts w:ascii="Arial" w:cs="Arial" w:eastAsia="Arial" w:hAnsi="Arial"/>
          <w:sz w:val="16"/>
          <w:szCs w:val="16"/>
          <w:b w:val="1"/>
          <w:bCs w:val="1"/>
          <w:color w:val="auto"/>
        </w:rPr>
        <w:t xml:space="preserve">10.08 Right of Setoff. </w:t>
      </w:r>
      <w:r>
        <w:rPr>
          <w:rFonts w:ascii="Arial" w:cs="Arial" w:eastAsia="Arial" w:hAnsi="Arial"/>
          <w:sz w:val="16"/>
          <w:szCs w:val="16"/>
          <w:color w:val="auto"/>
        </w:rPr>
        <w:t>At any time and from time to time during the continuance of any Event of Default, each Lender is hereby authorized,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fullest extent permitted by applicable law, to set off and apply against the payment Obligations then due and payable (without notice to any Restricted Person), any and all deposits (general or special, time or demand, provisional or final, in whatever currency) at any time held and other obligations (in whatever currency) at any time owing by such Lender or any such Affiliate to or for the credit or the account of the Borrower;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its Affiliates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4" w:lineRule="exact"/>
        <w:rPr>
          <w:sz w:val="20"/>
          <w:szCs w:val="20"/>
          <w:color w:val="auto"/>
        </w:rPr>
      </w:pPr>
    </w:p>
    <w:p>
      <w:pPr>
        <w:ind w:right="120" w:firstLine="869"/>
        <w:spacing w:after="0" w:line="266" w:lineRule="auto"/>
        <w:rPr>
          <w:sz w:val="20"/>
          <w:szCs w:val="20"/>
          <w:color w:val="auto"/>
        </w:rPr>
      </w:pPr>
      <w:r>
        <w:rPr>
          <w:rFonts w:ascii="Arial" w:cs="Arial" w:eastAsia="Arial" w:hAnsi="Arial"/>
          <w:sz w:val="18"/>
          <w:szCs w:val="18"/>
          <w:b w:val="1"/>
          <w:bCs w:val="1"/>
          <w:color w:val="auto"/>
        </w:rPr>
        <w:t>10.09 Interest Rate Limitation</w:t>
      </w:r>
      <w:r>
        <w:rPr>
          <w:rFonts w:ascii="Arial" w:cs="Arial" w:eastAsia="Arial" w:hAnsi="Arial"/>
          <w:sz w:val="18"/>
          <w:szCs w:val="18"/>
          <w:color w:val="auto"/>
        </w:rPr>
        <w:t>. Notwithstanding anything to the contrary contained in any Loan Document, the interest paid or agreed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9" w:lineRule="exact"/>
        <w:rPr>
          <w:sz w:val="20"/>
          <w:szCs w:val="20"/>
          <w:color w:val="auto"/>
        </w:rPr>
      </w:pPr>
    </w:p>
    <w:p>
      <w:pPr>
        <w:ind w:right="40" w:firstLine="869"/>
        <w:spacing w:after="0" w:line="292" w:lineRule="auto"/>
        <w:rPr>
          <w:sz w:val="20"/>
          <w:szCs w:val="20"/>
          <w:color w:val="auto"/>
        </w:rPr>
      </w:pPr>
      <w:r>
        <w:rPr>
          <w:rFonts w:ascii="Arial" w:cs="Arial" w:eastAsia="Arial" w:hAnsi="Arial"/>
          <w:sz w:val="16"/>
          <w:szCs w:val="16"/>
          <w:b w:val="1"/>
          <w:bCs w:val="1"/>
          <w:color w:val="auto"/>
        </w:rPr>
        <w:t xml:space="preserve">10.10 Counterparts; Integration; Effectiveness. </w:t>
      </w:r>
      <w:r>
        <w:rPr>
          <w:rFonts w:ascii="Arial" w:cs="Arial" w:eastAsia="Arial" w:hAnsi="Arial"/>
          <w:sz w:val="16"/>
          <w:szCs w:val="16"/>
          <w:color w:val="auto"/>
        </w:rPr>
        <w:t>This Agreement may be executed in counterparts (and by different parties hereto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62" w:lineRule="exact"/>
        <w:rPr>
          <w:sz w:val="20"/>
          <w:szCs w:val="20"/>
          <w:color w:val="auto"/>
        </w:rPr>
      </w:pPr>
    </w:p>
    <w:p>
      <w:pPr>
        <w:ind w:right="80" w:firstLine="869"/>
        <w:spacing w:after="0" w:line="256" w:lineRule="auto"/>
        <w:rPr>
          <w:sz w:val="20"/>
          <w:szCs w:val="20"/>
          <w:color w:val="auto"/>
        </w:rPr>
      </w:pPr>
      <w:r>
        <w:rPr>
          <w:rFonts w:ascii="Arial" w:cs="Arial" w:eastAsia="Arial" w:hAnsi="Arial"/>
          <w:sz w:val="18"/>
          <w:szCs w:val="18"/>
          <w:b w:val="1"/>
          <w:bCs w:val="1"/>
          <w:color w:val="auto"/>
        </w:rPr>
        <w:t xml:space="preserve">10.11 Survival of Representations and Warranties. </w:t>
      </w:r>
      <w:r>
        <w:rPr>
          <w:rFonts w:ascii="Arial" w:cs="Arial" w:eastAsia="Arial" w:hAnsi="Arial"/>
          <w:sz w:val="18"/>
          <w:szCs w:val="18"/>
          <w:color w:val="auto"/>
        </w:rPr>
        <w:t>All representations and warranties made hereunder and in any other Loan Document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Loan, and shall continue in full force and effect as long as any Loan or any other Obligation hereunder shall remain unpaid or unsatisfied.</w:t>
      </w:r>
    </w:p>
    <w:p>
      <w:pPr>
        <w:spacing w:after="0" w:line="188" w:lineRule="exact"/>
        <w:rPr>
          <w:sz w:val="20"/>
          <w:szCs w:val="20"/>
          <w:color w:val="auto"/>
        </w:rPr>
      </w:pPr>
    </w:p>
    <w:p>
      <w:pPr>
        <w:ind w:right="20" w:firstLine="869"/>
        <w:spacing w:after="0" w:line="273" w:lineRule="auto"/>
        <w:rPr>
          <w:sz w:val="20"/>
          <w:szCs w:val="20"/>
          <w:color w:val="auto"/>
        </w:rPr>
      </w:pPr>
      <w:r>
        <w:rPr>
          <w:rFonts w:ascii="Arial" w:cs="Arial" w:eastAsia="Arial" w:hAnsi="Arial"/>
          <w:sz w:val="17"/>
          <w:szCs w:val="17"/>
          <w:b w:val="1"/>
          <w:bCs w:val="1"/>
          <w:color w:val="auto"/>
        </w:rPr>
        <w:t>10.12 Severability</w:t>
      </w:r>
      <w:r>
        <w:rPr>
          <w:rFonts w:ascii="Arial" w:cs="Arial" w:eastAsia="Arial" w:hAnsi="Arial"/>
          <w:sz w:val="17"/>
          <w:szCs w:val="17"/>
          <w:color w:val="auto"/>
        </w:rPr>
        <w:t>. If any provision of this Agreement or the other Loan Documents is held to be illegal, invalid or unenforceable, (a)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7"/>
          <w:szCs w:val="17"/>
          <w:u w:val="single" w:color="auto"/>
          <w:color w:val="auto"/>
        </w:rPr>
        <w:t>Section 10.12</w:t>
      </w:r>
      <w:r>
        <w:rPr>
          <w:rFonts w:ascii="Arial" w:cs="Arial" w:eastAsia="Arial" w:hAnsi="Arial"/>
          <w:sz w:val="17"/>
          <w:szCs w:val="17"/>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72" w:lineRule="exact"/>
        <w:rPr>
          <w:sz w:val="20"/>
          <w:szCs w:val="20"/>
          <w:color w:val="auto"/>
        </w:rPr>
      </w:pPr>
    </w:p>
    <w:p>
      <w:pPr>
        <w:ind w:right="280" w:firstLine="869"/>
        <w:spacing w:after="0" w:line="282" w:lineRule="auto"/>
        <w:rPr>
          <w:sz w:val="20"/>
          <w:szCs w:val="20"/>
          <w:color w:val="auto"/>
        </w:rPr>
      </w:pPr>
      <w:r>
        <w:rPr>
          <w:rFonts w:ascii="Arial" w:cs="Arial" w:eastAsia="Arial" w:hAnsi="Arial"/>
          <w:sz w:val="18"/>
          <w:szCs w:val="18"/>
          <w:b w:val="1"/>
          <w:bCs w:val="1"/>
          <w:color w:val="auto"/>
        </w:rPr>
        <w:t>10.13 Replacement of Lenders</w:t>
      </w:r>
      <w:r>
        <w:rPr>
          <w:rFonts w:ascii="Arial" w:cs="Arial" w:eastAsia="Arial" w:hAnsi="Arial"/>
          <w:sz w:val="18"/>
          <w:szCs w:val="18"/>
          <w:color w:val="auto"/>
        </w:rPr>
        <w:t>. If (i) any Lender requests compensation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3.04</w:t>
      </w:r>
      <w:r>
        <w:rPr>
          <w:rFonts w:ascii="Arial" w:cs="Arial" w:eastAsia="Arial" w:hAnsi="Arial"/>
          <w:sz w:val="18"/>
          <w:szCs w:val="18"/>
          <w:b w:val="1"/>
          <w:bCs w:val="1"/>
          <w:color w:val="auto"/>
        </w:rPr>
        <w:t xml:space="preserve"> </w:t>
      </w:r>
      <w:r>
        <w:rPr>
          <w:rFonts w:ascii="Arial" w:cs="Arial" w:eastAsia="Arial" w:hAnsi="Arial"/>
          <w:sz w:val="18"/>
          <w:szCs w:val="18"/>
          <w:color w:val="auto"/>
        </w:rPr>
        <w:t>or gives a notice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3.02</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subsequently designate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different Lending Office or assign its rights and obligations hereunder to another of its offices, branches or affiliates as provided in </w:t>
      </w:r>
      <w:r>
        <w:rPr>
          <w:rFonts w:ascii="Arial" w:cs="Arial" w:eastAsia="Arial" w:hAnsi="Arial"/>
          <w:sz w:val="16"/>
          <w:szCs w:val="16"/>
          <w:u w:val="single" w:color="auto"/>
          <w:color w:val="auto"/>
        </w:rPr>
        <w:t>Section 3.06(a)</w:t>
      </w:r>
      <w:r>
        <w:rPr>
          <w:rFonts w:ascii="Arial" w:cs="Arial" w:eastAsia="Arial" w:hAnsi="Arial"/>
          <w:sz w:val="16"/>
          <w:szCs w:val="16"/>
          <w:color w:val="auto"/>
        </w:rPr>
        <w:t xml:space="preserve">, (ii)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ind w:firstLine="8"/>
        <w:spacing w:after="0" w:line="290" w:lineRule="auto"/>
        <w:tabs>
          <w:tab w:leader="none" w:pos="31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Lender is a Defaulting Lender, (iv)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or (v)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w:t>
      </w:r>
    </w:p>
    <w:p>
      <w:pPr>
        <w:sectPr>
          <w:pgSz w:w="11900" w:h="16838" w:orient="portrait"/>
          <w:cols w:equalWidth="0" w:num="1">
            <w:col w:w="11400"/>
          </w:cols>
          <w:pgMar w:left="240" w:top="125" w:right="259" w:bottom="0" w:gutter="0" w:footer="0" w:header="0"/>
        </w:sectPr>
      </w:pPr>
    </w:p>
    <w:bookmarkStart w:id="45" w:name="page46"/>
    <w:bookmarkEnd w:id="45"/>
    <w:p>
      <w:pPr>
        <w:spacing w:after="0" w:line="9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u w:val="single" w:color="auto"/>
          <w:color w:val="auto"/>
        </w:rPr>
        <w:t>Section 10.06</w:t>
      </w:r>
      <w:r>
        <w:rPr>
          <w:rFonts w:ascii="Arial" w:cs="Arial" w:eastAsia="Arial" w:hAnsi="Arial"/>
          <w:sz w:val="18"/>
          <w:szCs w:val="18"/>
          <w:color w:val="auto"/>
        </w:rPr>
        <w:t>), all of its interests, rights and obligations under this Agreement and the related Loan Documents to an assignee that shall assume such obligations (which assignee may be another Lender, if a Lender accepts such assignment), provided that:</w:t>
      </w:r>
    </w:p>
    <w:p>
      <w:pPr>
        <w:spacing w:after="0" w:line="170" w:lineRule="exact"/>
        <w:rPr>
          <w:sz w:val="20"/>
          <w:szCs w:val="20"/>
          <w:color w:val="auto"/>
        </w:rPr>
      </w:pPr>
    </w:p>
    <w:p>
      <w:pPr>
        <w:ind w:left="120" w:right="1080" w:firstLine="644"/>
        <w:spacing w:after="0" w:line="277" w:lineRule="auto"/>
        <w:tabs>
          <w:tab w:leader="none" w:pos="141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unless paid by the assignee or waived by the Administrative Agent in its sole discretion, the Borrower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20" w:right="40" w:firstLine="644"/>
        <w:spacing w:after="0" w:line="312" w:lineRule="auto"/>
        <w:tabs>
          <w:tab w:leader="none" w:pos="142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100% of the outstanding principal of its Loans,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146" w:lineRule="exact"/>
        <w:rPr>
          <w:rFonts w:ascii="Arial" w:cs="Arial" w:eastAsia="Arial" w:hAnsi="Arial"/>
          <w:sz w:val="16"/>
          <w:szCs w:val="16"/>
          <w:color w:val="auto"/>
        </w:rPr>
      </w:pPr>
    </w:p>
    <w:p>
      <w:pPr>
        <w:ind w:left="120" w:right="80" w:firstLine="644"/>
        <w:spacing w:after="0" w:line="277" w:lineRule="auto"/>
        <w:tabs>
          <w:tab w:leader="none" w:pos="142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70" w:lineRule="exact"/>
        <w:rPr>
          <w:rFonts w:ascii="Arial" w:cs="Arial" w:eastAsia="Arial" w:hAnsi="Arial"/>
          <w:sz w:val="18"/>
          <w:szCs w:val="18"/>
          <w:color w:val="auto"/>
        </w:rPr>
      </w:pPr>
    </w:p>
    <w:p>
      <w:pPr>
        <w:ind w:left="1420" w:hanging="656"/>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assignment does not violate applicable Laws.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Notwithstanding the foregoing rights of the Borrower under this Section, the Borrower may not replace any Lender which seeks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reimbursement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unless the Borrower is replacing all Lenders which are then seeking such compensation or reimbursement.</w:t>
      </w:r>
    </w:p>
    <w:p>
      <w:pPr>
        <w:spacing w:after="0" w:line="120"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color w:val="auto"/>
        </w:rPr>
        <w:t>Governing Law; Jurisdiction; Etc</w:t>
      </w:r>
      <w:r>
        <w:rPr>
          <w:rFonts w:ascii="Arial" w:cs="Arial" w:eastAsia="Arial" w:hAnsi="Arial"/>
          <w:sz w:val="16"/>
          <w:szCs w:val="16"/>
          <w:color w:val="auto"/>
        </w:rPr>
        <w:t>.</w:t>
      </w:r>
    </w:p>
    <w:p>
      <w:pPr>
        <w:spacing w:after="0" w:line="229" w:lineRule="exact"/>
        <w:rPr>
          <w:sz w:val="20"/>
          <w:szCs w:val="20"/>
          <w:color w:val="auto"/>
        </w:rPr>
      </w:pPr>
    </w:p>
    <w:p>
      <w:pPr>
        <w:ind w:left="120" w:right="60" w:firstLine="644"/>
        <w:spacing w:after="0" w:line="277" w:lineRule="auto"/>
        <w:tabs>
          <w:tab w:leader="none" w:pos="141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 WITHOUT REGARD TO PRINCIPLES OF CONFLICTS OF LAWS.</w:t>
      </w:r>
    </w:p>
    <w:p>
      <w:pPr>
        <w:spacing w:after="0" w:line="170" w:lineRule="exact"/>
        <w:rPr>
          <w:rFonts w:ascii="Arial" w:cs="Arial" w:eastAsia="Arial" w:hAnsi="Arial"/>
          <w:sz w:val="18"/>
          <w:szCs w:val="18"/>
          <w:color w:val="auto"/>
        </w:rPr>
      </w:pPr>
    </w:p>
    <w:p>
      <w:pPr>
        <w:ind w:left="120" w:right="300" w:firstLine="644"/>
        <w:spacing w:after="0" w:line="264" w:lineRule="auto"/>
        <w:tabs>
          <w:tab w:leader="none" w:pos="142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IRREVOCABLY AND UNCONDITIONALLY SUBMITS, FOR ITSELF AND ITS PROPERTY, TO THE NONEXCLUSIVE JURISDICTION OF THE COURTS OF THE STATE OF NEW YORK SITTING IN NEW YORK COUNTY AND OF THE UNITED STATES DISTRICT COURT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w:t>
      </w:r>
    </w:p>
    <w:p>
      <w:pPr>
        <w:spacing w:after="0" w:line="195" w:lineRule="exact"/>
        <w:rPr>
          <w:sz w:val="20"/>
          <w:szCs w:val="20"/>
          <w:color w:val="auto"/>
        </w:rPr>
      </w:pPr>
    </w:p>
    <w:p>
      <w:pPr>
        <w:ind w:left="120" w:right="80" w:firstLine="644"/>
        <w:spacing w:after="0" w:line="255" w:lineRule="auto"/>
        <w:tabs>
          <w:tab w:leader="none" w:pos="142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18"/>
          <w:szCs w:val="18"/>
          <w:color w:val="auto"/>
        </w:rPr>
      </w:pPr>
    </w:p>
    <w:p>
      <w:pPr>
        <w:ind w:left="120" w:right="260" w:firstLine="644"/>
        <w:spacing w:after="0" w:line="264" w:lineRule="auto"/>
        <w:tabs>
          <w:tab w:leader="none" w:pos="1424"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77" w:lineRule="exact"/>
        <w:rPr>
          <w:sz w:val="20"/>
          <w:szCs w:val="20"/>
          <w:color w:val="auto"/>
        </w:rPr>
      </w:pPr>
    </w:p>
    <w:p>
      <w:pPr>
        <w:ind w:right="120" w:firstLine="869"/>
        <w:spacing w:after="0" w:line="272" w:lineRule="auto"/>
        <w:rPr>
          <w:sz w:val="20"/>
          <w:szCs w:val="20"/>
          <w:color w:val="auto"/>
        </w:rPr>
      </w:pPr>
      <w:r>
        <w:rPr>
          <w:rFonts w:ascii="Arial" w:cs="Arial" w:eastAsia="Arial" w:hAnsi="Arial"/>
          <w:sz w:val="17"/>
          <w:szCs w:val="17"/>
          <w:b w:val="1"/>
          <w:bCs w:val="1"/>
          <w:color w:val="auto"/>
        </w:rPr>
        <w:t xml:space="preserve">10.15 Waiver of Jury Trial. </w:t>
      </w:r>
      <w:r>
        <w:rPr>
          <w:rFonts w:ascii="Arial" w:cs="Arial" w:eastAsia="Arial" w:hAnsi="Arial"/>
          <w:sz w:val="17"/>
          <w:szCs w:val="17"/>
          <w:color w:val="auto"/>
        </w:rPr>
        <w:t>EACH PARTY HERETO HEREBY IRREVOCABLY WAIVES, TO THE FULLEST EXTENT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869"/>
        <w:spacing w:after="0" w:line="289" w:lineRule="auto"/>
        <w:rPr>
          <w:sz w:val="20"/>
          <w:szCs w:val="20"/>
          <w:color w:val="auto"/>
        </w:rPr>
      </w:pPr>
      <w:r>
        <w:rPr>
          <w:rFonts w:ascii="Arial" w:cs="Arial" w:eastAsia="Arial" w:hAnsi="Arial"/>
          <w:sz w:val="16"/>
          <w:szCs w:val="16"/>
          <w:b w:val="1"/>
          <w:bCs w:val="1"/>
          <w:color w:val="auto"/>
        </w:rPr>
        <w:t>10.16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Loan Document), the Borrower acknowledges and agrees, and acknowledges its Affiliates’ understanding, that: (a) (i) the arranging and other services regarding this Agreement provided by the Administrative Agent, the Arrangers, the Co-Syndication Agents, the Co-Documentation Agents and the Lenders are arm’s-length commercial transactions between the Borrower and its Affiliates, on the one hand, and the Administrative Agent, the Arrangers, the Co-Syndication Agents, the Co-Documentation Agents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 (i) the Administrative Agent, the Co-Syndication Agents, the Co-Documentation Agents and the Arrangers each is and has been acting solely as a principal and, except as expressly agreed in writing by the relevant parties, has not been, is not, and will not be acting as an advisor, agent or fiduciary for the Borrower or any of their respective Affiliates, or any other Person and (ii) none of the Administrative Agent, any Arranger, any Co-Syndication Agent,</w:t>
      </w:r>
    </w:p>
    <w:p>
      <w:pPr>
        <w:sectPr>
          <w:pgSz w:w="11900" w:h="16934" w:orient="portrait"/>
          <w:cols w:equalWidth="0" w:num="1">
            <w:col w:w="11400"/>
          </w:cols>
          <w:pgMar w:left="240" w:top="125" w:right="259" w:bottom="0" w:gutter="0" w:footer="0" w:header="0"/>
        </w:sectPr>
      </w:pPr>
    </w:p>
    <w:bookmarkStart w:id="46" w:name="page47"/>
    <w:bookmarkEnd w:id="46"/>
    <w:p>
      <w:pPr>
        <w:ind w:right="40"/>
        <w:spacing w:after="0" w:line="254" w:lineRule="auto"/>
        <w:rPr>
          <w:sz w:val="20"/>
          <w:szCs w:val="20"/>
          <w:color w:val="auto"/>
        </w:rPr>
      </w:pPr>
      <w:r>
        <w:rPr>
          <w:rFonts w:ascii="Arial" w:cs="Arial" w:eastAsia="Arial" w:hAnsi="Arial"/>
          <w:sz w:val="18"/>
          <w:szCs w:val="18"/>
          <w:color w:val="auto"/>
        </w:rPr>
        <w:t>any Co-Documentation Agent nor any Lender has any obligation to the Borrower or any of their respective Affiliates with respect to the transactions contemplated hereby except those obligations expressly set forth herein and in the other Loan Documents; and (c) the Administrative Agent, the Arrangers, the Co-Syndication Agents, the Co-Documentation Agents, the Lenders and their respective Affiliates may be engaged in a broad range of transactions that involve interests that differ from those of the Borrower and its Affiliates, and none of the Administrative Agent, any Arranger, any Co-Syndication Agent, any Co-Documentation Agent nor any Lender has any obligation to disclose any of such interests to the Borrower or its Affiliates. To the fullest extent permitted by law, the Borrower hereby waives and releases any claims that it may have against the Administrative Agent, the Co-Syndication Agents, the Co-Documentation Agents and the Arrangers with respect to any breach or alleged breach of agency or fiduciary duty in connection with any aspect of any transaction contemplated hereby.</w:t>
      </w:r>
    </w:p>
    <w:p>
      <w:pPr>
        <w:spacing w:after="0" w:line="188" w:lineRule="exact"/>
        <w:rPr>
          <w:sz w:val="20"/>
          <w:szCs w:val="20"/>
          <w:color w:val="auto"/>
        </w:rPr>
      </w:pPr>
    </w:p>
    <w:p>
      <w:pPr>
        <w:ind w:right="60" w:firstLine="869"/>
        <w:spacing w:after="0" w:line="256" w:lineRule="auto"/>
        <w:rPr>
          <w:sz w:val="20"/>
          <w:szCs w:val="20"/>
          <w:color w:val="auto"/>
        </w:rPr>
      </w:pPr>
      <w:r>
        <w:rPr>
          <w:rFonts w:ascii="Arial" w:cs="Arial" w:eastAsia="Arial" w:hAnsi="Arial"/>
          <w:sz w:val="18"/>
          <w:szCs w:val="18"/>
          <w:b w:val="1"/>
          <w:bCs w:val="1"/>
          <w:color w:val="auto"/>
        </w:rPr>
        <w:t>10.17 No Recourse to Other Persons</w:t>
      </w:r>
      <w:r>
        <w:rPr>
          <w:rFonts w:ascii="Arial" w:cs="Arial" w:eastAsia="Arial" w:hAnsi="Arial"/>
          <w:sz w:val="18"/>
          <w:szCs w:val="18"/>
          <w:color w:val="auto"/>
        </w:rPr>
        <w:t>. No past, present or future director, officer, partner, employee, incorporator, manager,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unitholder or member of the Borrower, General Partner, Plains AAP, or GP LLC, and no past, present or future director, officer, partner, employee, incorporator, manager, stockholder, unitholder or member of any Subsidiary of the Borrower that is from time to time the Borrower shall have any liability for any Obligations or for any claim based on, in respect of, or by reason of, the Obligations or their creation as such. Each party hereto, for itself and each of its Related Parties, waives and releases all such liability. The waiver and release are part of the consideration for the incurrence of Indebtedness by the Borrower hereunder and, as applicable, the making of the Notes.</w:t>
      </w:r>
    </w:p>
    <w:p>
      <w:pPr>
        <w:spacing w:after="0" w:line="188" w:lineRule="exact"/>
        <w:rPr>
          <w:sz w:val="20"/>
          <w:szCs w:val="20"/>
          <w:color w:val="auto"/>
        </w:rPr>
      </w:pPr>
    </w:p>
    <w:p>
      <w:pPr>
        <w:ind w:right="180" w:firstLine="869"/>
        <w:spacing w:after="0" w:line="258" w:lineRule="auto"/>
        <w:rPr>
          <w:sz w:val="20"/>
          <w:szCs w:val="20"/>
          <w:color w:val="auto"/>
        </w:rPr>
      </w:pPr>
      <w:r>
        <w:rPr>
          <w:rFonts w:ascii="Arial" w:cs="Arial" w:eastAsia="Arial" w:hAnsi="Arial"/>
          <w:sz w:val="18"/>
          <w:szCs w:val="18"/>
          <w:b w:val="1"/>
          <w:bCs w:val="1"/>
          <w:color w:val="auto"/>
        </w:rPr>
        <w:t xml:space="preserve">10.18 Electronic Execution of Assignments and Certain Other Documents. </w:t>
      </w:r>
      <w:r>
        <w:rPr>
          <w:rFonts w:ascii="Arial" w:cs="Arial" w:eastAsia="Arial" w:hAnsi="Arial"/>
          <w:sz w:val="18"/>
          <w:szCs w:val="18"/>
          <w:color w:val="auto"/>
        </w:rPr>
        <w:t>The words “execute,” “execution,” “signed,” “signature,”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words of like import in or related to any document to be signed in connection with this Agreement and the transactions contemplated hereby (including without limitation Assignment and Assumptions, amendments or other modifications, Loan Notices, waivers and consents) shall be deemed to include electronic signatures, the electronic matching of assignment terms and contract formulations on electronic platforms approved by the Administrative Agent, or the keeping of records in electronic form,</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neither the Administrative Agent nor the Borrower is under any obligation to agree to accept electronic signatures in any form or in any format unless expressly agreed to by it pursuant to procedures approved by it (for the avoidance of doubt, it is agreed and acknowledged by each of the Administrative Agent and the Borrower that any manually executed document, or any manually executed signature page thereto, transmitted by facsimile or other electronic imaging means (e.g. “pdf” or “tif”), does not constitute an “electronic signature” as described in, or contemplated by, this </w:t>
      </w:r>
      <w:r>
        <w:rPr>
          <w:rFonts w:ascii="Arial" w:cs="Arial" w:eastAsia="Arial" w:hAnsi="Arial"/>
          <w:sz w:val="18"/>
          <w:szCs w:val="18"/>
          <w:u w:val="single" w:color="auto"/>
          <w:color w:val="auto"/>
        </w:rPr>
        <w:t>Section 10.18</w:t>
      </w:r>
      <w:r>
        <w:rPr>
          <w:rFonts w:ascii="Arial" w:cs="Arial" w:eastAsia="Arial" w:hAnsi="Arial"/>
          <w:sz w:val="18"/>
          <w:szCs w:val="18"/>
          <w:color w:val="auto"/>
        </w:rPr>
        <w:t>).</w:t>
      </w:r>
    </w:p>
    <w:p>
      <w:pPr>
        <w:spacing w:after="0" w:line="188" w:lineRule="exact"/>
        <w:rPr>
          <w:sz w:val="20"/>
          <w:szCs w:val="20"/>
          <w:color w:val="auto"/>
        </w:rPr>
      </w:pPr>
    </w:p>
    <w:p>
      <w:pPr>
        <w:ind w:right="120" w:firstLine="869"/>
        <w:spacing w:after="0" w:line="271" w:lineRule="auto"/>
        <w:rPr>
          <w:sz w:val="20"/>
          <w:szCs w:val="20"/>
          <w:color w:val="auto"/>
        </w:rPr>
      </w:pPr>
      <w:r>
        <w:rPr>
          <w:rFonts w:ascii="Arial" w:cs="Arial" w:eastAsia="Arial" w:hAnsi="Arial"/>
          <w:sz w:val="17"/>
          <w:szCs w:val="17"/>
          <w:b w:val="1"/>
          <w:bCs w:val="1"/>
          <w:color w:val="auto"/>
        </w:rPr>
        <w:t xml:space="preserve">10.19 USA PATRIOT Act. </w:t>
      </w:r>
      <w:r>
        <w:rPr>
          <w:rFonts w:ascii="Arial" w:cs="Arial" w:eastAsia="Arial" w:hAnsi="Arial"/>
          <w:sz w:val="17"/>
          <w:szCs w:val="17"/>
          <w:color w:val="auto"/>
        </w:rPr>
        <w:t>Each Lender that is subject to the Act (as hereinafter defined) and the Administrative Agent (for itself and not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any Lender) hereby notifies the Borrower that pursuant to the requirements of the USA PATRIOT Act (Title III of Pub. L. 107-56 (signed into law October 26, 2001)) (the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information that is in its or any of its Subsidiary’s possession or control and not subject to confidentiality arrangements with third parties or counsel which the Administrative Agent or such Lender reasonably requests to comply with its ongoing obligations under applicable “know your customer” and anti-money laundering rules and regulations, including the Act (and if any of such information is not in the Borrower’s or any of its Subsidiary’s possession or control, will use its commercially reasonable efforts to obtain such information and other documentation).</w:t>
      </w:r>
    </w:p>
    <w:p>
      <w:pPr>
        <w:spacing w:after="0" w:line="174"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10.20</w:t>
      </w:r>
      <w:r>
        <w:rPr>
          <w:sz w:val="20"/>
          <w:szCs w:val="20"/>
          <w:color w:val="auto"/>
        </w:rPr>
        <w:tab/>
      </w:r>
      <w:r>
        <w:rPr>
          <w:rFonts w:ascii="Arial" w:cs="Arial" w:eastAsia="Arial" w:hAnsi="Arial"/>
          <w:sz w:val="16"/>
          <w:szCs w:val="16"/>
          <w:b w:val="1"/>
          <w:bCs w:val="1"/>
          <w:color w:val="auto"/>
        </w:rPr>
        <w:t>Time of the Essence</w:t>
      </w:r>
      <w:r>
        <w:rPr>
          <w:rFonts w:ascii="Arial" w:cs="Arial" w:eastAsia="Arial" w:hAnsi="Arial"/>
          <w:sz w:val="16"/>
          <w:szCs w:val="16"/>
          <w:color w:val="auto"/>
        </w:rPr>
        <w:t>. Time is of the essence of the Loan Documents.</w:t>
      </w:r>
    </w:p>
    <w:p>
      <w:pPr>
        <w:spacing w:after="0" w:line="225" w:lineRule="exact"/>
        <w:rPr>
          <w:sz w:val="20"/>
          <w:szCs w:val="20"/>
          <w:color w:val="auto"/>
        </w:rPr>
      </w:pPr>
    </w:p>
    <w:p>
      <w:pPr>
        <w:ind w:right="840" w:firstLine="869"/>
        <w:spacing w:after="0" w:line="289" w:lineRule="auto"/>
        <w:rPr>
          <w:sz w:val="20"/>
          <w:szCs w:val="20"/>
          <w:color w:val="auto"/>
        </w:rPr>
      </w:pPr>
      <w:r>
        <w:rPr>
          <w:rFonts w:ascii="Arial" w:cs="Arial" w:eastAsia="Arial" w:hAnsi="Arial"/>
          <w:sz w:val="17"/>
          <w:szCs w:val="17"/>
          <w:b w:val="1"/>
          <w:bCs w:val="1"/>
          <w:color w:val="auto"/>
        </w:rPr>
        <w:t>10.21 ENTIRE AGREEMENT</w:t>
      </w:r>
      <w:r>
        <w:rPr>
          <w:rFonts w:ascii="Arial" w:cs="Arial" w:eastAsia="Arial" w:hAnsi="Arial"/>
          <w:sz w:val="17"/>
          <w:szCs w:val="17"/>
          <w:color w:val="auto"/>
        </w:rPr>
        <w:t>. THIS AGREEMENT AND THE OTHER LOAN DOCUMENTS REPRESENT THE FINAL</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AMONG THE PARTIES AND MAY NOT BE CONTRADICTED BY EVIDENCE OF PRIOR, CONTEMPORANEOUS, OR SUBSEQUENT ORAL AGREEMENTS OF THE PARTIES. THERE ARE NO UNWRITTEN ORAL AGREEMENTS AMONG THE PARTIES.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1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64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 Spurlin</w:t>
            </w:r>
          </w:p>
        </w:tc>
        <w:tc>
          <w:tcPr>
            <w:tcW w:w="40" w:type="dxa"/>
            <w:vAlign w:val="bottom"/>
          </w:tcPr>
          <w:p>
            <w:pPr>
              <w:spacing w:after="0"/>
              <w:rPr>
                <w:sz w:val="24"/>
                <w:szCs w:val="24"/>
                <w:color w:val="auto"/>
              </w:rPr>
            </w:pPr>
          </w:p>
        </w:tc>
      </w:tr>
      <w:tr>
        <w:trPr>
          <w:trHeight w:val="195"/>
        </w:trPr>
        <w:tc>
          <w:tcPr>
            <w:tcW w:w="64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Sharon S. Spurlin</w:t>
            </w:r>
          </w:p>
        </w:tc>
        <w:tc>
          <w:tcPr>
            <w:tcW w:w="40" w:type="dxa"/>
            <w:vAlign w:val="bottom"/>
          </w:tcPr>
          <w:p>
            <w:pPr>
              <w:spacing w:after="0"/>
              <w:rPr>
                <w:sz w:val="16"/>
                <w:szCs w:val="16"/>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4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80"/>
              <w:spacing w:after="0"/>
              <w:rPr>
                <w:sz w:val="20"/>
                <w:szCs w:val="20"/>
                <w:color w:val="auto"/>
              </w:rPr>
            </w:pPr>
            <w:r>
              <w:rPr>
                <w:rFonts w:ascii="Arial" w:cs="Arial" w:eastAsia="Arial" w:hAnsi="Arial"/>
                <w:sz w:val="18"/>
                <w:szCs w:val="18"/>
                <w:color w:val="auto"/>
              </w:rPr>
              <w:t>S-1</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7" w:name="page48"/>
    <w:bookmarkEnd w:id="47"/>
    <w:p>
      <w:pPr>
        <w:ind w:left="57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Rosanne Parsill</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Rosanne Parsill</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H. Fey</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Adam H. Fey</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Co-Syndication Agent and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Balette</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Stephanie Balette</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DNB BANK ASA, NEW YORK BRANCH,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Co-Documentation Agent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Anders Platou</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Anders Platou</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r>
        <w:trPr>
          <w:trHeight w:val="64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Cathleen Buckley</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Cathleen Buckley</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DNB CAPITAL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Anders Platou</w:t>
            </w:r>
          </w:p>
        </w:tc>
        <w:tc>
          <w:tcPr>
            <w:tcW w:w="40" w:type="dxa"/>
            <w:vAlign w:val="bottom"/>
          </w:tcPr>
          <w:p>
            <w:pPr>
              <w:spacing w:after="0"/>
              <w:rPr>
                <w:sz w:val="20"/>
                <w:szCs w:val="20"/>
                <w:color w:val="auto"/>
              </w:rPr>
            </w:pPr>
          </w:p>
        </w:tc>
      </w:tr>
      <w:tr>
        <w:trPr>
          <w:trHeight w:val="210"/>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Anders Platou</w:t>
            </w:r>
          </w:p>
        </w:tc>
        <w:tc>
          <w:tcPr>
            <w:tcW w:w="40" w:type="dxa"/>
            <w:vAlign w:val="bottom"/>
          </w:tcPr>
          <w:p>
            <w:pPr>
              <w:spacing w:after="0"/>
              <w:rPr>
                <w:sz w:val="18"/>
                <w:szCs w:val="18"/>
                <w:color w:val="auto"/>
              </w:rPr>
            </w:pPr>
          </w:p>
        </w:tc>
      </w:tr>
      <w:tr>
        <w:trPr>
          <w:trHeight w:val="21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18"/>
                <w:szCs w:val="18"/>
                <w:color w:val="auto"/>
              </w:rPr>
            </w:pPr>
          </w:p>
        </w:tc>
      </w:tr>
      <w:tr>
        <w:trPr>
          <w:trHeight w:val="64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Cathleen Buckley</w:t>
            </w:r>
          </w:p>
        </w:tc>
        <w:tc>
          <w:tcPr>
            <w:tcW w:w="40" w:type="dxa"/>
            <w:vAlign w:val="bottom"/>
          </w:tcPr>
          <w:p>
            <w:pPr>
              <w:spacing w:after="0"/>
              <w:rPr>
                <w:sz w:val="24"/>
                <w:szCs w:val="24"/>
                <w:color w:val="auto"/>
              </w:rPr>
            </w:pPr>
          </w:p>
        </w:tc>
      </w:tr>
      <w:tr>
        <w:trPr>
          <w:trHeight w:val="210"/>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Cathleen Buckley</w:t>
            </w:r>
          </w:p>
        </w:tc>
        <w:tc>
          <w:tcPr>
            <w:tcW w:w="40" w:type="dxa"/>
            <w:vAlign w:val="bottom"/>
          </w:tcPr>
          <w:p>
            <w:pPr>
              <w:spacing w:after="0"/>
              <w:rPr>
                <w:sz w:val="18"/>
                <w:szCs w:val="18"/>
                <w:color w:val="auto"/>
              </w:rPr>
            </w:pPr>
          </w:p>
        </w:tc>
      </w:tr>
      <w:tr>
        <w:trPr>
          <w:trHeight w:val="21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18"/>
                <w:szCs w:val="18"/>
                <w:color w:val="auto"/>
              </w:rPr>
            </w:pPr>
          </w:p>
        </w:tc>
      </w:tr>
      <w:tr>
        <w:trPr>
          <w:trHeight w:val="426"/>
        </w:trPr>
        <w:tc>
          <w:tcPr>
            <w:tcW w:w="6460" w:type="dxa"/>
            <w:vAlign w:val="bottom"/>
          </w:tcPr>
          <w:p>
            <w:pPr>
              <w:spacing w:after="0"/>
              <w:rPr>
                <w:sz w:val="20"/>
                <w:szCs w:val="20"/>
                <w:color w:val="auto"/>
              </w:rPr>
            </w:pPr>
            <w:r>
              <w:rPr>
                <w:rFonts w:ascii="Arial" w:cs="Arial" w:eastAsia="Arial" w:hAnsi="Arial"/>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80"/>
              <w:spacing w:after="0"/>
              <w:rPr>
                <w:sz w:val="20"/>
                <w:szCs w:val="20"/>
                <w:color w:val="auto"/>
              </w:rPr>
            </w:pPr>
            <w:r>
              <w:rPr>
                <w:rFonts w:ascii="Arial" w:cs="Arial" w:eastAsia="Arial" w:hAnsi="Arial"/>
                <w:sz w:val="18"/>
                <w:szCs w:val="18"/>
                <w:color w:val="auto"/>
              </w:rPr>
              <w:t>S-5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Co-Syndication Agent and a Lender</w:t>
      </w:r>
    </w:p>
    <w:p>
      <w:pPr>
        <w:sectPr>
          <w:pgSz w:w="11900" w:h="16838" w:orient="portrait"/>
          <w:cols w:equalWidth="0" w:num="1">
            <w:col w:w="11460"/>
          </w:cols>
          <w:pgMar w:left="240" w:top="580" w:right="199" w:bottom="0" w:gutter="0" w:footer="0" w:header="0"/>
        </w:sectPr>
      </w:pPr>
    </w:p>
    <w:bookmarkStart w:id="48" w:name="page49"/>
    <w:bookmarkEnd w:id="48"/>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Tribolet</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A. Tribolet</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Co-Syndication Agent and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Gabriel Juarez</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Gabriel Juarez</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MIZUHO BANK, LTD.,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Co-Documentation Agent and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 Mo</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Leon Mo</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BRANCH BANKING AND TRUST COMPANY,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ectPr>
          <w:pgSz w:w="11900" w:h="16838" w:orient="portrait"/>
          <w:cols w:equalWidth="0" w:num="1">
            <w:col w:w="11460"/>
          </w:cols>
          <w:pgMar w:left="240" w:top="125" w:right="199" w:bottom="0" w:gutter="0" w:footer="0" w:header="0"/>
        </w:sectPr>
      </w:pP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DeVon J. Lang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DeVon J.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470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31470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31470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100" w:lineRule="exact"/>
        <w:rPr>
          <w:sz w:val="20"/>
          <w:szCs w:val="20"/>
          <w:color w:val="auto"/>
        </w:rPr>
      </w:pPr>
    </w:p>
    <w:p>
      <w:pPr>
        <w:sectPr>
          <w:pgSz w:w="11900" w:h="16838" w:orient="portrait"/>
          <w:cols w:equalWidth="0" w:num="2">
            <w:col w:w="6200" w:space="260"/>
            <w:col w:w="5000"/>
          </w:cols>
          <w:pgMar w:left="240" w:top="125" w:right="199" w:bottom="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c>
          <w:tcPr>
            <w:tcW w:w="40" w:type="dxa"/>
            <w:vAlign w:val="bottom"/>
          </w:tcPr>
          <w:p>
            <w:pPr>
              <w:spacing w:after="0"/>
              <w:rPr>
                <w:sz w:val="20"/>
                <w:szCs w:val="20"/>
                <w:color w:val="auto"/>
              </w:rPr>
            </w:pPr>
          </w:p>
        </w:tc>
      </w:tr>
      <w:tr>
        <w:trPr>
          <w:trHeight w:val="210"/>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Virginia Cosenza</w:t>
            </w:r>
          </w:p>
        </w:tc>
        <w:tc>
          <w:tcPr>
            <w:tcW w:w="40" w:type="dxa"/>
            <w:vAlign w:val="bottom"/>
          </w:tcPr>
          <w:p>
            <w:pPr>
              <w:spacing w:after="0"/>
              <w:rPr>
                <w:sz w:val="18"/>
                <w:szCs w:val="18"/>
                <w:color w:val="auto"/>
              </w:rPr>
            </w:pPr>
          </w:p>
        </w:tc>
      </w:tr>
      <w:tr>
        <w:trPr>
          <w:trHeight w:val="21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18"/>
                <w:szCs w:val="18"/>
                <w:color w:val="auto"/>
              </w:rPr>
            </w:pPr>
          </w:p>
        </w:tc>
      </w:tr>
      <w:tr>
        <w:trPr>
          <w:trHeight w:val="64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Andreas Bubenzer-Paim</w:t>
            </w:r>
          </w:p>
        </w:tc>
        <w:tc>
          <w:tcPr>
            <w:tcW w:w="40" w:type="dxa"/>
            <w:vAlign w:val="bottom"/>
          </w:tcPr>
          <w:p>
            <w:pPr>
              <w:spacing w:after="0"/>
              <w:rPr>
                <w:sz w:val="24"/>
                <w:szCs w:val="24"/>
                <w:color w:val="auto"/>
              </w:rPr>
            </w:pPr>
          </w:p>
        </w:tc>
      </w:tr>
      <w:tr>
        <w:trPr>
          <w:trHeight w:val="210"/>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Andreas Bubenzer-Paim</w:t>
            </w:r>
          </w:p>
        </w:tc>
        <w:tc>
          <w:tcPr>
            <w:tcW w:w="40" w:type="dxa"/>
            <w:vAlign w:val="bottom"/>
          </w:tcPr>
          <w:p>
            <w:pPr>
              <w:spacing w:after="0"/>
              <w:rPr>
                <w:sz w:val="18"/>
                <w:szCs w:val="18"/>
                <w:color w:val="auto"/>
              </w:rPr>
            </w:pPr>
          </w:p>
        </w:tc>
      </w:tr>
      <w:tr>
        <w:trPr>
          <w:trHeight w:val="21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426"/>
        </w:trPr>
        <w:tc>
          <w:tcPr>
            <w:tcW w:w="6460" w:type="dxa"/>
            <w:vAlign w:val="bottom"/>
          </w:tcPr>
          <w:p>
            <w:pPr>
              <w:spacing w:after="0"/>
              <w:rPr>
                <w:sz w:val="20"/>
                <w:szCs w:val="20"/>
                <w:color w:val="auto"/>
              </w:rPr>
            </w:pPr>
            <w:r>
              <w:rPr>
                <w:rFonts w:ascii="Arial" w:cs="Arial" w:eastAsia="Arial" w:hAnsi="Arial"/>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40"/>
              <w:spacing w:after="0"/>
              <w:rPr>
                <w:sz w:val="20"/>
                <w:szCs w:val="20"/>
                <w:color w:val="auto"/>
              </w:rPr>
            </w:pPr>
            <w:r>
              <w:rPr>
                <w:rFonts w:ascii="Arial" w:cs="Arial" w:eastAsia="Arial" w:hAnsi="Arial"/>
                <w:sz w:val="18"/>
                <w:szCs w:val="18"/>
                <w:color w:val="auto"/>
              </w:rPr>
              <w:t>S-10</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MORGAN STANLEY 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King</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1460"/>
          </w:cols>
          <w:pgMar w:left="240" w:top="125" w:right="199" w:bottom="0" w:gutter="0" w:footer="0" w:header="0"/>
          <w:type w:val="continuous"/>
        </w:sectPr>
      </w:pPr>
    </w:p>
    <w:bookmarkStart w:id="49" w:name="page50"/>
    <w:bookmarkEnd w:id="49"/>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Aharonian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Christine Aharonian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COMPASS BANK,</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 Werme</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 Werme</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BNP PARIBAS,</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ONISCHUK</w:t>
            </w:r>
          </w:p>
        </w:tc>
        <w:tc>
          <w:tcPr>
            <w:tcW w:w="40" w:type="dxa"/>
            <w:vAlign w:val="bottom"/>
          </w:tcPr>
          <w:p>
            <w:pPr>
              <w:spacing w:after="0"/>
              <w:rPr>
                <w:sz w:val="20"/>
                <w:szCs w:val="20"/>
                <w:color w:val="auto"/>
              </w:rPr>
            </w:pPr>
          </w:p>
        </w:tc>
      </w:tr>
      <w:tr>
        <w:trPr>
          <w:trHeight w:val="210"/>
        </w:trPr>
        <w:tc>
          <w:tcPr>
            <w:tcW w:w="6460" w:type="dxa"/>
            <w:vAlign w:val="bottom"/>
          </w:tcPr>
          <w:p>
            <w:pPr>
              <w:ind w:left="570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 ONISCHUK</w:t>
            </w:r>
          </w:p>
        </w:tc>
        <w:tc>
          <w:tcPr>
            <w:tcW w:w="40" w:type="dxa"/>
            <w:vAlign w:val="bottom"/>
          </w:tcPr>
          <w:p>
            <w:pPr>
              <w:spacing w:after="0"/>
              <w:rPr>
                <w:sz w:val="18"/>
                <w:szCs w:val="18"/>
                <w:color w:val="auto"/>
              </w:rPr>
            </w:pPr>
          </w:p>
        </w:tc>
      </w:tr>
      <w:tr>
        <w:trPr>
          <w:trHeight w:val="210"/>
        </w:trPr>
        <w:tc>
          <w:tcPr>
            <w:tcW w:w="6460" w:type="dxa"/>
            <w:vAlign w:val="bottom"/>
          </w:tcPr>
          <w:p>
            <w:pPr>
              <w:ind w:left="570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8"/>
                <w:szCs w:val="18"/>
                <w:color w:val="auto"/>
              </w:rPr>
            </w:pPr>
          </w:p>
        </w:tc>
      </w:tr>
      <w:tr>
        <w:trPr>
          <w:trHeight w:val="642"/>
        </w:trPr>
        <w:tc>
          <w:tcPr>
            <w:tcW w:w="6460" w:type="dxa"/>
            <w:vAlign w:val="bottom"/>
          </w:tcPr>
          <w:p>
            <w:pPr>
              <w:ind w:left="57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Reginald CRICHLOW</w:t>
            </w:r>
          </w:p>
        </w:tc>
        <w:tc>
          <w:tcPr>
            <w:tcW w:w="40" w:type="dxa"/>
            <w:vAlign w:val="bottom"/>
          </w:tcPr>
          <w:p>
            <w:pPr>
              <w:spacing w:after="0"/>
              <w:rPr>
                <w:sz w:val="24"/>
                <w:szCs w:val="24"/>
                <w:color w:val="auto"/>
              </w:rPr>
            </w:pPr>
          </w:p>
        </w:tc>
      </w:tr>
      <w:tr>
        <w:trPr>
          <w:trHeight w:val="210"/>
        </w:trPr>
        <w:tc>
          <w:tcPr>
            <w:tcW w:w="6460" w:type="dxa"/>
            <w:vAlign w:val="bottom"/>
          </w:tcPr>
          <w:p>
            <w:pPr>
              <w:ind w:left="570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Reginald CRICHLOW</w:t>
            </w:r>
          </w:p>
        </w:tc>
        <w:tc>
          <w:tcPr>
            <w:tcW w:w="40" w:type="dxa"/>
            <w:vAlign w:val="bottom"/>
          </w:tcPr>
          <w:p>
            <w:pPr>
              <w:spacing w:after="0"/>
              <w:rPr>
                <w:sz w:val="18"/>
                <w:szCs w:val="18"/>
                <w:color w:val="auto"/>
              </w:rPr>
            </w:pPr>
          </w:p>
        </w:tc>
      </w:tr>
      <w:tr>
        <w:trPr>
          <w:trHeight w:val="210"/>
        </w:trPr>
        <w:tc>
          <w:tcPr>
            <w:tcW w:w="6460" w:type="dxa"/>
            <w:vAlign w:val="bottom"/>
          </w:tcPr>
          <w:p>
            <w:pPr>
              <w:ind w:left="570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18"/>
                <w:szCs w:val="18"/>
                <w:color w:val="auto"/>
              </w:rPr>
            </w:pPr>
          </w:p>
        </w:tc>
      </w:tr>
      <w:tr>
        <w:trPr>
          <w:trHeight w:val="426"/>
        </w:trPr>
        <w:tc>
          <w:tcPr>
            <w:tcW w:w="6460" w:type="dxa"/>
            <w:vAlign w:val="bottom"/>
          </w:tcPr>
          <w:p>
            <w:pPr>
              <w:spacing w:after="0"/>
              <w:rPr>
                <w:sz w:val="20"/>
                <w:szCs w:val="20"/>
                <w:color w:val="auto"/>
              </w:rPr>
            </w:pPr>
            <w:r>
              <w:rPr>
                <w:rFonts w:ascii="Arial" w:cs="Arial" w:eastAsia="Arial" w:hAnsi="Arial"/>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40"/>
              <w:spacing w:after="0"/>
              <w:rPr>
                <w:sz w:val="20"/>
                <w:szCs w:val="20"/>
                <w:color w:val="auto"/>
              </w:rPr>
            </w:pPr>
            <w:r>
              <w:rPr>
                <w:rFonts w:ascii="Arial" w:cs="Arial" w:eastAsia="Arial" w:hAnsi="Arial"/>
                <w:sz w:val="18"/>
                <w:szCs w:val="18"/>
                <w:color w:val="auto"/>
              </w:rPr>
              <w:t>S-14</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BRANCH,</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Antl</w:t>
            </w:r>
          </w:p>
        </w:tc>
        <w:tc>
          <w:tcPr>
            <w:tcW w:w="40" w:type="dxa"/>
            <w:vAlign w:val="bottom"/>
          </w:tcPr>
          <w:p>
            <w:pPr>
              <w:spacing w:after="0"/>
              <w:rPr>
                <w:sz w:val="20"/>
                <w:szCs w:val="20"/>
                <w:color w:val="auto"/>
              </w:rPr>
            </w:pPr>
          </w:p>
        </w:tc>
      </w:tr>
      <w:tr>
        <w:trPr>
          <w:trHeight w:val="210"/>
        </w:trPr>
        <w:tc>
          <w:tcPr>
            <w:tcW w:w="6460" w:type="dxa"/>
            <w:vAlign w:val="bottom"/>
          </w:tcPr>
          <w:p>
            <w:pPr>
              <w:ind w:left="570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Richard Antl</w:t>
            </w:r>
          </w:p>
        </w:tc>
        <w:tc>
          <w:tcPr>
            <w:tcW w:w="40" w:type="dxa"/>
            <w:vAlign w:val="bottom"/>
          </w:tcPr>
          <w:p>
            <w:pPr>
              <w:spacing w:after="0"/>
              <w:rPr>
                <w:sz w:val="18"/>
                <w:szCs w:val="18"/>
                <w:color w:val="auto"/>
              </w:rPr>
            </w:pPr>
          </w:p>
        </w:tc>
      </w:tr>
      <w:tr>
        <w:trPr>
          <w:trHeight w:val="210"/>
        </w:trPr>
        <w:tc>
          <w:tcPr>
            <w:tcW w:w="6460" w:type="dxa"/>
            <w:vAlign w:val="bottom"/>
          </w:tcPr>
          <w:p>
            <w:pPr>
              <w:ind w:left="570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18"/>
                <w:szCs w:val="18"/>
                <w:color w:val="auto"/>
              </w:rPr>
            </w:pPr>
          </w:p>
        </w:tc>
      </w:tr>
      <w:tr>
        <w:trPr>
          <w:trHeight w:val="642"/>
        </w:trPr>
        <w:tc>
          <w:tcPr>
            <w:tcW w:w="6460" w:type="dxa"/>
            <w:vAlign w:val="bottom"/>
          </w:tcPr>
          <w:p>
            <w:pPr>
              <w:ind w:left="57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Reid</w:t>
            </w:r>
          </w:p>
        </w:tc>
        <w:tc>
          <w:tcPr>
            <w:tcW w:w="40" w:type="dxa"/>
            <w:vAlign w:val="bottom"/>
          </w:tcPr>
          <w:p>
            <w:pPr>
              <w:spacing w:after="0"/>
              <w:rPr>
                <w:sz w:val="24"/>
                <w:szCs w:val="24"/>
                <w:color w:val="auto"/>
              </w:rPr>
            </w:pPr>
          </w:p>
        </w:tc>
      </w:tr>
      <w:tr>
        <w:trPr>
          <w:trHeight w:val="210"/>
        </w:trPr>
        <w:tc>
          <w:tcPr>
            <w:tcW w:w="6460" w:type="dxa"/>
            <w:vAlign w:val="bottom"/>
          </w:tcPr>
          <w:p>
            <w:pPr>
              <w:ind w:left="570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Reid</w:t>
            </w:r>
          </w:p>
        </w:tc>
        <w:tc>
          <w:tcPr>
            <w:tcW w:w="40" w:type="dxa"/>
            <w:vAlign w:val="bottom"/>
          </w:tcPr>
          <w:p>
            <w:pPr>
              <w:spacing w:after="0"/>
              <w:rPr>
                <w:sz w:val="18"/>
                <w:szCs w:val="18"/>
                <w:color w:val="auto"/>
              </w:rPr>
            </w:pPr>
          </w:p>
        </w:tc>
      </w:tr>
      <w:tr>
        <w:trPr>
          <w:trHeight w:val="210"/>
        </w:trPr>
        <w:tc>
          <w:tcPr>
            <w:tcW w:w="6460" w:type="dxa"/>
            <w:vAlign w:val="bottom"/>
          </w:tcPr>
          <w:p>
            <w:pPr>
              <w:ind w:left="570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18"/>
                <w:szCs w:val="18"/>
                <w:color w:val="auto"/>
              </w:rPr>
            </w:pPr>
          </w:p>
        </w:tc>
      </w:tr>
      <w:tr>
        <w:trPr>
          <w:trHeight w:val="426"/>
        </w:trPr>
        <w:tc>
          <w:tcPr>
            <w:tcW w:w="6460" w:type="dxa"/>
            <w:vAlign w:val="bottom"/>
          </w:tcPr>
          <w:p>
            <w:pPr>
              <w:spacing w:after="0"/>
              <w:rPr>
                <w:sz w:val="20"/>
                <w:szCs w:val="20"/>
                <w:color w:val="auto"/>
              </w:rPr>
            </w:pPr>
            <w:r>
              <w:rPr>
                <w:rFonts w:ascii="Arial" w:cs="Arial" w:eastAsia="Arial" w:hAnsi="Arial"/>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40"/>
              <w:spacing w:after="0"/>
              <w:rPr>
                <w:sz w:val="20"/>
                <w:szCs w:val="20"/>
                <w:color w:val="auto"/>
              </w:rPr>
            </w:pPr>
            <w:r>
              <w:rPr>
                <w:rFonts w:ascii="Arial" w:cs="Arial" w:eastAsia="Arial" w:hAnsi="Arial"/>
                <w:sz w:val="18"/>
                <w:szCs w:val="18"/>
                <w:color w:val="auto"/>
              </w:rPr>
              <w:t>S-15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R. Allred</w:t>
      </w:r>
    </w:p>
    <w:p>
      <w:pPr>
        <w:sectPr>
          <w:pgSz w:w="11900" w:h="16887" w:orient="portrait"/>
          <w:cols w:equalWidth="0" w:num="1">
            <w:col w:w="11460"/>
          </w:cols>
          <w:pgMar w:left="240" w:top="341" w:right="199" w:bottom="0" w:gutter="0" w:footer="0" w:header="0"/>
        </w:sectPr>
      </w:pPr>
    </w:p>
    <w:bookmarkStart w:id="50" w:name="page51"/>
    <w:bookmarkEnd w:id="50"/>
    <w:p>
      <w:pPr>
        <w:ind w:left="5700"/>
        <w:spacing w:after="0"/>
        <w:tabs>
          <w:tab w:leader="none" w:pos="6440" w:val="left"/>
        </w:tabs>
        <w:rPr>
          <w:sz w:val="20"/>
          <w:szCs w:val="20"/>
          <w:color w:val="auto"/>
        </w:rPr>
      </w:pPr>
      <w:r>
        <w:rPr>
          <w:rFonts w:ascii="Arial" w:cs="Arial" w:eastAsia="Arial" w:hAnsi="Arial"/>
          <w:sz w:val="18"/>
          <w:szCs w:val="18"/>
          <w:color w:val="auto"/>
        </w:rPr>
        <w:t>Name:</w:t>
        <w:tab/>
        <w:t>James R. Allred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-121920</wp:posOffset>
            </wp:positionV>
            <wp:extent cx="31559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7"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SUMITOMO MITSUI BANKING CORPORATION,</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Kee</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Kee</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Shannon Juhan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Shannon Juhan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Sparrow</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Sparrow, Director</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THE BANK OF TOKYO-MITSUBISHI UFJ, LTD.,</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Oberreuter</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Oberreuter</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UBS AG, STAMFORD BRANCH,</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Darlene Arias</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Darlene Arias</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210"/>
        </w:trPr>
        <w:tc>
          <w:tcPr>
            <w:tcW w:w="760" w:type="dxa"/>
            <w:vAlign w:val="bottom"/>
          </w:tcPr>
          <w:p>
            <w:pPr>
              <w:spacing w:after="0"/>
              <w:rPr>
                <w:sz w:val="18"/>
                <w:szCs w:val="18"/>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Banking Products Services, US</w:t>
            </w:r>
          </w:p>
        </w:tc>
      </w:tr>
      <w:tr>
        <w:trPr>
          <w:trHeight w:val="62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Pearson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Craig Pearson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Associate Director</w:t>
            </w:r>
          </w:p>
        </w:tc>
      </w:tr>
    </w:tbl>
    <w:p>
      <w:pPr>
        <w:sectPr>
          <w:pgSz w:w="11900" w:h="16838" w:orient="portrait"/>
          <w:cols w:equalWidth="0" w:num="1">
            <w:col w:w="11420"/>
          </w:cols>
          <w:pgMar w:left="240" w:top="125" w:right="239" w:bottom="0" w:gutter="0" w:footer="0" w:header="0"/>
        </w:sectPr>
      </w:pPr>
    </w:p>
    <w:bookmarkStart w:id="51" w:name="page52"/>
    <w:bookmarkEnd w:id="51"/>
    <w:p>
      <w:pPr>
        <w:jc w:val="right"/>
        <w:ind w:right="2820"/>
        <w:spacing w:after="0"/>
        <w:rPr>
          <w:sz w:val="20"/>
          <w:szCs w:val="20"/>
          <w:color w:val="auto"/>
        </w:rPr>
      </w:pPr>
      <w:r>
        <w:rPr>
          <w:rFonts w:ascii="Arial" w:cs="Arial" w:eastAsia="Arial" w:hAnsi="Arial"/>
          <w:sz w:val="18"/>
          <w:szCs w:val="18"/>
          <w:color w:val="auto"/>
        </w:rPr>
        <w:t>Banking Product Services,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BMO HARRIS BANK N.A.,</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Gumaro Tijerina</w:t>
            </w:r>
          </w:p>
        </w:tc>
        <w:tc>
          <w:tcPr>
            <w:tcW w:w="40" w:type="dxa"/>
            <w:vAlign w:val="bottom"/>
          </w:tcPr>
          <w:p>
            <w:pPr>
              <w:spacing w:after="0"/>
              <w:rPr>
                <w:sz w:val="20"/>
                <w:szCs w:val="20"/>
                <w:color w:val="auto"/>
              </w:rPr>
            </w:pPr>
          </w:p>
        </w:tc>
      </w:tr>
      <w:tr>
        <w:trPr>
          <w:trHeight w:val="210"/>
        </w:trPr>
        <w:tc>
          <w:tcPr>
            <w:tcW w:w="6460" w:type="dxa"/>
            <w:vAlign w:val="bottom"/>
          </w:tcPr>
          <w:p>
            <w:pPr>
              <w:ind w:left="570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Gumaro Tijerina</w:t>
            </w:r>
          </w:p>
        </w:tc>
        <w:tc>
          <w:tcPr>
            <w:tcW w:w="40" w:type="dxa"/>
            <w:vAlign w:val="bottom"/>
          </w:tcPr>
          <w:p>
            <w:pPr>
              <w:spacing w:after="0"/>
              <w:rPr>
                <w:sz w:val="18"/>
                <w:szCs w:val="18"/>
                <w:color w:val="auto"/>
              </w:rPr>
            </w:pPr>
          </w:p>
        </w:tc>
      </w:tr>
      <w:tr>
        <w:trPr>
          <w:trHeight w:val="210"/>
        </w:trPr>
        <w:tc>
          <w:tcPr>
            <w:tcW w:w="6460" w:type="dxa"/>
            <w:vAlign w:val="bottom"/>
          </w:tcPr>
          <w:p>
            <w:pPr>
              <w:ind w:left="570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8"/>
                <w:szCs w:val="18"/>
                <w:color w:val="auto"/>
              </w:rPr>
            </w:pPr>
          </w:p>
        </w:tc>
      </w:tr>
      <w:tr>
        <w:trPr>
          <w:trHeight w:val="426"/>
        </w:trPr>
        <w:tc>
          <w:tcPr>
            <w:tcW w:w="6460" w:type="dxa"/>
            <w:vAlign w:val="bottom"/>
          </w:tcPr>
          <w:p>
            <w:pPr>
              <w:spacing w:after="0"/>
              <w:rPr>
                <w:sz w:val="20"/>
                <w:szCs w:val="20"/>
                <w:color w:val="auto"/>
              </w:rPr>
            </w:pPr>
            <w:r>
              <w:rPr>
                <w:rFonts w:ascii="Arial" w:cs="Arial" w:eastAsia="Arial" w:hAnsi="Arial"/>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40"/>
              <w:spacing w:after="0"/>
              <w:rPr>
                <w:sz w:val="20"/>
                <w:szCs w:val="20"/>
                <w:color w:val="auto"/>
              </w:rPr>
            </w:pPr>
            <w:r>
              <w:rPr>
                <w:rFonts w:ascii="Arial" w:cs="Arial" w:eastAsia="Arial" w:hAnsi="Arial"/>
                <w:sz w:val="18"/>
                <w:szCs w:val="18"/>
                <w:color w:val="auto"/>
              </w:rPr>
              <w:t>S-22</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ING CAPITAL LLC,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56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Cheryl LaBelle</w:t>
            </w:r>
          </w:p>
        </w:tc>
        <w:tc>
          <w:tcPr>
            <w:tcW w:w="40" w:type="dxa"/>
            <w:vAlign w:val="bottom"/>
          </w:tcPr>
          <w:p>
            <w:pPr>
              <w:spacing w:after="0"/>
              <w:rPr>
                <w:sz w:val="20"/>
                <w:szCs w:val="20"/>
                <w:color w:val="auto"/>
              </w:rPr>
            </w:pPr>
          </w:p>
        </w:tc>
      </w:tr>
      <w:tr>
        <w:trPr>
          <w:trHeight w:val="210"/>
        </w:trPr>
        <w:tc>
          <w:tcPr>
            <w:tcW w:w="6380" w:type="dxa"/>
            <w:vAlign w:val="bottom"/>
          </w:tcPr>
          <w:p>
            <w:pPr>
              <w:ind w:left="566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Cheryl LaBelle</w:t>
            </w:r>
          </w:p>
        </w:tc>
        <w:tc>
          <w:tcPr>
            <w:tcW w:w="40" w:type="dxa"/>
            <w:vAlign w:val="bottom"/>
          </w:tcPr>
          <w:p>
            <w:pPr>
              <w:spacing w:after="0"/>
              <w:rPr>
                <w:sz w:val="18"/>
                <w:szCs w:val="18"/>
                <w:color w:val="auto"/>
              </w:rPr>
            </w:pPr>
          </w:p>
        </w:tc>
      </w:tr>
      <w:tr>
        <w:trPr>
          <w:trHeight w:val="210"/>
        </w:trPr>
        <w:tc>
          <w:tcPr>
            <w:tcW w:w="6380" w:type="dxa"/>
            <w:vAlign w:val="bottom"/>
          </w:tcPr>
          <w:p>
            <w:pPr>
              <w:ind w:left="566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8"/>
                <w:szCs w:val="18"/>
                <w:color w:val="auto"/>
              </w:rPr>
            </w:pPr>
          </w:p>
        </w:tc>
      </w:tr>
      <w:tr>
        <w:trPr>
          <w:trHeight w:val="642"/>
        </w:trPr>
        <w:tc>
          <w:tcPr>
            <w:tcW w:w="6380" w:type="dxa"/>
            <w:vAlign w:val="bottom"/>
          </w:tcPr>
          <w:p>
            <w:pPr>
              <w:ind w:left="56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Hans Beekmans</w:t>
            </w:r>
          </w:p>
        </w:tc>
        <w:tc>
          <w:tcPr>
            <w:tcW w:w="40" w:type="dxa"/>
            <w:vAlign w:val="bottom"/>
          </w:tcPr>
          <w:p>
            <w:pPr>
              <w:spacing w:after="0"/>
              <w:rPr>
                <w:sz w:val="24"/>
                <w:szCs w:val="24"/>
                <w:color w:val="auto"/>
              </w:rPr>
            </w:pPr>
          </w:p>
        </w:tc>
      </w:tr>
      <w:tr>
        <w:trPr>
          <w:trHeight w:val="210"/>
        </w:trPr>
        <w:tc>
          <w:tcPr>
            <w:tcW w:w="6380" w:type="dxa"/>
            <w:vAlign w:val="bottom"/>
          </w:tcPr>
          <w:p>
            <w:pPr>
              <w:ind w:left="566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Hans Beekmans</w:t>
            </w:r>
          </w:p>
        </w:tc>
        <w:tc>
          <w:tcPr>
            <w:tcW w:w="40" w:type="dxa"/>
            <w:vAlign w:val="bottom"/>
          </w:tcPr>
          <w:p>
            <w:pPr>
              <w:spacing w:after="0"/>
              <w:rPr>
                <w:sz w:val="18"/>
                <w:szCs w:val="18"/>
                <w:color w:val="auto"/>
              </w:rPr>
            </w:pPr>
          </w:p>
        </w:tc>
      </w:tr>
      <w:tr>
        <w:trPr>
          <w:trHeight w:val="210"/>
        </w:trPr>
        <w:tc>
          <w:tcPr>
            <w:tcW w:w="6380" w:type="dxa"/>
            <w:vAlign w:val="bottom"/>
          </w:tcPr>
          <w:p>
            <w:pPr>
              <w:ind w:left="566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18"/>
                <w:szCs w:val="18"/>
                <w:color w:val="auto"/>
              </w:rPr>
            </w:pPr>
          </w:p>
        </w:tc>
      </w:tr>
      <w:tr>
        <w:trPr>
          <w:trHeight w:val="426"/>
        </w:trPr>
        <w:tc>
          <w:tcPr>
            <w:tcW w:w="6380" w:type="dxa"/>
            <w:vAlign w:val="bottom"/>
          </w:tcPr>
          <w:p>
            <w:pPr>
              <w:spacing w:after="0"/>
              <w:rPr>
                <w:sz w:val="20"/>
                <w:szCs w:val="20"/>
                <w:color w:val="auto"/>
              </w:rPr>
            </w:pPr>
            <w:r>
              <w:rPr>
                <w:rFonts w:ascii="Arial" w:cs="Arial" w:eastAsia="Arial" w:hAnsi="Arial"/>
                <w:sz w:val="18"/>
                <w:szCs w:val="18"/>
                <w:color w:val="auto"/>
              </w:rPr>
              <w:t>Plains All American 364-Day Credit Facility</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380" w:type="dxa"/>
            <w:vAlign w:val="bottom"/>
          </w:tcPr>
          <w:p>
            <w:pPr>
              <w:ind w:left="5540"/>
              <w:spacing w:after="0"/>
              <w:rPr>
                <w:sz w:val="20"/>
                <w:szCs w:val="20"/>
                <w:color w:val="auto"/>
              </w:rPr>
            </w:pPr>
            <w:r>
              <w:rPr>
                <w:rFonts w:ascii="Arial" w:cs="Arial" w:eastAsia="Arial" w:hAnsi="Arial"/>
                <w:sz w:val="18"/>
                <w:szCs w:val="18"/>
                <w:color w:val="auto"/>
              </w:rPr>
              <w:t>S-23</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80" w:type="dxa"/>
            <w:vAlign w:val="bottom"/>
            <w:tcBorders>
              <w:bottom w:val="single" w:sz="8" w:color="010101"/>
            </w:tcBorders>
          </w:tcPr>
          <w:p>
            <w:pPr>
              <w:spacing w:after="0"/>
              <w:rPr>
                <w:sz w:val="11"/>
                <w:szCs w:val="11"/>
                <w:color w:val="auto"/>
              </w:rPr>
            </w:pPr>
          </w:p>
        </w:tc>
        <w:tc>
          <w:tcPr>
            <w:tcW w:w="5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REGIONS BANK,</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56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Valentine</w:t>
            </w:r>
          </w:p>
        </w:tc>
        <w:tc>
          <w:tcPr>
            <w:tcW w:w="40" w:type="dxa"/>
            <w:vAlign w:val="bottom"/>
          </w:tcPr>
          <w:p>
            <w:pPr>
              <w:spacing w:after="0"/>
              <w:rPr>
                <w:sz w:val="20"/>
                <w:szCs w:val="20"/>
                <w:color w:val="auto"/>
              </w:rPr>
            </w:pPr>
          </w:p>
        </w:tc>
      </w:tr>
      <w:tr>
        <w:trPr>
          <w:trHeight w:val="210"/>
        </w:trPr>
        <w:tc>
          <w:tcPr>
            <w:tcW w:w="6380" w:type="dxa"/>
            <w:vAlign w:val="bottom"/>
          </w:tcPr>
          <w:p>
            <w:pPr>
              <w:ind w:left="566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Valentine</w:t>
            </w:r>
          </w:p>
        </w:tc>
        <w:tc>
          <w:tcPr>
            <w:tcW w:w="40" w:type="dxa"/>
            <w:vAlign w:val="bottom"/>
          </w:tcPr>
          <w:p>
            <w:pPr>
              <w:spacing w:after="0"/>
              <w:rPr>
                <w:sz w:val="18"/>
                <w:szCs w:val="18"/>
                <w:color w:val="auto"/>
              </w:rPr>
            </w:pPr>
          </w:p>
        </w:tc>
      </w:tr>
      <w:tr>
        <w:trPr>
          <w:trHeight w:val="210"/>
        </w:trPr>
        <w:tc>
          <w:tcPr>
            <w:tcW w:w="6380" w:type="dxa"/>
            <w:vAlign w:val="bottom"/>
          </w:tcPr>
          <w:p>
            <w:pPr>
              <w:ind w:left="566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18"/>
                <w:szCs w:val="18"/>
                <w:color w:val="auto"/>
              </w:rPr>
            </w:pPr>
          </w:p>
        </w:tc>
      </w:tr>
      <w:tr>
        <w:trPr>
          <w:trHeight w:val="426"/>
        </w:trPr>
        <w:tc>
          <w:tcPr>
            <w:tcW w:w="6380" w:type="dxa"/>
            <w:vAlign w:val="bottom"/>
          </w:tcPr>
          <w:p>
            <w:pPr>
              <w:spacing w:after="0"/>
              <w:rPr>
                <w:sz w:val="20"/>
                <w:szCs w:val="20"/>
                <w:color w:val="auto"/>
              </w:rPr>
            </w:pPr>
            <w:r>
              <w:rPr>
                <w:rFonts w:ascii="Arial" w:cs="Arial" w:eastAsia="Arial" w:hAnsi="Arial"/>
                <w:sz w:val="18"/>
                <w:szCs w:val="18"/>
                <w:color w:val="auto"/>
              </w:rPr>
              <w:t>Plains All American 364-Day Credit Facility</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380" w:type="dxa"/>
            <w:vAlign w:val="bottom"/>
          </w:tcPr>
          <w:p>
            <w:pPr>
              <w:ind w:left="5540"/>
              <w:spacing w:after="0"/>
              <w:rPr>
                <w:sz w:val="20"/>
                <w:szCs w:val="20"/>
                <w:color w:val="auto"/>
              </w:rPr>
            </w:pPr>
            <w:r>
              <w:rPr>
                <w:rFonts w:ascii="Arial" w:cs="Arial" w:eastAsia="Arial" w:hAnsi="Arial"/>
                <w:sz w:val="18"/>
                <w:szCs w:val="18"/>
                <w:color w:val="auto"/>
              </w:rPr>
              <w:t>S-24</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80" w:type="dxa"/>
            <w:vAlign w:val="bottom"/>
            <w:tcBorders>
              <w:bottom w:val="single" w:sz="8" w:color="010101"/>
            </w:tcBorders>
          </w:tcPr>
          <w:p>
            <w:pPr>
              <w:spacing w:after="0"/>
              <w:rPr>
                <w:sz w:val="11"/>
                <w:szCs w:val="11"/>
                <w:color w:val="auto"/>
              </w:rPr>
            </w:pPr>
          </w:p>
        </w:tc>
        <w:tc>
          <w:tcPr>
            <w:tcW w:w="5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SOCIÉTÉ GÉNÉRALE,</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ectPr>
          <w:pgSz w:w="11900" w:h="16838" w:orient="portrait"/>
          <w:cols w:equalWidth="0" w:num="1">
            <w:col w:w="11460"/>
          </w:cols>
          <w:pgMar w:left="240" w:top="125" w:right="199" w:bottom="0" w:gutter="0" w:footer="0" w:header="0"/>
        </w:sectPr>
      </w:pP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Michiel Van der Voort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Michiel Van der Voort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1984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077" w:lineRule="exact"/>
        <w:rPr>
          <w:sz w:val="20"/>
          <w:szCs w:val="20"/>
          <w:color w:val="auto"/>
        </w:rPr>
      </w:pPr>
    </w:p>
    <w:p>
      <w:pPr>
        <w:sectPr>
          <w:pgSz w:w="11900" w:h="16838" w:orient="portrait"/>
          <w:cols w:equalWidth="0" w:num="2">
            <w:col w:w="6140" w:space="240"/>
            <w:col w:w="5080"/>
          </w:cols>
          <w:pgMar w:left="240" w:top="125" w:right="199" w:bottom="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Lozano</w:t>
            </w: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C. Lozano</w:t>
            </w: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364-Day Credit Facility</w:t>
      </w:r>
    </w:p>
    <w:p>
      <w:pPr>
        <w:sectPr>
          <w:pgSz w:w="11900" w:h="16838" w:orient="portrait"/>
          <w:cols w:equalWidth="0" w:num="1">
            <w:col w:w="11460"/>
          </w:cols>
          <w:pgMar w:left="240" w:top="125" w:right="199" w:bottom="0" w:gutter="0" w:footer="0" w:header="0"/>
          <w:type w:val="continuous"/>
        </w:sectPr>
      </w:pPr>
    </w:p>
    <w:bookmarkStart w:id="52" w:name="page53"/>
    <w:bookmarkEnd w:id="52"/>
    <w:p>
      <w:pPr>
        <w:jc w:val="center"/>
        <w:ind w:right="4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5660"/>
              <w:spacing w:after="0"/>
              <w:rPr>
                <w:sz w:val="20"/>
                <w:szCs w:val="20"/>
                <w:color w:val="auto"/>
              </w:rPr>
            </w:pPr>
            <w:r>
              <w:rPr>
                <w:rFonts w:ascii="Arial" w:cs="Arial" w:eastAsia="Arial" w:hAnsi="Arial"/>
                <w:sz w:val="18"/>
                <w:szCs w:val="18"/>
                <w:color w:val="auto"/>
              </w:rPr>
              <w:t>By:</w:t>
            </w: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/s/ M. Colin Warman</w:t>
            </w:r>
          </w:p>
        </w:tc>
        <w:tc>
          <w:tcPr>
            <w:tcW w:w="1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5660"/>
              <w:spacing w:after="0"/>
              <w:rPr>
                <w:sz w:val="20"/>
                <w:szCs w:val="20"/>
                <w:color w:val="auto"/>
              </w:rPr>
            </w:pPr>
            <w:r>
              <w:rPr>
                <w:rFonts w:ascii="Arial" w:cs="Arial" w:eastAsia="Arial" w:hAnsi="Arial"/>
                <w:sz w:val="18"/>
                <w:szCs w:val="18"/>
                <w:color w:val="auto"/>
              </w:rPr>
              <w:t>Name:</w:t>
            </w: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 Colin Warman</w:t>
            </w:r>
          </w:p>
        </w:tc>
        <w:tc>
          <w:tcPr>
            <w:tcW w:w="1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5660"/>
              <w:spacing w:after="0"/>
              <w:rPr>
                <w:sz w:val="20"/>
                <w:szCs w:val="20"/>
                <w:color w:val="auto"/>
              </w:rPr>
            </w:pPr>
            <w:r>
              <w:rPr>
                <w:rFonts w:ascii="Arial" w:cs="Arial" w:eastAsia="Arial" w:hAnsi="Arial"/>
                <w:sz w:val="18"/>
                <w:szCs w:val="18"/>
                <w:color w:val="auto"/>
              </w:rPr>
              <w:t>Title:</w:t>
            </w: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Vice President</w:t>
            </w:r>
          </w:p>
        </w:tc>
        <w:tc>
          <w:tcPr>
            <w:tcW w:w="1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380" w:type="dxa"/>
            <w:vAlign w:val="bottom"/>
          </w:tcPr>
          <w:p>
            <w:pPr>
              <w:spacing w:after="0"/>
              <w:rPr>
                <w:sz w:val="20"/>
                <w:szCs w:val="20"/>
                <w:color w:val="auto"/>
              </w:rPr>
            </w:pPr>
            <w:r>
              <w:rPr>
                <w:rFonts w:ascii="Arial" w:cs="Arial" w:eastAsia="Arial" w:hAnsi="Arial"/>
                <w:sz w:val="18"/>
                <w:szCs w:val="18"/>
                <w:color w:val="auto"/>
              </w:rPr>
              <w:t>Plains All American 364-Day Credit Facility</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80" w:type="dxa"/>
            <w:vAlign w:val="bottom"/>
          </w:tcPr>
          <w:p>
            <w:pPr>
              <w:jc w:val="center"/>
              <w:ind w:left="4951"/>
              <w:spacing w:after="0"/>
              <w:rPr>
                <w:sz w:val="20"/>
                <w:szCs w:val="20"/>
                <w:color w:val="auto"/>
              </w:rPr>
            </w:pPr>
            <w:r>
              <w:rPr>
                <w:rFonts w:ascii="Arial" w:cs="Arial" w:eastAsia="Arial" w:hAnsi="Arial"/>
                <w:sz w:val="18"/>
                <w:szCs w:val="18"/>
                <w:color w:val="auto"/>
                <w:w w:val="89"/>
              </w:rPr>
              <w:t>S-27</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3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6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ind w:left="440"/>
              <w:spacing w:after="0"/>
              <w:rPr>
                <w:sz w:val="20"/>
                <w:szCs w:val="20"/>
                <w:color w:val="auto"/>
              </w:rPr>
            </w:pPr>
            <w:r>
              <w:rPr>
                <w:rFonts w:ascii="Arial" w:cs="Arial" w:eastAsia="Arial" w:hAnsi="Arial"/>
                <w:sz w:val="18"/>
                <w:szCs w:val="18"/>
                <w:b w:val="1"/>
                <w:bCs w:val="1"/>
                <w:i w:val="1"/>
                <w:iCs w:val="1"/>
                <w:color w:val="auto"/>
                <w:w w:val="96"/>
              </w:rPr>
              <w:t>SCHEDULE 2.01</w:t>
            </w:r>
          </w:p>
        </w:tc>
        <w:tc>
          <w:tcPr>
            <w:tcW w:w="0" w:type="dxa"/>
            <w:vAlign w:val="bottom"/>
          </w:tcPr>
          <w:p>
            <w:pPr>
              <w:spacing w:after="0"/>
              <w:rPr>
                <w:sz w:val="1"/>
                <w:szCs w:val="1"/>
                <w:color w:val="auto"/>
              </w:rPr>
            </w:pPr>
          </w:p>
        </w:tc>
      </w:tr>
      <w:tr>
        <w:trPr>
          <w:trHeight w:val="414"/>
        </w:trPr>
        <w:tc>
          <w:tcPr>
            <w:tcW w:w="7980" w:type="dxa"/>
            <w:vAlign w:val="bottom"/>
            <w:gridSpan w:val="4"/>
          </w:tcPr>
          <w:p>
            <w:pPr>
              <w:jc w:val="center"/>
              <w:ind w:left="3371"/>
              <w:spacing w:after="0"/>
              <w:rPr>
                <w:sz w:val="20"/>
                <w:szCs w:val="20"/>
                <w:color w:val="auto"/>
              </w:rPr>
            </w:pPr>
            <w:r>
              <w:rPr>
                <w:rFonts w:ascii="Arial" w:cs="Arial" w:eastAsia="Arial" w:hAnsi="Arial"/>
                <w:sz w:val="18"/>
                <w:szCs w:val="18"/>
                <w:b w:val="1"/>
                <w:bCs w:val="1"/>
                <w:color w:val="auto"/>
              </w:rPr>
              <w:t>COMMITMENTS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80" w:type="dxa"/>
            <w:vAlign w:val="bottom"/>
            <w:gridSpan w:val="4"/>
          </w:tcPr>
          <w:p>
            <w:pPr>
              <w:jc w:val="center"/>
              <w:ind w:left="3351"/>
              <w:spacing w:after="0"/>
              <w:rPr>
                <w:sz w:val="20"/>
                <w:szCs w:val="20"/>
                <w:color w:val="auto"/>
              </w:rPr>
            </w:pPr>
            <w:r>
              <w:rPr>
                <w:rFonts w:ascii="Arial" w:cs="Arial" w:eastAsia="Arial" w:hAnsi="Arial"/>
                <w:sz w:val="18"/>
                <w:szCs w:val="18"/>
                <w:b w:val="1"/>
                <w:bCs w:val="1"/>
                <w:color w:val="auto"/>
                <w:w w:val="98"/>
              </w:rPr>
              <w:t>AND APPLICABLE PERCENTAGES</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638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Commitment</w:t>
            </w:r>
          </w:p>
        </w:tc>
        <w:tc>
          <w:tcPr>
            <w:tcW w:w="1800" w:type="dxa"/>
            <w:vAlign w:val="bottom"/>
            <w:gridSpan w:val="3"/>
          </w:tcPr>
          <w:p>
            <w:pPr>
              <w:ind w:left="460"/>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71"/>
        </w:trPr>
        <w:tc>
          <w:tcPr>
            <w:tcW w:w="63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800" w:type="dxa"/>
            <w:vAlign w:val="bottom"/>
            <w:gridSpan w:val="3"/>
          </w:tcPr>
          <w:p>
            <w:pPr>
              <w:ind w:left="4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6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Bank of America, N.A.</w:t>
            </w: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52,500,000.00</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5.250000000%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JPMorgan Chase Bank, N.A.</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52,500,000.00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DNB Capital LLC</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Wells Fargo Bank, National Association</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52,500,000.00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Citibank, N.A.</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Mizuho Bank, Ltd.</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52,500,000.00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Branch Banking and Trust Company</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Deutsche Bank AG New York Branch</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52,500,000.00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Morgan Stanley Bank, N.A.</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Barclays Bank PLC</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Compass Bank</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BNP Paribas</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Canadian Imperial Bank of Commerce, New York Branch</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Royal Bank of Canada</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Sumitomo Mitsui Banking Corporation</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SunTrust Bank</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Bank of Nova Scotia</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The Bank of Tokyo-Mitsubishi UFJ, Ltd.</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UBS AG, Stamford Branch</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BMO Harris Bank N.A.</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26,500,000.00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ING Capital LLC</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Regions Bank</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26,500,000.00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Société Générale</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U.S. Bank National Association</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26,500,000.00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PNC Bank, National Association</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20,000,000.00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w w:val="98"/>
              </w:rPr>
              <w:t>1,000,000,000.00</w:t>
            </w:r>
          </w:p>
        </w:tc>
        <w:tc>
          <w:tcPr>
            <w:tcW w:w="28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100.000000000%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638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-5071745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-5071745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100"/>
        <w:spacing w:after="0"/>
        <w:rPr>
          <w:sz w:val="20"/>
          <w:szCs w:val="20"/>
          <w:color w:val="auto"/>
        </w:rPr>
      </w:pPr>
      <w:r>
        <w:rPr>
          <w:rFonts w:ascii="Arial" w:cs="Arial" w:eastAsia="Arial" w:hAnsi="Arial"/>
          <w:sz w:val="17"/>
          <w:szCs w:val="17"/>
          <w:b w:val="1"/>
          <w:bCs w:val="1"/>
          <w:i w:val="1"/>
          <w:iCs w:val="1"/>
          <w:color w:val="auto"/>
        </w:rPr>
        <w:t>SCHEDULE 5.03</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GOVERNMENTAL AUTHORIZATION; OTHER CONSENTS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100"/>
        <w:spacing w:after="0"/>
        <w:rPr>
          <w:sz w:val="20"/>
          <w:szCs w:val="20"/>
          <w:color w:val="auto"/>
        </w:rPr>
      </w:pPr>
      <w:r>
        <w:rPr>
          <w:rFonts w:ascii="Arial" w:cs="Arial" w:eastAsia="Arial" w:hAnsi="Arial"/>
          <w:sz w:val="17"/>
          <w:szCs w:val="17"/>
          <w:b w:val="1"/>
          <w:bCs w:val="1"/>
          <w:i w:val="1"/>
          <w:iCs w:val="1"/>
          <w:color w:val="auto"/>
        </w:rPr>
        <w:t>SCHEDULE 5.06</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100"/>
        <w:spacing w:after="0"/>
        <w:rPr>
          <w:sz w:val="20"/>
          <w:szCs w:val="20"/>
          <w:color w:val="auto"/>
        </w:rPr>
      </w:pPr>
      <w:r>
        <w:rPr>
          <w:rFonts w:ascii="Arial" w:cs="Arial" w:eastAsia="Arial" w:hAnsi="Arial"/>
          <w:sz w:val="17"/>
          <w:szCs w:val="17"/>
          <w:b w:val="1"/>
          <w:bCs w:val="1"/>
          <w:i w:val="1"/>
          <w:iCs w:val="1"/>
          <w:color w:val="auto"/>
        </w:rPr>
        <w:t>SCHEDULE 5.07</w:t>
      </w:r>
    </w:p>
    <w:p>
      <w:pPr>
        <w:sectPr>
          <w:pgSz w:w="11900" w:h="16838" w:orient="portrait"/>
          <w:cols w:equalWidth="0" w:num="1">
            <w:col w:w="11460"/>
          </w:cols>
          <w:pgMar w:left="240" w:top="341" w:right="199" w:bottom="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SCHEDULE 5.08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ERISA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SCHEDULE 5.11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00"/>
        <w:spacing w:after="0"/>
        <w:rPr>
          <w:sz w:val="20"/>
          <w:szCs w:val="20"/>
          <w:color w:val="auto"/>
        </w:rPr>
      </w:pPr>
      <w:r>
        <w:rPr>
          <w:rFonts w:ascii="Arial" w:cs="Arial" w:eastAsia="Arial" w:hAnsi="Arial"/>
          <w:sz w:val="17"/>
          <w:szCs w:val="17"/>
          <w:b w:val="1"/>
          <w:bCs w:val="1"/>
          <w:i w:val="1"/>
          <w:iCs w:val="1"/>
          <w:color w:val="auto"/>
        </w:rPr>
        <w:t>SCHEDULE 10.02</w:t>
      </w:r>
    </w:p>
    <w:p>
      <w:pPr>
        <w:spacing w:after="0" w:line="23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 76-0582150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901 Main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TX1-492-14-05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75202-3714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Nora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972-338-3778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214-290-9673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nora.j.taylor@baml.com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129-2000-883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Credit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026009593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w:t>
      </w:r>
      <w:r>
        <w:rPr>
          <w:rFonts w:ascii="Arial" w:cs="Arial" w:eastAsia="Arial" w:hAnsi="Arial"/>
          <w:sz w:val="18"/>
          <w:szCs w:val="18"/>
          <w:i w:val="1"/>
          <w:i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Agency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 S. LaSalle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IL4-135-09-61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Rosanne Parsill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312-923-1639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877-206-8429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rosanne.parsill@baml.com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LOAN NOTICE</w:t>
      </w:r>
    </w:p>
    <w:p>
      <w:pPr>
        <w:sectPr>
          <w:pgSz w:w="11900" w:h="16838" w:orient="portrait"/>
          <w:cols w:equalWidth="0" w:num="1">
            <w:col w:w="11420"/>
          </w:cols>
          <w:pgMar w:left="240" w:top="121" w:right="239" w:bottom="0" w:gutter="0" w:footer="0" w:header="0"/>
        </w:sectPr>
      </w:pPr>
    </w:p>
    <w:bookmarkStart w:id="54" w:name="page55"/>
    <w:bookmarkEnd w:id="54"/>
    <w:p>
      <w:pPr>
        <w:ind w:left="9320"/>
        <w:spacing w:after="0"/>
        <w:tabs>
          <w:tab w:leader="none" w:pos="10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Reference is made to that certain 364-Day Credit Agreement, dated as of January 16, 2015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Plains All American Pipeline, L.P., a Delaware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Bank of America, N.A., as Administrative Agent, and the Lenders from time to time party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(select one):</w:t>
      </w:r>
    </w:p>
    <w:p>
      <w:pPr>
        <w:spacing w:after="0" w:line="225" w:lineRule="exact"/>
        <w:rPr>
          <w:sz w:val="20"/>
          <w:szCs w:val="20"/>
          <w:color w:val="auto"/>
        </w:rPr>
      </w:pPr>
    </w:p>
    <w:p>
      <w:pPr>
        <w:ind w:left="840" w:hanging="184"/>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Borrowing of Loans</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conversion or continuation of Loans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3080" w:type="dxa"/>
            <w:vAlign w:val="bottom"/>
          </w:tcPr>
          <w:p>
            <w:pPr>
              <w:ind w:left="260"/>
              <w:spacing w:after="0"/>
              <w:rPr>
                <w:sz w:val="20"/>
                <w:szCs w:val="20"/>
                <w:color w:val="auto"/>
              </w:rPr>
            </w:pPr>
            <w:r>
              <w:rPr>
                <w:rFonts w:ascii="Arial" w:cs="Arial" w:eastAsia="Arial" w:hAnsi="Arial"/>
                <w:sz w:val="18"/>
                <w:szCs w:val="18"/>
                <w:color w:val="auto"/>
              </w:rPr>
              <w:t>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(a Business Day).</w:t>
            </w:r>
          </w:p>
        </w:tc>
      </w:tr>
      <w:tr>
        <w:trPr>
          <w:trHeight w:val="418"/>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3080" w:type="dxa"/>
            <w:vAlign w:val="bottom"/>
          </w:tcPr>
          <w:p>
            <w:pPr>
              <w:ind w:left="260"/>
              <w:spacing w:after="0"/>
              <w:rPr>
                <w:sz w:val="20"/>
                <w:szCs w:val="20"/>
                <w:color w:val="auto"/>
              </w:rPr>
            </w:pPr>
            <w:r>
              <w:rPr>
                <w:rFonts w:ascii="Arial" w:cs="Arial" w:eastAsia="Arial" w:hAnsi="Arial"/>
                <w:sz w:val="18"/>
                <w:szCs w:val="18"/>
                <w:color w:val="auto"/>
              </w:rPr>
              <w:t>In the [principal amount of $</w:t>
            </w:r>
          </w:p>
        </w:tc>
        <w:tc>
          <w:tcPr>
            <w:tcW w:w="15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4600" w:type="dxa"/>
            <w:vAlign w:val="bottom"/>
            <w:gridSpan w:val="2"/>
          </w:tcPr>
          <w:p>
            <w:pPr>
              <w:ind w:left="260"/>
              <w:spacing w:after="0"/>
              <w:rPr>
                <w:sz w:val="20"/>
                <w:szCs w:val="20"/>
                <w:color w:val="auto"/>
              </w:rPr>
            </w:pPr>
            <w:r>
              <w:rPr>
                <w:rFonts w:ascii="Arial" w:cs="Arial" w:eastAsia="Arial" w:hAnsi="Arial"/>
                <w:sz w:val="18"/>
                <w:szCs w:val="18"/>
                <w:color w:val="auto"/>
              </w:rPr>
              <w:t>[Amount designated as Working Capital Borrowing: $</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Comprised of [Base Rate Loans] [Eurodollar Rate Loans]</w:t>
      </w:r>
    </w:p>
    <w:p>
      <w:pPr>
        <w:spacing w:after="0" w:line="225" w:lineRule="exact"/>
        <w:rPr>
          <w:sz w:val="20"/>
          <w:szCs w:val="20"/>
          <w:color w:val="auto"/>
        </w:rPr>
      </w:pPr>
    </w:p>
    <w:p>
      <w:pPr>
        <w:ind w:left="660"/>
        <w:spacing w:after="0"/>
        <w:tabs>
          <w:tab w:leader="none" w:pos="1280" w:val="left"/>
          <w:tab w:leader="none" w:pos="93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For Eurodollar Rate Loans: with an Interest Period of [seven] [fourteen] [days] [one] [two] [three] [six] [</w:t>
      </w:r>
      <w:r>
        <w:rPr>
          <w:sz w:val="20"/>
          <w:szCs w:val="20"/>
          <w:color w:val="auto"/>
        </w:rPr>
        <w:tab/>
      </w:r>
      <w:r>
        <w:rPr>
          <w:rFonts w:ascii="Arial" w:cs="Arial" w:eastAsia="Arial" w:hAnsi="Arial"/>
          <w:sz w:val="17"/>
          <w:szCs w:val="17"/>
          <w:color w:val="auto"/>
        </w:rPr>
        <w:t>] [month[s]].</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If a conversion or continuation of Loans, the existing Borrowing(s) of Loans to be converted or continued:</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amount of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of Eurodollar Rate Loans with an Interest Period ending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3">
            <w:col w:w="2620" w:space="720"/>
            <w:col w:w="4180" w:space="720"/>
            <w:col w:w="3180"/>
          </w:cols>
          <w:pgMar w:left="240" w:top="125"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amount of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of Base Rate Loans.]</w:t>
      </w:r>
    </w:p>
    <w:p>
      <w:pPr>
        <w:spacing w:after="0" w:line="200" w:lineRule="exact"/>
        <w:rPr>
          <w:sz w:val="20"/>
          <w:szCs w:val="20"/>
          <w:color w:val="auto"/>
        </w:rPr>
      </w:pPr>
    </w:p>
    <w:p>
      <w:pPr>
        <w:sectPr>
          <w:pgSz w:w="11900" w:h="16838" w:orient="portrait"/>
          <w:cols w:equalWidth="0" w:num="2">
            <w:col w:w="2620" w:space="720"/>
            <w:col w:w="8080"/>
          </w:cols>
          <w:pgMar w:left="240" w:top="125"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Borrowing, if any, requested herein complies with the proviso to the first sentence of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EXHIBIT B</w:t>
            </w:r>
          </w:p>
        </w:tc>
      </w:tr>
      <w:tr>
        <w:trPr>
          <w:trHeight w:val="432"/>
        </w:trPr>
        <w:tc>
          <w:tcPr>
            <w:tcW w:w="3140" w:type="dxa"/>
            <w:vAlign w:val="bottom"/>
          </w:tcPr>
          <w:p>
            <w:pPr>
              <w:spacing w:after="0"/>
              <w:rPr>
                <w:sz w:val="24"/>
                <w:szCs w:val="24"/>
                <w:color w:val="auto"/>
              </w:rPr>
            </w:pPr>
          </w:p>
        </w:tc>
        <w:tc>
          <w:tcPr>
            <w:tcW w:w="3340" w:type="dxa"/>
            <w:vAlign w:val="bottom"/>
          </w:tcPr>
          <w:p>
            <w:pPr>
              <w:ind w:left="1880"/>
              <w:spacing w:after="0"/>
              <w:rPr>
                <w:sz w:val="20"/>
                <w:szCs w:val="20"/>
                <w:color w:val="auto"/>
              </w:rPr>
            </w:pPr>
            <w:r>
              <w:rPr>
                <w:rFonts w:ascii="Arial" w:cs="Arial" w:eastAsia="Arial" w:hAnsi="Arial"/>
                <w:sz w:val="18"/>
                <w:szCs w:val="18"/>
                <w:b w:val="1"/>
                <w:bCs w:val="1"/>
                <w:color w:val="auto"/>
              </w:rPr>
              <w:t>FORM OF NOTE</w:t>
            </w: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spacing w:after="0"/>
              <w:rPr>
                <w:sz w:val="24"/>
                <w:szCs w:val="24"/>
                <w:color w:val="auto"/>
              </w:rPr>
            </w:pPr>
          </w:p>
        </w:tc>
        <w:tc>
          <w:tcPr>
            <w:tcW w:w="4940" w:type="dxa"/>
            <w:vAlign w:val="bottom"/>
            <w:gridSpan w:val="4"/>
          </w:tcPr>
          <w:p>
            <w:pPr>
              <w:jc w:val="right"/>
              <w:ind w:right="170"/>
              <w:spacing w:after="0"/>
              <w:rPr>
                <w:sz w:val="20"/>
                <w:szCs w:val="20"/>
                <w:color w:val="auto"/>
              </w:rPr>
            </w:pPr>
            <w:r>
              <w:rPr>
                <w:rFonts w:ascii="Arial" w:cs="Arial" w:eastAsia="Arial" w:hAnsi="Arial"/>
                <w:sz w:val="18"/>
                <w:szCs w:val="18"/>
                <w:color w:val="auto"/>
              </w:rPr>
              <w:t>, 20</w:t>
            </w:r>
          </w:p>
        </w:tc>
      </w:tr>
      <w:tr>
        <w:trPr>
          <w:trHeight w:val="392"/>
        </w:trPr>
        <w:tc>
          <w:tcPr>
            <w:tcW w:w="11420" w:type="dxa"/>
            <w:vAlign w:val="bottom"/>
            <w:gridSpan w:val="6"/>
          </w:tcPr>
          <w:p>
            <w:pPr>
              <w:ind w:left="660"/>
              <w:spacing w:after="0"/>
              <w:rPr>
                <w:sz w:val="20"/>
                <w:szCs w:val="20"/>
                <w:color w:val="auto"/>
              </w:rPr>
            </w:pPr>
            <w:r>
              <w:rPr>
                <w:rFonts w:ascii="Arial" w:cs="Arial" w:eastAsia="Arial" w:hAnsi="Arial"/>
                <w:sz w:val="18"/>
                <w:szCs w:val="18"/>
                <w:color w:val="auto"/>
                <w:w w:val="97"/>
              </w:rPr>
              <w:t>FOR VALUE RECEIVED, the undersigned, PLAINS ALL AMERICAN PIPELINE, L.P., a Delaware limited partnership (“Borrower”), hereby</w:t>
            </w:r>
          </w:p>
        </w:tc>
      </w:tr>
      <w:tr>
        <w:trPr>
          <w:trHeight w:val="20"/>
        </w:trPr>
        <w:tc>
          <w:tcPr>
            <w:tcW w:w="314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3140" w:type="dxa"/>
            <w:vAlign w:val="bottom"/>
          </w:tcPr>
          <w:p>
            <w:pPr>
              <w:spacing w:after="0" w:line="196" w:lineRule="exact"/>
              <w:rPr>
                <w:sz w:val="20"/>
                <w:szCs w:val="20"/>
                <w:color w:val="auto"/>
              </w:rPr>
            </w:pPr>
            <w:r>
              <w:rPr>
                <w:rFonts w:ascii="Arial" w:cs="Arial" w:eastAsia="Arial" w:hAnsi="Arial"/>
                <w:sz w:val="18"/>
                <w:szCs w:val="18"/>
                <w:color w:val="auto"/>
              </w:rPr>
              <w:t>promises to pay to</w:t>
            </w:r>
          </w:p>
        </w:tc>
        <w:tc>
          <w:tcPr>
            <w:tcW w:w="8280" w:type="dxa"/>
            <w:vAlign w:val="bottom"/>
            <w:gridSpan w:val="5"/>
          </w:tcPr>
          <w:p>
            <w:pPr>
              <w:jc w:val="right"/>
              <w:ind w:right="130"/>
              <w:spacing w:after="0" w:line="196" w:lineRule="exact"/>
              <w:rPr>
                <w:sz w:val="20"/>
                <w:szCs w:val="20"/>
                <w:color w:val="auto"/>
              </w:rPr>
            </w:pPr>
            <w:r>
              <w:rPr>
                <w:rFonts w:ascii="Arial" w:cs="Arial" w:eastAsia="Arial" w:hAnsi="Arial"/>
                <w:sz w:val="18"/>
                <w:szCs w:val="18"/>
                <w:color w:val="auto"/>
                <w:w w:val="92"/>
              </w:rPr>
              <w:t>or its registered and permitted assigns (the “Lender”), in accordance with the provisions of the Agreement (as</w:t>
            </w:r>
          </w:p>
        </w:tc>
      </w:tr>
      <w:tr>
        <w:trPr>
          <w:trHeight w:val="20"/>
        </w:trPr>
        <w:tc>
          <w:tcPr>
            <w:tcW w:w="3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8"/>
                <w:szCs w:val="18"/>
                <w:color w:val="auto"/>
                <w:w w:val="96"/>
              </w:rPr>
              <w:t>hereinafter defined), the principal sum of</w:t>
            </w:r>
          </w:p>
        </w:tc>
        <w:tc>
          <w:tcPr>
            <w:tcW w:w="3340" w:type="dxa"/>
            <w:vAlign w:val="bottom"/>
          </w:tcPr>
          <w:p>
            <w:pPr>
              <w:ind w:left="1440"/>
              <w:spacing w:after="0"/>
              <w:rPr>
                <w:sz w:val="20"/>
                <w:szCs w:val="20"/>
                <w:color w:val="auto"/>
              </w:rPr>
            </w:pPr>
            <w:r>
              <w:rPr>
                <w:rFonts w:ascii="Arial" w:cs="Arial" w:eastAsia="Arial" w:hAnsi="Arial"/>
                <w:sz w:val="18"/>
                <w:szCs w:val="18"/>
                <w:color w:val="auto"/>
              </w:rPr>
              <w:t>Dollars ($</w:t>
            </w:r>
          </w:p>
        </w:tc>
        <w:tc>
          <w:tcPr>
            <w:tcW w:w="4940" w:type="dxa"/>
            <w:vAlign w:val="bottom"/>
            <w:gridSpan w:val="4"/>
          </w:tcPr>
          <w:p>
            <w:pPr>
              <w:jc w:val="right"/>
              <w:spacing w:after="0"/>
              <w:rPr>
                <w:sz w:val="20"/>
                <w:szCs w:val="20"/>
                <w:color w:val="auto"/>
              </w:rPr>
            </w:pPr>
            <w:r>
              <w:rPr>
                <w:rFonts w:ascii="Arial" w:cs="Arial" w:eastAsia="Arial" w:hAnsi="Arial"/>
                <w:sz w:val="18"/>
                <w:szCs w:val="18"/>
                <w:color w:val="auto"/>
                <w:w w:val="99"/>
              </w:rPr>
              <w:t>), or, if greater or less, the aggregate unpaid principal amount</w:t>
            </w:r>
          </w:p>
        </w:tc>
      </w:tr>
    </w:tbl>
    <w:p>
      <w:pPr>
        <w:ind w:right="80"/>
        <w:spacing w:after="0" w:line="277" w:lineRule="auto"/>
        <w:rPr>
          <w:sz w:val="20"/>
          <w:szCs w:val="20"/>
          <w:color w:val="auto"/>
        </w:rPr>
      </w:pPr>
      <w:r>
        <w:rPr>
          <w:rFonts w:ascii="Arial" w:cs="Arial" w:eastAsia="Arial" w:hAnsi="Arial"/>
          <w:sz w:val="17"/>
          <w:szCs w:val="17"/>
          <w:color w:val="auto"/>
        </w:rPr>
        <w:t>of each Loan from time to time made by the Lender to Borrower under that certain 364-Day Credit Agreement, dated as of January 16, 2015 (as amended, restated, extended, supplemented or otherwise modified in writing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the terms defined therein being used herein as therein defined), among the Borrower, Bank of America, N.A., as Administrative Agent, and the Lenders from time to time party thereto.</w:t>
      </w:r>
    </w:p>
    <w:p>
      <w:pPr>
        <w:spacing w:after="0" w:line="17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Borrower promises to pay interest on the unpaid principal amount of each Loan from the date of such Loan until such principal amount is paid in full, at such interest rates and at such times as provided in the Agreement. All payments of principal and interest shall be made as provided in the Agreement and to the Administrative Agent for the account of the Lender in Dollars in immediately available funds at the Administrative Agent’s Office. If any amount is not paid in full when due pursuant to the Agreement, such unpaid amount shall bear interest, to be paid upon demand, from the due date thereof until the date of actual payment (and before as well as after judgment) computed at the per annum rate set forth in the Agreement.</w:t>
      </w:r>
    </w:p>
    <w:p>
      <w:pPr>
        <w:sectPr>
          <w:pgSz w:w="11900" w:h="16838" w:orient="portrait"/>
          <w:cols w:equalWidth="0" w:num="1">
            <w:col w:w="11420"/>
          </w:cols>
          <w:pgMar w:left="240" w:top="125" w:right="239" w:bottom="0" w:gutter="0" w:footer="0" w:header="0"/>
          <w:type w:val="continuous"/>
        </w:sectPr>
      </w:pPr>
    </w:p>
    <w:bookmarkStart w:id="55" w:name="page56"/>
    <w:bookmarkEnd w:id="55"/>
    <w:p>
      <w:pPr>
        <w:spacing w:after="0" w:line="2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Note is one of the Notes referred to in the Agreement, is entitled to the benefits thereof and may be prepaid in whole or in part subject to the terms and conditions provided therein. Upon the occurrence and continuation of one or more of the Events of Default specified in the Agreement, all amounts then remaining unpaid on this Note shall become, or may be declared to be, immediately due and payable, in each case, to the extent provided in the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9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Borrower, for itself, its successors and assigns, hereby waives diligence in collecting, presentment, protest and demand and notice of protest, demand, dishonor and non-payment of this Note.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SHALL BE GOVERNED BY AND CONSTRUED IN ACCORDANCE WITH THE LAWS OF THE STATE OF NEW YORK.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8"/>
          </w:tcPr>
          <w:p>
            <w:pPr>
              <w:ind w:left="780"/>
              <w:spacing w:after="0"/>
              <w:rPr>
                <w:sz w:val="20"/>
                <w:szCs w:val="20"/>
                <w:color w:val="auto"/>
              </w:rPr>
            </w:pPr>
            <w:r>
              <w:rPr>
                <w:rFonts w:ascii="Arial" w:cs="Arial" w:eastAsia="Arial" w:hAnsi="Arial"/>
                <w:sz w:val="18"/>
                <w:szCs w:val="18"/>
                <w:b w:val="1"/>
                <w:bCs w:val="1"/>
                <w:color w:val="auto"/>
              </w:rPr>
              <w:t>PLAINS ALL AMERICAN PIPELINE, L.P.</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80" w:type="dxa"/>
            <w:vAlign w:val="bottom"/>
            <w:gridSpan w:val="7"/>
          </w:tcPr>
          <w:p>
            <w:pPr>
              <w:ind w:left="160"/>
              <w:spacing w:after="0"/>
              <w:rPr>
                <w:sz w:val="20"/>
                <w:szCs w:val="20"/>
                <w:color w:val="auto"/>
              </w:rPr>
            </w:pPr>
            <w:r>
              <w:rPr>
                <w:rFonts w:ascii="Arial" w:cs="Arial" w:eastAsia="Arial" w:hAnsi="Arial"/>
                <w:sz w:val="18"/>
                <w:szCs w:val="18"/>
                <w:color w:val="auto"/>
              </w:rPr>
              <w:t>By: PAA GP LLC, its general partner</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80" w:type="dxa"/>
            <w:vAlign w:val="bottom"/>
            <w:gridSpan w:val="7"/>
          </w:tcPr>
          <w:p>
            <w:pPr>
              <w:ind w:left="160"/>
              <w:spacing w:after="0"/>
              <w:rPr>
                <w:sz w:val="20"/>
                <w:szCs w:val="20"/>
                <w:color w:val="auto"/>
              </w:rPr>
            </w:pPr>
            <w:r>
              <w:rPr>
                <w:rFonts w:ascii="Arial" w:cs="Arial" w:eastAsia="Arial" w:hAnsi="Arial"/>
                <w:sz w:val="18"/>
                <w:szCs w:val="18"/>
                <w:color w:val="auto"/>
              </w:rPr>
              <w:t>By: PLAINS AAP, L.P., its sole member</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40" w:type="dxa"/>
            <w:vAlign w:val="bottom"/>
            <w:gridSpan w:val="8"/>
          </w:tcPr>
          <w:p>
            <w:pPr>
              <w:ind w:left="160"/>
              <w:spacing w:after="0"/>
              <w:rPr>
                <w:sz w:val="20"/>
                <w:szCs w:val="20"/>
                <w:color w:val="auto"/>
              </w:rPr>
            </w:pPr>
            <w:r>
              <w:rPr>
                <w:rFonts w:ascii="Arial" w:cs="Arial" w:eastAsia="Arial" w:hAnsi="Arial"/>
                <w:sz w:val="18"/>
                <w:szCs w:val="18"/>
                <w:color w:val="auto"/>
              </w:rPr>
              <w:t>By: 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color w:val="auto"/>
              </w:rPr>
              <w:t>Name:</w:t>
            </w:r>
          </w:p>
        </w:tc>
        <w:tc>
          <w:tcPr>
            <w:tcW w:w="140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gridSpan w:val="5"/>
          </w:tcPr>
          <w:p>
            <w:pPr>
              <w:ind w:left="160"/>
              <w:spacing w:after="0"/>
              <w:rPr>
                <w:sz w:val="20"/>
                <w:szCs w:val="20"/>
                <w:color w:val="auto"/>
              </w:rPr>
            </w:pPr>
            <w:r>
              <w:rPr>
                <w:rFonts w:ascii="Arial" w:cs="Arial" w:eastAsia="Arial" w:hAnsi="Arial"/>
                <w:sz w:val="18"/>
                <w:szCs w:val="18"/>
                <w:color w:val="auto"/>
              </w:rPr>
              <w:t>Title:</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left="339"/>
              <w:spacing w:after="0"/>
              <w:rPr>
                <w:sz w:val="20"/>
                <w:szCs w:val="20"/>
                <w:color w:val="auto"/>
              </w:rPr>
            </w:pPr>
            <w:r>
              <w:rPr>
                <w:rFonts w:ascii="Arial" w:cs="Arial" w:eastAsia="Arial" w:hAnsi="Arial"/>
                <w:sz w:val="18"/>
                <w:szCs w:val="18"/>
                <w:color w:val="auto"/>
                <w:w w:val="94"/>
              </w:rPr>
              <w:t>B - 2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gridSpan w:val="2"/>
          </w:tcPr>
          <w:p>
            <w:pPr>
              <w:spacing w:after="0"/>
              <w:rPr>
                <w:sz w:val="11"/>
                <w:szCs w:val="11"/>
                <w:color w:val="auto"/>
              </w:rPr>
            </w:pPr>
          </w:p>
        </w:tc>
        <w:tc>
          <w:tcPr>
            <w:tcW w:w="1760" w:type="dxa"/>
            <w:vAlign w:val="bottom"/>
            <w:tcBorders>
              <w:bottom w:val="single" w:sz="8" w:color="010101"/>
            </w:tcBorders>
            <w:gridSpan w:val="2"/>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4940" w:type="dxa"/>
            <w:vAlign w:val="bottom"/>
            <w:gridSpan w:val="6"/>
          </w:tcPr>
          <w:p>
            <w:pPr>
              <w:spacing w:after="0"/>
              <w:rPr>
                <w:sz w:val="20"/>
                <w:szCs w:val="20"/>
                <w:color w:val="auto"/>
              </w:rPr>
            </w:pPr>
            <w:r>
              <w:rPr>
                <w:rFonts w:ascii="Arial" w:cs="Arial" w:eastAsia="Arial" w:hAnsi="Arial"/>
                <w:sz w:val="18"/>
                <w:szCs w:val="18"/>
                <w:b w:val="1"/>
                <w:bCs w:val="1"/>
                <w:color w:val="auto"/>
              </w:rPr>
              <w:t>LOANS AND PAYMENTS WITH RESPECT THERETO</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 of</w:t>
            </w:r>
          </w:p>
        </w:tc>
        <w:tc>
          <w:tcPr>
            <w:tcW w:w="1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center"/>
              <w:ind w:left="319"/>
              <w:spacing w:after="0"/>
              <w:rPr>
                <w:sz w:val="20"/>
                <w:szCs w:val="20"/>
                <w:color w:val="auto"/>
              </w:rPr>
            </w:pPr>
            <w:r>
              <w:rPr>
                <w:rFonts w:ascii="Arial" w:cs="Arial" w:eastAsia="Arial" w:hAnsi="Arial"/>
                <w:sz w:val="14"/>
                <w:szCs w:val="14"/>
                <w:b w:val="1"/>
                <w:bCs w:val="1"/>
                <w:color w:val="auto"/>
                <w:w w:val="96"/>
              </w:rPr>
              <w:t>End of</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Principal or</w:t>
            </w:r>
          </w:p>
        </w:tc>
        <w:tc>
          <w:tcPr>
            <w:tcW w:w="182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w:t>
            </w:r>
          </w:p>
        </w:tc>
        <w:tc>
          <w:tcPr>
            <w:tcW w:w="17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Amount of</w:t>
            </w:r>
          </w:p>
        </w:tc>
        <w:tc>
          <w:tcPr>
            <w:tcW w:w="11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Interest</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1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Notation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76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140" w:type="dxa"/>
            <w:vAlign w:val="bottom"/>
          </w:tcPr>
          <w:p>
            <w:pPr>
              <w:jc w:val="center"/>
              <w:ind w:left="299"/>
              <w:spacing w:after="0" w:line="149" w:lineRule="exact"/>
              <w:rPr>
                <w:sz w:val="20"/>
                <w:szCs w:val="20"/>
                <w:color w:val="auto"/>
              </w:rPr>
            </w:pPr>
            <w:r>
              <w:rPr>
                <w:rFonts w:ascii="Arial" w:cs="Arial" w:eastAsia="Arial" w:hAnsi="Arial"/>
                <w:sz w:val="14"/>
                <w:szCs w:val="14"/>
                <w:b w:val="1"/>
                <w:bCs w:val="1"/>
                <w:color w:val="auto"/>
                <w:w w:val="94"/>
              </w:rPr>
              <w:t>Interest</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Paid This</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w:t>
            </w: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20" w:type="dxa"/>
            <w:vAlign w:val="bottom"/>
            <w:gridSpan w:val="2"/>
            <w:vMerge w:val="continue"/>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Loan Made</w:t>
            </w:r>
          </w:p>
        </w:tc>
        <w:tc>
          <w:tcPr>
            <w:tcW w:w="1760" w:type="dxa"/>
            <w:vAlign w:val="bottom"/>
            <w:gridSpan w:val="2"/>
          </w:tcPr>
          <w:p>
            <w:pPr>
              <w:ind w:left="420"/>
              <w:spacing w:after="0"/>
              <w:rPr>
                <w:sz w:val="20"/>
                <w:szCs w:val="20"/>
                <w:color w:val="auto"/>
              </w:rPr>
            </w:pPr>
            <w:r>
              <w:rPr>
                <w:rFonts w:ascii="Arial" w:cs="Arial" w:eastAsia="Arial" w:hAnsi="Arial"/>
                <w:sz w:val="14"/>
                <w:szCs w:val="14"/>
                <w:b w:val="1"/>
                <w:bCs w:val="1"/>
                <w:color w:val="auto"/>
              </w:rPr>
              <w:t>Loan Made</w:t>
            </w:r>
          </w:p>
        </w:tc>
        <w:tc>
          <w:tcPr>
            <w:tcW w:w="1140" w:type="dxa"/>
            <w:vAlign w:val="bottom"/>
          </w:tcPr>
          <w:p>
            <w:pPr>
              <w:jc w:val="center"/>
              <w:ind w:left="319"/>
              <w:spacing w:after="0"/>
              <w:rPr>
                <w:sz w:val="20"/>
                <w:szCs w:val="20"/>
                <w:color w:val="auto"/>
              </w:rPr>
            </w:pPr>
            <w:r>
              <w:rPr>
                <w:rFonts w:ascii="Arial" w:cs="Arial" w:eastAsia="Arial" w:hAnsi="Arial"/>
                <w:sz w:val="14"/>
                <w:szCs w:val="14"/>
                <w:b w:val="1"/>
                <w:bCs w:val="1"/>
                <w:color w:val="auto"/>
                <w:w w:val="96"/>
              </w:rPr>
              <w:t>Period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Date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This Date</w:t>
            </w:r>
          </w:p>
        </w:tc>
        <w:tc>
          <w:tcPr>
            <w:tcW w:w="1160" w:type="dxa"/>
            <w:vAlign w:val="bottom"/>
          </w:tcPr>
          <w:p>
            <w:pPr>
              <w:ind w:left="300"/>
              <w:spacing w:after="0"/>
              <w:rPr>
                <w:sz w:val="20"/>
                <w:szCs w:val="20"/>
                <w:color w:val="auto"/>
              </w:rPr>
            </w:pPr>
            <w:r>
              <w:rPr>
                <w:rFonts w:ascii="Arial" w:cs="Arial" w:eastAsia="Arial" w:hAnsi="Arial"/>
                <w:sz w:val="14"/>
                <w:szCs w:val="14"/>
                <w:b w:val="1"/>
                <w:bCs w:val="1"/>
                <w:color w:val="auto"/>
              </w:rPr>
              <w:t>Made By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left="339"/>
              <w:spacing w:after="0"/>
              <w:rPr>
                <w:sz w:val="20"/>
                <w:szCs w:val="20"/>
                <w:color w:val="auto"/>
              </w:rPr>
            </w:pPr>
            <w:r>
              <w:rPr>
                <w:rFonts w:ascii="Arial" w:cs="Arial" w:eastAsia="Arial" w:hAnsi="Arial"/>
                <w:sz w:val="18"/>
                <w:szCs w:val="18"/>
                <w:color w:val="auto"/>
                <w:w w:val="94"/>
              </w:rPr>
              <w:t>B - 3</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-1795780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-1795780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500"/>
        <w:spacing w:after="0"/>
        <w:rPr>
          <w:sz w:val="20"/>
          <w:szCs w:val="20"/>
          <w:color w:val="auto"/>
        </w:rPr>
      </w:pPr>
      <w:r>
        <w:rPr>
          <w:rFonts w:ascii="Arial" w:cs="Arial" w:eastAsia="Arial" w:hAnsi="Arial"/>
          <w:sz w:val="18"/>
          <w:szCs w:val="18"/>
          <w:b w:val="1"/>
          <w:bCs w:val="1"/>
          <w:i w:val="1"/>
          <w:iCs w:val="1"/>
          <w:color w:val="auto"/>
        </w:rPr>
        <w:t>EXHIBIT C</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ind w:left="8420"/>
        <w:spacing w:after="0"/>
        <w:tabs>
          <w:tab w:leader="none" w:pos="10900" w:val="left"/>
        </w:tabs>
        <w:rPr>
          <w:sz w:val="20"/>
          <w:szCs w:val="20"/>
          <w:color w:val="auto"/>
        </w:rPr>
      </w:pPr>
      <w:r>
        <w:rPr>
          <w:rFonts w:ascii="Arial" w:cs="Arial" w:eastAsia="Arial" w:hAnsi="Arial"/>
          <w:sz w:val="18"/>
          <w:szCs w:val="18"/>
          <w:color w:val="auto"/>
        </w:rPr>
        <w:t>Financial Statement Date: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Reference is made to that certain 364-Day Credit Agreement, dated as of January 16, 2015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Plains All American Pipeline, L.P., a Delaware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Bank of America, N.A., as Administrative Agent, and the Lenders from time to time party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Responsible Officer hereby certifies as of the date hereof that he/she is the duly elected, qualified and acting [chief financial officer</w:t>
      </w:r>
    </w:p>
    <w:p>
      <w:pPr>
        <w:spacing w:after="0" w:line="46" w:lineRule="exact"/>
        <w:rPr>
          <w:sz w:val="20"/>
          <w:szCs w:val="20"/>
          <w:color w:val="auto"/>
        </w:rPr>
      </w:pPr>
    </w:p>
    <w:p>
      <w:pPr>
        <w:ind w:right="160" w:firstLine="8"/>
        <w:spacing w:after="0" w:line="254" w:lineRule="auto"/>
        <w:tabs>
          <w:tab w:leader="none" w:pos="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principal accounting officer / treasurer] of PLAINS ALL AMERICAN GP LLC, a Delaware limited liability company (“</w:t>
      </w:r>
      <w:r>
        <w:rPr>
          <w:rFonts w:ascii="Arial" w:cs="Arial" w:eastAsia="Arial" w:hAnsi="Arial"/>
          <w:sz w:val="18"/>
          <w:szCs w:val="18"/>
          <w:u w:val="single" w:color="auto"/>
          <w:color w:val="auto"/>
        </w:rPr>
        <w:t>General Partner</w:t>
      </w:r>
      <w:r>
        <w:rPr>
          <w:rFonts w:ascii="Arial" w:cs="Arial" w:eastAsia="Arial" w:hAnsi="Arial"/>
          <w:sz w:val="18"/>
          <w:szCs w:val="18"/>
          <w:color w:val="auto"/>
        </w:rPr>
        <w:t>”), the sole general partner of PLAINS AAP, L.P., the sole member of PAA GP LLC, the sole general partner of the Borrower, and that, as such, he/she is authorized to execute and deliver this Certificate to the Administrative Agent on the behalf of General Partner, in its capacity as the sole general partner of PLAINS AAP, L.P., the sole member of PAA GP LLC, the sole general partner of the Borrower, and that:</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 xml:space="preserve">[Use following paragraph 1 for fiscal </w:t>
      </w:r>
      <w:r>
        <w:rPr>
          <w:rFonts w:ascii="Arial" w:cs="Arial" w:eastAsia="Arial" w:hAnsi="Arial"/>
          <w:sz w:val="18"/>
          <w:szCs w:val="18"/>
          <w:b w:val="1"/>
          <w:bCs w:val="1"/>
          <w:i w:val="1"/>
          <w:iCs w:val="1"/>
          <w:color w:val="auto"/>
        </w:rPr>
        <w:t>year-end</w:t>
      </w:r>
      <w:r>
        <w:rPr>
          <w:rFonts w:ascii="Arial" w:cs="Arial" w:eastAsia="Arial" w:hAnsi="Arial"/>
          <w:sz w:val="18"/>
          <w:szCs w:val="18"/>
          <w:i w:val="1"/>
          <w:iCs w:val="1"/>
          <w:color w:val="auto"/>
        </w:rPr>
        <w:t xml:space="preserve"> financial statements]</w:t>
      </w:r>
    </w:p>
    <w:p>
      <w:pPr>
        <w:spacing w:after="0" w:line="225" w:lineRule="exact"/>
        <w:rPr>
          <w:sz w:val="20"/>
          <w:szCs w:val="20"/>
          <w:color w:val="auto"/>
        </w:rPr>
      </w:pPr>
    </w:p>
    <w:p>
      <w:pPr>
        <w:jc w:val="both"/>
        <w:ind w:right="300" w:firstLine="656"/>
        <w:spacing w:after="0" w:line="259" w:lineRule="auto"/>
        <w:tabs>
          <w:tab w:leader="none" w:pos="129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Borrower has delivered the year-end audited consolidated financial statements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of the Agreement for the fiscal year of the Borrower ended as of the date above designated as the Financial Statement Date (the “</w:t>
      </w:r>
      <w:r>
        <w:rPr>
          <w:rFonts w:ascii="Arial" w:cs="Arial" w:eastAsia="Arial" w:hAnsi="Arial"/>
          <w:sz w:val="18"/>
          <w:szCs w:val="18"/>
          <w:u w:val="single" w:color="auto"/>
          <w:color w:val="auto"/>
        </w:rPr>
        <w:t>Reporting Date</w:t>
      </w:r>
      <w:r>
        <w:rPr>
          <w:rFonts w:ascii="Arial" w:cs="Arial" w:eastAsia="Arial" w:hAnsi="Arial"/>
          <w:sz w:val="18"/>
          <w:szCs w:val="18"/>
          <w:color w:val="auto"/>
        </w:rPr>
        <w:t>”), together with the opinion of an independent certified public accountant required by such section. Such consolidated financial statements are accurate and complete in all material respects (subject to normal year-end adjustments).</w:t>
      </w:r>
    </w:p>
    <w:p>
      <w:pPr>
        <w:sectPr>
          <w:pgSz w:w="11900" w:h="16864" w:orient="portrait"/>
          <w:cols w:equalWidth="0" w:num="1">
            <w:col w:w="11460"/>
          </w:cols>
          <w:pgMar w:left="240" w:top="125" w:right="199" w:bottom="0" w:gutter="0" w:footer="0" w:header="0"/>
        </w:sectPr>
      </w:pP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 xml:space="preserve">[Use following paragraph 1 for fiscal </w:t>
      </w:r>
      <w:r>
        <w:rPr>
          <w:rFonts w:ascii="Arial" w:cs="Arial" w:eastAsia="Arial" w:hAnsi="Arial"/>
          <w:sz w:val="16"/>
          <w:szCs w:val="16"/>
          <w:b w:val="1"/>
          <w:bCs w:val="1"/>
          <w:i w:val="1"/>
          <w:iCs w:val="1"/>
          <w:color w:val="auto"/>
        </w:rPr>
        <w:t>quarter-end</w:t>
      </w:r>
      <w:r>
        <w:rPr>
          <w:rFonts w:ascii="Arial" w:cs="Arial" w:eastAsia="Arial" w:hAnsi="Arial"/>
          <w:sz w:val="16"/>
          <w:szCs w:val="16"/>
          <w:i w:val="1"/>
          <w:iCs w:val="1"/>
          <w:color w:val="auto"/>
        </w:rPr>
        <w:t xml:space="preserve"> financial statements]</w:t>
      </w:r>
    </w:p>
    <w:p>
      <w:pPr>
        <w:sectPr>
          <w:pgSz w:w="11900" w:h="16864" w:orient="portrait"/>
          <w:cols w:equalWidth="0" w:num="1">
            <w:col w:w="11460"/>
          </w:cols>
          <w:pgMar w:left="240" w:top="125" w:right="199" w:bottom="0" w:gutter="0" w:footer="0" w:header="0"/>
          <w:type w:val="continuous"/>
        </w:sectPr>
      </w:pPr>
    </w:p>
    <w:bookmarkStart w:id="56" w:name="page57"/>
    <w:bookmarkEnd w:id="56"/>
    <w:p>
      <w:pPr>
        <w:ind w:right="300" w:firstLine="656"/>
        <w:spacing w:after="0" w:line="279" w:lineRule="auto"/>
        <w:tabs>
          <w:tab w:leader="none" w:pos="129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The Borrower has delivered the unaudited consolidated financial statements required by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of the Agreement for the fiscal quarter of the Borrower ended as of the date above designated as the Financial Statement Date (the “</w:t>
      </w:r>
      <w:r>
        <w:rPr>
          <w:rFonts w:ascii="Arial" w:cs="Arial" w:eastAsia="Arial" w:hAnsi="Arial"/>
          <w:sz w:val="17"/>
          <w:szCs w:val="17"/>
          <w:u w:val="single" w:color="auto"/>
          <w:color w:val="auto"/>
        </w:rPr>
        <w:t>Reporting Date</w:t>
      </w:r>
      <w:r>
        <w:rPr>
          <w:rFonts w:ascii="Arial" w:cs="Arial" w:eastAsia="Arial" w:hAnsi="Arial"/>
          <w:sz w:val="17"/>
          <w:szCs w:val="17"/>
          <w:color w:val="auto"/>
        </w:rPr>
        <w:t>”). Such consolidated financial statements fairly present the financial condition of the Borrower and its Subsidiaries on a consolidated basis in accordance with GAAP as at such date and their results of operations for such period, subject only to the absence of footnotes and to normal year-end audit adjustments.</w:t>
      </w:r>
    </w:p>
    <w:p>
      <w:pPr>
        <w:spacing w:after="0" w:line="171" w:lineRule="exact"/>
        <w:rPr>
          <w:rFonts w:ascii="Arial" w:cs="Arial" w:eastAsia="Arial" w:hAnsi="Arial"/>
          <w:sz w:val="17"/>
          <w:szCs w:val="17"/>
          <w:color w:val="auto"/>
        </w:rPr>
      </w:pPr>
    </w:p>
    <w:p>
      <w:pPr>
        <w:ind w:right="540" w:firstLine="656"/>
        <w:spacing w:after="0" w:line="277" w:lineRule="auto"/>
        <w:tabs>
          <w:tab w:leader="none" w:pos="12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Agreement and has made, or has caused to be made under his/her supervision, a review of the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condition (financial or otherwise) of the Borrower during the fiscal period covered by such consolidated financial statements with a view to determining whether during such fiscal period the Borrower performed and observed all its Obligations under the Loan Documents,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[select one:]</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[to the best knowledge of the undersigned, no Default has occurred and is continuing on the Reporting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or—</w:t>
      </w:r>
    </w:p>
    <w:p>
      <w:pPr>
        <w:spacing w:after="0" w:line="225" w:lineRule="exact"/>
        <w:rPr>
          <w:sz w:val="20"/>
          <w:szCs w:val="20"/>
          <w:color w:val="auto"/>
        </w:rPr>
      </w:pPr>
    </w:p>
    <w:p>
      <w:pPr>
        <w:ind w:right="320" w:firstLine="720"/>
        <w:spacing w:after="0" w:line="282" w:lineRule="auto"/>
        <w:rPr>
          <w:sz w:val="20"/>
          <w:szCs w:val="20"/>
          <w:color w:val="auto"/>
        </w:rPr>
      </w:pPr>
      <w:r>
        <w:rPr>
          <w:rFonts w:ascii="Arial" w:cs="Arial" w:eastAsia="Arial" w:hAnsi="Arial"/>
          <w:sz w:val="18"/>
          <w:szCs w:val="18"/>
          <w:b w:val="1"/>
          <w:bCs w:val="1"/>
          <w:color w:val="auto"/>
        </w:rPr>
        <w:t>[to the best knowledge of the undersigned, the following is a list of (i) each Default that has occurred and is continuing on the Reporting Date and (ii) its nature and status:]</w:t>
      </w:r>
    </w:p>
    <w:p>
      <w:pPr>
        <w:spacing w:after="0" w:line="166"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financial covenant analyses and information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are true and accurate on and as of the Reporting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500" w:firstLine="656"/>
        <w:spacing w:after="0" w:line="277" w:lineRule="auto"/>
        <w:tabs>
          <w:tab w:leader="none" w:pos="129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is a list of each Subsidiary designated as an Unrestricted Subsidiary since the date of the most-recently delivered prior Compliance Certificate under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of the Agreement.</w:t>
      </w:r>
    </w:p>
    <w:p>
      <w:pPr>
        <w:spacing w:after="0" w:line="170" w:lineRule="exact"/>
        <w:rPr>
          <w:sz w:val="20"/>
          <w:szCs w:val="20"/>
          <w:color w:val="auto"/>
        </w:rPr>
      </w:pPr>
    </w:p>
    <w:p>
      <w:pPr>
        <w:ind w:left="660"/>
        <w:spacing w:after="0"/>
        <w:tabs>
          <w:tab w:leader="none" w:pos="8840" w:val="left"/>
          <w:tab w:leader="none" w:pos="9600" w:val="left"/>
        </w:tabs>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undersigned has executed this Certificate on behalf of the Borrower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tabs>
          <w:tab w:leader="none" w:pos="1360" w:val="left"/>
        </w:tabs>
        <w:rPr>
          <w:sz w:val="20"/>
          <w:szCs w:val="20"/>
          <w:color w:val="auto"/>
        </w:rPr>
      </w:pPr>
      <w:r>
        <w:rPr>
          <w:rFonts w:ascii="Arial" w:cs="Arial" w:eastAsia="Arial" w:hAnsi="Arial"/>
          <w:sz w:val="18"/>
          <w:szCs w:val="18"/>
          <w:color w:val="auto"/>
        </w:rPr>
        <w:t>For the Quarter/Year ended</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Statement Date</w:t>
      </w:r>
      <w:r>
        <w:rPr>
          <w:rFonts w:ascii="Arial" w:cs="Arial" w:eastAsia="Arial" w:hAnsi="Arial"/>
          <w:sz w:val="16"/>
          <w:szCs w:val="16"/>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000’s)</w:t>
      </w:r>
    </w:p>
    <w:p>
      <w:pPr>
        <w:spacing w:after="0" w:line="207" w:lineRule="exact"/>
        <w:rPr>
          <w:sz w:val="20"/>
          <w:szCs w:val="20"/>
          <w:color w:val="auto"/>
        </w:rPr>
      </w:pPr>
    </w:p>
    <w:p>
      <w:pPr>
        <w:ind w:left="800" w:hanging="792"/>
        <w:spacing w:after="0"/>
        <w:tabs>
          <w:tab w:leader="none" w:pos="8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Section 7.08 — Consolidated Leverage Ratio.</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color w:val="auto"/>
        </w:rPr>
        <w:t>Consolidated EBITDA for four consecutive fiscal quarters ending on above date (“</w:t>
      </w:r>
      <w:r>
        <w:rPr>
          <w:rFonts w:ascii="Arial" w:cs="Arial" w:eastAsia="Arial" w:hAnsi="Arial"/>
          <w:sz w:val="16"/>
          <w:szCs w:val="16"/>
          <w:u w:val="single" w:color="auto"/>
          <w:color w:val="auto"/>
        </w:rPr>
        <w:t>Subject Period</w:t>
      </w:r>
      <w:r>
        <w:rPr>
          <w:rFonts w:ascii="Arial" w:cs="Arial" w:eastAsia="Arial" w:hAnsi="Arial"/>
          <w:sz w:val="16"/>
          <w:szCs w:val="16"/>
          <w:color w:val="auto"/>
        </w:rPr>
        <w:t>”):</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20" w:type="dxa"/>
            <w:vAlign w:val="bottom"/>
          </w:tcPr>
          <w:p>
            <w:pPr>
              <w:jc w:val="right"/>
              <w:ind w:right="215"/>
              <w:spacing w:after="0"/>
              <w:rPr>
                <w:sz w:val="20"/>
                <w:szCs w:val="20"/>
                <w:color w:val="auto"/>
              </w:rPr>
            </w:pPr>
            <w:r>
              <w:rPr>
                <w:rFonts w:ascii="Arial" w:cs="Arial" w:eastAsia="Arial" w:hAnsi="Arial"/>
                <w:sz w:val="17"/>
                <w:szCs w:val="17"/>
                <w:color w:val="auto"/>
                <w:w w:val="70"/>
              </w:rPr>
              <w:t>1.</w:t>
            </w:r>
          </w:p>
        </w:tc>
        <w:tc>
          <w:tcPr>
            <w:tcW w:w="8140" w:type="dxa"/>
            <w:vAlign w:val="bottom"/>
          </w:tcPr>
          <w:p>
            <w:pPr>
              <w:ind w:left="280"/>
              <w:spacing w:after="0"/>
              <w:rPr>
                <w:sz w:val="20"/>
                <w:szCs w:val="20"/>
                <w:color w:val="auto"/>
              </w:rPr>
            </w:pPr>
            <w:r>
              <w:rPr>
                <w:rFonts w:ascii="Arial" w:cs="Arial" w:eastAsia="Arial" w:hAnsi="Arial"/>
                <w:sz w:val="18"/>
                <w:szCs w:val="18"/>
                <w:color w:val="auto"/>
              </w:rPr>
              <w:t>Consolidated Net Income for Subject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20" w:type="dxa"/>
            <w:vAlign w:val="bottom"/>
          </w:tcPr>
          <w:p>
            <w:pPr>
              <w:jc w:val="right"/>
              <w:ind w:right="215"/>
              <w:spacing w:after="0"/>
              <w:rPr>
                <w:sz w:val="20"/>
                <w:szCs w:val="20"/>
                <w:color w:val="auto"/>
              </w:rPr>
            </w:pPr>
            <w:r>
              <w:rPr>
                <w:rFonts w:ascii="Arial" w:cs="Arial" w:eastAsia="Arial" w:hAnsi="Arial"/>
                <w:sz w:val="17"/>
                <w:szCs w:val="17"/>
                <w:color w:val="auto"/>
                <w:w w:val="70"/>
              </w:rPr>
              <w:t>2.</w:t>
            </w:r>
          </w:p>
        </w:tc>
        <w:tc>
          <w:tcPr>
            <w:tcW w:w="8140" w:type="dxa"/>
            <w:vAlign w:val="bottom"/>
          </w:tcPr>
          <w:p>
            <w:pPr>
              <w:ind w:left="280"/>
              <w:spacing w:after="0"/>
              <w:rPr>
                <w:sz w:val="20"/>
                <w:szCs w:val="20"/>
                <w:color w:val="auto"/>
              </w:rPr>
            </w:pPr>
            <w:r>
              <w:rPr>
                <w:rFonts w:ascii="Arial" w:cs="Arial" w:eastAsia="Arial" w:hAnsi="Arial"/>
                <w:sz w:val="18"/>
                <w:szCs w:val="18"/>
                <w:color w:val="auto"/>
              </w:rPr>
              <w:t>Consolidated interest charges and expenses for Subject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20" w:type="dxa"/>
            <w:vAlign w:val="bottom"/>
          </w:tcPr>
          <w:p>
            <w:pPr>
              <w:jc w:val="right"/>
              <w:ind w:right="215"/>
              <w:spacing w:after="0"/>
              <w:rPr>
                <w:sz w:val="20"/>
                <w:szCs w:val="20"/>
                <w:color w:val="auto"/>
              </w:rPr>
            </w:pPr>
            <w:r>
              <w:rPr>
                <w:rFonts w:ascii="Arial" w:cs="Arial" w:eastAsia="Arial" w:hAnsi="Arial"/>
                <w:sz w:val="17"/>
                <w:szCs w:val="17"/>
                <w:color w:val="auto"/>
                <w:w w:val="70"/>
              </w:rPr>
              <w:t>3.</w:t>
            </w:r>
          </w:p>
        </w:tc>
        <w:tc>
          <w:tcPr>
            <w:tcW w:w="8140" w:type="dxa"/>
            <w:vAlign w:val="bottom"/>
          </w:tcPr>
          <w:p>
            <w:pPr>
              <w:ind w:left="280"/>
              <w:spacing w:after="0"/>
              <w:rPr>
                <w:sz w:val="20"/>
                <w:szCs w:val="20"/>
                <w:color w:val="auto"/>
              </w:rPr>
            </w:pPr>
            <w:r>
              <w:rPr>
                <w:rFonts w:ascii="Arial" w:cs="Arial" w:eastAsia="Arial" w:hAnsi="Arial"/>
                <w:sz w:val="18"/>
                <w:szCs w:val="18"/>
                <w:color w:val="auto"/>
              </w:rPr>
              <w:t>Provision for income taxes for Subject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20" w:type="dxa"/>
            <w:vAlign w:val="bottom"/>
          </w:tcPr>
          <w:p>
            <w:pPr>
              <w:jc w:val="right"/>
              <w:ind w:right="215"/>
              <w:spacing w:after="0"/>
              <w:rPr>
                <w:sz w:val="20"/>
                <w:szCs w:val="20"/>
                <w:color w:val="auto"/>
              </w:rPr>
            </w:pPr>
            <w:r>
              <w:rPr>
                <w:rFonts w:ascii="Arial" w:cs="Arial" w:eastAsia="Arial" w:hAnsi="Arial"/>
                <w:sz w:val="17"/>
                <w:szCs w:val="17"/>
                <w:color w:val="auto"/>
                <w:w w:val="70"/>
              </w:rPr>
              <w:t>4.</w:t>
            </w:r>
          </w:p>
        </w:tc>
        <w:tc>
          <w:tcPr>
            <w:tcW w:w="8140" w:type="dxa"/>
            <w:vAlign w:val="bottom"/>
          </w:tcPr>
          <w:p>
            <w:pPr>
              <w:ind w:left="280"/>
              <w:spacing w:after="0"/>
              <w:rPr>
                <w:sz w:val="20"/>
                <w:szCs w:val="20"/>
                <w:color w:val="auto"/>
              </w:rPr>
            </w:pPr>
            <w:r>
              <w:rPr>
                <w:rFonts w:ascii="Arial" w:cs="Arial" w:eastAsia="Arial" w:hAnsi="Arial"/>
                <w:sz w:val="18"/>
                <w:szCs w:val="18"/>
                <w:color w:val="auto"/>
              </w:rPr>
              <w:t>Depreciation expenses for Subject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20" w:type="dxa"/>
            <w:vAlign w:val="bottom"/>
          </w:tcPr>
          <w:p>
            <w:pPr>
              <w:jc w:val="right"/>
              <w:ind w:right="215"/>
              <w:spacing w:after="0"/>
              <w:rPr>
                <w:sz w:val="20"/>
                <w:szCs w:val="20"/>
                <w:color w:val="auto"/>
              </w:rPr>
            </w:pPr>
            <w:r>
              <w:rPr>
                <w:rFonts w:ascii="Arial" w:cs="Arial" w:eastAsia="Arial" w:hAnsi="Arial"/>
                <w:sz w:val="17"/>
                <w:szCs w:val="17"/>
                <w:color w:val="auto"/>
                <w:w w:val="70"/>
              </w:rPr>
              <w:t>5.</w:t>
            </w:r>
          </w:p>
        </w:tc>
        <w:tc>
          <w:tcPr>
            <w:tcW w:w="8140" w:type="dxa"/>
            <w:vAlign w:val="bottom"/>
          </w:tcPr>
          <w:p>
            <w:pPr>
              <w:ind w:left="280"/>
              <w:spacing w:after="0"/>
              <w:rPr>
                <w:sz w:val="20"/>
                <w:szCs w:val="20"/>
                <w:color w:val="auto"/>
              </w:rPr>
            </w:pPr>
            <w:r>
              <w:rPr>
                <w:rFonts w:ascii="Arial" w:cs="Arial" w:eastAsia="Arial" w:hAnsi="Arial"/>
                <w:sz w:val="18"/>
                <w:szCs w:val="18"/>
                <w:color w:val="auto"/>
              </w:rPr>
              <w:t>Depletion expenses for Subject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20" w:type="dxa"/>
            <w:vAlign w:val="bottom"/>
          </w:tcPr>
          <w:p>
            <w:pPr>
              <w:jc w:val="right"/>
              <w:ind w:right="215"/>
              <w:spacing w:after="0"/>
              <w:rPr>
                <w:sz w:val="20"/>
                <w:szCs w:val="20"/>
                <w:color w:val="auto"/>
              </w:rPr>
            </w:pPr>
            <w:r>
              <w:rPr>
                <w:rFonts w:ascii="Arial" w:cs="Arial" w:eastAsia="Arial" w:hAnsi="Arial"/>
                <w:sz w:val="17"/>
                <w:szCs w:val="17"/>
                <w:color w:val="auto"/>
                <w:w w:val="70"/>
              </w:rPr>
              <w:t>6.</w:t>
            </w:r>
          </w:p>
        </w:tc>
        <w:tc>
          <w:tcPr>
            <w:tcW w:w="8140" w:type="dxa"/>
            <w:vAlign w:val="bottom"/>
          </w:tcPr>
          <w:p>
            <w:pPr>
              <w:ind w:left="280"/>
              <w:spacing w:after="0"/>
              <w:rPr>
                <w:sz w:val="20"/>
                <w:szCs w:val="20"/>
                <w:color w:val="auto"/>
              </w:rPr>
            </w:pPr>
            <w:r>
              <w:rPr>
                <w:rFonts w:ascii="Arial" w:cs="Arial" w:eastAsia="Arial" w:hAnsi="Arial"/>
                <w:sz w:val="18"/>
                <w:szCs w:val="18"/>
                <w:color w:val="auto"/>
              </w:rPr>
              <w:t>Amortization expenses for Subject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20" w:type="dxa"/>
            <w:vAlign w:val="bottom"/>
          </w:tcPr>
          <w:p>
            <w:pPr>
              <w:jc w:val="right"/>
              <w:ind w:right="215"/>
              <w:spacing w:after="0"/>
              <w:rPr>
                <w:sz w:val="20"/>
                <w:szCs w:val="20"/>
                <w:color w:val="auto"/>
              </w:rPr>
            </w:pPr>
            <w:r>
              <w:rPr>
                <w:rFonts w:ascii="Arial" w:cs="Arial" w:eastAsia="Arial" w:hAnsi="Arial"/>
                <w:sz w:val="17"/>
                <w:szCs w:val="17"/>
                <w:color w:val="auto"/>
                <w:w w:val="70"/>
              </w:rPr>
              <w:t>7.</w:t>
            </w:r>
          </w:p>
        </w:tc>
        <w:tc>
          <w:tcPr>
            <w:tcW w:w="8140" w:type="dxa"/>
            <w:vAlign w:val="bottom"/>
          </w:tcPr>
          <w:p>
            <w:pPr>
              <w:ind w:left="280"/>
              <w:spacing w:after="0"/>
              <w:rPr>
                <w:sz w:val="20"/>
                <w:szCs w:val="20"/>
                <w:color w:val="auto"/>
              </w:rPr>
            </w:pPr>
            <w:r>
              <w:rPr>
                <w:rFonts w:ascii="Arial" w:cs="Arial" w:eastAsia="Arial" w:hAnsi="Arial"/>
                <w:sz w:val="18"/>
                <w:szCs w:val="18"/>
                <w:color w:val="auto"/>
                <w:w w:val="94"/>
              </w:rPr>
              <w:t>Costs or expenses resulting from distributions or redemptions of the Borrower’s units issued pursuant to</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341" w:right="239" w:bottom="0" w:gutter="0" w:footer="0" w:header="0"/>
        </w:sectPr>
      </w:pPr>
    </w:p>
    <w:bookmarkStart w:id="57" w:name="page58"/>
    <w:bookmarkEnd w:id="57"/>
    <w:p>
      <w:pPr>
        <w:ind w:left="1500"/>
        <w:spacing w:after="0"/>
        <w:rPr>
          <w:sz w:val="20"/>
          <w:szCs w:val="20"/>
          <w:color w:val="auto"/>
        </w:rPr>
      </w:pPr>
      <w:r>
        <w:rPr>
          <w:rFonts w:ascii="Arial" w:cs="Arial" w:eastAsia="Arial" w:hAnsi="Arial"/>
          <w:sz w:val="18"/>
          <w:szCs w:val="18"/>
          <w:color w:val="auto"/>
        </w:rPr>
        <w:t>the Borrower’s long-term incentive plan for Subject Period:</w:t>
      </w:r>
    </w:p>
    <w:p>
      <w:pPr>
        <w:spacing w:after="0" w:line="225" w:lineRule="exact"/>
        <w:rPr>
          <w:sz w:val="20"/>
          <w:szCs w:val="20"/>
          <w:color w:val="auto"/>
        </w:rPr>
      </w:pPr>
    </w:p>
    <w:p>
      <w:pPr>
        <w:ind w:left="1500" w:hanging="709"/>
        <w:spacing w:after="0"/>
        <w:tabs>
          <w:tab w:leader="none" w:pos="1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acquisition-related expenses deducted from Consolidated Net Income for Subject Period and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w w:val="95"/>
              </w:rPr>
              <w:t>associated with closed acquisitions or any other potential acquisitions that have not been abandoned:</w:t>
            </w:r>
          </w:p>
        </w:tc>
        <w:tc>
          <w:tcPr>
            <w:tcW w:w="2220" w:type="dxa"/>
            <w:vAlign w:val="bottom"/>
          </w:tcPr>
          <w:p>
            <w:pPr>
              <w:jc w:val="right"/>
              <w:ind w:right="1570"/>
              <w:spacing w:after="0"/>
              <w:rPr>
                <w:sz w:val="20"/>
                <w:szCs w:val="20"/>
                <w:color w:val="auto"/>
              </w:rPr>
            </w:pPr>
            <w:r>
              <w:rPr>
                <w:rFonts w:ascii="Arial" w:cs="Arial" w:eastAsia="Arial" w:hAnsi="Arial"/>
                <w:sz w:val="18"/>
                <w:szCs w:val="18"/>
                <w:color w:val="auto"/>
              </w:rPr>
              <w:t>$</w:t>
            </w:r>
          </w:p>
        </w:tc>
      </w:tr>
      <w:tr>
        <w:trPr>
          <w:trHeight w:val="418"/>
        </w:trPr>
        <w:tc>
          <w:tcPr>
            <w:tcW w:w="1260" w:type="dxa"/>
            <w:vAlign w:val="bottom"/>
          </w:tcPr>
          <w:p>
            <w:pPr>
              <w:ind w:left="800"/>
              <w:spacing w:after="0"/>
              <w:rPr>
                <w:sz w:val="20"/>
                <w:szCs w:val="20"/>
                <w:color w:val="auto"/>
              </w:rPr>
            </w:pPr>
            <w:r>
              <w:rPr>
                <w:rFonts w:ascii="Arial" w:cs="Arial" w:eastAsia="Arial" w:hAnsi="Arial"/>
                <w:sz w:val="18"/>
                <w:szCs w:val="18"/>
                <w:color w:val="auto"/>
              </w:rPr>
              <w:t>9.</w:t>
            </w:r>
          </w:p>
        </w:tc>
        <w:tc>
          <w:tcPr>
            <w:tcW w:w="7980" w:type="dxa"/>
            <w:vAlign w:val="bottom"/>
          </w:tcPr>
          <w:p>
            <w:pPr>
              <w:ind w:left="240"/>
              <w:spacing w:after="0"/>
              <w:rPr>
                <w:sz w:val="20"/>
                <w:szCs w:val="20"/>
                <w:color w:val="auto"/>
              </w:rPr>
            </w:pPr>
            <w:r>
              <w:rPr>
                <w:rFonts w:ascii="Arial" w:cs="Arial" w:eastAsia="Arial" w:hAnsi="Arial"/>
                <w:sz w:val="18"/>
                <w:szCs w:val="18"/>
                <w:color w:val="auto"/>
              </w:rPr>
              <w:t>Non-recurring non-cash reductions of Consolidated Net Income for Subject Period:</w:t>
            </w:r>
          </w:p>
        </w:tc>
        <w:tc>
          <w:tcPr>
            <w:tcW w:w="2220" w:type="dxa"/>
            <w:vAlign w:val="bottom"/>
          </w:tcPr>
          <w:p>
            <w:pPr>
              <w:jc w:val="right"/>
              <w:ind w:right="1570"/>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ind w:left="800"/>
              <w:spacing w:after="0"/>
              <w:rPr>
                <w:sz w:val="20"/>
                <w:szCs w:val="20"/>
                <w:color w:val="auto"/>
              </w:rPr>
            </w:pPr>
            <w:r>
              <w:rPr>
                <w:rFonts w:ascii="Arial" w:cs="Arial" w:eastAsia="Arial" w:hAnsi="Arial"/>
                <w:sz w:val="18"/>
                <w:szCs w:val="18"/>
                <w:color w:val="auto"/>
              </w:rPr>
              <w:t>10.</w:t>
            </w:r>
          </w:p>
        </w:tc>
        <w:tc>
          <w:tcPr>
            <w:tcW w:w="7980" w:type="dxa"/>
            <w:vAlign w:val="bottom"/>
          </w:tcPr>
          <w:p>
            <w:pPr>
              <w:ind w:left="240"/>
              <w:spacing w:after="0"/>
              <w:rPr>
                <w:sz w:val="20"/>
                <w:szCs w:val="20"/>
                <w:color w:val="auto"/>
              </w:rPr>
            </w:pPr>
            <w:r>
              <w:rPr>
                <w:rFonts w:ascii="Arial" w:cs="Arial" w:eastAsia="Arial" w:hAnsi="Arial"/>
                <w:sz w:val="18"/>
                <w:szCs w:val="18"/>
                <w:color w:val="auto"/>
              </w:rPr>
              <w:t>Income tax credits for Subject Period:</w:t>
            </w:r>
          </w:p>
        </w:tc>
        <w:tc>
          <w:tcPr>
            <w:tcW w:w="2220" w:type="dxa"/>
            <w:vAlign w:val="bottom"/>
          </w:tcPr>
          <w:p>
            <w:pPr>
              <w:jc w:val="right"/>
              <w:ind w:right="1570"/>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ind w:left="800"/>
              <w:spacing w:after="0"/>
              <w:rPr>
                <w:sz w:val="20"/>
                <w:szCs w:val="20"/>
                <w:color w:val="auto"/>
              </w:rPr>
            </w:pPr>
            <w:r>
              <w:rPr>
                <w:rFonts w:ascii="Arial" w:cs="Arial" w:eastAsia="Arial" w:hAnsi="Arial"/>
                <w:sz w:val="18"/>
                <w:szCs w:val="18"/>
                <w:color w:val="auto"/>
              </w:rPr>
              <w:t>11.</w:t>
            </w:r>
          </w:p>
        </w:tc>
        <w:tc>
          <w:tcPr>
            <w:tcW w:w="7980" w:type="dxa"/>
            <w:vAlign w:val="bottom"/>
          </w:tcPr>
          <w:p>
            <w:pPr>
              <w:ind w:left="240"/>
              <w:spacing w:after="0"/>
              <w:rPr>
                <w:sz w:val="20"/>
                <w:szCs w:val="20"/>
                <w:color w:val="auto"/>
              </w:rPr>
            </w:pPr>
            <w:r>
              <w:rPr>
                <w:rFonts w:ascii="Arial" w:cs="Arial" w:eastAsia="Arial" w:hAnsi="Arial"/>
                <w:sz w:val="18"/>
                <w:szCs w:val="18"/>
                <w:color w:val="auto"/>
              </w:rPr>
              <w:t>Non-cash additions to Consolidated Net Income for Subject Period:</w:t>
            </w:r>
          </w:p>
        </w:tc>
        <w:tc>
          <w:tcPr>
            <w:tcW w:w="2220" w:type="dxa"/>
            <w:vAlign w:val="bottom"/>
          </w:tcPr>
          <w:p>
            <w:pPr>
              <w:jc w:val="right"/>
              <w:ind w:right="1570"/>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ind w:left="800"/>
              <w:spacing w:after="0"/>
              <w:rPr>
                <w:sz w:val="20"/>
                <w:szCs w:val="20"/>
                <w:color w:val="auto"/>
              </w:rPr>
            </w:pPr>
            <w:r>
              <w:rPr>
                <w:rFonts w:ascii="Arial" w:cs="Arial" w:eastAsia="Arial" w:hAnsi="Arial"/>
                <w:sz w:val="18"/>
                <w:szCs w:val="18"/>
                <w:color w:val="auto"/>
              </w:rPr>
              <w:t>12.</w:t>
            </w:r>
          </w:p>
        </w:tc>
        <w:tc>
          <w:tcPr>
            <w:tcW w:w="7980" w:type="dxa"/>
            <w:vAlign w:val="bottom"/>
          </w:tcPr>
          <w:p>
            <w:pPr>
              <w:ind w:left="240"/>
              <w:spacing w:after="0"/>
              <w:rPr>
                <w:sz w:val="20"/>
                <w:szCs w:val="20"/>
                <w:color w:val="auto"/>
              </w:rPr>
            </w:pPr>
            <w:r>
              <w:rPr>
                <w:rFonts w:ascii="Arial" w:cs="Arial" w:eastAsia="Arial" w:hAnsi="Arial"/>
                <w:sz w:val="18"/>
                <w:szCs w:val="18"/>
                <w:color w:val="auto"/>
              </w:rPr>
              <w:t>Consolidated EBITDA (Lines I.A1 + 2 + 3 + 4 + 5 + 6 + 7 + 8 + 9 – 10 – 11):</w:t>
            </w:r>
          </w:p>
        </w:tc>
        <w:tc>
          <w:tcPr>
            <w:tcW w:w="2220" w:type="dxa"/>
            <w:vAlign w:val="bottom"/>
          </w:tcPr>
          <w:p>
            <w:pPr>
              <w:jc w:val="right"/>
              <w:ind w:right="1570"/>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spacing w:after="0"/>
              <w:rPr>
                <w:sz w:val="24"/>
                <w:szCs w:val="24"/>
                <w:color w:val="auto"/>
              </w:rPr>
            </w:pPr>
          </w:p>
        </w:tc>
        <w:tc>
          <w:tcPr>
            <w:tcW w:w="7980" w:type="dxa"/>
            <w:vAlign w:val="bottom"/>
          </w:tcPr>
          <w:p>
            <w:pPr>
              <w:ind w:left="4280"/>
              <w:spacing w:after="0"/>
              <w:rPr>
                <w:sz w:val="20"/>
                <w:szCs w:val="20"/>
                <w:color w:val="auto"/>
              </w:rPr>
            </w:pPr>
            <w:r>
              <w:rPr>
                <w:rFonts w:ascii="Arial" w:cs="Arial" w:eastAsia="Arial" w:hAnsi="Arial"/>
                <w:sz w:val="18"/>
                <w:szCs w:val="18"/>
                <w:color w:val="auto"/>
              </w:rPr>
              <w:t>C - 3</w:t>
            </w:r>
          </w:p>
        </w:tc>
        <w:tc>
          <w:tcPr>
            <w:tcW w:w="222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798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r>
      <w:tr>
        <w:trPr>
          <w:trHeight w:val="780"/>
        </w:trPr>
        <w:tc>
          <w:tcPr>
            <w:tcW w:w="1260" w:type="dxa"/>
            <w:vAlign w:val="bottom"/>
          </w:tcPr>
          <w:p>
            <w:pPr>
              <w:ind w:left="800"/>
              <w:spacing w:after="0"/>
              <w:rPr>
                <w:sz w:val="20"/>
                <w:szCs w:val="20"/>
                <w:color w:val="auto"/>
              </w:rPr>
            </w:pPr>
            <w:r>
              <w:rPr>
                <w:rFonts w:ascii="Arial" w:cs="Arial" w:eastAsia="Arial" w:hAnsi="Arial"/>
                <w:sz w:val="18"/>
                <w:szCs w:val="18"/>
                <w:color w:val="auto"/>
              </w:rPr>
              <w:t>B.</w:t>
            </w:r>
          </w:p>
        </w:tc>
        <w:tc>
          <w:tcPr>
            <w:tcW w:w="7980" w:type="dxa"/>
            <w:vAlign w:val="bottom"/>
          </w:tcPr>
          <w:p>
            <w:pPr>
              <w:ind w:left="240"/>
              <w:spacing w:after="0"/>
              <w:rPr>
                <w:sz w:val="20"/>
                <w:szCs w:val="20"/>
                <w:color w:val="auto"/>
              </w:rPr>
            </w:pPr>
            <w:r>
              <w:rPr>
                <w:rFonts w:ascii="Arial" w:cs="Arial" w:eastAsia="Arial" w:hAnsi="Arial"/>
                <w:sz w:val="18"/>
                <w:szCs w:val="18"/>
                <w:color w:val="auto"/>
              </w:rPr>
              <w:t>Adjusted Consolidated Funded Indebtedness at Statement Date:</w:t>
            </w:r>
          </w:p>
        </w:tc>
        <w:tc>
          <w:tcPr>
            <w:tcW w:w="2220" w:type="dxa"/>
            <w:vAlign w:val="bottom"/>
          </w:tcPr>
          <w:p>
            <w:pPr>
              <w:spacing w:after="0"/>
              <w:rPr>
                <w:sz w:val="24"/>
                <w:szCs w:val="24"/>
                <w:color w:val="auto"/>
              </w:rPr>
            </w:pPr>
          </w:p>
        </w:tc>
      </w:tr>
      <w:tr>
        <w:trPr>
          <w:trHeight w:val="432"/>
        </w:trPr>
        <w:tc>
          <w:tcPr>
            <w:tcW w:w="1260" w:type="dxa"/>
            <w:vAlign w:val="bottom"/>
          </w:tcPr>
          <w:p>
            <w:pPr>
              <w:ind w:left="800"/>
              <w:spacing w:after="0"/>
              <w:rPr>
                <w:sz w:val="20"/>
                <w:szCs w:val="20"/>
                <w:color w:val="auto"/>
              </w:rPr>
            </w:pPr>
            <w:r>
              <w:rPr>
                <w:rFonts w:ascii="Arial" w:cs="Arial" w:eastAsia="Arial" w:hAnsi="Arial"/>
                <w:sz w:val="18"/>
                <w:szCs w:val="18"/>
                <w:color w:val="auto"/>
              </w:rPr>
              <w:t>1.</w:t>
            </w:r>
          </w:p>
        </w:tc>
        <w:tc>
          <w:tcPr>
            <w:tcW w:w="7980" w:type="dxa"/>
            <w:vAlign w:val="bottom"/>
          </w:tcPr>
          <w:p>
            <w:pPr>
              <w:ind w:left="240"/>
              <w:spacing w:after="0"/>
              <w:rPr>
                <w:sz w:val="20"/>
                <w:szCs w:val="20"/>
                <w:color w:val="auto"/>
              </w:rPr>
            </w:pPr>
            <w:r>
              <w:rPr>
                <w:rFonts w:ascii="Arial" w:cs="Arial" w:eastAsia="Arial" w:hAnsi="Arial"/>
                <w:sz w:val="18"/>
                <w:szCs w:val="18"/>
                <w:color w:val="auto"/>
              </w:rPr>
              <w:t>Consolidated Funded Indebtedness at Statement Date:</w:t>
            </w:r>
          </w:p>
        </w:tc>
        <w:tc>
          <w:tcPr>
            <w:tcW w:w="2220" w:type="dxa"/>
            <w:vAlign w:val="bottom"/>
          </w:tcPr>
          <w:p>
            <w:pPr>
              <w:jc w:val="right"/>
              <w:ind w:right="15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1500" w:hanging="709"/>
        <w:spacing w:after="0"/>
        <w:tabs>
          <w:tab w:leader="none" w:pos="1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Hybrid Securities up to an aggregate principal amount of 15% of Consolidated Total Capitalization at</w:t>
      </w:r>
    </w:p>
    <w:p>
      <w:pPr>
        <w:spacing w:after="0" w:line="23"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6720" w:type="dxa"/>
            <w:vAlign w:val="bottom"/>
          </w:tcPr>
          <w:p>
            <w:pPr>
              <w:ind w:left="280"/>
              <w:spacing w:after="0"/>
              <w:rPr>
                <w:sz w:val="20"/>
                <w:szCs w:val="20"/>
                <w:color w:val="auto"/>
              </w:rPr>
            </w:pPr>
            <w:r>
              <w:rPr>
                <w:rFonts w:ascii="Arial" w:cs="Arial" w:eastAsia="Arial" w:hAnsi="Arial"/>
                <w:sz w:val="18"/>
                <w:szCs w:val="18"/>
                <w:color w:val="auto"/>
              </w:rPr>
              <w:t>Statement Date:</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420" w:type="dxa"/>
            <w:vAlign w:val="bottom"/>
          </w:tcPr>
          <w:p>
            <w:pPr>
              <w:jc w:val="right"/>
              <w:ind w:right="215"/>
              <w:spacing w:after="0"/>
              <w:rPr>
                <w:sz w:val="20"/>
                <w:szCs w:val="20"/>
                <w:color w:val="auto"/>
              </w:rPr>
            </w:pPr>
            <w:r>
              <w:rPr>
                <w:rFonts w:ascii="Arial" w:cs="Arial" w:eastAsia="Arial" w:hAnsi="Arial"/>
                <w:sz w:val="17"/>
                <w:szCs w:val="17"/>
                <w:color w:val="auto"/>
                <w:w w:val="70"/>
              </w:rPr>
              <w:t>3.</w:t>
            </w:r>
          </w:p>
        </w:tc>
        <w:tc>
          <w:tcPr>
            <w:tcW w:w="6720" w:type="dxa"/>
            <w:vAlign w:val="bottom"/>
          </w:tcPr>
          <w:p>
            <w:pPr>
              <w:ind w:left="280"/>
              <w:spacing w:after="0"/>
              <w:rPr>
                <w:sz w:val="20"/>
                <w:szCs w:val="20"/>
                <w:color w:val="auto"/>
              </w:rPr>
            </w:pPr>
            <w:r>
              <w:rPr>
                <w:rFonts w:ascii="Arial" w:cs="Arial" w:eastAsia="Arial" w:hAnsi="Arial"/>
                <w:sz w:val="18"/>
                <w:szCs w:val="18"/>
                <w:color w:val="auto"/>
              </w:rPr>
              <w:t>Adjusted Consolidated Funded Indebtedness (Lines I.B.1 — 2 ):</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500" w:hanging="709"/>
        <w:spacing w:after="0"/>
        <w:tabs>
          <w:tab w:leader="none" w:pos="1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Adjusted Consolidated EBITDA for Subject Period:</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6900" w:type="dxa"/>
            <w:vAlign w:val="bottom"/>
          </w:tcPr>
          <w:p>
            <w:pPr>
              <w:ind w:left="260"/>
              <w:spacing w:after="0"/>
              <w:rPr>
                <w:sz w:val="20"/>
                <w:szCs w:val="20"/>
                <w:color w:val="auto"/>
              </w:rPr>
            </w:pPr>
            <w:r>
              <w:rPr>
                <w:rFonts w:ascii="Arial" w:cs="Arial" w:eastAsia="Arial" w:hAnsi="Arial"/>
                <w:sz w:val="18"/>
                <w:szCs w:val="18"/>
                <w:color w:val="auto"/>
              </w:rPr>
              <w:t>Actual Consolidated EBITDA for Subject Period (Line I.A.12 above):</w:t>
            </w:r>
          </w:p>
        </w:tc>
        <w:tc>
          <w:tcPr>
            <w:tcW w:w="3280" w:type="dxa"/>
            <w:vAlign w:val="bottom"/>
          </w:tcPr>
          <w:p>
            <w:pPr>
              <w:jc w:val="right"/>
              <w:ind w:right="1530"/>
              <w:spacing w:after="0"/>
              <w:rPr>
                <w:sz w:val="20"/>
                <w:szCs w:val="20"/>
                <w:color w:val="auto"/>
              </w:rPr>
            </w:pPr>
            <w:r>
              <w:rPr>
                <w:rFonts w:ascii="Arial" w:cs="Arial" w:eastAsia="Arial" w:hAnsi="Arial"/>
                <w:sz w:val="18"/>
                <w:szCs w:val="18"/>
                <w:color w:val="auto"/>
              </w:rPr>
              <w:t>$</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6900" w:type="dxa"/>
            <w:vAlign w:val="bottom"/>
          </w:tcPr>
          <w:p>
            <w:pPr>
              <w:ind w:left="260"/>
              <w:spacing w:after="0"/>
              <w:rPr>
                <w:sz w:val="20"/>
                <w:szCs w:val="20"/>
                <w:color w:val="auto"/>
              </w:rPr>
            </w:pPr>
            <w:r>
              <w:rPr>
                <w:rFonts w:ascii="Arial" w:cs="Arial" w:eastAsia="Arial" w:hAnsi="Arial"/>
                <w:sz w:val="18"/>
                <w:szCs w:val="18"/>
                <w:color w:val="auto"/>
              </w:rPr>
              <w:t>Material Project EBITDA Adjustments for Subject Period:</w:t>
            </w:r>
          </w:p>
        </w:tc>
        <w:tc>
          <w:tcPr>
            <w:tcW w:w="3280" w:type="dxa"/>
            <w:vAlign w:val="bottom"/>
          </w:tcPr>
          <w:p>
            <w:pPr>
              <w:jc w:val="right"/>
              <w:ind w:right="1530"/>
              <w:spacing w:after="0"/>
              <w:rPr>
                <w:sz w:val="20"/>
                <w:szCs w:val="20"/>
                <w:color w:val="auto"/>
              </w:rPr>
            </w:pPr>
            <w:r>
              <w:rPr>
                <w:rFonts w:ascii="Arial" w:cs="Arial" w:eastAsia="Arial" w:hAnsi="Arial"/>
                <w:sz w:val="18"/>
                <w:szCs w:val="18"/>
                <w:color w:val="auto"/>
              </w:rPr>
              <w:t>$</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6900" w:type="dxa"/>
            <w:vAlign w:val="bottom"/>
          </w:tcPr>
          <w:p>
            <w:pPr>
              <w:ind w:left="260"/>
              <w:spacing w:after="0"/>
              <w:rPr>
                <w:sz w:val="20"/>
                <w:szCs w:val="20"/>
                <w:color w:val="auto"/>
              </w:rPr>
            </w:pPr>
            <w:r>
              <w:rPr>
                <w:rFonts w:ascii="Arial" w:cs="Arial" w:eastAsia="Arial" w:hAnsi="Arial"/>
                <w:sz w:val="18"/>
                <w:szCs w:val="18"/>
                <w:color w:val="auto"/>
              </w:rPr>
              <w:t>Adjusted Consolidated EBITDA for Subject Period (Lines I.C.1 + 2):</w:t>
            </w:r>
          </w:p>
        </w:tc>
        <w:tc>
          <w:tcPr>
            <w:tcW w:w="3280" w:type="dxa"/>
            <w:vAlign w:val="bottom"/>
          </w:tcPr>
          <w:p>
            <w:pPr>
              <w:jc w:val="right"/>
              <w:ind w:right="1530"/>
              <w:spacing w:after="0"/>
              <w:rPr>
                <w:sz w:val="20"/>
                <w:szCs w:val="20"/>
                <w:color w:val="auto"/>
              </w:rPr>
            </w:pPr>
            <w:r>
              <w:rPr>
                <w:rFonts w:ascii="Arial" w:cs="Arial" w:eastAsia="Arial" w:hAnsi="Arial"/>
                <w:sz w:val="18"/>
                <w:szCs w:val="18"/>
                <w:color w:val="auto"/>
              </w:rPr>
              <w:t>$</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6900" w:type="dxa"/>
            <w:vAlign w:val="bottom"/>
          </w:tcPr>
          <w:p>
            <w:pPr>
              <w:ind w:left="260"/>
              <w:spacing w:after="0"/>
              <w:rPr>
                <w:sz w:val="20"/>
                <w:szCs w:val="20"/>
                <w:color w:val="auto"/>
              </w:rPr>
            </w:pPr>
            <w:r>
              <w:rPr>
                <w:rFonts w:ascii="Arial" w:cs="Arial" w:eastAsia="Arial" w:hAnsi="Arial"/>
                <w:sz w:val="18"/>
                <w:szCs w:val="18"/>
                <w:color w:val="auto"/>
              </w:rPr>
              <w:t>Consolidated Leverage Ratio (Line I.B.3 ¸ Line I.C.3):</w:t>
            </w:r>
          </w:p>
        </w:tc>
        <w:tc>
          <w:tcPr>
            <w:tcW w:w="3280" w:type="dxa"/>
            <w:vAlign w:val="bottom"/>
          </w:tcPr>
          <w:p>
            <w:pPr>
              <w:jc w:val="right"/>
              <w:spacing w:after="0"/>
              <w:rPr>
                <w:sz w:val="20"/>
                <w:szCs w:val="20"/>
                <w:color w:val="auto"/>
              </w:rPr>
            </w:pPr>
            <w:r>
              <w:rPr>
                <w:rFonts w:ascii="Arial" w:cs="Arial" w:eastAsia="Arial" w:hAnsi="Arial"/>
                <w:sz w:val="18"/>
                <w:szCs w:val="18"/>
                <w:color w:val="auto"/>
              </w:rPr>
              <w:t>to 1</w:t>
            </w: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Maximum permitted: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80" w:type="dxa"/>
            <w:vAlign w:val="bottom"/>
            <w:gridSpan w:val="2"/>
          </w:tcPr>
          <w:p>
            <w:pPr>
              <w:jc w:val="center"/>
              <w:ind w:right="249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7680" w:type="dxa"/>
            <w:vAlign w:val="bottom"/>
            <w:gridSpan w:val="4"/>
            <w:vMerge w:val="restart"/>
          </w:tcPr>
          <w:p>
            <w:pPr>
              <w:ind w:left="1620"/>
              <w:spacing w:after="0"/>
              <w:rPr>
                <w:sz w:val="20"/>
                <w:szCs w:val="20"/>
                <w:color w:val="auto"/>
              </w:rPr>
            </w:pPr>
            <w:r>
              <w:rPr>
                <w:rFonts w:ascii="Arial" w:cs="Arial" w:eastAsia="Arial" w:hAnsi="Arial"/>
                <w:sz w:val="14"/>
                <w:szCs w:val="14"/>
                <w:b w:val="1"/>
                <w:bCs w:val="1"/>
                <w:color w:val="auto"/>
              </w:rPr>
              <w:t>Applicable Period</w:t>
            </w:r>
          </w:p>
        </w:tc>
        <w:tc>
          <w:tcPr>
            <w:tcW w:w="3780" w:type="dxa"/>
            <w:vAlign w:val="bottom"/>
            <w:gridSpan w:val="2"/>
          </w:tcPr>
          <w:p>
            <w:pPr>
              <w:jc w:val="center"/>
              <w:ind w:right="249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7680" w:type="dxa"/>
            <w:vAlign w:val="bottom"/>
            <w:gridSpan w:val="4"/>
            <w:vMerge w:val="continue"/>
          </w:tcPr>
          <w:p>
            <w:pPr>
              <w:spacing w:after="0"/>
              <w:rPr>
                <w:sz w:val="14"/>
                <w:szCs w:val="14"/>
                <w:color w:val="auto"/>
              </w:rPr>
            </w:pPr>
          </w:p>
        </w:tc>
        <w:tc>
          <w:tcPr>
            <w:tcW w:w="3780" w:type="dxa"/>
            <w:vAlign w:val="bottom"/>
            <w:gridSpan w:val="2"/>
          </w:tcPr>
          <w:p>
            <w:pPr>
              <w:jc w:val="center"/>
              <w:ind w:right="2490"/>
              <w:spacing w:after="0"/>
              <w:rPr>
                <w:sz w:val="20"/>
                <w:szCs w:val="20"/>
                <w:color w:val="auto"/>
              </w:rPr>
            </w:pPr>
            <w:r>
              <w:rPr>
                <w:rFonts w:ascii="Arial" w:cs="Arial" w:eastAsia="Arial" w:hAnsi="Arial"/>
                <w:sz w:val="14"/>
                <w:szCs w:val="14"/>
                <w:b w:val="1"/>
                <w:bCs w:val="1"/>
                <w:color w:val="auto"/>
                <w:w w:val="91"/>
              </w:rPr>
              <w:t>Leverage Ratio</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During an Acquisition Period</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ind w:right="279"/>
              <w:spacing w:after="0"/>
              <w:rPr>
                <w:sz w:val="20"/>
                <w:szCs w:val="20"/>
                <w:color w:val="auto"/>
              </w:rPr>
            </w:pPr>
            <w:r>
              <w:rPr>
                <w:rFonts w:ascii="Arial" w:cs="Arial" w:eastAsia="Arial" w:hAnsi="Arial"/>
                <w:sz w:val="18"/>
                <w:szCs w:val="18"/>
                <w:color w:val="auto"/>
                <w:w w:val="92"/>
              </w:rPr>
              <w:t>5.50:1.0</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Other than during an Acquisition Period</w:t>
            </w:r>
          </w:p>
        </w:tc>
        <w:tc>
          <w:tcPr>
            <w:tcW w:w="1560" w:type="dxa"/>
            <w:vAlign w:val="bottom"/>
          </w:tcPr>
          <w:p>
            <w:pPr>
              <w:jc w:val="center"/>
              <w:ind w:right="279"/>
              <w:spacing w:after="0"/>
              <w:rPr>
                <w:sz w:val="20"/>
                <w:szCs w:val="20"/>
                <w:color w:val="auto"/>
              </w:rPr>
            </w:pPr>
            <w:r>
              <w:rPr>
                <w:rFonts w:ascii="Arial" w:cs="Arial" w:eastAsia="Arial" w:hAnsi="Arial"/>
                <w:sz w:val="18"/>
                <w:szCs w:val="18"/>
                <w:color w:val="auto"/>
                <w:w w:val="92"/>
              </w:rPr>
              <w:t>5.00:1.0</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6060" w:type="dxa"/>
            <w:vAlign w:val="bottom"/>
            <w:gridSpan w:val="3"/>
          </w:tcPr>
          <w:p>
            <w:pPr>
              <w:jc w:val="center"/>
              <w:ind w:left="2050"/>
              <w:spacing w:after="0"/>
              <w:rPr>
                <w:sz w:val="20"/>
                <w:szCs w:val="20"/>
                <w:color w:val="auto"/>
              </w:rPr>
            </w:pPr>
            <w:r>
              <w:rPr>
                <w:rFonts w:ascii="Arial" w:cs="Arial" w:eastAsia="Arial" w:hAnsi="Arial"/>
                <w:sz w:val="18"/>
                <w:szCs w:val="18"/>
                <w:color w:val="auto"/>
                <w:w w:val="92"/>
              </w:rPr>
              <w:t>C - 4</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6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gridSpan w:val="2"/>
          </w:tcPr>
          <w:p>
            <w:pPr>
              <w:ind w:left="280"/>
              <w:spacing w:after="0"/>
              <w:rPr>
                <w:sz w:val="20"/>
                <w:szCs w:val="20"/>
                <w:color w:val="auto"/>
              </w:rPr>
            </w:pPr>
            <w:r>
              <w:rPr>
                <w:rFonts w:ascii="Arial" w:cs="Arial" w:eastAsia="Arial" w:hAnsi="Arial"/>
                <w:sz w:val="18"/>
                <w:szCs w:val="18"/>
                <w:color w:val="auto"/>
              </w:rPr>
              <w:t>For the Quarter/Year ended</w:t>
            </w: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6060" w:type="dxa"/>
            <w:vAlign w:val="bottom"/>
            <w:gridSpan w:val="3"/>
          </w:tcPr>
          <w:p>
            <w:pPr>
              <w:jc w:val="center"/>
              <w:ind w:left="2050"/>
              <w:spacing w:after="0"/>
              <w:rPr>
                <w:sz w:val="20"/>
                <w:szCs w:val="20"/>
                <w:color w:val="auto"/>
              </w:rPr>
            </w:pPr>
            <w:r>
              <w:rPr>
                <w:rFonts w:ascii="Arial" w:cs="Arial" w:eastAsia="Arial" w:hAnsi="Arial"/>
                <w:sz w:val="18"/>
                <w:szCs w:val="18"/>
                <w:b w:val="1"/>
                <w:bCs w:val="1"/>
                <w:color w:val="auto"/>
                <w:w w:val="98"/>
              </w:rPr>
              <w:t>SCHEDULE 2</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060" w:type="dxa"/>
            <w:vAlign w:val="bottom"/>
            <w:gridSpan w:val="3"/>
          </w:tcPr>
          <w:p>
            <w:pPr>
              <w:jc w:val="center"/>
              <w:ind w:left="2050"/>
              <w:spacing w:after="0"/>
              <w:rPr>
                <w:sz w:val="20"/>
                <w:szCs w:val="20"/>
                <w:color w:val="auto"/>
              </w:rPr>
            </w:pPr>
            <w:r>
              <w:rPr>
                <w:rFonts w:ascii="Arial" w:cs="Arial" w:eastAsia="Arial" w:hAnsi="Arial"/>
                <w:sz w:val="18"/>
                <w:szCs w:val="18"/>
                <w:color w:val="auto"/>
                <w:w w:val="91"/>
              </w:rPr>
              <w:t>to the Compliance Certificate</w:t>
            </w:r>
          </w:p>
        </w:tc>
        <w:tc>
          <w:tcPr>
            <w:tcW w:w="1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6060" w:type="dxa"/>
            <w:vAlign w:val="bottom"/>
            <w:gridSpan w:val="3"/>
          </w:tcPr>
          <w:p>
            <w:pPr>
              <w:jc w:val="center"/>
              <w:ind w:left="2050"/>
              <w:spacing w:after="0"/>
              <w:rPr>
                <w:sz w:val="20"/>
                <w:szCs w:val="20"/>
                <w:color w:val="auto"/>
              </w:rPr>
            </w:pPr>
            <w:r>
              <w:rPr>
                <w:rFonts w:ascii="Arial" w:cs="Arial" w:eastAsia="Arial" w:hAnsi="Arial"/>
                <w:sz w:val="18"/>
                <w:szCs w:val="18"/>
                <w:b w:val="1"/>
                <w:bCs w:val="1"/>
                <w:color w:val="auto"/>
                <w:w w:val="89"/>
              </w:rPr>
              <w:t>Unrestricted Subsidiaries</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620" w:type="dxa"/>
            <w:vAlign w:val="bottom"/>
          </w:tcPr>
          <w:p>
            <w:pPr>
              <w:spacing w:after="0"/>
              <w:rPr>
                <w:sz w:val="24"/>
                <w:szCs w:val="24"/>
                <w:color w:val="auto"/>
              </w:rPr>
            </w:pPr>
          </w:p>
        </w:tc>
        <w:tc>
          <w:tcPr>
            <w:tcW w:w="6060" w:type="dxa"/>
            <w:vAlign w:val="bottom"/>
            <w:gridSpan w:val="3"/>
          </w:tcPr>
          <w:p>
            <w:pPr>
              <w:jc w:val="center"/>
              <w:ind w:left="2030"/>
              <w:spacing w:after="0"/>
              <w:rPr>
                <w:sz w:val="20"/>
                <w:szCs w:val="20"/>
                <w:color w:val="auto"/>
              </w:rPr>
            </w:pPr>
            <w:r>
              <w:rPr>
                <w:rFonts w:ascii="Arial" w:cs="Arial" w:eastAsia="Arial" w:hAnsi="Arial"/>
                <w:sz w:val="18"/>
                <w:szCs w:val="18"/>
                <w:i w:val="1"/>
                <w:iCs w:val="1"/>
                <w:color w:val="auto"/>
                <w:w w:val="92"/>
              </w:rPr>
              <w:t>[List each Unrestricted Subsidiary, as appropriate]</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6060" w:type="dxa"/>
            <w:vAlign w:val="bottom"/>
            <w:gridSpan w:val="3"/>
          </w:tcPr>
          <w:p>
            <w:pPr>
              <w:jc w:val="center"/>
              <w:ind w:left="2050"/>
              <w:spacing w:after="0"/>
              <w:rPr>
                <w:sz w:val="20"/>
                <w:szCs w:val="20"/>
                <w:color w:val="auto"/>
              </w:rPr>
            </w:pPr>
            <w:r>
              <w:rPr>
                <w:rFonts w:ascii="Arial" w:cs="Arial" w:eastAsia="Arial" w:hAnsi="Arial"/>
                <w:sz w:val="18"/>
                <w:szCs w:val="18"/>
                <w:color w:val="auto"/>
                <w:w w:val="92"/>
              </w:rPr>
              <w:t>C - 5</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6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ind w:left="1100"/>
              <w:spacing w:after="0"/>
              <w:rPr>
                <w:sz w:val="20"/>
                <w:szCs w:val="20"/>
                <w:color w:val="auto"/>
              </w:rPr>
            </w:pPr>
            <w:r>
              <w:rPr>
                <w:rFonts w:ascii="Arial" w:cs="Arial" w:eastAsia="Arial" w:hAnsi="Arial"/>
                <w:sz w:val="18"/>
                <w:szCs w:val="18"/>
                <w:b w:val="1"/>
                <w:bCs w:val="1"/>
                <w:i w:val="1"/>
                <w:iCs w:val="1"/>
                <w:color w:val="auto"/>
              </w:rPr>
              <w:t>EXHIBIT D-1</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6060" w:type="dxa"/>
            <w:vAlign w:val="bottom"/>
            <w:gridSpan w:val="3"/>
          </w:tcPr>
          <w:p>
            <w:pPr>
              <w:jc w:val="center"/>
              <w:ind w:left="2030"/>
              <w:spacing w:after="0"/>
              <w:rPr>
                <w:sz w:val="20"/>
                <w:szCs w:val="20"/>
                <w:color w:val="auto"/>
              </w:rPr>
            </w:pPr>
            <w:r>
              <w:rPr>
                <w:rFonts w:ascii="Arial" w:cs="Arial" w:eastAsia="Arial" w:hAnsi="Arial"/>
                <w:sz w:val="18"/>
                <w:szCs w:val="18"/>
                <w:b w:val="1"/>
                <w:bCs w:val="1"/>
                <w:color w:val="auto"/>
              </w:rPr>
              <w:t>ASSIGNMENT AND ASSUMPTION</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-2762885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-2762885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between [the][each] Assignor identified in item 1 below ([the][each, an] “</w:t>
      </w:r>
      <w:r>
        <w:rPr>
          <w:rFonts w:ascii="Arial" w:cs="Arial" w:eastAsia="Arial" w:hAnsi="Arial"/>
          <w:sz w:val="17"/>
          <w:szCs w:val="17"/>
          <w:u w:val="single" w:color="auto"/>
          <w:color w:val="auto"/>
        </w:rPr>
        <w:t>Assignor</w:t>
      </w:r>
      <w:r>
        <w:rPr>
          <w:rFonts w:ascii="Arial" w:cs="Arial" w:eastAsia="Arial" w:hAnsi="Arial"/>
          <w:sz w:val="17"/>
          <w:szCs w:val="17"/>
          <w:color w:val="auto"/>
        </w:rPr>
        <w:t>”) and [the][each] Assignee identified in item 2 below ([the][each,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 hereunder are several and not joint.]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used but not defined herein shall have the meanings given to them in the Credit Agreement identified below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which is hereby acknowledged by the Assignee. The Standard Terms and Conditions set forth in Annex 1 attached hereto are hereby agreed to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incorporated herein by reference and made a part of this Assignment and Assumption as if set forth herein in full.</w:t>
      </w:r>
    </w:p>
    <w:p>
      <w:pPr>
        <w:spacing w:after="0" w:line="21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w:t>
      </w:r>
    </w:p>
    <w:p>
      <w:pPr>
        <w:sectPr>
          <w:pgSz w:w="11900" w:h="16838" w:orient="portrait"/>
          <w:cols w:equalWidth="0" w:num="1">
            <w:col w:w="11460"/>
          </w:cols>
          <w:pgMar w:left="240" w:top="125" w:right="199" w:bottom="0" w:gutter="0" w:footer="0" w:header="0"/>
        </w:sectPr>
      </w:pPr>
    </w:p>
    <w:bookmarkStart w:id="58" w:name="page59"/>
    <w:bookmarkEnd w:id="58"/>
    <w:p>
      <w:pPr>
        <w:ind w:right="20"/>
        <w:spacing w:after="0" w:line="288" w:lineRule="auto"/>
        <w:rPr>
          <w:sz w:val="20"/>
          <w:szCs w:val="20"/>
          <w:color w:val="auto"/>
        </w:rPr>
      </w:pPr>
      <w:r>
        <w:rPr>
          <w:rFonts w:ascii="Arial" w:cs="Arial" w:eastAsia="Arial" w:hAnsi="Arial"/>
          <w:sz w:val="16"/>
          <w:szCs w:val="16"/>
          <w:color w:val="auto"/>
        </w:rPr>
        <w:t>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 [any] Assignor and, except as expressly provided in this Assignment and Assumption, without representation or warranty by [the][any] Assignor.</w:t>
      </w:r>
    </w:p>
    <w:p>
      <w:pPr>
        <w:spacing w:after="0" w:line="169" w:lineRule="exact"/>
        <w:rPr>
          <w:sz w:val="20"/>
          <w:szCs w:val="20"/>
          <w:color w:val="auto"/>
        </w:rPr>
      </w:pPr>
    </w:p>
    <w:p>
      <w:pPr>
        <w:ind w:left="560" w:hanging="552"/>
        <w:spacing w:after="0"/>
        <w:tabs>
          <w:tab w:leader="none" w:pos="5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Assignor[s]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0" w:hanging="552"/>
        <w:spacing w:after="0"/>
        <w:tabs>
          <w:tab w:leader="none" w:pos="5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   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-396240</wp:posOffset>
            </wp:positionV>
            <wp:extent cx="25126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-678815</wp:posOffset>
            </wp:positionV>
            <wp:extent cx="25126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-953770</wp:posOffset>
            </wp:positionV>
            <wp:extent cx="25126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-1236345</wp:posOffset>
            </wp:positionV>
            <wp:extent cx="25126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 Bank of America, N.A., as the administrative agent under the Credit Agreement</w:t>
      </w:r>
    </w:p>
    <w:p>
      <w:pPr>
        <w:spacing w:after="0" w:line="225" w:lineRule="exact"/>
        <w:rPr>
          <w:rFonts w:ascii="Arial" w:cs="Arial" w:eastAsia="Arial" w:hAnsi="Arial"/>
          <w:sz w:val="18"/>
          <w:szCs w:val="18"/>
          <w:color w:val="auto"/>
        </w:rPr>
      </w:pPr>
    </w:p>
    <w:p>
      <w:pPr>
        <w:ind w:left="660" w:right="420" w:hanging="652"/>
        <w:spacing w:after="0" w:line="342" w:lineRule="auto"/>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Credit Agreement</w:t>
      </w:r>
      <w:r>
        <w:rPr>
          <w:rFonts w:ascii="Arial" w:cs="Arial" w:eastAsia="Arial" w:hAnsi="Arial"/>
          <w:sz w:val="16"/>
          <w:szCs w:val="16"/>
          <w:color w:val="auto"/>
        </w:rPr>
        <w:t>: 364-Day Credit Agreement, dated as of January 16, 2015, among Plains All American Pipeline, L.P., a Delaware limited partnership, Bank of America, N.A., as Administrative Agent, and the Lenders from time to time party thereto, as amended and in effect</w:t>
      </w:r>
    </w:p>
    <w:p>
      <w:pPr>
        <w:spacing w:after="0" w:line="123" w:lineRule="exact"/>
        <w:rPr>
          <w:rFonts w:ascii="Arial" w:cs="Arial" w:eastAsia="Arial" w:hAnsi="Arial"/>
          <w:sz w:val="16"/>
          <w:szCs w:val="16"/>
          <w:color w:val="auto"/>
        </w:rPr>
      </w:pPr>
    </w:p>
    <w:p>
      <w:pPr>
        <w:ind w:left="720" w:hanging="712"/>
        <w:spacing w:after="0"/>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Assigned Interest[s]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2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 of</w:t>
            </w:r>
          </w:p>
        </w:tc>
        <w:tc>
          <w:tcPr>
            <w:tcW w:w="136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CUSIP</w:t>
            </w:r>
          </w:p>
        </w:tc>
        <w:tc>
          <w:tcPr>
            <w:tcW w:w="0" w:type="dxa"/>
            <w:vAlign w:val="bottom"/>
          </w:tcPr>
          <w:p>
            <w:pPr>
              <w:spacing w:after="0"/>
              <w:rPr>
                <w:sz w:val="1"/>
                <w:szCs w:val="1"/>
                <w:color w:val="auto"/>
              </w:rPr>
            </w:pPr>
          </w:p>
        </w:tc>
      </w:tr>
      <w:tr>
        <w:trPr>
          <w:trHeight w:val="149"/>
        </w:trPr>
        <w:tc>
          <w:tcPr>
            <w:tcW w:w="2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Assignor[s]</w:t>
            </w:r>
          </w:p>
        </w:tc>
        <w:tc>
          <w:tcPr>
            <w:tcW w:w="240" w:type="dxa"/>
            <w:vAlign w:val="bottom"/>
          </w:tcPr>
          <w:p>
            <w:pPr>
              <w:spacing w:after="0"/>
              <w:rPr>
                <w:sz w:val="12"/>
                <w:szCs w:val="12"/>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Assignee[s]</w:t>
            </w: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Commitment</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Commitment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Assigned of</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Assigned</w:t>
            </w:r>
          </w:p>
        </w:tc>
        <w:tc>
          <w:tcPr>
            <w:tcW w:w="2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all Lenders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Assigned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Commitment</w:t>
            </w: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10"/>
        </w:trPr>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20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gridSpan w:val="2"/>
          </w:tcPr>
          <w:p>
            <w:pPr>
              <w:jc w:val="right"/>
              <w:ind w:right="120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987"/>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2180" w:type="dxa"/>
            <w:vAlign w:val="bottom"/>
            <w:gridSpan w:val="3"/>
          </w:tcPr>
          <w:p>
            <w:pPr>
              <w:ind w:left="240"/>
              <w:spacing w:after="0"/>
              <w:rPr>
                <w:sz w:val="20"/>
                <w:szCs w:val="20"/>
                <w:color w:val="auto"/>
              </w:rPr>
            </w:pPr>
            <w:r>
              <w:rPr>
                <w:rFonts w:ascii="Arial" w:cs="Arial" w:eastAsia="Arial" w:hAnsi="Arial"/>
                <w:sz w:val="18"/>
                <w:szCs w:val="18"/>
                <w:color w:val="auto"/>
              </w:rPr>
              <w:t>Trade Date:</w:t>
            </w:r>
          </w:p>
        </w:tc>
        <w:tc>
          <w:tcPr>
            <w:tcW w:w="138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7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40" w:type="dxa"/>
            <w:vAlign w:val="bottom"/>
            <w:gridSpan w:val="4"/>
          </w:tcPr>
          <w:p>
            <w:pPr>
              <w:spacing w:after="0"/>
              <w:rPr>
                <w:sz w:val="20"/>
                <w:szCs w:val="20"/>
                <w:color w:val="auto"/>
              </w:rPr>
            </w:pPr>
            <w:r>
              <w:rPr>
                <w:rFonts w:ascii="Arial" w:cs="Arial" w:eastAsia="Arial" w:hAnsi="Arial"/>
                <w:sz w:val="18"/>
                <w:szCs w:val="18"/>
                <w:color w:val="auto"/>
              </w:rPr>
              <w:t>Effective Date:</w:t>
            </w:r>
          </w:p>
        </w:tc>
        <w:tc>
          <w:tcPr>
            <w:tcW w:w="8780" w:type="dxa"/>
            <w:vAlign w:val="bottom"/>
            <w:gridSpan w:val="13"/>
          </w:tcPr>
          <w:p>
            <w:pPr>
              <w:ind w:left="120"/>
              <w:spacing w:after="0"/>
              <w:rPr>
                <w:sz w:val="20"/>
                <w:szCs w:val="20"/>
                <w:color w:val="auto"/>
              </w:rPr>
            </w:pPr>
            <w:r>
              <w:rPr>
                <w:rFonts w:ascii="Arial" w:cs="Arial" w:eastAsia="Arial" w:hAnsi="Arial"/>
                <w:sz w:val="18"/>
                <w:szCs w:val="18"/>
                <w:color w:val="auto"/>
                <w:w w:val="98"/>
              </w:rPr>
              <w:t>, 20   [TO BE INSERTED BY ADMINISTRATIVE AGENT AND WHICH SHALL BE THE EFFECTIVE DATE OF</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ASSIGNOR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ASSIGNOR]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ASSIGNEE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ASSIGNEE]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D-1 - 3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1 TO ASSIGNMENT AND ASSUMPTION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1680" w:hanging="538"/>
        <w:spacing w:after="0"/>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60" w:firstLine="1134"/>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[The][Each] Assignor (a) represents and warrants that (i) it is the legal and beneficial owner of [the][[the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2" w:lineRule="exact"/>
        <w:rPr>
          <w:sz w:val="20"/>
          <w:szCs w:val="20"/>
          <w:color w:val="auto"/>
        </w:rPr>
      </w:pPr>
    </w:p>
    <w:p>
      <w:pPr>
        <w:ind w:right="40" w:firstLine="1134"/>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taking action under the Loan Documents, and (ii) it will perform in accordance with their terms all of the obligations which by the terms of the Loan Documents are required to be performed by it as a Lender.</w:t>
      </w:r>
    </w:p>
    <w:p>
      <w:pPr>
        <w:spacing w:after="0" w:line="170" w:lineRule="exact"/>
        <w:rPr>
          <w:sz w:val="20"/>
          <w:szCs w:val="20"/>
          <w:color w:val="auto"/>
        </w:rPr>
      </w:pPr>
    </w:p>
    <w:p>
      <w:pPr>
        <w:ind w:right="220" w:firstLine="1142"/>
        <w:spacing w:after="0" w:line="286" w:lineRule="auto"/>
        <w:tabs>
          <w:tab w:leader="none" w:pos="1674"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65" w:lineRule="exact"/>
        <w:rPr>
          <w:rFonts w:ascii="Arial" w:cs="Arial" w:eastAsia="Arial" w:hAnsi="Arial"/>
          <w:sz w:val="17"/>
          <w:szCs w:val="17"/>
          <w:color w:val="auto"/>
        </w:rPr>
      </w:pPr>
    </w:p>
    <w:p>
      <w:pPr>
        <w:ind w:right="220" w:firstLine="1142"/>
        <w:spacing w:after="0" w:line="276" w:lineRule="auto"/>
        <w:tabs>
          <w:tab w:leader="none" w:pos="1674"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without regard to principles of conflicts of Laws.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EXHIBIT D-2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ADMINISTRATIVE QUESTIONNAIRE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46200" cy="4286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46200" cy="42862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154940</wp:posOffset>
            </wp:positionV>
            <wp:extent cx="1397635" cy="4286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976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Announces $1.0 Billion 364-Day Liquidity Facility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HOUSTON — January 19, 2015 — Plains All American Pipeline, L.P. (NYSE: PAA) today announced that it has entered into a new $1.0 billion 364-day credit facility to provide additional liquidity. The facility closed on January 16, 2015, and pursuant to its terms, PAA has up to 364 days to draw on the facility and repay any loans thereunder. This facility increased the Partnership’s committed liquidity on a pro forma basis from approximately $2.6 billion to $3.6 billion as of December 31, 2014.</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Bank of America, N.A. served as Administrative Agent. Merrill Lynch, Pierce, Fenner &amp; Smith served as a Joint Lead Arranger, and was joined by Citigroup Global Markets Inc.; DNB Markets, Inc.; J.P. Morgan Securities LLC; Mizuho Bank, Ltd.; and Wells Fargo Securities, LLC as Joint Lead Arrangers.</w:t>
      </w:r>
    </w:p>
    <w:p>
      <w:pPr>
        <w:spacing w:after="0" w:line="12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4.0 million barrels per day of crude oil and NGL on its pipelines. PAA is headquartered in Houston, Texas.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Ryan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o"/>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lowerLetter"/>
      <w:start w:val="4"/>
    </w:lvl>
  </w:abstractNum>
  <w:abstractNum w:abstractNumId="3">
    <w:nsid w:val="6B94764"/>
    <w:multiLevelType w:val="hybridMultilevel"/>
    <w:lvl w:ilvl="0">
      <w:lvlJc w:val="left"/>
      <w:lvlText w:val="A"/>
      <w:numFmt w:val="bullet"/>
      <w:start w:val="1"/>
    </w:lvl>
  </w:abstractNum>
  <w:abstractNum w:abstractNumId="4">
    <w:nsid w:val="42C296BD"/>
    <w:multiLevelType w:val="hybridMultilevel"/>
    <w:lvl w:ilvl="0">
      <w:lvlJc w:val="left"/>
      <w:lvlText w:val="B"/>
      <w:numFmt w:val="bullet"/>
      <w:start w:val="1"/>
    </w:lvl>
  </w:abstractNum>
  <w:abstractNum w:abstractNumId="5">
    <w:nsid w:val="168E121F"/>
    <w:multiLevelType w:val="hybridMultilevel"/>
    <w:lvl w:ilvl="0">
      <w:lvlJc w:val="left"/>
      <w:lvlText w:val="C"/>
      <w:numFmt w:val="bullet"/>
      <w:start w:val="1"/>
    </w:lvl>
  </w:abstractNum>
  <w:abstractNum w:abstractNumId="6">
    <w:nsid w:val="1EBA5D23"/>
    <w:multiLevelType w:val="hybridMultilevel"/>
    <w:lvl w:ilvl="0">
      <w:lvlJc w:val="left"/>
      <w:lvlText w:val="(%1)"/>
      <w:numFmt w:val="lowerLetter"/>
      <w:start w:val="2"/>
    </w:lvl>
  </w:abstractNum>
  <w:abstractNum w:abstractNumId="7">
    <w:nsid w:val="661E3F1E"/>
    <w:multiLevelType w:val="hybridMultilevel"/>
    <w:lvl w:ilvl="0">
      <w:lvlJc w:val="left"/>
      <w:lvlText w:val="%1"/>
      <w:numFmt w:val="lowerRoman"/>
      <w:start w:val="1"/>
    </w:lvl>
    <w:lvl w:ilvl="1">
      <w:lvlJc w:val="left"/>
      <w:lvlText w:val="(%2)"/>
      <w:numFmt w:val="lowerRoman"/>
      <w:start w:val="1"/>
    </w:lvl>
  </w:abstractNum>
  <w:abstractNum w:abstractNumId="8">
    <w:nsid w:val="5DC79EA8"/>
    <w:multiLevelType w:val="hybridMultilevel"/>
    <w:lvl w:ilvl="0">
      <w:lvlJc w:val="left"/>
      <w:lvlText w:val="(%1)"/>
      <w:numFmt w:val="lowerRoman"/>
      <w:start w:val="10"/>
    </w:lvl>
    <w:lvl w:ilvl="1">
      <w:lvlJc w:val="left"/>
      <w:lvlText w:val="(%2)"/>
      <w:numFmt w:val="lowerRoman"/>
      <w:start w:val="2"/>
    </w:lvl>
  </w:abstractNum>
  <w:abstractNum w:abstractNumId="9">
    <w:nsid w:val="540A471C"/>
    <w:multiLevelType w:val="hybridMultilevel"/>
    <w:lvl w:ilvl="0">
      <w:lvlJc w:val="left"/>
      <w:lvlText w:val="(%1)"/>
      <w:numFmt w:val="lowerRoman"/>
      <w:start w:val="2"/>
    </w:lvl>
  </w:abstractNum>
  <w:abstractNum w:abstractNumId="10">
    <w:nsid w:val="7BD3EE7B"/>
    <w:multiLevelType w:val="hybridMultilevel"/>
    <w:lvl w:ilvl="0">
      <w:lvlJc w:val="left"/>
      <w:lvlText w:val="(%1)"/>
      <w:numFmt w:val="lowerRoman"/>
      <w:start w:val="3"/>
    </w:lvl>
  </w:abstractNum>
  <w:abstractNum w:abstractNumId="11">
    <w:nsid w:val="51D9C564"/>
    <w:multiLevelType w:val="hybridMultilevel"/>
    <w:lvl w:ilvl="0">
      <w:lvlJc w:val="left"/>
      <w:lvlText w:val="(%1)"/>
      <w:numFmt w:val="lowerLetter"/>
      <w:start w:val="1"/>
    </w:lvl>
  </w:abstractNum>
  <w:abstractNum w:abstractNumId="12">
    <w:nsid w:val="613EFDC5"/>
    <w:multiLevelType w:val="hybridMultilevel"/>
    <w:lvl w:ilvl="0">
      <w:lvlJc w:val="left"/>
      <w:lvlText w:val="(%1)"/>
      <w:numFmt w:val="lowerLetter"/>
      <w:start w:val="1"/>
    </w:lvl>
  </w:abstractNum>
  <w:abstractNum w:abstractNumId="13">
    <w:nsid w:val="BF72B14"/>
    <w:multiLevelType w:val="hybridMultilevel"/>
    <w:lvl w:ilvl="0">
      <w:lvlJc w:val="left"/>
      <w:lvlText w:val="(%1)"/>
      <w:numFmt w:val="lowerLetter"/>
      <w:start w:val="2"/>
    </w:lvl>
  </w:abstractNum>
  <w:abstractNum w:abstractNumId="14">
    <w:nsid w:val="11447B73"/>
    <w:multiLevelType w:val="hybridMultilevel"/>
    <w:lvl w:ilvl="0">
      <w:lvlJc w:val="left"/>
      <w:lvlText w:val="(%1)"/>
      <w:numFmt w:val="lowerRoman"/>
      <w:start w:val="1"/>
    </w:lvl>
  </w:abstractNum>
  <w:abstractNum w:abstractNumId="15">
    <w:nsid w:val="42963E5A"/>
    <w:multiLevelType w:val="hybridMultilevel"/>
    <w:lvl w:ilvl="0">
      <w:lvlJc w:val="left"/>
      <w:lvlText w:val="(%1)"/>
      <w:numFmt w:val="lowerLetter"/>
      <w:start w:val="1"/>
    </w:lvl>
  </w:abstractNum>
  <w:abstractNum w:abstractNumId="16">
    <w:nsid w:val="A0382C5"/>
    <w:multiLevelType w:val="hybridMultilevel"/>
    <w:lvl w:ilvl="0">
      <w:lvlJc w:val="left"/>
      <w:lvlText w:val="(%1)"/>
      <w:numFmt w:val="lowerLetter"/>
      <w:start w:val="4"/>
    </w:lvl>
  </w:abstractNum>
  <w:abstractNum w:abstractNumId="17">
    <w:nsid w:val="8F2B15E"/>
    <w:multiLevelType w:val="hybridMultilevel"/>
    <w:lvl w:ilvl="0">
      <w:lvlJc w:val="left"/>
      <w:lvlText w:val="(%1)"/>
      <w:numFmt w:val="lowerLetter"/>
      <w:start w:val="2"/>
    </w:lvl>
  </w:abstractNum>
  <w:abstractNum w:abstractNumId="18">
    <w:nsid w:val="1A32234B"/>
    <w:multiLevelType w:val="hybridMultilevel"/>
    <w:lvl w:ilvl="0">
      <w:lvlJc w:val="left"/>
      <w:lvlText w:val="(%1)"/>
      <w:numFmt w:val="lowerLetter"/>
      <w:start w:val="1"/>
    </w:lvl>
  </w:abstractNum>
  <w:abstractNum w:abstractNumId="19">
    <w:nsid w:val="3B0FD379"/>
    <w:multiLevelType w:val="hybridMultilevel"/>
    <w:lvl w:ilvl="0">
      <w:lvlJc w:val="left"/>
      <w:lvlText w:val="(%1)"/>
      <w:numFmt w:val="lowerLetter"/>
      <w:start w:val="1"/>
    </w:lvl>
  </w:abstractNum>
  <w:abstractNum w:abstractNumId="20">
    <w:nsid w:val="68EB2F63"/>
    <w:multiLevelType w:val="hybridMultilevel"/>
    <w:lvl w:ilvl="0">
      <w:lvlJc w:val="left"/>
      <w:lvlText w:val="(%1)"/>
      <w:numFmt w:val="lowerLetter"/>
      <w:start w:val="1"/>
    </w:lvl>
  </w:abstractNum>
  <w:abstractNum w:abstractNumId="21">
    <w:nsid w:val="4962813B"/>
    <w:multiLevelType w:val="hybridMultilevel"/>
    <w:lvl w:ilvl="0">
      <w:lvlJc w:val="left"/>
      <w:lvlText w:val="(%1)"/>
      <w:numFmt w:val="lowerLetter"/>
      <w:start w:val="2"/>
    </w:lvl>
  </w:abstractNum>
  <w:abstractNum w:abstractNumId="22">
    <w:nsid w:val="60B6DF70"/>
    <w:multiLevelType w:val="hybridMultilevel"/>
    <w:lvl w:ilvl="0">
      <w:lvlJc w:val="left"/>
      <w:lvlText w:val="(%1)"/>
      <w:numFmt w:val="lowerLetter"/>
      <w:start w:val="3"/>
    </w:lvl>
  </w:abstractNum>
  <w:abstractNum w:abstractNumId="23">
    <w:nsid w:val="6A5EE64"/>
    <w:multiLevelType w:val="hybridMultilevel"/>
    <w:lvl w:ilvl="0">
      <w:lvlJc w:val="left"/>
      <w:lvlText w:val="(%1)"/>
      <w:numFmt w:val="lowerLetter"/>
      <w:start w:val="1"/>
    </w:lvl>
  </w:abstractNum>
  <w:abstractNum w:abstractNumId="24">
    <w:nsid w:val="14330624"/>
    <w:multiLevelType w:val="hybridMultilevel"/>
    <w:lvl w:ilvl="0">
      <w:lvlJc w:val="left"/>
      <w:lvlText w:val="(%1)"/>
      <w:numFmt w:val="lowerLetter"/>
      <w:start w:val="2"/>
    </w:lvl>
  </w:abstractNum>
  <w:abstractNum w:abstractNumId="25">
    <w:nsid w:val="7FFFCA11"/>
    <w:multiLevelType w:val="hybridMultilevel"/>
    <w:lvl w:ilvl="0">
      <w:lvlJc w:val="left"/>
      <w:lvlText w:val="(%1)"/>
      <w:numFmt w:val="lowerLetter"/>
      <w:start w:val="35"/>
    </w:lvl>
    <w:lvl w:ilvl="1">
      <w:lvlJc w:val="left"/>
      <w:lvlText w:val="(%2)"/>
      <w:numFmt w:val="lowerLetter"/>
      <w:start w:val="2"/>
    </w:lvl>
  </w:abstractNum>
  <w:abstractNum w:abstractNumId="26">
    <w:nsid w:val="1A27709E"/>
    <w:multiLevelType w:val="hybridMultilevel"/>
    <w:lvl w:ilvl="0">
      <w:lvlJc w:val="left"/>
      <w:lvlText w:val="(%1)"/>
      <w:numFmt w:val="lowerRoman"/>
      <w:start w:val="2"/>
    </w:lvl>
  </w:abstractNum>
  <w:abstractNum w:abstractNumId="27">
    <w:nsid w:val="71EA1109"/>
    <w:multiLevelType w:val="hybridMultilevel"/>
    <w:lvl w:ilvl="0">
      <w:lvlJc w:val="left"/>
      <w:lvlText w:val="%1"/>
      <w:numFmt w:val="lowerLetter"/>
      <w:start w:val="1"/>
    </w:lvl>
    <w:lvl w:ilvl="1">
      <w:lvlJc w:val="left"/>
      <w:lvlText w:val="(%2)"/>
      <w:numFmt w:val="lowerRoman"/>
      <w:start w:val="3"/>
    </w:lvl>
  </w:abstractNum>
  <w:abstractNum w:abstractNumId="28">
    <w:nsid w:val="100F59DC"/>
    <w:multiLevelType w:val="hybridMultilevel"/>
    <w:lvl w:ilvl="0">
      <w:lvlJc w:val="left"/>
      <w:lvlText w:val="(%1)"/>
      <w:numFmt w:val="lowerLetter"/>
      <w:start w:val="3"/>
    </w:lvl>
    <w:lvl w:ilvl="1">
      <w:lvlJc w:val="left"/>
      <w:lvlText w:val="%2"/>
      <w:numFmt w:val="lowerRoman"/>
      <w:start w:val="1"/>
    </w:lvl>
  </w:abstractNum>
  <w:abstractNum w:abstractNumId="29">
    <w:nsid w:val="7FB7E0AA"/>
    <w:multiLevelType w:val="hybridMultilevel"/>
    <w:lvl w:ilvl="0">
      <w:lvlJc w:val="left"/>
      <w:lvlText w:val="(%1)"/>
      <w:numFmt w:val="lowerLetter"/>
      <w:start w:val="1"/>
    </w:lvl>
  </w:abstractNum>
  <w:abstractNum w:abstractNumId="30">
    <w:nsid w:val="6EB5BD4"/>
    <w:multiLevelType w:val="hybridMultilevel"/>
    <w:lvl w:ilvl="0">
      <w:lvlJc w:val="left"/>
      <w:lvlText w:val="(%1)"/>
      <w:numFmt w:val="lowerLetter"/>
      <w:start w:val="2"/>
    </w:lvl>
    <w:lvl w:ilvl="1">
      <w:lvlJc w:val="left"/>
      <w:lvlText w:val="(%2)"/>
      <w:numFmt w:val="lowerLetter"/>
      <w:start w:val="35"/>
    </w:lvl>
  </w:abstractNum>
  <w:abstractNum w:abstractNumId="31">
    <w:nsid w:val="6F6DD9AC"/>
    <w:multiLevelType w:val="hybridMultilevel"/>
    <w:lvl w:ilvl="0">
      <w:lvlJc w:val="left"/>
      <w:lvlText w:val="(%1)"/>
      <w:numFmt w:val="lowerLetter"/>
      <w:start w:val="1"/>
    </w:lvl>
  </w:abstractNum>
  <w:abstractNum w:abstractNumId="32">
    <w:nsid w:val="94211F2"/>
    <w:multiLevelType w:val="hybridMultilevel"/>
    <w:lvl w:ilvl="0">
      <w:lvlJc w:val="left"/>
      <w:lvlText w:val="(%1)"/>
      <w:numFmt w:val="lowerRoman"/>
      <w:start w:val="2"/>
    </w:lvl>
  </w:abstractNum>
  <w:abstractNum w:abstractNumId="33">
    <w:nsid w:val="885E1B"/>
    <w:multiLevelType w:val="hybridMultilevel"/>
    <w:lvl w:ilvl="0">
      <w:lvlJc w:val="left"/>
      <w:lvlText w:val="(%1)"/>
      <w:numFmt w:val="lowerLetter"/>
      <w:start w:val="3"/>
    </w:lvl>
  </w:abstractNum>
  <w:abstractNum w:abstractNumId="34">
    <w:nsid w:val="76272110"/>
    <w:multiLevelType w:val="hybridMultilevel"/>
    <w:lvl w:ilvl="0">
      <w:lvlJc w:val="left"/>
      <w:lvlText w:val="(%1)"/>
      <w:numFmt w:val="lowerLetter"/>
      <w:start w:val="4"/>
    </w:lvl>
  </w:abstractNum>
  <w:abstractNum w:abstractNumId="35">
    <w:nsid w:val="4C04A8AF"/>
    <w:multiLevelType w:val="hybridMultilevel"/>
    <w:lvl w:ilvl="0">
      <w:lvlJc w:val="left"/>
      <w:lvlText w:val="(%1)"/>
      <w:numFmt w:val="lowerLetter"/>
      <w:start w:val="5"/>
    </w:lvl>
  </w:abstractNum>
  <w:abstractNum w:abstractNumId="36">
    <w:nsid w:val="1716703B"/>
    <w:multiLevelType w:val="hybridMultilevel"/>
    <w:lvl w:ilvl="0">
      <w:lvlJc w:val="left"/>
      <w:lvlText w:val="%1"/>
      <w:numFmt w:val="lowerLetter"/>
      <w:start w:val="1"/>
    </w:lvl>
    <w:lvl w:ilvl="1">
      <w:lvlJc w:val="left"/>
      <w:lvlText w:val="(%2)"/>
      <w:numFmt w:val="lowerRoman"/>
      <w:start w:val="1"/>
    </w:lvl>
  </w:abstractNum>
  <w:abstractNum w:abstractNumId="37">
    <w:nsid w:val="14E17E33"/>
    <w:multiLevelType w:val="hybridMultilevel"/>
    <w:lvl w:ilvl="0">
      <w:lvlJc w:val="left"/>
      <w:lvlText w:val="(%1)"/>
      <w:numFmt w:val="lowerLetter"/>
      <w:start w:val="25"/>
    </w:lvl>
    <w:lvl w:ilvl="1">
      <w:lvlJc w:val="left"/>
      <w:lvlText w:val="%2"/>
      <w:numFmt w:val="lowerRoman"/>
      <w:start w:val="1"/>
    </w:lvl>
  </w:abstractNum>
  <w:abstractNum w:abstractNumId="38">
    <w:nsid w:val="3222E7CD"/>
    <w:multiLevelType w:val="hybridMultilevel"/>
    <w:lvl w:ilvl="0">
      <w:lvlJc w:val="left"/>
      <w:lvlText w:val="(%1)"/>
      <w:numFmt w:val="lowerRoman"/>
      <w:start w:val="1"/>
    </w:lvl>
  </w:abstractNum>
  <w:abstractNum w:abstractNumId="39">
    <w:nsid w:val="74DE0EE3"/>
    <w:multiLevelType w:val="hybridMultilevel"/>
    <w:lvl w:ilvl="0">
      <w:lvlJc w:val="left"/>
      <w:lvlText w:val="(%1)"/>
      <w:numFmt w:val="lowerLetter"/>
      <w:start w:val="2"/>
    </w:lvl>
  </w:abstractNum>
  <w:abstractNum w:abstractNumId="40">
    <w:nsid w:val="68EBC550"/>
    <w:multiLevelType w:val="hybridMultilevel"/>
    <w:lvl w:ilvl="0">
      <w:lvlJc w:val="left"/>
      <w:lvlText w:val="(%1)"/>
      <w:numFmt w:val="lowerLetter"/>
      <w:start w:val="1"/>
    </w:lvl>
    <w:lvl w:ilvl="1">
      <w:lvlJc w:val="left"/>
      <w:lvlText w:val="(%2)"/>
      <w:numFmt w:val="lowerLetter"/>
      <w:start w:val="35"/>
    </w:lvl>
  </w:abstractNum>
  <w:abstractNum w:abstractNumId="41">
    <w:nsid w:val="2DF6D648"/>
    <w:multiLevelType w:val="hybridMultilevel"/>
    <w:lvl w:ilvl="0">
      <w:lvlJc w:val="left"/>
      <w:lvlText w:val="%1"/>
      <w:numFmt w:val="lowerLetter"/>
      <w:start w:val="1"/>
    </w:lvl>
    <w:lvl w:ilvl="1">
      <w:lvlJc w:val="left"/>
      <w:lvlText w:val="(%2)"/>
      <w:numFmt w:val="lowerLetter"/>
      <w:start w:val="61"/>
    </w:lvl>
  </w:abstractNum>
  <w:abstractNum w:abstractNumId="42">
    <w:nsid w:val="46B7D447"/>
    <w:multiLevelType w:val="hybridMultilevel"/>
    <w:lvl w:ilvl="0">
      <w:lvlJc w:val="left"/>
      <w:lvlText w:val="(%1)"/>
      <w:numFmt w:val="lowerLetter"/>
      <w:start w:val="2"/>
    </w:lvl>
    <w:lvl w:ilvl="1">
      <w:lvlJc w:val="left"/>
      <w:lvlText w:val="%2"/>
      <w:numFmt w:val="lowerLetter"/>
      <w:start w:val="1"/>
    </w:lvl>
  </w:abstractNum>
  <w:abstractNum w:abstractNumId="43">
    <w:nsid w:val="4A2AC31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4">
    <w:nsid w:val="39EE015C"/>
    <w:multiLevelType w:val="hybridMultilevel"/>
    <w:lvl w:ilvl="0">
      <w:lvlJc w:val="left"/>
      <w:lvlText w:val="(%1)"/>
      <w:numFmt w:val="lowerLetter"/>
      <w:start w:val="4"/>
    </w:lvl>
    <w:lvl w:ilvl="1">
      <w:lvlJc w:val="left"/>
      <w:lvlText w:val="(%2)"/>
      <w:numFmt w:val="lowerLetter"/>
      <w:start w:val="35"/>
    </w:lvl>
    <w:lvl w:ilvl="2">
      <w:lvlJc w:val="left"/>
      <w:lvlText w:val="(%3)"/>
      <w:numFmt w:val="upperLetter"/>
      <w:start w:val="1"/>
    </w:lvl>
  </w:abstractNum>
  <w:abstractNum w:abstractNumId="45">
    <w:nsid w:val="57FC4FBB"/>
    <w:multiLevelType w:val="hybridMultilevel"/>
    <w:lvl w:ilvl="0">
      <w:lvlJc w:val="left"/>
      <w:lvlText w:val="(%1)"/>
      <w:numFmt w:val="upperLetter"/>
      <w:start w:val="2"/>
    </w:lvl>
    <w:lvl w:ilvl="1">
      <w:lvlJc w:val="left"/>
      <w:lvlText w:val="(%2)"/>
      <w:numFmt w:val="upperLetter"/>
      <w:start w:val="9"/>
    </w:lvl>
  </w:abstractNum>
  <w:abstractNum w:abstractNumId="46">
    <w:nsid w:val="CC1016F"/>
    <w:multiLevelType w:val="hybridMultilevel"/>
    <w:lvl w:ilvl="0">
      <w:lvlJc w:val="left"/>
      <w:lvlText w:val="(%1)"/>
      <w:numFmt w:val="upperLetter"/>
      <w:start w:val="35"/>
    </w:lvl>
  </w:abstractNum>
  <w:abstractNum w:abstractNumId="47">
    <w:nsid w:val="43F18422"/>
    <w:multiLevelType w:val="hybridMultilevel"/>
    <w:lvl w:ilvl="0">
      <w:lvlJc w:val="left"/>
      <w:lvlText w:val="(%1)"/>
      <w:numFmt w:val="upperLetter"/>
      <w:start w:val="61"/>
    </w:lvl>
  </w:abstractNum>
  <w:abstractNum w:abstractNumId="48">
    <w:nsid w:val="60EF0119"/>
    <w:multiLevelType w:val="hybridMultilevel"/>
    <w:lvl w:ilvl="0">
      <w:lvlJc w:val="left"/>
      <w:lvlText w:val="%1"/>
      <w:numFmt w:val="upperLetter"/>
      <w:start w:val="1"/>
    </w:lvl>
    <w:lvl w:ilvl="1">
      <w:lvlJc w:val="left"/>
      <w:lvlText w:val="(%2)"/>
      <w:numFmt w:val="upperLetter"/>
      <w:start w:val="22"/>
    </w:lvl>
  </w:abstractNum>
  <w:abstractNum w:abstractNumId="49">
    <w:nsid w:val="26F324BA"/>
    <w:multiLevelType w:val="hybridMultilevel"/>
    <w:lvl w:ilvl="0">
      <w:lvlJc w:val="left"/>
      <w:lvlText w:val="(%1)"/>
      <w:numFmt w:val="upperLetter"/>
      <w:start w:val="3"/>
    </w:lvl>
    <w:lvl w:ilvl="1">
      <w:lvlJc w:val="left"/>
      <w:lvlText w:val="%2"/>
      <w:numFmt w:val="upperLetter"/>
      <w:start w:val="1"/>
    </w:lvl>
  </w:abstractNum>
  <w:abstractNum w:abstractNumId="50">
    <w:nsid w:val="7F01579B"/>
    <w:multiLevelType w:val="hybridMultilevel"/>
    <w:lvl w:ilvl="0">
      <w:lvlJc w:val="left"/>
      <w:lvlText w:val="%1"/>
      <w:numFmt w:val="lowerLetter"/>
      <w:start w:val="1"/>
    </w:lvl>
    <w:lvl w:ilvl="1">
      <w:lvlJc w:val="left"/>
      <w:lvlText w:val="(%2)"/>
      <w:numFmt w:val="lowerRoman"/>
      <w:start w:val="3"/>
    </w:lvl>
  </w:abstractNum>
  <w:abstractNum w:abstractNumId="51">
    <w:nsid w:val="49DA307D"/>
    <w:multiLevelType w:val="hybridMultilevel"/>
    <w:lvl w:ilvl="0">
      <w:lvlJc w:val="left"/>
      <w:lvlText w:val="(%1)"/>
      <w:numFmt w:val="lowerLetter"/>
      <w:start w:val="6"/>
    </w:lvl>
    <w:lvl w:ilvl="1">
      <w:lvlJc w:val="left"/>
      <w:lvlText w:val="%2"/>
      <w:numFmt w:val="lowerRoman"/>
      <w:start w:val="1"/>
    </w:lvl>
  </w:abstractNum>
  <w:abstractNum w:abstractNumId="52">
    <w:nsid w:val="7055A5F5"/>
    <w:multiLevelType w:val="hybridMultilevel"/>
    <w:lvl w:ilvl="0">
      <w:lvlJc w:val="left"/>
      <w:lvlText w:val="(%1)"/>
      <w:numFmt w:val="lowerLetter"/>
      <w:start w:val="1"/>
    </w:lvl>
    <w:lvl w:ilvl="1">
      <w:lvlJc w:val="left"/>
      <w:lvlText w:val="(%2)"/>
      <w:numFmt w:val="lowerRoman"/>
      <w:start w:val="1"/>
    </w:lvl>
  </w:abstractNum>
  <w:abstractNum w:abstractNumId="53">
    <w:nsid w:val="5FB8370B"/>
    <w:multiLevelType w:val="hybridMultilevel"/>
    <w:lvl w:ilvl="0">
      <w:lvlJc w:val="left"/>
      <w:lvlText w:val="(%1)"/>
      <w:numFmt w:val="lowerLetter"/>
      <w:start w:val="2"/>
    </w:lvl>
  </w:abstractNum>
  <w:abstractNum w:abstractNumId="54">
    <w:nsid w:val="50801EE1"/>
    <w:multiLevelType w:val="hybridMultilevel"/>
    <w:lvl w:ilvl="0">
      <w:lvlJc w:val="left"/>
      <w:lvlText w:val="(%1)"/>
      <w:numFmt w:val="lowerLetter"/>
      <w:start w:val="1"/>
    </w:lvl>
  </w:abstractNum>
  <w:abstractNum w:abstractNumId="55">
    <w:nsid w:val="488AC1A"/>
    <w:multiLevelType w:val="hybridMultilevel"/>
    <w:lvl w:ilvl="0">
      <w:lvlJc w:val="left"/>
      <w:lvlText w:val="(%1)"/>
      <w:numFmt w:val="lowerLetter"/>
      <w:start w:val="2"/>
    </w:lvl>
  </w:abstractNum>
  <w:abstractNum w:abstractNumId="56">
    <w:nsid w:val="5FB8011C"/>
    <w:multiLevelType w:val="hybridMultilevel"/>
    <w:lvl w:ilvl="0">
      <w:lvlJc w:val="left"/>
      <w:lvlText w:val="(%1)"/>
      <w:numFmt w:val="lowerLetter"/>
      <w:start w:val="1"/>
    </w:lvl>
  </w:abstractNum>
  <w:abstractNum w:abstractNumId="57">
    <w:nsid w:val="6AA78F7F"/>
    <w:multiLevelType w:val="hybridMultilevel"/>
    <w:lvl w:ilvl="0">
      <w:lvlJc w:val="left"/>
      <w:lvlText w:val="(%1)"/>
      <w:numFmt w:val="lowerLetter"/>
      <w:start w:val="2"/>
    </w:lvl>
  </w:abstractNum>
  <w:abstractNum w:abstractNumId="58">
    <w:nsid w:val="7672BD23"/>
    <w:multiLevelType w:val="hybridMultilevel"/>
    <w:lvl w:ilvl="0">
      <w:lvlJc w:val="left"/>
      <w:lvlText w:val="(%1)"/>
      <w:numFmt w:val="lowerLetter"/>
      <w:start w:val="1"/>
    </w:lvl>
    <w:lvl w:ilvl="1">
      <w:lvlJc w:val="left"/>
      <w:lvlText w:val="(%2)"/>
      <w:numFmt w:val="lowerRoman"/>
      <w:start w:val="1"/>
    </w:lvl>
  </w:abstractNum>
  <w:abstractNum w:abstractNumId="59">
    <w:nsid w:val="6FC75AF8"/>
    <w:multiLevelType w:val="hybridMultilevel"/>
    <w:lvl w:ilvl="0">
      <w:lvlJc w:val="left"/>
      <w:lvlText w:val="(%1)"/>
      <w:numFmt w:val="lowerRoman"/>
      <w:start w:val="5"/>
    </w:lvl>
  </w:abstractNum>
  <w:abstractNum w:abstractNumId="60">
    <w:nsid w:val="6A5F70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61">
    <w:nsid w:val="7D5E18F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8"/>
    </w:lvl>
  </w:abstractNum>
  <w:abstractNum w:abstractNumId="62">
    <w:nsid w:val="5F3534A4"/>
    <w:multiLevelType w:val="hybridMultilevel"/>
    <w:lvl w:ilvl="0">
      <w:lvlJc w:val="left"/>
      <w:lvlText w:val="(%1)"/>
      <w:numFmt w:val="lowerLetter"/>
      <w:start w:val="1"/>
    </w:lvl>
  </w:abstractNum>
  <w:abstractNum w:abstractNumId="63">
    <w:nsid w:val="73A1821B"/>
    <w:multiLevelType w:val="hybridMultilevel"/>
    <w:lvl w:ilvl="0">
      <w:lvlJc w:val="left"/>
      <w:lvlText w:val="(%1)"/>
      <w:numFmt w:val="lowerLetter"/>
      <w:start w:val="1"/>
    </w:lvl>
  </w:abstractNum>
  <w:abstractNum w:abstractNumId="64">
    <w:nsid w:val="7DE67713"/>
    <w:multiLevelType w:val="hybridMultilevel"/>
    <w:lvl w:ilvl="0">
      <w:lvlJc w:val="left"/>
      <w:lvlText w:val="%1"/>
      <w:numFmt w:val="lowerRoman"/>
      <w:start w:val="1"/>
    </w:lvl>
    <w:lvl w:ilvl="1">
      <w:lvlJc w:val="left"/>
      <w:lvlText w:val="(%2)"/>
      <w:numFmt w:val="lowerLetter"/>
      <w:start w:val="1"/>
    </w:lvl>
  </w:abstractNum>
  <w:abstractNum w:abstractNumId="65">
    <w:nsid w:val="555C55B5"/>
    <w:multiLevelType w:val="hybridMultilevel"/>
    <w:lvl w:ilvl="0">
      <w:lvlJc w:val="left"/>
      <w:lvlText w:val="(%1)"/>
      <w:numFmt w:val="lowerRoman"/>
      <w:start w:val="4"/>
    </w:lvl>
    <w:lvl w:ilvl="1">
      <w:lvlJc w:val="left"/>
      <w:lvlText w:val="%2"/>
      <w:numFmt w:val="lowerLetter"/>
      <w:start w:val="1"/>
    </w:lvl>
  </w:abstractNum>
  <w:abstractNum w:abstractNumId="66">
    <w:nsid w:val="3FA62ACA"/>
    <w:multiLevelType w:val="hybridMultilevel"/>
    <w:lvl w:ilvl="0">
      <w:lvlJc w:val="left"/>
      <w:lvlText w:val="(%1)"/>
      <w:numFmt w:val="lowerLetter"/>
      <w:start w:val="1"/>
    </w:lvl>
  </w:abstractNum>
  <w:abstractNum w:abstractNumId="67">
    <w:nsid w:val="14FCE74E"/>
    <w:multiLevelType w:val="hybridMultilevel"/>
    <w:lvl w:ilvl="0">
      <w:lvlJc w:val="left"/>
      <w:lvlText w:val="(%1)"/>
      <w:numFmt w:val="upperLetter"/>
      <w:start w:val="2"/>
    </w:lvl>
  </w:abstractNum>
  <w:abstractNum w:abstractNumId="68">
    <w:nsid w:val="6A3DD3E8"/>
    <w:multiLevelType w:val="hybridMultilevel"/>
    <w:lvl w:ilvl="0">
      <w:lvlJc w:val="left"/>
      <w:lvlText w:val="(%1)"/>
      <w:numFmt w:val="lowerLetter"/>
      <w:start w:val="1"/>
    </w:lvl>
  </w:abstractNum>
  <w:abstractNum w:abstractNumId="69">
    <w:nsid w:val="71C91298"/>
    <w:multiLevelType w:val="hybridMultilevel"/>
    <w:lvl w:ilvl="0">
      <w:lvlJc w:val="left"/>
      <w:lvlText w:val="(%1)"/>
      <w:numFmt w:val="lowerLetter"/>
      <w:start w:val="3"/>
    </w:lvl>
    <w:lvl w:ilvl="1">
      <w:lvlJc w:val="left"/>
      <w:lvlText w:val="(%2)"/>
      <w:numFmt w:val="lowerLetter"/>
      <w:start w:val="1"/>
    </w:lvl>
  </w:abstractNum>
  <w:abstractNum w:abstractNumId="70">
    <w:nsid w:val="9DAF632"/>
    <w:multiLevelType w:val="hybridMultilevel"/>
    <w:lvl w:ilvl="0">
      <w:lvlJc w:val="left"/>
      <w:lvlText w:val="(%1)"/>
      <w:numFmt w:val="lowerLetter"/>
      <w:start w:val="61"/>
    </w:lvl>
    <w:lvl w:ilvl="1">
      <w:lvlJc w:val="left"/>
      <w:lvlText w:val="(%2)"/>
      <w:numFmt w:val="lowerLetter"/>
      <w:start w:val="2"/>
    </w:lvl>
  </w:abstractNum>
  <w:abstractNum w:abstractNumId="71">
    <w:nsid w:val="53299938"/>
    <w:multiLevelType w:val="hybridMultilevel"/>
    <w:lvl w:ilvl="0">
      <w:lvlJc w:val="left"/>
      <w:lvlText w:val="(%1)"/>
      <w:numFmt w:val="lowerRoman"/>
      <w:start w:val="2"/>
    </w:lvl>
  </w:abstractNum>
  <w:abstractNum w:abstractNumId="72">
    <w:nsid w:val="1FBFE8E0"/>
    <w:multiLevelType w:val="hybridMultilevel"/>
    <w:lvl w:ilvl="0">
      <w:lvlJc w:val="left"/>
      <w:lvlText w:val="(%1)"/>
      <w:numFmt w:val="lowerLetter"/>
      <w:start w:val="1"/>
    </w:lvl>
  </w:abstractNum>
  <w:abstractNum w:abstractNumId="73">
    <w:nsid w:val="5092CA79"/>
    <w:multiLevelType w:val="hybridMultilevel"/>
    <w:lvl w:ilvl="0">
      <w:lvlJc w:val="left"/>
      <w:lvlText w:val="(%1)"/>
      <w:numFmt w:val="lowerLetter"/>
      <w:start w:val="1"/>
    </w:lvl>
  </w:abstractNum>
  <w:abstractNum w:abstractNumId="74">
    <w:nsid w:val="1D545C4D"/>
    <w:multiLevelType w:val="hybridMultilevel"/>
    <w:lvl w:ilvl="0">
      <w:lvlJc w:val="left"/>
      <w:lvlText w:val="(%1)"/>
      <w:numFmt w:val="lowerLetter"/>
      <w:start w:val="4"/>
    </w:lvl>
  </w:abstractNum>
  <w:abstractNum w:abstractNumId="75">
    <w:nsid w:val="59ADEA3D"/>
    <w:multiLevelType w:val="hybridMultilevel"/>
    <w:lvl w:ilvl="0">
      <w:lvlJc w:val="left"/>
      <w:lvlText w:val="(%1)"/>
      <w:numFmt w:val="lowerLetter"/>
      <w:start w:val="7"/>
    </w:lvl>
  </w:abstractNum>
  <w:abstractNum w:abstractNumId="76">
    <w:nsid w:val="288F1A34"/>
    <w:multiLevelType w:val="hybridMultilevel"/>
    <w:lvl w:ilvl="0">
      <w:lvlJc w:val="left"/>
      <w:lvlText w:val="(%1)"/>
      <w:numFmt w:val="lowerLetter"/>
      <w:start w:val="11"/>
    </w:lvl>
  </w:abstractNum>
  <w:abstractNum w:abstractNumId="77">
    <w:nsid w:val="2A155DBC"/>
    <w:multiLevelType w:val="hybridMultilevel"/>
    <w:lvl w:ilvl="0">
      <w:lvlJc w:val="left"/>
      <w:lvlText w:val="%1"/>
      <w:numFmt w:val="lowerLetter"/>
      <w:start w:val="1"/>
    </w:lvl>
    <w:lvl w:ilvl="1">
      <w:lvlJc w:val="left"/>
      <w:lvlText w:val="(%2)"/>
      <w:numFmt w:val="lowerLetter"/>
      <w:start w:val="1"/>
    </w:lvl>
  </w:abstractNum>
  <w:abstractNum w:abstractNumId="78">
    <w:nsid w:val="1D9F6E5F"/>
    <w:multiLevelType w:val="hybridMultilevel"/>
    <w:lvl w:ilvl="0">
      <w:lvlJc w:val="left"/>
      <w:lvlText w:val="(%1)"/>
      <w:numFmt w:val="lowerLetter"/>
      <w:start w:val="35"/>
    </w:lvl>
    <w:lvl w:ilvl="1">
      <w:lvlJc w:val="left"/>
      <w:lvlText w:val="%2"/>
      <w:numFmt w:val="lowerLetter"/>
      <w:start w:val="1"/>
    </w:lvl>
  </w:abstractNum>
  <w:abstractNum w:abstractNumId="79">
    <w:nsid w:val="97E1B4E"/>
    <w:multiLevelType w:val="hybridMultilevel"/>
    <w:lvl w:ilvl="0">
      <w:lvlJc w:val="left"/>
      <w:lvlText w:val="(%1)"/>
      <w:numFmt w:val="lowerLetter"/>
      <w:start w:val="5"/>
    </w:lvl>
  </w:abstractNum>
  <w:abstractNum w:abstractNumId="80">
    <w:nsid w:val="51088277"/>
    <w:multiLevelType w:val="hybridMultilevel"/>
    <w:lvl w:ilvl="0">
      <w:lvlJc w:val="left"/>
      <w:lvlText w:val="%1"/>
      <w:numFmt w:val="lowerLetter"/>
      <w:start w:val="1"/>
    </w:lvl>
    <w:lvl w:ilvl="1">
      <w:lvlJc w:val="left"/>
      <w:lvlText w:val="(%2)"/>
      <w:numFmt w:val="lowerLetter"/>
      <w:start w:val="1"/>
    </w:lvl>
  </w:abstractNum>
  <w:abstractNum w:abstractNumId="81">
    <w:nsid w:val="1CA0C5FA"/>
    <w:multiLevelType w:val="hybridMultilevel"/>
    <w:lvl w:ilvl="0">
      <w:lvlJc w:val="left"/>
      <w:lvlText w:val="(%1)"/>
      <w:numFmt w:val="lowerLetter"/>
      <w:start w:val="24"/>
    </w:lvl>
    <w:lvl w:ilvl="1">
      <w:lvlJc w:val="left"/>
      <w:lvlText w:val="(%2)"/>
      <w:numFmt w:val="lowerLetter"/>
      <w:start w:val="2"/>
    </w:lvl>
  </w:abstractNum>
  <w:abstractNum w:abstractNumId="82">
    <w:nsid w:val="53584BCB"/>
    <w:multiLevelType w:val="hybridMultilevel"/>
    <w:lvl w:ilvl="0">
      <w:lvlJc w:val="left"/>
      <w:lvlText w:val="(%1)"/>
      <w:numFmt w:val="lowerLetter"/>
      <w:start w:val="2"/>
    </w:lvl>
  </w:abstractNum>
  <w:abstractNum w:abstractNumId="83">
    <w:nsid w:val="415E286C"/>
    <w:multiLevelType w:val="hybridMultilevel"/>
    <w:lvl w:ilvl="0">
      <w:lvlJc w:val="left"/>
      <w:lvlText w:val="(%1)"/>
      <w:numFmt w:val="lowerLetter"/>
      <w:start w:val="5"/>
    </w:lvl>
  </w:abstractNum>
  <w:abstractNum w:abstractNumId="84">
    <w:nsid w:val="7C58FD05"/>
    <w:multiLevelType w:val="hybridMultilevel"/>
    <w:lvl w:ilvl="0">
      <w:lvlJc w:val="left"/>
      <w:lvlText w:val="(%1)"/>
      <w:numFmt w:val="lowerLetter"/>
      <w:start w:val="1"/>
    </w:lvl>
  </w:abstractNum>
  <w:abstractNum w:abstractNumId="85">
    <w:nsid w:val="23D86AAC"/>
    <w:multiLevelType w:val="hybridMultilevel"/>
    <w:lvl w:ilvl="0">
      <w:lvlJc w:val="left"/>
      <w:lvlText w:val="(%1)"/>
      <w:numFmt w:val="upperLetter"/>
      <w:start w:val="1"/>
    </w:lvl>
  </w:abstractNum>
  <w:abstractNum w:abstractNumId="86">
    <w:nsid w:val="45E6D486"/>
    <w:multiLevelType w:val="hybridMultilevel"/>
    <w:lvl w:ilvl="0">
      <w:lvlJc w:val="left"/>
      <w:lvlText w:val="(%1)"/>
      <w:numFmt w:val="lowerRoman"/>
      <w:start w:val="1"/>
    </w:lvl>
    <w:lvl w:ilvl="1">
      <w:lvlJc w:val="left"/>
      <w:lvlText w:val="(%2)"/>
      <w:numFmt w:val="upperLetter"/>
      <w:start w:val="2"/>
    </w:lvl>
  </w:abstractNum>
  <w:abstractNum w:abstractNumId="87">
    <w:nsid w:val="5C10FE21"/>
    <w:multiLevelType w:val="hybridMultilevel"/>
    <w:lvl w:ilvl="0">
      <w:lvlJc w:val="left"/>
      <w:lvlText w:val="(%1)"/>
      <w:numFmt w:val="upperLetter"/>
      <w:start w:val="3"/>
    </w:lvl>
  </w:abstractNum>
  <w:abstractNum w:abstractNumId="88">
    <w:nsid w:val="E7FFA2B"/>
    <w:multiLevelType w:val="hybridMultilevel"/>
    <w:lvl w:ilvl="0">
      <w:lvlJc w:val="left"/>
      <w:lvlText w:val="(%1)"/>
      <w:numFmt w:val="lowerRoman"/>
      <w:start w:val="1"/>
    </w:lvl>
  </w:abstractNum>
  <w:abstractNum w:abstractNumId="89">
    <w:nsid w:val="3C5991AA"/>
    <w:multiLevelType w:val="hybridMultilevel"/>
    <w:lvl w:ilvl="0">
      <w:lvlJc w:val="left"/>
      <w:lvlText w:val="(%1)"/>
      <w:numFmt w:val="lowerLetter"/>
      <w:start w:val="1"/>
    </w:lvl>
  </w:abstractNum>
  <w:abstractNum w:abstractNumId="90">
    <w:nsid w:val="4BD8591A"/>
    <w:multiLevelType w:val="hybridMultilevel"/>
    <w:lvl w:ilvl="0">
      <w:lvlJc w:val="left"/>
      <w:lvlText w:val="(%1)"/>
      <w:numFmt w:val="lowerLetter"/>
      <w:start w:val="1"/>
    </w:lvl>
  </w:abstractNum>
  <w:abstractNum w:abstractNumId="91">
    <w:nsid w:val="78DF6A55"/>
    <w:multiLevelType w:val="hybridMultilevel"/>
    <w:lvl w:ilvl="0">
      <w:lvlJc w:val="left"/>
      <w:lvlText w:val="%1"/>
      <w:numFmt w:val="lowerLetter"/>
      <w:start w:val="1"/>
    </w:lvl>
    <w:lvl w:ilvl="1">
      <w:lvlJc w:val="left"/>
      <w:lvlText w:val="(%2)"/>
      <w:numFmt w:val="lowerLetter"/>
      <w:start w:val="3"/>
    </w:lvl>
  </w:abstractNum>
  <w:abstractNum w:abstractNumId="92">
    <w:nsid w:val="39B7AAA2"/>
    <w:multiLevelType w:val="hybridMultilevel"/>
    <w:lvl w:ilvl="0">
      <w:lvlJc w:val="left"/>
      <w:lvlText w:val="(%1)"/>
      <w:numFmt w:val="lowerLetter"/>
      <w:start w:val="35"/>
    </w:lvl>
    <w:lvl w:ilvl="1">
      <w:lvlJc w:val="left"/>
      <w:lvlText w:val="(%2)"/>
      <w:numFmt w:val="lowerLetter"/>
      <w:start w:val="6"/>
    </w:lvl>
  </w:abstractNum>
  <w:abstractNum w:abstractNumId="93">
    <w:nsid w:val="2B0D8DBE"/>
    <w:multiLevelType w:val="hybridMultilevel"/>
    <w:lvl w:ilvl="0">
      <w:lvlJc w:val="left"/>
      <w:lvlText w:val="%1"/>
      <w:numFmt w:val="lowerLetter"/>
      <w:start w:val="1"/>
    </w:lvl>
    <w:lvl w:ilvl="1">
      <w:lvlJc w:val="left"/>
      <w:lvlText w:val="(%2)"/>
      <w:numFmt w:val="lowerLetter"/>
      <w:start w:val="7"/>
    </w:lvl>
  </w:abstractNum>
  <w:abstractNum w:abstractNumId="94">
    <w:nsid w:val="6C80EC70"/>
    <w:multiLevelType w:val="hybridMultilevel"/>
    <w:lvl w:ilvl="0">
      <w:lvlJc w:val="left"/>
      <w:lvlText w:val="(%1)"/>
      <w:numFmt w:val="lowerLetter"/>
      <w:start w:val="9"/>
    </w:lvl>
    <w:lvl w:ilvl="1">
      <w:lvlJc w:val="left"/>
      <w:lvlText w:val="(%2)"/>
      <w:numFmt w:val="lowerLetter"/>
      <w:start w:val="9"/>
    </w:lvl>
  </w:abstractNum>
  <w:abstractNum w:abstractNumId="95">
    <w:nsid w:val="379E21B5"/>
    <w:multiLevelType w:val="hybridMultilevel"/>
    <w:lvl w:ilvl="0">
      <w:lvlJc w:val="left"/>
      <w:lvlText w:val="(%1)"/>
      <w:numFmt w:val="lowerLetter"/>
      <w:start w:val="10"/>
    </w:lvl>
    <w:lvl w:ilvl="1">
      <w:lvlJc w:val="left"/>
      <w:lvlText w:val="(%2)"/>
      <w:numFmt w:val="lowerLetter"/>
      <w:start w:val="11"/>
    </w:lvl>
  </w:abstractNum>
  <w:abstractNum w:abstractNumId="96">
    <w:nsid w:val="69E373"/>
    <w:multiLevelType w:val="hybridMultilevel"/>
    <w:lvl w:ilvl="0">
      <w:lvlJc w:val="left"/>
      <w:lvlText w:val="(%1)"/>
      <w:numFmt w:val="lowerLetter"/>
      <w:start w:val="1"/>
    </w:lvl>
  </w:abstractNum>
  <w:abstractNum w:abstractNumId="97">
    <w:nsid w:val="2C27173B"/>
    <w:multiLevelType w:val="hybridMultilevel"/>
    <w:lvl w:ilvl="0">
      <w:lvlJc w:val="left"/>
      <w:lvlText w:val="(%1)"/>
      <w:numFmt w:val="lowerLetter"/>
      <w:start w:val="2"/>
    </w:lvl>
  </w:abstractNum>
  <w:abstractNum w:abstractNumId="98">
    <w:nsid w:val="4C9B0904"/>
    <w:multiLevelType w:val="hybridMultilevel"/>
    <w:lvl w:ilvl="0">
      <w:lvlJc w:val="left"/>
      <w:lvlText w:val="(%1)"/>
      <w:numFmt w:val="lowerLetter"/>
      <w:start w:val="1"/>
    </w:lvl>
  </w:abstractNum>
  <w:abstractNum w:abstractNumId="99">
    <w:nsid w:val="6AA7B75C"/>
    <w:multiLevelType w:val="hybridMultilevel"/>
    <w:lvl w:ilvl="0">
      <w:lvlJc w:val="left"/>
      <w:lvlText w:val="(%1)"/>
      <w:numFmt w:val="lowerLetter"/>
      <w:start w:val="2"/>
    </w:lvl>
  </w:abstractNum>
  <w:abstractNum w:abstractNumId="100">
    <w:nsid w:val="1DF029D3"/>
    <w:multiLevelType w:val="hybridMultilevel"/>
    <w:lvl w:ilvl="0">
      <w:lvlJc w:val="left"/>
      <w:lvlText w:val="(%1)"/>
      <w:numFmt w:val="lowerLetter"/>
      <w:start w:val="1"/>
    </w:lvl>
  </w:abstractNum>
  <w:abstractNum w:abstractNumId="101">
    <w:nsid w:val="5675FF36"/>
    <w:multiLevelType w:val="hybridMultilevel"/>
    <w:lvl w:ilvl="0">
      <w:lvlJc w:val="left"/>
      <w:lvlText w:val="(%1)"/>
      <w:numFmt w:val="lowerLetter"/>
      <w:start w:val="1"/>
    </w:lvl>
  </w:abstractNum>
  <w:abstractNum w:abstractNumId="102">
    <w:nsid w:val="3DD15094"/>
    <w:multiLevelType w:val="hybridMultilevel"/>
    <w:lvl w:ilvl="0">
      <w:lvlJc w:val="left"/>
      <w:lvlText w:val="(%1)"/>
      <w:numFmt w:val="lowerLetter"/>
      <w:start w:val="5"/>
    </w:lvl>
  </w:abstractNum>
  <w:abstractNum w:abstractNumId="103">
    <w:nsid w:val="3DB012B3"/>
    <w:multiLevelType w:val="hybridMultilevel"/>
    <w:lvl w:ilvl="0">
      <w:lvlJc w:val="left"/>
      <w:lvlText w:val="(%1)"/>
      <w:numFmt w:val="lowerLetter"/>
      <w:start w:val="1"/>
    </w:lvl>
    <w:lvl w:ilvl="1">
      <w:lvlJc w:val="left"/>
      <w:lvlText w:val="(%2)"/>
      <w:numFmt w:val="lowerRoman"/>
      <w:start w:val="1"/>
    </w:lvl>
  </w:abstractNum>
  <w:abstractNum w:abstractNumId="104">
    <w:nsid w:val="2708C9AF"/>
    <w:multiLevelType w:val="hybridMultilevel"/>
    <w:lvl w:ilvl="0">
      <w:lvlJc w:val="left"/>
      <w:lvlText w:val="(%1)"/>
      <w:numFmt w:val="lowerLetter"/>
      <w:start w:val="2"/>
    </w:lvl>
  </w:abstractNum>
  <w:abstractNum w:abstractNumId="105">
    <w:nsid w:val="5B25ACE2"/>
    <w:multiLevelType w:val="hybridMultilevel"/>
    <w:lvl w:ilvl="0">
      <w:lvlJc w:val="left"/>
      <w:lvlText w:val="(%1)"/>
      <w:numFmt w:val="lowerLetter"/>
      <w:start w:val="3"/>
    </w:lvl>
  </w:abstractNum>
  <w:abstractNum w:abstractNumId="106">
    <w:nsid w:val="175DFCF0"/>
    <w:multiLevelType w:val="hybridMultilevel"/>
    <w:lvl w:ilvl="0">
      <w:lvlJc w:val="left"/>
      <w:lvlText w:val="(%1)"/>
      <w:numFmt w:val="lowerLetter"/>
      <w:start w:val="5"/>
    </w:lvl>
  </w:abstractNum>
  <w:abstractNum w:abstractNumId="107">
    <w:nsid w:val="4F97E3E4"/>
    <w:multiLevelType w:val="hybridMultilevel"/>
    <w:lvl w:ilvl="0">
      <w:lvlJc w:val="left"/>
      <w:lvlText w:val="(%1)"/>
      <w:numFmt w:val="lowerLetter"/>
      <w:start w:val="1"/>
    </w:lvl>
  </w:abstractNum>
  <w:abstractNum w:abstractNumId="108">
    <w:nsid w:val="53B0A9E"/>
    <w:multiLevelType w:val="hybridMultilevel"/>
    <w:lvl w:ilvl="0">
      <w:lvlJc w:val="left"/>
      <w:lvlText w:val="%1"/>
      <w:numFmt w:val="lowerLetter"/>
      <w:start w:val="1"/>
    </w:lvl>
    <w:lvl w:ilvl="1">
      <w:lvlJc w:val="left"/>
      <w:lvlText w:val="(%2)"/>
      <w:numFmt w:val="lowerLetter"/>
      <w:start w:val="2"/>
    </w:lvl>
  </w:abstractNum>
  <w:abstractNum w:abstractNumId="109">
    <w:nsid w:val="34FD6B4F"/>
    <w:multiLevelType w:val="hybridMultilevel"/>
    <w:lvl w:ilvl="0">
      <w:lvlJc w:val="left"/>
      <w:lvlText w:val="(%1)"/>
      <w:numFmt w:val="lowerLetter"/>
      <w:start w:val="35"/>
    </w:lvl>
    <w:lvl w:ilvl="1">
      <w:lvlJc w:val="left"/>
      <w:lvlText w:val="%2"/>
      <w:numFmt w:val="lowerLetter"/>
      <w:start w:val="1"/>
    </w:lvl>
  </w:abstractNum>
  <w:abstractNum w:abstractNumId="110">
    <w:nsid w:val="5915FF32"/>
    <w:multiLevelType w:val="hybridMultilevel"/>
    <w:lvl w:ilvl="0">
      <w:lvlJc w:val="left"/>
      <w:lvlText w:val="(%1)"/>
      <w:numFmt w:val="lowerLetter"/>
      <w:start w:val="4"/>
    </w:lvl>
  </w:abstractNum>
  <w:abstractNum w:abstractNumId="111">
    <w:nsid w:val="56438D15"/>
    <w:multiLevelType w:val="hybridMultilevel"/>
    <w:lvl w:ilvl="0">
      <w:lvlJc w:val="left"/>
      <w:lvlText w:val="(%1)"/>
      <w:numFmt w:val="lowerLetter"/>
      <w:start w:val="7"/>
    </w:lvl>
  </w:abstractNum>
  <w:abstractNum w:abstractNumId="112">
    <w:nsid w:val="519E314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3">
    <w:nsid w:val="2C6E4AFD"/>
    <w:multiLevelType w:val="hybridMultilevel"/>
    <w:lvl w:ilvl="0">
      <w:lvlJc w:val="left"/>
      <w:lvlText w:val="(%1)"/>
      <w:numFmt w:val="lowerLetter"/>
      <w:start w:val="6"/>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114">
    <w:nsid w:val="17A1B582"/>
    <w:multiLevelType w:val="hybridMultilevel"/>
    <w:lvl w:ilvl="0">
      <w:lvlJc w:val="left"/>
      <w:lvlText w:val="%1"/>
      <w:numFmt w:val="lowerRoman"/>
      <w:start w:val="1"/>
    </w:lvl>
    <w:lvl w:ilvl="1">
      <w:lvlJc w:val="left"/>
      <w:lvlText w:val="(%2)"/>
      <w:numFmt w:val="upperLetter"/>
      <w:start w:val="2"/>
    </w:lvl>
  </w:abstractNum>
  <w:abstractNum w:abstractNumId="115">
    <w:nsid w:val="4DF72E4E"/>
    <w:multiLevelType w:val="hybridMultilevel"/>
    <w:lvl w:ilvl="0">
      <w:lvlJc w:val="left"/>
      <w:lvlText w:val="(%1)"/>
      <w:numFmt w:val="lowerRoman"/>
      <w:start w:val="2"/>
    </w:lvl>
    <w:lvl w:ilvl="1">
      <w:lvlJc w:val="left"/>
      <w:lvlText w:val="(%2)"/>
      <w:numFmt w:val="upperLetter"/>
      <w:start w:val="1"/>
    </w:lvl>
  </w:abstractNum>
  <w:abstractNum w:abstractNumId="116">
    <w:nsid w:val="5046B5A9"/>
    <w:multiLevelType w:val="hybridMultilevel"/>
    <w:lvl w:ilvl="0">
      <w:lvlJc w:val="left"/>
      <w:lvlText w:val="(%1)"/>
      <w:numFmt w:val="lowerRoman"/>
      <w:start w:val="5"/>
    </w:lvl>
  </w:abstractNum>
  <w:abstractNum w:abstractNumId="117">
    <w:nsid w:val="5D888A08"/>
    <w:multiLevelType w:val="hybridMultilevel"/>
    <w:lvl w:ilvl="0">
      <w:lvlJc w:val="left"/>
      <w:lvlText w:val="(%1)"/>
      <w:numFmt w:val="lowerLetter"/>
      <w:start w:val="3"/>
    </w:lvl>
  </w:abstractNum>
  <w:abstractNum w:abstractNumId="118">
    <w:nsid w:val="2A082C70"/>
    <w:multiLevelType w:val="hybridMultilevel"/>
    <w:lvl w:ilvl="0">
      <w:lvlJc w:val="left"/>
      <w:lvlText w:val="(%1)"/>
      <w:numFmt w:val="lowerLetter"/>
      <w:start w:val="4"/>
    </w:lvl>
  </w:abstractNum>
  <w:abstractNum w:abstractNumId="119">
    <w:nsid w:val="5EC6AFD4"/>
    <w:multiLevelType w:val="hybridMultilevel"/>
    <w:lvl w:ilvl="0">
      <w:lvlJc w:val="left"/>
      <w:lvlText w:val="(%1)"/>
      <w:numFmt w:val="lowerLetter"/>
      <w:start w:val="5"/>
    </w:lvl>
  </w:abstractNum>
  <w:abstractNum w:abstractNumId="120">
    <w:nsid w:val="19E21BB2"/>
    <w:multiLevelType w:val="hybridMultilevel"/>
    <w:lvl w:ilvl="0">
      <w:lvlJc w:val="left"/>
      <w:lvlText w:val="(%1)"/>
      <w:numFmt w:val="lowerRoman"/>
      <w:start w:val="3"/>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1"/>
    </w:lvl>
  </w:abstractNum>
  <w:abstractNum w:abstractNumId="123">
    <w:nsid w:val="5399C654"/>
    <w:multiLevelType w:val="hybridMultilevel"/>
    <w:lvl w:ilvl="0">
      <w:lvlJc w:val="left"/>
      <w:lvlText w:val="(%1)"/>
      <w:numFmt w:val="lowerLetter"/>
      <w:start w:val="3"/>
    </w:lvl>
  </w:abstractNum>
  <w:abstractNum w:abstractNumId="124">
    <w:nsid w:val="20EE1348"/>
    <w:multiLevelType w:val="hybridMultilevel"/>
    <w:lvl w:ilvl="0">
      <w:lvlJc w:val="left"/>
      <w:lvlText w:val="o"/>
      <w:numFmt w:val="bullet"/>
      <w:start w:val="1"/>
    </w:lvl>
  </w:abstractNum>
  <w:abstractNum w:abstractNumId="125">
    <w:nsid w:val="4427069A"/>
    <w:multiLevelType w:val="hybridMultilevel"/>
    <w:lvl w:ilvl="0">
      <w:lvlJc w:val="left"/>
      <w:lvlText w:val="%1."/>
      <w:numFmt w:val="decimal"/>
      <w:start w:val="3"/>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1."/>
      <w:numFmt w:val="decimal"/>
      <w:start w:val="1"/>
    </w:lvl>
  </w:abstractNum>
  <w:abstractNum w:abstractNumId="128">
    <w:nsid w:val="704E1DD5"/>
    <w:multiLevelType w:val="hybridMultilevel"/>
    <w:lvl w:ilvl="0">
      <w:lvlJc w:val="left"/>
      <w:lvlText w:val="%1."/>
      <w:numFmt w:val="decimal"/>
      <w:start w:val="1"/>
    </w:lvl>
  </w:abstractNum>
  <w:abstractNum w:abstractNumId="129">
    <w:nsid w:val="57D2F10E"/>
    <w:multiLevelType w:val="hybridMultilevel"/>
    <w:lvl w:ilvl="0">
      <w:lvlJc w:val="left"/>
      <w:lvlText w:val="%1."/>
      <w:numFmt w:val="decimal"/>
      <w:start w:val="3"/>
    </w:lvl>
  </w:abstractNum>
  <w:abstractNum w:abstractNumId="130">
    <w:nsid w:val="BFFAE18"/>
    <w:multiLevelType w:val="hybridMultilevel"/>
    <w:lvl w:ilvl="0">
      <w:lvlJc w:val="left"/>
      <w:lvlText w:val="%1."/>
      <w:numFmt w:val="decimal"/>
      <w:start w:val="4"/>
    </w:lvl>
  </w:abstractNum>
  <w:abstractNum w:abstractNumId="131">
    <w:nsid w:val="E3E47A8"/>
    <w:multiLevelType w:val="hybridMultilevel"/>
    <w:lvl w:ilvl="0">
      <w:lvlJc w:val="left"/>
      <w:lvlText w:val="%1."/>
      <w:numFmt w:val="upperLetter"/>
      <w:start w:val="9"/>
    </w:lvl>
  </w:abstractNum>
  <w:abstractNum w:abstractNumId="132">
    <w:nsid w:val="2E48F044"/>
    <w:multiLevelType w:val="hybridMultilevel"/>
    <w:lvl w:ilvl="0">
      <w:lvlJc w:val="left"/>
      <w:lvlText w:val="%1."/>
      <w:numFmt w:val="decimal"/>
      <w:start w:val="8"/>
    </w:lvl>
  </w:abstractNum>
  <w:abstractNum w:abstractNumId="133">
    <w:nsid w:val="49D0FEAC"/>
    <w:multiLevelType w:val="hybridMultilevel"/>
    <w:lvl w:ilvl="0">
      <w:lvlJc w:val="left"/>
      <w:lvlText w:val="%1."/>
      <w:numFmt w:val="decimal"/>
      <w:start w:val="2"/>
    </w:lvl>
  </w:abstractNum>
  <w:abstractNum w:abstractNumId="134">
    <w:nsid w:val="4BEE5A5B"/>
    <w:multiLevelType w:val="hybridMultilevel"/>
    <w:lvl w:ilvl="0">
      <w:lvlJc w:val="left"/>
      <w:lvlText w:val="%1."/>
      <w:numFmt w:val="upperLetter"/>
      <w:start w:val="3"/>
    </w:lvl>
  </w:abstractNum>
  <w:abstractNum w:abstractNumId="135">
    <w:nsid w:val="5551B9F3"/>
    <w:multiLevelType w:val="hybridMultilevel"/>
    <w:lvl w:ilvl="0">
      <w:lvlJc w:val="left"/>
      <w:lvlText w:val="%1."/>
      <w:numFmt w:val="decimal"/>
      <w:start w:val="1"/>
    </w:lvl>
  </w:abstractNum>
  <w:abstractNum w:abstractNumId="136">
    <w:nsid w:val="24F6AB8E"/>
    <w:multiLevelType w:val="hybridMultilevel"/>
    <w:lvl w:ilvl="0">
      <w:lvlJc w:val="left"/>
      <w:lvlText w:val="%1."/>
      <w:numFmt w:val="decimal"/>
      <w:start w:val="4"/>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2020-01-22T05:07:36Z</dcterms:created>
  <dcterms:modified xsi:type="dcterms:W3CDTF">2020-01-22T05:07:36Z</dcterms:modified>
</cp:coreProperties>
</file>