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11/28/2017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98"/>
              <w:spacing w:after="0"/>
              <w:rPr>
                <w:sz w:val="20"/>
                <w:szCs w:val="20"/>
                <w:color w:val="auto"/>
              </w:rPr>
            </w:pPr>
            <w:r>
              <w:rPr>
                <w:rFonts w:ascii="Arial" w:cs="Arial" w:eastAsia="Arial" w:hAnsi="Arial"/>
                <w:sz w:val="18"/>
                <w:szCs w:val="18"/>
                <w:color w:val="0000FF"/>
              </w:rPr>
              <w:t>11/28/2017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10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385,817</w:t>
            </w: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3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286,375,789</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9"/>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November 28, 2017, a limited partner of AAP exercised the Redemption Right with respect to an aggregate of 385,817 AAP Class A units, resulting in the cancellation of such AAP Class A units and the distribution of 385,817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11/28/2017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2020-01-16T05:28:51Z</dcterms:created>
  <dcterms:modified xsi:type="dcterms:W3CDTF">2020-01-16T05:28:51Z</dcterms:modified>
</cp:coreProperties>
</file>