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February 7, 2025</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12"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February 7, 2025, the Registrant issued a press release reporting its fourth-quarter 2024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6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February 7, 2025</w:t>
            </w:r>
          </w:p>
        </w:tc>
        <w:tc>
          <w:tcPr>
            <w:tcW w:w="4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32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764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06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7, 2025</w:t>
            </w: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282575</wp:posOffset>
            </wp:positionV>
            <wp:extent cx="2362835" cy="910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2835"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Fourth-Quarter and Full-Year 2024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Provides Update on Efficient Growth Initiatives and Announces 2025 Guidance</w:t>
      </w:r>
    </w:p>
    <w:p>
      <w:pPr>
        <w:spacing w:after="0" w:line="23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Houston, TX – February 7, 2025 – Plains All American Pipeline, L.P. (Nasdaq: PAA) and Plains GP Holdings (Nasdaq: PAGP) today reported fourth-quarter and full-year 2024 results, announced 2025 guidance and provided the following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Results</w:t>
      </w:r>
    </w:p>
    <w:p>
      <w:pPr>
        <w:spacing w:after="0" w:line="80" w:lineRule="exact"/>
        <w:rPr>
          <w:sz w:val="20"/>
          <w:szCs w:val="20"/>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Fourth-quarter and full-year 2024 Net income attributable to PAA of $36 million and $772 million, respectively, and 2024 Net cash provided by operating activities of $726 million and $2.49 billion, respectively</w:t>
      </w:r>
    </w:p>
    <w:p>
      <w:pPr>
        <w:spacing w:after="0" w:line="21" w:lineRule="exact"/>
        <w:rPr>
          <w:rFonts w:ascii="Times New Roman" w:cs="Times New Roman" w:eastAsia="Times New Roman" w:hAnsi="Times New Roman"/>
          <w:sz w:val="17"/>
          <w:szCs w:val="17"/>
          <w:b w:val="1"/>
          <w:bCs w:val="1"/>
          <w:color w:val="auto"/>
        </w:rPr>
      </w:pPr>
    </w:p>
    <w:p>
      <w:pPr>
        <w:ind w:left="620" w:right="30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strong fourth-quarter and full-year 2024 Adjusted EBITDA attributable to PAA above the top-end of guidance with $729 million and $2.78 billion, respectively</w:t>
      </w:r>
    </w:p>
    <w:p>
      <w:pPr>
        <w:spacing w:after="0" w:line="8"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Generated full-year 2024 Adjusted Free Cash Flow (excluding changes in Assets &amp; Liabilities; including impact from legal settlements) of $1.17 billion and exited the year with leverage at 3.0x</w:t>
      </w:r>
    </w:p>
    <w:p>
      <w:pPr>
        <w:spacing w:after="0" w:line="8"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for the quarter includes the impact of a $225 million charge resulting from the write-off of a receivable for Line 901 insurance proceeds and $140 million of non-cash charges related to the write-down of two U.S. NGL terminals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Efficient Growth Initiatives</w:t>
      </w:r>
    </w:p>
    <w:p>
      <w:pPr>
        <w:spacing w:after="0" w:line="80" w:lineRule="exact"/>
        <w:rPr>
          <w:sz w:val="20"/>
          <w:szCs w:val="20"/>
          <w:color w:val="auto"/>
        </w:rPr>
      </w:pPr>
    </w:p>
    <w:p>
      <w:pPr>
        <w:ind w:left="620" w:right="80" w:hanging="307"/>
        <w:spacing w:after="0" w:line="288" w:lineRule="auto"/>
        <w:tabs>
          <w:tab w:leader="none" w:pos="61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Closed all three previously announced bolt-on acquisitions for approximately $670 million net to PAA, including the acquisition of Ironwood Midstream Energy</w:t>
      </w:r>
    </w:p>
    <w:p>
      <w:pPr>
        <w:spacing w:after="0" w:line="21" w:lineRule="exact"/>
        <w:rPr>
          <w:rFonts w:ascii="Times New Roman" w:cs="Times New Roman" w:eastAsia="Times New Roman" w:hAnsi="Times New Roman"/>
          <w:sz w:val="17"/>
          <w:szCs w:val="17"/>
          <w:b w:val="1"/>
          <w:bCs w:val="1"/>
          <w:color w:val="auto"/>
        </w:rPr>
      </w:pPr>
    </w:p>
    <w:p>
      <w:pPr>
        <w:ind w:left="620" w:right="8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previously announced purchase of approximately 12.7 million units, or 18%, of its Series A Preferred Units for a purchase price of approximately $330 million</w:t>
      </w:r>
    </w:p>
    <w:p>
      <w:pPr>
        <w:spacing w:after="0" w:line="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pursuing a long runway of synergistic and strong return bolt-on opportunities across the asset footprint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Outlook</w:t>
      </w:r>
    </w:p>
    <w:p>
      <w:pPr>
        <w:spacing w:after="0" w:line="80"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Expect full-year 2025 Adjusted EBITDA attributable to PAA of $2.80 - $2.95 billion</w:t>
      </w:r>
    </w:p>
    <w:p>
      <w:pPr>
        <w:spacing w:after="0" w:line="88" w:lineRule="exact"/>
        <w:rPr>
          <w:rFonts w:ascii="Times New Roman" w:cs="Times New Roman" w:eastAsia="Times New Roman" w:hAnsi="Times New Roman"/>
          <w:sz w:val="17"/>
          <w:szCs w:val="17"/>
          <w:b w:val="1"/>
          <w:bCs w:val="1"/>
          <w:color w:val="auto"/>
        </w:rPr>
      </w:pPr>
    </w:p>
    <w:p>
      <w:pPr>
        <w:ind w:left="620" w:right="2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distribution increase of $0.25 per unit payable February 14, 2025, representing a 20% aggregate increase in the annualized distribution versus 2024 levels (new annual distribution of $1.52 per unit)</w:t>
      </w:r>
    </w:p>
    <w:p>
      <w:pPr>
        <w:spacing w:after="0" w:line="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successfully raised $1 billion in aggregate senior unsecured notes at 5.95% due 2035</w:t>
      </w:r>
    </w:p>
    <w:p>
      <w:pPr>
        <w:spacing w:after="0" w:line="75"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leverage ratio to be at or below the low-end of leverage target range of 3.25x to 3.75x, continuing to provide significant balance sheet optionality and flexibility</w:t>
      </w:r>
    </w:p>
    <w:p>
      <w:pPr>
        <w:spacing w:after="0" w:line="21" w:lineRule="exact"/>
        <w:rPr>
          <w:rFonts w:ascii="Times New Roman" w:cs="Times New Roman" w:eastAsia="Times New Roman" w:hAnsi="Times New Roman"/>
          <w:sz w:val="17"/>
          <w:szCs w:val="17"/>
          <w:color w:val="auto"/>
        </w:rPr>
      </w:pPr>
    </w:p>
    <w:p>
      <w:pPr>
        <w:ind w:left="620" w:right="90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to generate approximately $1.15 billion of Adjusted Free Cash Flow (excluding changes in Assets &amp; Liabilities), which is reduced by approximately $580 million for previously announced bolt-on transactions closed in the first quarter</w:t>
      </w:r>
    </w:p>
    <w:p>
      <w:pPr>
        <w:spacing w:after="0" w:line="8"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focused on disciplined capital investments, anticipating full-year 2025 Growth Capital of +/- $400 million and Maintenance Capital of +/- $240 million net to PAA</w:t>
      </w:r>
    </w:p>
    <w:p>
      <w:pPr>
        <w:spacing w:after="0" w:line="17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“We continue delivering strong financial and operating results and increasing return of capital to unitholders. As evidenced by our recently announced acquisitions, we have the ability to leverage our integrated asset base and financial strength to drive accretive transactions and deliver value to our customers and unitholders,” said Plains Chairman and CEO Willie Chiang. “We remain confident entering 2025, with strong operational momentum and focus on executing our efficient growth strategy. Our strong performance and positive outlook combined with the contribution from recent bolt-on acquisitions continues driving meaningful cash flow and underpins increasing returns to unitholders all while maintaining capital discipline and financial flexibility.”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GAAP Results</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5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net income/(loss) per common unit</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711"/>
        </w:trPr>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51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 after Distributions</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(3)</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68"/>
        </w:trPr>
        <w:tc>
          <w:tcPr>
            <w:tcW w:w="5200" w:type="dxa"/>
            <w:vAlign w:val="bottom"/>
            <w:gridSpan w:val="4"/>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200" w:type="dxa"/>
            <w:vAlign w:val="bottom"/>
            <w:gridSpan w:val="4"/>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Assets &amp; Liabilities) </w:t>
            </w:r>
            <w:r>
              <w:rPr>
                <w:rFonts w:ascii="Times New Roman" w:cs="Times New Roman" w:eastAsia="Times New Roman" w:hAnsi="Times New Roman"/>
                <w:sz w:val="22"/>
                <w:szCs w:val="22"/>
                <w:color w:val="auto"/>
                <w:vertAlign w:val="superscript"/>
              </w:rPr>
              <w:t>(3)</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63" w:lineRule="exact"/>
        <w:rPr>
          <w:sz w:val="20"/>
          <w:szCs w:val="20"/>
          <w:color w:val="auto"/>
        </w:rPr>
      </w:pPr>
    </w:p>
    <w:p>
      <w:pPr>
        <w:ind w:left="320" w:right="160" w:hanging="317"/>
        <w:spacing w:after="0" w:line="237"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7" w:lineRule="exact"/>
        <w:rPr>
          <w:rFonts w:ascii="Times New Roman" w:cs="Times New Roman" w:eastAsia="Times New Roman" w:hAnsi="Times New Roman"/>
          <w:sz w:val="22"/>
          <w:szCs w:val="22"/>
          <w:color w:val="auto"/>
          <w:vertAlign w:val="superscript"/>
        </w:rPr>
      </w:pPr>
    </w:p>
    <w:p>
      <w:pPr>
        <w:ind w:left="320" w:right="40" w:hanging="317"/>
        <w:spacing w:after="0" w:line="23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joint venture, Cactus II Pipeline LLC and Red River Pipeline LLC.</w:t>
      </w:r>
    </w:p>
    <w:p>
      <w:pPr>
        <w:spacing w:after="0" w:line="87" w:lineRule="exact"/>
        <w:rPr>
          <w:rFonts w:ascii="Times New Roman" w:cs="Times New Roman" w:eastAsia="Times New Roman" w:hAnsi="Times New Roman"/>
          <w:sz w:val="22"/>
          <w:szCs w:val="22"/>
          <w:color w:val="auto"/>
          <w:vertAlign w:val="superscript"/>
        </w:rPr>
      </w:pPr>
    </w:p>
    <w:p>
      <w:pPr>
        <w:ind w:left="320" w:right="480" w:hanging="317"/>
        <w:spacing w:after="0" w:line="210" w:lineRule="auto"/>
        <w:tabs>
          <w:tab w:leader="none" w:pos="30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Fourth-quarter and full-year 2024 Adjusted Free Cash Flow (Excluding Changes in Assets &amp; Liabilities) includes the negative impact of a $225 million charge resulting from the write-off of a receivable for Line 901 insurance proceeds.</w:t>
      </w:r>
    </w:p>
    <w:p>
      <w:pPr>
        <w:ind w:left="5440" w:hanging="93"/>
        <w:spacing w:after="0"/>
        <w:tabs>
          <w:tab w:leader="none" w:pos="54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Selected Financial Data by Segment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December 31, 2024</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December 31, 2023</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169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1 %</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8"/>
        </w:trPr>
        <w:tc>
          <w:tcPr>
            <w:tcW w:w="7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r>
      <w:tr>
        <w:trPr>
          <w:trHeight w:val="201"/>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39"/>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Twelve Months Ended December 31, 2024</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480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Twelve Months Ended December 31, 2023</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Times New Roman" w:cs="Times New Roman" w:eastAsia="Times New Roman" w:hAnsi="Times New Roman"/>
                <w:sz w:val="17"/>
                <w:szCs w:val="17"/>
                <w:color w:val="auto"/>
              </w:rPr>
              <w:t>2,163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522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in Segment Adjusted EBITDA versus 2023 period</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both"/>
        <w:ind w:right="200" w:firstLine="620"/>
        <w:spacing w:after="0" w:line="270" w:lineRule="auto"/>
        <w:rPr>
          <w:sz w:val="20"/>
          <w:szCs w:val="20"/>
          <w:color w:val="auto"/>
        </w:rPr>
      </w:pPr>
      <w:r>
        <w:rPr>
          <w:rFonts w:ascii="Times New Roman" w:cs="Times New Roman" w:eastAsia="Times New Roman" w:hAnsi="Times New Roman"/>
          <w:sz w:val="17"/>
          <w:szCs w:val="17"/>
          <w:color w:val="auto"/>
        </w:rPr>
        <w:t>Fourth-quarter 2024 Crude Oil Segment Adjusted EBITDA increased 1% versus comparable 2023 results primarily due to higher tariff volumes on our pipelines, tariff escalations and contributions from acquisitions. These items were partially offset by fewer market-based opportunities, as well as an increase in estimated costs for long-term environmental remediation obligations.</w:t>
      </w:r>
    </w:p>
    <w:p>
      <w:pPr>
        <w:spacing w:after="0" w:line="193" w:lineRule="exact"/>
        <w:rPr>
          <w:sz w:val="20"/>
          <w:szCs w:val="20"/>
          <w:color w:val="auto"/>
        </w:rPr>
      </w:pPr>
    </w:p>
    <w:p>
      <w:pPr>
        <w:ind w:right="480" w:firstLine="620"/>
        <w:spacing w:after="0" w:line="288" w:lineRule="auto"/>
        <w:rPr>
          <w:sz w:val="20"/>
          <w:szCs w:val="20"/>
          <w:color w:val="auto"/>
        </w:rPr>
      </w:pPr>
      <w:r>
        <w:rPr>
          <w:rFonts w:ascii="Times New Roman" w:cs="Times New Roman" w:eastAsia="Times New Roman" w:hAnsi="Times New Roman"/>
          <w:sz w:val="17"/>
          <w:szCs w:val="17"/>
          <w:color w:val="auto"/>
        </w:rPr>
        <w:t>Fourth-quarter 2024 NGL Segment Adjusted EBITDA decreased 9% versus comparable 2023 results primarily due to lower weighted average frac spreads in the fourth quarter of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February 7, 2025 to discuss fourth-quarter performance and related items.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https://edge.media-server.com/mmc/p/xp2zqt6q/.</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4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248" w:lineRule="exact"/>
        <w:rPr>
          <w:sz w:val="20"/>
          <w:szCs w:val="20"/>
          <w:color w:val="auto"/>
        </w:rPr>
      </w:pPr>
    </w:p>
    <w:p>
      <w:pPr>
        <w:jc w:val="both"/>
        <w:ind w:right="140" w:firstLine="620"/>
        <w:spacing w:after="0" w:line="262" w:lineRule="auto"/>
        <w:rPr>
          <w:sz w:val="20"/>
          <w:szCs w:val="20"/>
          <w:color w:val="auto"/>
        </w:rPr>
      </w:pPr>
      <w:r>
        <w:rPr>
          <w:rFonts w:ascii="Times New Roman" w:cs="Times New Roman" w:eastAsia="Times New Roman" w:hAnsi="Times New Roman"/>
          <w:sz w:val="17"/>
          <w:szCs w:val="17"/>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and losses on investments in unconsolidated entities and (vi) interest income on promissory notes by and among PAA and certain Plains entities, and (vii) adjusted for certain selected items impacting comparability. Adjusted EBITDA attributable to PAA excludes the portion of Adjusted EBITDA that is attributable to noncontrolling interests.</w:t>
      </w:r>
    </w:p>
    <w:p>
      <w:pPr>
        <w:spacing w:after="0" w:line="199"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248"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03"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the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48,712</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44,531</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2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(Gains)/losses on asset sales, asset impairments and other,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3"/>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47,202</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expense, net </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income tax expense </w:t>
            </w:r>
            <w:r>
              <w:rPr>
                <w:rFonts w:ascii="Times New Roman" w:cs="Times New Roman" w:eastAsia="Times New Roman" w:hAnsi="Times New Roman"/>
                <w:sz w:val="22"/>
                <w:szCs w:val="22"/>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0"/>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 PER COMMON UNIT: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income/(loss) allocated to common unitholders — Basic and Diluted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26" w:lineRule="exact"/>
        <w:rPr>
          <w:sz w:val="20"/>
          <w:szCs w:val="20"/>
          <w:color w:val="auto"/>
        </w:rPr>
      </w:pPr>
    </w:p>
    <w:p>
      <w:pPr>
        <w:ind w:left="320" w:right="180" w:hanging="317"/>
        <w:spacing w:after="0" w:line="237"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include $225 million and $345 million for the three and twelve months ended December 31, 2024, respectively, resulting from adjustments related to the Line 901 incident that occurred in May 2015, including the write-off of a receivable for Line 901 insurance proceeds in the fourth quarter of 2024 and settlements in the third quarter of 2024.</w:t>
      </w:r>
    </w:p>
    <w:p>
      <w:pPr>
        <w:spacing w:after="0" w:line="35" w:lineRule="exact"/>
        <w:rPr>
          <w:rFonts w:ascii="Times New Roman" w:cs="Times New Roman" w:eastAsia="Times New Roman" w:hAnsi="Times New Roman"/>
          <w:sz w:val="22"/>
          <w:szCs w:val="22"/>
          <w:color w:val="auto"/>
          <w:vertAlign w:val="superscript"/>
        </w:rPr>
      </w:pPr>
    </w:p>
    <w:p>
      <w:pPr>
        <w:ind w:left="320" w:right="20" w:hanging="317"/>
        <w:spacing w:after="0" w:line="237"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PAA and certain Plains entities have issued promissory notes by and among such entities to facilitate financing. “Interest expense, net” and “Other income, net” each include $17 million and $48 million for the three and twelve months ended December 31, 2024, respectively, related to interest on such notes. These amounts offset and do not impact Net Income or Non-GAAP metrics such as Adjusted EBITDA, Implied DCF and Adjusted Free Cash Flow.</w:t>
      </w:r>
    </w:p>
    <w:p>
      <w:pPr>
        <w:spacing w:after="0" w:line="35" w:lineRule="exact"/>
        <w:rPr>
          <w:rFonts w:ascii="Times New Roman" w:cs="Times New Roman" w:eastAsia="Times New Roman" w:hAnsi="Times New Roman"/>
          <w:sz w:val="22"/>
          <w:szCs w:val="22"/>
          <w:color w:val="auto"/>
          <w:vertAlign w:val="superscript"/>
        </w:rPr>
      </w:pPr>
    </w:p>
    <w:p>
      <w:pPr>
        <w:ind w:left="320" w:right="500" w:hanging="317"/>
        <w:spacing w:after="0" w:line="230" w:lineRule="auto"/>
        <w:tabs>
          <w:tab w:leader="none" w:pos="3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increase in current income tax expense for the 2024 periods was largely associated with Canadian withholding tax on dividends from our Canadian entities to other Plains entities driven by timing of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 (including Cash and cash equivalents of $348 and $450, respectively)</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4,802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15,424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1,677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Linefill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inventory</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26,562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notes, net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3,283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13,096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26,562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56"/>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7,213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debt</w:t>
            </w:r>
          </w:p>
        </w:tc>
        <w:tc>
          <w:tcPr>
            <w:tcW w:w="2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7,621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7,213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10,422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book capitalization excluding noncontrolling interests (“Total book capitalization”)</w:t>
            </w: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17,026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17,727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7"/>
                <w:szCs w:val="17"/>
                <w:color w:val="auto"/>
              </w:rPr>
              <w:t>Total book capitalization, including short-term debt</w:t>
            </w:r>
          </w:p>
        </w:tc>
        <w:tc>
          <w:tcPr>
            <w:tcW w:w="2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rPr>
              <w:t>17,434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rPr>
              <w:t>18,173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debt-to-total book capitalization</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 more -</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NET INCOME/(LOSS)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Common Unit</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20" w:type="dxa"/>
            <w:vAlign w:val="bottom"/>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 allocated to common unitholders</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(2) (3)</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07"/>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720" w:type="dxa"/>
            <w:vAlign w:val="bottom"/>
            <w:tcBorders>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126" w:lineRule="exact"/>
        <w:rPr>
          <w:sz w:val="20"/>
          <w:szCs w:val="20"/>
          <w:color w:val="auto"/>
        </w:rPr>
      </w:pPr>
    </w:p>
    <w:p>
      <w:pPr>
        <w:ind w:left="320" w:right="140" w:hanging="317"/>
        <w:spacing w:after="0" w:line="241" w:lineRule="auto"/>
        <w:tabs>
          <w:tab w:leader="none" w:pos="30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5" w:lineRule="exact"/>
        <w:rPr>
          <w:rFonts w:ascii="Times New Roman" w:cs="Times New Roman" w:eastAsia="Times New Roman" w:hAnsi="Times New Roman"/>
          <w:sz w:val="22"/>
          <w:szCs w:val="22"/>
          <w:color w:val="auto"/>
          <w:vertAlign w:val="superscript"/>
        </w:rPr>
      </w:pPr>
    </w:p>
    <w:p>
      <w:pPr>
        <w:ind w:left="320" w:right="120" w:hanging="317"/>
        <w:spacing w:after="0" w:line="230" w:lineRule="auto"/>
        <w:tabs>
          <w:tab w:leader="none" w:pos="30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net income/(loss) per common unit for each of the three and twelve months ended December 31, 2024 and 2023 as the effect was antidilutive.</w:t>
      </w:r>
    </w:p>
    <w:p>
      <w:pPr>
        <w:spacing w:after="0" w:line="35" w:lineRule="exact"/>
        <w:rPr>
          <w:rFonts w:ascii="Times New Roman" w:cs="Times New Roman" w:eastAsia="Times New Roman" w:hAnsi="Times New Roman"/>
          <w:sz w:val="22"/>
          <w:szCs w:val="22"/>
          <w:color w:val="auto"/>
          <w:vertAlign w:val="superscript"/>
        </w:rPr>
      </w:pPr>
    </w:p>
    <w:p>
      <w:pPr>
        <w:ind w:left="320" w:right="80" w:hanging="317"/>
        <w:spacing w:after="0" w:line="241" w:lineRule="auto"/>
        <w:tabs>
          <w:tab w:leader="none" w:pos="30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77"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8"/>
              </w:rPr>
              <w:t>Twelve Months Ended December 31,</w:t>
            </w:r>
          </w:p>
        </w:tc>
      </w:tr>
      <w:tr>
        <w:trPr>
          <w:trHeight w:val="23"/>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asset impairments and other,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Preferred Distribution Rate Reset Option</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103"/>
        </w:trPr>
        <w:tc>
          <w:tcPr>
            <w:tcW w:w="3880" w:type="dxa"/>
            <w:vAlign w:val="bottom"/>
            <w:shd w:val="clear" w:color="auto" w:fill="CCEEFF"/>
          </w:tcPr>
          <w:p>
            <w:pPr>
              <w:spacing w:after="0"/>
              <w:rPr>
                <w:sz w:val="8"/>
                <w:szCs w:val="8"/>
                <w:color w:val="auto"/>
              </w:rPr>
            </w:pPr>
          </w:p>
        </w:tc>
        <w:tc>
          <w:tcPr>
            <w:tcW w:w="4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Net cash used in financing activities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increase/(decrease) in cash and cash equivalents and restricted cash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103"/>
        </w:trPr>
        <w:tc>
          <w:tcPr>
            <w:tcW w:w="38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2" w:lineRule="exact"/>
        <w:rPr>
          <w:sz w:val="20"/>
          <w:szCs w:val="20"/>
          <w:color w:val="auto"/>
        </w:rPr>
      </w:pPr>
    </w:p>
    <w:p>
      <w:pPr>
        <w:ind w:left="320" w:right="260" w:hanging="317"/>
        <w:spacing w:after="0" w:line="233" w:lineRule="auto"/>
        <w:tabs>
          <w:tab w:leader="none" w:pos="308"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PAA and certain Plains entities have issued promissory notes by and among such entities to facilitate financing. For the twelve months ended December 31, 2024, “Net cash used in investing activities” includes a cash outflow of $629 million associated with our investment in related party notes. An equal and offsetting cash inflow associated with our issuance of related party notes is included in “Net cash used in financing activities.”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r>
      <w:tr>
        <w:trPr>
          <w:trHeight w:val="124"/>
        </w:trPr>
        <w:tc>
          <w:tcPr>
            <w:tcW w:w="3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6"/>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right"/>
              <w:ind w:right="157"/>
              <w:spacing w:after="0" w:line="124"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8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64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35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3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0"/>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200" w:type="dxa"/>
            <w:vAlign w:val="bottom"/>
          </w:tcPr>
          <w:p>
            <w:pPr>
              <w:spacing w:after="0"/>
              <w:rPr>
                <w:sz w:val="18"/>
                <w:szCs w:val="18"/>
                <w:color w:val="auto"/>
              </w:rPr>
            </w:pPr>
          </w:p>
        </w:tc>
        <w:tc>
          <w:tcPr>
            <w:tcW w:w="660" w:type="dxa"/>
            <w:vAlign w:val="bottom"/>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r>
      <w:tr>
        <w:trPr>
          <w:trHeight w:val="22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13"/>
        </w:trPr>
        <w:tc>
          <w:tcPr>
            <w:tcW w:w="35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66"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expenditures attributable to noncontrolling interests.</w:t>
      </w: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 millions, except per unit and ratio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Adjusted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(3) (4)</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45"/>
        </w:trPr>
        <w:tc>
          <w:tcPr>
            <w:tcW w:w="38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26" w:lineRule="exact"/>
        <w:rPr>
          <w:sz w:val="20"/>
          <w:szCs w:val="20"/>
          <w:color w:val="auto"/>
        </w:rPr>
      </w:pPr>
    </w:p>
    <w:p>
      <w:pPr>
        <w:ind w:left="320" w:right="40" w:hanging="317"/>
        <w:spacing w:after="0" w:line="241"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52" w:lineRule="exact"/>
        <w:rPr>
          <w:rFonts w:ascii="Times New Roman" w:cs="Times New Roman" w:eastAsia="Times New Roman" w:hAnsi="Times New Roman"/>
          <w:sz w:val="22"/>
          <w:szCs w:val="22"/>
          <w:color w:val="auto"/>
          <w:vertAlign w:val="superscript"/>
        </w:rPr>
      </w:pPr>
    </w:p>
    <w:p>
      <w:pPr>
        <w:ind w:left="320" w:right="320" w:hanging="317"/>
        <w:spacing w:after="0" w:line="22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possible conversion of our Series A preferred units was excluded from the calculation of diluted adjusted net income per common unit for each of the three and twelve months ended December 31, 2024 and 2023 as the effect was antidilutive.</w:t>
      </w:r>
    </w:p>
    <w:p>
      <w:pPr>
        <w:spacing w:after="0" w:line="36" w:lineRule="exact"/>
        <w:rPr>
          <w:rFonts w:ascii="Times New Roman" w:cs="Times New Roman" w:eastAsia="Times New Roman" w:hAnsi="Times New Roman"/>
          <w:sz w:val="22"/>
          <w:szCs w:val="22"/>
          <w:color w:val="auto"/>
          <w:vertAlign w:val="superscript"/>
        </w:rPr>
      </w:pPr>
    </w:p>
    <w:p>
      <w:pPr>
        <w:ind w:left="320" w:right="80" w:hanging="317"/>
        <w:spacing w:after="0" w:line="241"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Income/(Loss) Per Common Unit to Adjusted Net Income Per Common Unit Reconciliation: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(0.04)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0.46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0.78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126" w:lineRule="exact"/>
        <w:rPr>
          <w:sz w:val="20"/>
          <w:szCs w:val="20"/>
          <w:color w:val="auto"/>
        </w:rPr>
      </w:pPr>
    </w:p>
    <w:p>
      <w:pPr>
        <w:ind w:left="320" w:right="340" w:hanging="317"/>
        <w:spacing w:after="0" w:line="210"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and the “Computation of Basic and Diluted Adjusted Net Income/(Loss) Per Common Unit” tables for additional information.</w:t>
      </w: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0"/>
        </w:trPr>
        <w:tc>
          <w:tcPr>
            <w:tcW w:w="6280" w:type="dxa"/>
            <w:vAlign w:val="bottom"/>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2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2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20"/>
        </w:trPr>
        <w:tc>
          <w:tcPr>
            <w:tcW w:w="6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6280" w:type="dxa"/>
            <w:vAlign w:val="bottom"/>
            <w:tcBorders>
              <w:bottom w:val="single" w:sz="8" w:color="CCEEFF"/>
            </w:tcBorders>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1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r>
      <w:tr>
        <w:trPr>
          <w:trHeight w:val="22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r>
      <w:tr>
        <w:trPr>
          <w:trHeight w:val="238"/>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6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w:t>
            </w:r>
          </w:p>
        </w:tc>
      </w:tr>
      <w:tr>
        <w:trPr>
          <w:trHeight w:val="220"/>
        </w:trPr>
        <w:tc>
          <w:tcPr>
            <w:tcW w:w="6280" w:type="dxa"/>
            <w:vAlign w:val="bottom"/>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Interest expense, net of certain non-cash items </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20"/>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Maintenance 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20"/>
        </w:trPr>
        <w:tc>
          <w:tcPr>
            <w:tcW w:w="6280" w:type="dxa"/>
            <w:vAlign w:val="bottom"/>
          </w:tcPr>
          <w:p>
            <w:pPr>
              <w:ind w:left="160"/>
              <w:spacing w:after="0" w:line="220"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6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0"/>
        </w:trPr>
        <w:tc>
          <w:tcPr>
            <w:tcW w:w="6280" w:type="dxa"/>
            <w:vAlign w:val="bottom"/>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(6)</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Times New Roman" w:cs="Times New Roman" w:eastAsia="Times New Roman" w:hAnsi="Times New Roman"/>
                <w:sz w:val="16"/>
                <w:szCs w:val="16"/>
                <w:color w:val="auto"/>
              </w:rPr>
              <w:t xml:space="preserve">Preferred unit cash distributions paid </w:t>
            </w:r>
            <w:r>
              <w:rPr>
                <w:rFonts w:ascii="Times New Roman" w:cs="Times New Roman" w:eastAsia="Times New Roman" w:hAnsi="Times New Roman"/>
                <w:sz w:val="21"/>
                <w:szCs w:val="21"/>
                <w:color w:val="auto"/>
                <w:vertAlign w:val="superscript"/>
              </w:rPr>
              <w:t>(7)</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Available to Common Unitholders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9"/>
        </w:trPr>
        <w:tc>
          <w:tcPr>
            <w:tcW w:w="6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2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r>
      <w:tr>
        <w:trPr>
          <w:trHeight w:val="103"/>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(8)</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20"/>
        </w:trPr>
        <w:tc>
          <w:tcPr>
            <w:tcW w:w="628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(9)</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103"/>
        </w:trPr>
        <w:tc>
          <w:tcPr>
            <w:tcW w:w="6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0.3175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0.2675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1.0700</w:t>
            </w: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(7)</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Unit Distribution Coverage Ratio</w:t>
            </w:r>
          </w:p>
        </w:tc>
        <w:tc>
          <w:tcPr>
            <w:tcW w:w="28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2.01x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2.55x</w:t>
            </w:r>
          </w:p>
        </w:tc>
        <w:tc>
          <w:tcPr>
            <w:tcW w:w="260" w:type="dxa"/>
            <w:vAlign w:val="bottom"/>
          </w:tcPr>
          <w:p>
            <w:pPr>
              <w:spacing w:after="0"/>
              <w:rPr>
                <w:sz w:val="19"/>
                <w:szCs w:val="19"/>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1.97x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2.31x</w:t>
            </w:r>
          </w:p>
        </w:tc>
      </w:tr>
      <w:tr>
        <w:trPr>
          <w:trHeight w:val="103"/>
        </w:trPr>
        <w:tc>
          <w:tcPr>
            <w:tcW w:w="62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Implied DCF Excess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24612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45"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PAA and certain Plains entities.</w:t>
      </w:r>
    </w:p>
    <w:p>
      <w:pPr>
        <w:spacing w:after="0" w:line="46" w:lineRule="exact"/>
        <w:rPr>
          <w:rFonts w:ascii="Times New Roman" w:cs="Times New Roman" w:eastAsia="Times New Roman" w:hAnsi="Times New Roman"/>
          <w:sz w:val="17"/>
          <w:szCs w:val="17"/>
          <w:color w:val="auto"/>
          <w:vertAlign w:val="superscript"/>
        </w:rPr>
      </w:pPr>
    </w:p>
    <w:p>
      <w:pPr>
        <w:ind w:left="300" w:hanging="297"/>
        <w:spacing w:after="0" w:line="196" w:lineRule="auto"/>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47" w:lineRule="exact"/>
        <w:rPr>
          <w:rFonts w:ascii="Times New Roman" w:cs="Times New Roman" w:eastAsia="Times New Roman" w:hAnsi="Times New Roman"/>
          <w:sz w:val="17"/>
          <w:szCs w:val="17"/>
          <w:color w:val="auto"/>
          <w:vertAlign w:val="superscript"/>
        </w:rPr>
      </w:pPr>
    </w:p>
    <w:p>
      <w:pPr>
        <w:ind w:left="300" w:hanging="297"/>
        <w:spacing w:after="0" w:line="196" w:lineRule="auto"/>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47" w:lineRule="exact"/>
        <w:rPr>
          <w:rFonts w:ascii="Times New Roman" w:cs="Times New Roman" w:eastAsia="Times New Roman" w:hAnsi="Times New Roman"/>
          <w:sz w:val="17"/>
          <w:szCs w:val="17"/>
          <w:color w:val="auto"/>
          <w:vertAlign w:val="superscript"/>
        </w:rPr>
      </w:pPr>
    </w:p>
    <w:p>
      <w:pPr>
        <w:ind w:left="300" w:hanging="297"/>
        <w:spacing w:after="0" w:line="196" w:lineRule="auto"/>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w:t>
      </w:r>
    </w:p>
    <w:p>
      <w:pPr>
        <w:spacing w:after="0" w:line="47" w:lineRule="exact"/>
        <w:rPr>
          <w:rFonts w:ascii="Times New Roman" w:cs="Times New Roman" w:eastAsia="Times New Roman" w:hAnsi="Times New Roman"/>
          <w:sz w:val="17"/>
          <w:szCs w:val="17"/>
          <w:color w:val="auto"/>
          <w:vertAlign w:val="superscript"/>
        </w:rPr>
      </w:pPr>
    </w:p>
    <w:p>
      <w:pPr>
        <w:ind w:left="300" w:hanging="297"/>
        <w:spacing w:after="0" w:line="196" w:lineRule="auto"/>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7" w:lineRule="exact"/>
        <w:rPr>
          <w:rFonts w:ascii="Times New Roman" w:cs="Times New Roman" w:eastAsia="Times New Roman" w:hAnsi="Times New Roman"/>
          <w:sz w:val="17"/>
          <w:szCs w:val="17"/>
          <w:color w:val="auto"/>
          <w:vertAlign w:val="superscript"/>
        </w:rPr>
      </w:pPr>
    </w:p>
    <w:p>
      <w:pPr>
        <w:ind w:left="320" w:right="40" w:hanging="317"/>
        <w:spacing w:after="0" w:line="219" w:lineRule="auto"/>
        <w:tabs>
          <w:tab w:leader="none" w:pos="31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1" w:lineRule="exact"/>
        <w:rPr>
          <w:rFonts w:ascii="Times New Roman" w:cs="Times New Roman" w:eastAsia="Times New Roman" w:hAnsi="Times New Roman"/>
          <w:sz w:val="17"/>
          <w:szCs w:val="17"/>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46" w:lineRule="exact"/>
        <w:rPr>
          <w:rFonts w:ascii="Times New Roman" w:cs="Times New Roman" w:eastAsia="Times New Roman" w:hAnsi="Times New Roman"/>
          <w:sz w:val="17"/>
          <w:szCs w:val="17"/>
          <w:color w:val="auto"/>
          <w:vertAlign w:val="superscript"/>
        </w:rPr>
      </w:pPr>
    </w:p>
    <w:p>
      <w:pPr>
        <w:ind w:left="300" w:hanging="297"/>
        <w:spacing w:after="0" w:line="196" w:lineRule="auto"/>
        <w:tabs>
          <w:tab w:leader="none" w:pos="30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47" w:lineRule="exact"/>
        <w:rPr>
          <w:rFonts w:ascii="Times New Roman" w:cs="Times New Roman" w:eastAsia="Times New Roman" w:hAnsi="Times New Roman"/>
          <w:sz w:val="17"/>
          <w:szCs w:val="17"/>
          <w:color w:val="auto"/>
          <w:vertAlign w:val="superscript"/>
        </w:rPr>
      </w:pPr>
    </w:p>
    <w:p>
      <w:pPr>
        <w:ind w:left="320" w:right="300" w:hanging="317"/>
        <w:spacing w:after="0" w:line="210" w:lineRule="auto"/>
        <w:tabs>
          <w:tab w:leader="none" w:pos="314"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Times New Roman" w:cs="Times New Roman" w:eastAsia="Times New Roman" w:hAnsi="Times New Roman"/>
          <w:sz w:val="17"/>
          <w:szCs w:val="17"/>
          <w:color w:val="auto"/>
          <w:vertAlign w:val="superscript"/>
        </w:rPr>
      </w:pPr>
    </w:p>
    <w:p>
      <w:pPr>
        <w:ind w:left="5440" w:hanging="93"/>
        <w:spacing w:after="0"/>
        <w:tabs>
          <w:tab w:leader="none" w:pos="54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income/(loss) per common unit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(1) (2)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380"/>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income/(loss) per common unit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center"/>
              <w:ind w:left="340"/>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(1) (3)</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center"/>
              <w:ind w:left="380"/>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26" w:lineRule="exact"/>
        <w:rPr>
          <w:sz w:val="20"/>
          <w:szCs w:val="20"/>
          <w:color w:val="auto"/>
        </w:rPr>
      </w:pPr>
    </w:p>
    <w:p>
      <w:pPr>
        <w:ind w:left="320" w:hanging="317"/>
        <w:spacing w:after="0" w:line="230"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of 704 million, 701 million, 702 million and 699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80" w:hanging="317"/>
        <w:spacing w:after="0" w:line="200" w:lineRule="auto"/>
        <w:tabs>
          <w:tab w:leader="none" w:pos="308"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 as well as weighted average Series A preferred units outstanding of 71 million for each of the periods presented.</w:t>
      </w: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60" w:type="dxa"/>
            <w:vAlign w:val="bottom"/>
          </w:tcPr>
          <w:p>
            <w:pPr>
              <w:spacing w:after="0"/>
              <w:rPr>
                <w:sz w:val="13"/>
                <w:szCs w:val="13"/>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(1)</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74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8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(1,145)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(3) (5)</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60" w:type="dxa"/>
            <w:vAlign w:val="bottom"/>
          </w:tcPr>
          <w:p>
            <w:pPr>
              <w:spacing w:after="0"/>
              <w:rPr>
                <w:sz w:val="24"/>
                <w:szCs w:val="24"/>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(3)</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(7) (8)</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80" w:type="dxa"/>
            <w:vAlign w:val="bottom"/>
            <w:tcBorders>
              <w:bottom w:val="single" w:sz="8" w:color="CCEEFF"/>
            </w:tcBorders>
            <w:gridSpan w:val="2"/>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(1,145)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740" w:type="dxa"/>
            <w:vAlign w:val="bottom"/>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 (8)</w:t>
            </w:r>
          </w:p>
        </w:tc>
        <w:tc>
          <w:tcPr>
            <w:tcW w:w="24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80" w:hanging="317"/>
        <w:spacing w:after="0" w:line="233" w:lineRule="auto"/>
        <w:tabs>
          <w:tab w:leader="none" w:pos="308"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PAA and 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17" w:lineRule="exact"/>
        <w:rPr>
          <w:rFonts w:ascii="Times New Roman" w:cs="Times New Roman" w:eastAsia="Times New Roman" w:hAnsi="Times New Roman"/>
          <w:sz w:val="19"/>
          <w:szCs w:val="19"/>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20" w:right="40" w:hanging="317"/>
        <w:spacing w:after="0" w:line="219" w:lineRule="auto"/>
        <w:tabs>
          <w:tab w:leader="none" w:pos="30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15"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33" w:lineRule="exact"/>
        <w:rPr>
          <w:rFonts w:ascii="Times New Roman" w:cs="Times New Roman" w:eastAsia="Times New Roman" w:hAnsi="Times New Roman"/>
          <w:sz w:val="20"/>
          <w:szCs w:val="20"/>
          <w:color w:val="auto"/>
          <w:vertAlign w:val="superscript"/>
        </w:rPr>
      </w:pPr>
    </w:p>
    <w:p>
      <w:pPr>
        <w:ind w:left="320" w:right="160" w:hanging="317"/>
        <w:spacing w:after="0" w:line="210" w:lineRule="auto"/>
        <w:tabs>
          <w:tab w:leader="none" w:pos="308"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Fourth-quarter and full-year 2024 Adjusted Free Cash Flow (Excluding Changes in Assets &amp; Liabilities) includes the negative impact of a $225 million charge resulting from the write-off of a receivable for Line 901 insurance proceeds.</w:t>
      </w: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92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80" w:type="dxa"/>
            <w:vAlign w:val="bottom"/>
          </w:tcPr>
          <w:p>
            <w:pPr>
              <w:spacing w:after="0"/>
              <w:rPr>
                <w:sz w:val="13"/>
                <w:szCs w:val="13"/>
                <w:color w:val="auto"/>
              </w:rPr>
            </w:pPr>
          </w:p>
        </w:tc>
      </w:tr>
      <w:tr>
        <w:trPr>
          <w:trHeight w:val="188"/>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192"/>
        </w:trPr>
        <w:tc>
          <w:tcPr>
            <w:tcW w:w="664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0"/>
                <w:szCs w:val="20"/>
                <w:b w:val="1"/>
                <w:bCs w:val="1"/>
                <w:color w:val="auto"/>
                <w:vertAlign w:val="superscript"/>
              </w:rPr>
              <w:t>(1)</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0"/>
                <w:szCs w:val="20"/>
                <w:color w:val="auto"/>
                <w:vertAlign w:val="superscript"/>
              </w:rPr>
              <w:t>(2)</w:t>
            </w:r>
          </w:p>
        </w:tc>
        <w:tc>
          <w:tcPr>
            <w:tcW w:w="700" w:type="dxa"/>
            <w:vAlign w:val="bottom"/>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74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68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(101)</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0"/>
                <w:szCs w:val="20"/>
                <w:color w:val="auto"/>
                <w:vertAlign w:val="superscript"/>
              </w:rPr>
              <w:t>(3)</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0"/>
                <w:szCs w:val="20"/>
                <w:color w:val="auto"/>
                <w:vertAlign w:val="superscript"/>
              </w:rPr>
              <w:t>(4)</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0"/>
                <w:szCs w:val="20"/>
                <w:color w:val="auto"/>
                <w:vertAlign w:val="superscript"/>
              </w:rPr>
              <w:t>(5)</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0"/>
                <w:szCs w:val="20"/>
                <w:color w:val="auto"/>
                <w:vertAlign w:val="superscript"/>
              </w:rPr>
              <w:t>(6)</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0"/>
                <w:szCs w:val="20"/>
                <w:color w:val="auto"/>
                <w:vertAlign w:val="superscript"/>
              </w:rPr>
              <w:t>(7)</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(345)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66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0"/>
                <w:szCs w:val="20"/>
                <w:color w:val="auto"/>
                <w:vertAlign w:val="superscript"/>
              </w:rPr>
              <w:t>(8)</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0"/>
        </w:trPr>
        <w:tc>
          <w:tcPr>
            <w:tcW w:w="66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(180)</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(203)</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664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Gains/(losses) on asset sales, asset impairments and other, net </w:t>
            </w:r>
            <w:r>
              <w:rPr>
                <w:rFonts w:ascii="Times New Roman" w:cs="Times New Roman" w:eastAsia="Times New Roman" w:hAnsi="Times New Roman"/>
                <w:sz w:val="20"/>
                <w:szCs w:val="20"/>
                <w:color w:val="auto"/>
                <w:vertAlign w:val="superscript"/>
              </w:rPr>
              <w:t>(9)</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7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70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(321)</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(546)</w:t>
            </w: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3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r>
    </w:tbl>
    <w:p>
      <w:pPr>
        <w:spacing w:after="0" w:line="134" w:lineRule="exact"/>
        <w:rPr>
          <w:sz w:val="20"/>
          <w:szCs w:val="20"/>
          <w:color w:val="auto"/>
        </w:rPr>
      </w:pPr>
    </w:p>
    <w:p>
      <w:pPr>
        <w:ind w:left="320" w:right="60" w:hanging="317"/>
        <w:spacing w:after="0" w:line="225" w:lineRule="auto"/>
        <w:tabs>
          <w:tab w:leader="none" w:pos="311"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47" w:lineRule="exact"/>
        <w:rPr>
          <w:rFonts w:ascii="Times New Roman" w:cs="Times New Roman" w:eastAsia="Times New Roman" w:hAnsi="Times New Roman"/>
          <w:sz w:val="16"/>
          <w:szCs w:val="16"/>
          <w:color w:val="auto"/>
          <w:vertAlign w:val="superscript"/>
        </w:rPr>
      </w:pPr>
    </w:p>
    <w:p>
      <w:pPr>
        <w:jc w:val="both"/>
        <w:ind w:left="320" w:right="300" w:hanging="317"/>
        <w:spacing w:after="0" w:line="238" w:lineRule="auto"/>
        <w:tabs>
          <w:tab w:leader="none" w:pos="311"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instruments and the underlying transactions impact adjusted results in the same period. In addition, we exclude gains and losses on derivatives that are related to (i) investing activities, such as the purchase of linefill, and</w:t>
      </w:r>
    </w:p>
    <w:p>
      <w:pPr>
        <w:spacing w:after="0" w:line="13" w:lineRule="exact"/>
        <w:rPr>
          <w:sz w:val="20"/>
          <w:szCs w:val="20"/>
          <w:color w:val="auto"/>
        </w:rPr>
      </w:pPr>
    </w:p>
    <w:p>
      <w:pPr>
        <w:ind w:left="320" w:right="220" w:hanging="7"/>
        <w:spacing w:after="0" w:line="284" w:lineRule="auto"/>
        <w:tabs>
          <w:tab w:leader="none" w:pos="503"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of long-term inventory. We also exclude the impact of corresponding inventory valuation adjustments, as applicable. For applicable periods, we excluded gains and losses from the mark-to-market of the embedded derivative associated with the Preferred Distribution Rate Reset Option of our Series A preferred units.</w:t>
      </w:r>
    </w:p>
    <w:p>
      <w:pPr>
        <w:spacing w:after="0" w:line="8" w:lineRule="exact"/>
        <w:rPr>
          <w:rFonts w:ascii="Times New Roman" w:cs="Times New Roman" w:eastAsia="Times New Roman" w:hAnsi="Times New Roman"/>
          <w:sz w:val="12"/>
          <w:szCs w:val="12"/>
          <w:color w:val="auto"/>
        </w:rPr>
      </w:pPr>
    </w:p>
    <w:p>
      <w:pPr>
        <w:ind w:left="320" w:right="20" w:hanging="317"/>
        <w:spacing w:after="0" w:line="247"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0" w:lineRule="exact"/>
        <w:rPr>
          <w:rFonts w:ascii="Times New Roman" w:cs="Times New Roman" w:eastAsia="Times New Roman" w:hAnsi="Times New Roman"/>
          <w:sz w:val="16"/>
          <w:szCs w:val="16"/>
          <w:color w:val="auto"/>
          <w:vertAlign w:val="superscript"/>
        </w:rPr>
      </w:pPr>
    </w:p>
    <w:p>
      <w:pPr>
        <w:ind w:left="320" w:right="60" w:hanging="317"/>
        <w:spacing w:after="0" w:line="253"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8" w:lineRule="exact"/>
        <w:rPr>
          <w:rFonts w:ascii="Times New Roman" w:cs="Times New Roman" w:eastAsia="Times New Roman" w:hAnsi="Times New Roman"/>
          <w:sz w:val="16"/>
          <w:szCs w:val="16"/>
          <w:color w:val="auto"/>
          <w:vertAlign w:val="superscript"/>
        </w:rPr>
      </w:pPr>
    </w:p>
    <w:p>
      <w:pPr>
        <w:ind w:left="320" w:right="40" w:hanging="317"/>
        <w:spacing w:after="0" w:line="247"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0" w:lineRule="exact"/>
        <w:rPr>
          <w:rFonts w:ascii="Times New Roman" w:cs="Times New Roman" w:eastAsia="Times New Roman" w:hAnsi="Times New Roman"/>
          <w:sz w:val="16"/>
          <w:szCs w:val="16"/>
          <w:color w:val="auto"/>
          <w:vertAlign w:val="superscript"/>
        </w:rPr>
      </w:pPr>
    </w:p>
    <w:p>
      <w:pPr>
        <w:ind w:left="320" w:right="460" w:hanging="317"/>
        <w:spacing w:after="0" w:line="238"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7" w:lineRule="exact"/>
        <w:rPr>
          <w:rFonts w:ascii="Times New Roman" w:cs="Times New Roman" w:eastAsia="Times New Roman" w:hAnsi="Times New Roman"/>
          <w:sz w:val="16"/>
          <w:szCs w:val="16"/>
          <w:color w:val="auto"/>
          <w:vertAlign w:val="superscript"/>
        </w:rPr>
      </w:pPr>
    </w:p>
    <w:p>
      <w:pPr>
        <w:ind w:left="320" w:right="80" w:hanging="317"/>
        <w:spacing w:after="0" w:line="225"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costs recognized during the period related to the Line 901 incident that occurred in May 2015. For the 2024 periods, includes the write-off of a receivable for Line 901 insurance proceeds in the fourth quarter of 2024 and the impact of settlements in the third quarter of 2024.</w:t>
      </w:r>
    </w:p>
    <w:p>
      <w:pPr>
        <w:spacing w:after="0" w:line="23"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expenses associated with the Rattler Permian Transaction.</w:t>
      </w:r>
    </w:p>
    <w:p>
      <w:pPr>
        <w:spacing w:after="0" w:line="47" w:lineRule="exact"/>
        <w:rPr>
          <w:rFonts w:ascii="Times New Roman" w:cs="Times New Roman" w:eastAsia="Times New Roman" w:hAnsi="Times New Roman"/>
          <w:sz w:val="16"/>
          <w:szCs w:val="16"/>
          <w:color w:val="auto"/>
          <w:vertAlign w:val="superscript"/>
        </w:rPr>
      </w:pPr>
    </w:p>
    <w:p>
      <w:pPr>
        <w:ind w:left="320" w:right="40" w:hanging="317"/>
        <w:spacing w:after="0" w:line="199" w:lineRule="auto"/>
        <w:tabs>
          <w:tab w:leader="none" w:pos="311"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For the 2024 periods, primarily includes non-cash charges related to the write-down of two U.S. NGL terminals. For the twelve months ended December 31, 2023 primarily includes gains related to the sale of our Keyera Fort Saskatchewan facility.</w:t>
      </w:r>
    </w:p>
    <w:p>
      <w:pPr>
        <w:ind w:left="5440" w:hanging="93"/>
        <w:spacing w:after="0"/>
        <w:tabs>
          <w:tab w:leader="none" w:pos="544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80" w:type="dxa"/>
            <w:vAlign w:val="bottom"/>
          </w:tcPr>
          <w:p>
            <w:pPr>
              <w:spacing w:after="0"/>
              <w:rPr>
                <w:sz w:val="13"/>
                <w:szCs w:val="13"/>
                <w:color w:val="auto"/>
              </w:rPr>
            </w:pPr>
          </w:p>
        </w:tc>
        <w:tc>
          <w:tcPr>
            <w:tcW w:w="22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80" w:type="dxa"/>
            <w:vAlign w:val="bottom"/>
          </w:tcPr>
          <w:p>
            <w:pPr>
              <w:spacing w:after="0"/>
              <w:rPr>
                <w:sz w:val="16"/>
                <w:szCs w:val="16"/>
                <w:color w:val="auto"/>
              </w:rPr>
            </w:pPr>
          </w:p>
        </w:tc>
        <w:tc>
          <w:tcPr>
            <w:tcW w:w="22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NGL</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 (3)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55"/>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(6)</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47"/>
        </w:trPr>
        <w:tc>
          <w:tcPr>
            <w:tcW w:w="388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46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for the three months ended December 31, 2024 include higher expenses related to (i) $225 million resulting from the write-off of a receivable for Line 901 insurance proceeds and (ii) an increase in estimated costs for long-term environmental remediation obligations.</w:t>
      </w:r>
    </w:p>
    <w:p>
      <w:pPr>
        <w:spacing w:after="0" w:line="35"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2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SEGMENT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180" w:type="dxa"/>
            <w:vAlign w:val="bottom"/>
          </w:tcPr>
          <w:p>
            <w:pPr>
              <w:spacing w:after="0"/>
              <w:rPr>
                <w:sz w:val="13"/>
                <w:szCs w:val="13"/>
                <w:color w:val="auto"/>
              </w:rPr>
            </w:pPr>
          </w:p>
        </w:tc>
        <w:tc>
          <w:tcPr>
            <w:tcW w:w="22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80" w:type="dxa"/>
            <w:vAlign w:val="bottom"/>
          </w:tcPr>
          <w:p>
            <w:pPr>
              <w:spacing w:after="0"/>
              <w:rPr>
                <w:sz w:val="16"/>
                <w:szCs w:val="16"/>
                <w:color w:val="auto"/>
              </w:rPr>
            </w:pPr>
          </w:p>
        </w:tc>
        <w:tc>
          <w:tcPr>
            <w:tcW w:w="22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Crude Oil</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5"/>
                <w:szCs w:val="15"/>
                <w:b w:val="1"/>
                <w:bCs w:val="1"/>
                <w:color w:val="auto"/>
              </w:rPr>
              <w:t>NGL</w:t>
            </w:r>
          </w:p>
        </w:tc>
      </w:tr>
      <w:tr>
        <w:trPr>
          <w:trHeight w:val="213"/>
        </w:trPr>
        <w:tc>
          <w:tcPr>
            <w:tcW w:w="6180" w:type="dxa"/>
            <w:vAlign w:val="bottom"/>
            <w:tcBorders>
              <w:top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 (3)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38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160" w:hanging="317"/>
        <w:spacing w:after="0" w:line="237"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for the twelve months ended December 31, 2024 include higher expenses related to (i) $225 million resulting from the write-off of a receivable for Line 901 insurance proceeds, (ii) $120 million associated with settlements related to the Line 901 incident that occurred in May 2015 and (iii) an increase in estimated costs for long-term environmental remediation obligations.</w:t>
      </w:r>
    </w:p>
    <w:p>
      <w:pPr>
        <w:spacing w:after="0" w:line="35"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spacing w:after="0" w:line="22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pipeline tariff (by region) </w:t>
            </w:r>
            <w:r>
              <w:rPr>
                <w:rFonts w:ascii="Times New Roman" w:cs="Times New Roman" w:eastAsia="Times New Roman" w:hAnsi="Times New Roman"/>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6,356</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20"/>
        </w:trPr>
        <w:tc>
          <w:tcPr>
            <w:tcW w:w="62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0"/>
        </w:trPr>
        <w:tc>
          <w:tcPr>
            <w:tcW w:w="6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3"/>
        </w:trPr>
        <w:tc>
          <w:tcPr>
            <w:tcW w:w="62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(1) (2)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8,460</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Commercial crude oil storage capacity </w:t>
            </w:r>
            <w:r>
              <w:rPr>
                <w:rFonts w:ascii="Times New Roman" w:cs="Times New Roman" w:eastAsia="Times New Roman" w:hAnsi="Times New Roman"/>
                <w:sz w:val="22"/>
                <w:szCs w:val="22"/>
                <w:color w:val="auto"/>
                <w:vertAlign w:val="superscript"/>
              </w:rPr>
              <w:t>(2) (3)</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Crude oil lease gathering purchases </w:t>
            </w:r>
            <w:r>
              <w:rPr>
                <w:rFonts w:ascii="Times New Roman" w:cs="Times New Roman" w:eastAsia="Times New Roman" w:hAnsi="Times New Roman"/>
                <w:sz w:val="22"/>
                <w:szCs w:val="22"/>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Segment Volumes </w:t>
            </w:r>
            <w:r>
              <w:rPr>
                <w:rFonts w:ascii="Times New Roman" w:cs="Times New Roman" w:eastAsia="Times New Roman" w:hAnsi="Times New Roman"/>
                <w:sz w:val="22"/>
                <w:szCs w:val="22"/>
                <w:b w:val="1"/>
                <w:bCs w:val="1"/>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20"/>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NGL pipeline tariff</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Average monthly capacity in millions of barrels calculated as total volumes for the period divided by the number of months in the period.</w:t>
      </w:r>
    </w:p>
    <w:p>
      <w:pPr>
        <w:ind w:left="5440" w:hanging="93"/>
        <w:spacing w:after="0"/>
        <w:tabs>
          <w:tab w:leader="none" w:pos="54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SEGMENT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Adjusted EBITDA attributable to PAA Reconciliation: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2,276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w:t>
            </w:r>
          </w:p>
        </w:tc>
      </w:tr>
      <w:tr>
        <w:trPr>
          <w:trHeight w:val="22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(1)</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618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2,779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2,711</w:t>
            </w: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13" w:lineRule="exact"/>
        <w:rPr>
          <w:sz w:val="20"/>
          <w:szCs w:val="20"/>
          <w:color w:val="auto"/>
        </w:rPr>
      </w:pPr>
    </w:p>
    <w:p>
      <w:pPr>
        <w:ind w:left="320" w:hanging="317"/>
        <w:spacing w:after="0" w:line="237"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PAA and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40"/>
          </w:cols>
          <w:pgMar w:left="320" w:top="356"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3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asset sales, asset impairments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other, net</w:t>
            </w:r>
          </w:p>
        </w:tc>
        <w:tc>
          <w:tcPr>
            <w:tcW w:w="3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3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investments in unconsolidated entities,</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3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3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NET INCOME/(LOSS) ATTRIBUTABLE</w:t>
            </w:r>
          </w:p>
        </w:tc>
        <w:tc>
          <w:tcPr>
            <w:tcW w:w="380" w:type="dxa"/>
            <w:vAlign w:val="bottom"/>
            <w:vMerge w:val="restart"/>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12"/>
                <w:szCs w:val="12"/>
                <w:color w:val="auto"/>
              </w:rPr>
            </w:pPr>
          </w:p>
        </w:tc>
        <w:tc>
          <w:tcPr>
            <w:tcW w:w="28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 PAGP</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7"/>
        </w:trPr>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Class A share</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2024</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78"/>
        </w:trPr>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8"/>
        </w:trPr>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50,073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48,712</w:t>
            </w:r>
          </w:p>
        </w:tc>
      </w:tr>
      <w:tr>
        <w:trPr>
          <w:trHeight w:val="142"/>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44,531</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r>
      <w:tr>
        <w:trPr>
          <w:trHeight w:val="168"/>
        </w:trPr>
        <w:tc>
          <w:tcPr>
            <w:tcW w:w="33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(Gains)/losses on asset sales, asset impairments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other, net</w:t>
            </w: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3"/>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48,895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48,901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168"/>
        </w:trPr>
        <w:tc>
          <w:tcPr>
            <w:tcW w:w="33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Gain on investments in unconsolidated entities,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187"/>
        </w:trPr>
        <w:tc>
          <w:tcPr>
            <w:tcW w:w="3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w:t>
            </w: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187"/>
        </w:trPr>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168"/>
        </w:trPr>
        <w:tc>
          <w:tcPr>
            <w:tcW w:w="3380" w:type="dxa"/>
            <w:vAlign w:val="bottom"/>
          </w:tcPr>
          <w:p>
            <w:pPr>
              <w:ind w:left="180"/>
              <w:spacing w:after="0" w:line="168"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w:t>
            </w:r>
          </w:p>
        </w:tc>
      </w:tr>
      <w:tr>
        <w:trPr>
          <w:trHeight w:val="23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53"/>
        </w:trPr>
        <w:tc>
          <w:tcPr>
            <w:tcW w:w="3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20"/>
        </w:trPr>
        <w:tc>
          <w:tcPr>
            <w:tcW w:w="4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7"/>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0"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3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27,756</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w:t>
            </w: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13,424</w:t>
            </w:r>
          </w:p>
        </w:tc>
      </w:tr>
      <w:tr>
        <w:trPr>
          <w:trHeight w:val="21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27,355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28,597</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2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INCOME/(LOSS)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7"/>
        </w:trPr>
        <w:tc>
          <w:tcPr>
            <w:tcW w:w="58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Class A Share</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58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income/(loss) attributable to PAGP</w:t>
            </w:r>
          </w:p>
        </w:tc>
        <w:tc>
          <w:tcPr>
            <w:tcW w:w="8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20"/>
        </w:trPr>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Basic and diluted weighted average Class A shares outstanding</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45"/>
        </w:trPr>
        <w:tc>
          <w:tcPr>
            <w:tcW w:w="5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5"/>
        </w:trPr>
        <w:tc>
          <w:tcPr>
            <w:tcW w:w="5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Basic and diluted net income/(loss) per Class A share</w:t>
            </w:r>
          </w:p>
        </w:tc>
        <w:tc>
          <w:tcPr>
            <w:tcW w:w="80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160" w:hanging="307"/>
        <w:spacing w:after="0" w:line="265" w:lineRule="auto"/>
        <w:tabs>
          <w:tab w:leader="none" w:pos="616"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Times New Roman" w:cs="Times New Roman" w:eastAsia="Times New Roman" w:hAnsi="Times New Roman"/>
          <w:sz w:val="17"/>
          <w:szCs w:val="17"/>
          <w:i w:val="1"/>
          <w:iCs w:val="1"/>
          <w:color w:val="auto"/>
        </w:rPr>
      </w:pPr>
    </w:p>
    <w:p>
      <w:pPr>
        <w:ind w:left="620" w:right="120" w:hanging="307"/>
        <w:spacing w:after="0" w:line="26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0"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01"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0"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14"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4" w:lineRule="exact"/>
        <w:rPr>
          <w:rFonts w:ascii="Times New Roman" w:cs="Times New Roman" w:eastAsia="Times New Roman" w:hAnsi="Times New Roman"/>
          <w:sz w:val="17"/>
          <w:szCs w:val="17"/>
          <w:color w:val="auto"/>
        </w:rPr>
      </w:pPr>
    </w:p>
    <w:p>
      <w:pPr>
        <w:ind w:left="620" w:right="360" w:hanging="307"/>
        <w:spacing w:after="0" w:line="285"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ind w:left="5440" w:hanging="93"/>
        <w:spacing w:after="0"/>
        <w:tabs>
          <w:tab w:leader="none" w:pos="54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5" w:lineRule="exact"/>
        <w:rPr>
          <w:sz w:val="20"/>
          <w:szCs w:val="20"/>
          <w:color w:val="auto"/>
        </w:rPr>
      </w:pPr>
    </w:p>
    <w:p>
      <w:pPr>
        <w:ind w:left="620" w:right="14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wildfires and drought);</w:t>
      </w:r>
    </w:p>
    <w:p>
      <w:pPr>
        <w:spacing w:after="0" w:line="34" w:lineRule="exact"/>
        <w:rPr>
          <w:rFonts w:ascii="Times New Roman" w:cs="Times New Roman" w:eastAsia="Times New Roman" w:hAnsi="Times New Roman"/>
          <w:sz w:val="17"/>
          <w:szCs w:val="17"/>
          <w:color w:val="auto"/>
        </w:rPr>
      </w:pPr>
    </w:p>
    <w:p>
      <w:pPr>
        <w:ind w:left="620" w:right="4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41"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14"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01"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88" w:lineRule="exact"/>
        <w:rPr>
          <w:rFonts w:ascii="Times New Roman" w:cs="Times New Roman" w:eastAsia="Times New Roman" w:hAnsi="Times New Roman"/>
          <w:sz w:val="17"/>
          <w:szCs w:val="17"/>
          <w:color w:val="auto"/>
        </w:rPr>
      </w:pPr>
    </w:p>
    <w:p>
      <w:pPr>
        <w:jc w:val="both"/>
        <w:ind w:left="620" w:right="1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01"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21"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01" w:lineRule="exact"/>
        <w:rPr>
          <w:rFonts w:ascii="Times New Roman" w:cs="Times New Roman" w:eastAsia="Times New Roman" w:hAnsi="Times New Roman"/>
          <w:sz w:val="17"/>
          <w:szCs w:val="17"/>
          <w:color w:val="auto"/>
        </w:rPr>
      </w:pPr>
    </w:p>
    <w:p>
      <w:pPr>
        <w:ind w:left="620" w:right="6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101" w:lineRule="exact"/>
        <w:rPr>
          <w:rFonts w:ascii="Times New Roman" w:cs="Times New Roman" w:eastAsia="Times New Roman" w:hAnsi="Times New Roman"/>
          <w:sz w:val="17"/>
          <w:szCs w:val="17"/>
          <w:color w:val="auto"/>
        </w:rPr>
      </w:pPr>
    </w:p>
    <w:p>
      <w:pPr>
        <w:ind w:left="620" w:right="60" w:hanging="307"/>
        <w:spacing w:after="0" w:line="28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ind w:left="5440" w:hanging="93"/>
        <w:spacing w:after="0"/>
        <w:tabs>
          <w:tab w:leader="none" w:pos="54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8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Michael Gladstein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04"/>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lvl w:ilvl="1">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lvl w:ilvl="1">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lvl w:ilvl="1">
      <w:lvlJc w:val="left"/>
      <w:lvlText w:val="-"/>
      <w:numFmt w:val="bullet"/>
      <w:start w:val="1"/>
    </w:lvl>
  </w:abstractNum>
  <w:abstractNum w:abstractNumId="12">
    <w:nsid w:val="62BBD95A"/>
    <w:multiLevelType w:val="hybridMultilevel"/>
    <w:lvl w:ilvl="0">
      <w:lvlJc w:val="left"/>
      <w:lvlText w:val="(%1)"/>
      <w:numFmt w:val="decimal"/>
      <w:start w:val="1"/>
    </w:lvl>
    <w:lvl w:ilvl="1">
      <w:lvlJc w:val="left"/>
      <w:lvlText w:val="-"/>
      <w:numFmt w:val="bullet"/>
      <w:start w:val="1"/>
    </w:lvl>
  </w:abstractNum>
  <w:abstractNum w:abstractNumId="13">
    <w:nsid w:val="436C6125"/>
    <w:multiLevelType w:val="hybridMultilevel"/>
    <w:lvl w:ilvl="0">
      <w:lvlJc w:val="left"/>
      <w:lvlText w:val="(%1)"/>
      <w:numFmt w:val="decimal"/>
      <w:start w:val="1"/>
    </w:lvl>
    <w:lvl w:ilvl="1">
      <w:lvlJc w:val="left"/>
      <w:lvlText w:val="-"/>
      <w:numFmt w:val="bullet"/>
      <w:start w:val="1"/>
    </w:lvl>
  </w:abstractNum>
  <w:abstractNum w:abstractNumId="14">
    <w:nsid w:val="628C895D"/>
    <w:multiLevelType w:val="hybridMultilevel"/>
    <w:lvl w:ilvl="0">
      <w:lvlJc w:val="left"/>
      <w:lvlText w:val="(%1)"/>
      <w:numFmt w:val="decimal"/>
      <w:start w:val="1"/>
    </w:lvl>
    <w:lvl w:ilvl="1">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7">
    <w:nsid w:val="2443A858"/>
    <w:multiLevelType w:val="hybridMultilevel"/>
    <w:lvl w:ilvl="0">
      <w:lvlJc w:val="left"/>
      <w:lvlText w:val="(%1)"/>
      <w:numFmt w:val="decimal"/>
      <w:start w:val="3"/>
    </w:lvl>
    <w:lvl w:ilvl="1">
      <w:lvlJc w:val="left"/>
      <w:lvlText w:val="%2"/>
      <w:numFmt w:val="lowerRoman"/>
      <w:start w:val="1"/>
    </w:lvl>
    <w:lvl w:ilvl="2">
      <w:lvlJc w:val="left"/>
      <w:lvlText w:val="-"/>
      <w:numFmt w:val="bullet"/>
      <w:start w:val="1"/>
    </w:lvl>
  </w:abstractNum>
  <w:abstractNum w:abstractNumId="18">
    <w:nsid w:val="2D1D5AE9"/>
    <w:multiLevelType w:val="hybridMultilevel"/>
    <w:lvl w:ilvl="0">
      <w:lvlJc w:val="left"/>
      <w:lvlText w:val="(%1)"/>
      <w:numFmt w:val="decimal"/>
      <w:start w:val="3"/>
    </w:lvl>
    <w:lvl w:ilvl="1">
      <w:lvlJc w:val="left"/>
      <w:lvlText w:val="-"/>
      <w:numFmt w:val="bullet"/>
      <w:start w:val="1"/>
    </w:lvl>
  </w:abstractNum>
  <w:abstractNum w:abstractNumId="19">
    <w:nsid w:val="6763845E"/>
    <w:multiLevelType w:val="hybridMultilevel"/>
    <w:lvl w:ilvl="0">
      <w:lvlJc w:val="left"/>
      <w:lvlText w:val="(%1)"/>
      <w:numFmt w:val="decimal"/>
      <w:start w:val="3"/>
    </w:lvl>
    <w:lvl w:ilvl="1">
      <w:lvlJc w:val="left"/>
      <w:lvlText w:val="-"/>
      <w:numFmt w:val="bullet"/>
      <w:start w:val="1"/>
    </w:lvl>
  </w:abstractNum>
  <w:abstractNum w:abstractNumId="20">
    <w:nsid w:val="75A2A8D4"/>
    <w:multiLevelType w:val="hybridMultilevel"/>
    <w:lvl w:ilvl="0">
      <w:lvlJc w:val="left"/>
      <w:lvlText w:val="(%1)"/>
      <w:numFmt w:val="decimal"/>
      <w:start w:val="1"/>
    </w:lvl>
    <w:lvl w:ilvl="1">
      <w:lvlJc w:val="left"/>
      <w:lvlText w:val="-"/>
      <w:numFmt w:val="bullet"/>
      <w:start w:val="1"/>
    </w:lvl>
  </w:abstractNum>
  <w:abstractNum w:abstractNumId="21">
    <w:nsid w:val="8EDBDAB"/>
    <w:multiLevelType w:val="hybridMultilevel"/>
    <w:lvl w:ilvl="0">
      <w:lvlJc w:val="left"/>
      <w:lvlText w:val="(%1)"/>
      <w:numFmt w:val="decimal"/>
      <w:start w:val="1"/>
    </w:lvl>
    <w:lvl w:ilvl="1">
      <w:lvlJc w:val="left"/>
      <w:lvlText w:val="-"/>
      <w:numFmt w:val="bullet"/>
      <w:start w:val="1"/>
    </w:lvl>
  </w:abstractNum>
  <w:abstractNum w:abstractNumId="22">
    <w:nsid w:val="79838CB2"/>
    <w:multiLevelType w:val="hybridMultilevel"/>
    <w:lvl w:ilvl="0">
      <w:lvlJc w:val="left"/>
      <w:lvlText w:val="(%1)"/>
      <w:numFmt w:val="decimal"/>
      <w:start w:val="1"/>
    </w:lvl>
    <w:lvl w:ilvl="1">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lvl w:ilvl="1">
      <w:lvlJc w:val="left"/>
      <w:lvlText w:val="-"/>
      <w:numFmt w:val="bullet"/>
      <w:start w:val="1"/>
    </w:lvl>
  </w:abstractNum>
  <w:abstractNum w:abstractNumId="26">
    <w:nsid w:val="54E49EB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2025-02-07T07:43:18Z</dcterms:created>
  <dcterms:modified xsi:type="dcterms:W3CDTF">2025-02-07T07:43:18Z</dcterms:modified>
</cp:coreProperties>
</file>